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EDD1" w14:textId="72A10170" w:rsidR="00A27A1B" w:rsidRPr="004F4A29" w:rsidRDefault="00F00355" w:rsidP="00A27A1B">
      <w:pPr>
        <w:pStyle w:val="Title"/>
        <w:spacing w:before="120"/>
        <w:rPr>
          <w:rFonts w:ascii="Open Sans Extrabold" w:hAnsi="Open Sans Extrabold" w:cs="Open Sans Extrabold"/>
          <w:b/>
          <w:bCs/>
          <w:color w:val="132D4D" w:themeColor="background2" w:themeShade="80"/>
          <w:kern w:val="0"/>
          <w:sz w:val="56"/>
        </w:rPr>
      </w:pPr>
      <w:r w:rsidRPr="004F4A29">
        <w:rPr>
          <w:rFonts w:ascii="Open Sans Extrabold" w:hAnsi="Open Sans Extrabold" w:cs="Open Sans Extrabold"/>
          <w:b/>
          <w:bCs/>
          <w:noProof/>
          <w:color w:val="132D4D" w:themeColor="background2" w:themeShade="80"/>
          <w:sz w:val="56"/>
        </w:rPr>
        <w:drawing>
          <wp:anchor distT="0" distB="0" distL="114300" distR="114300" simplePos="0" relativeHeight="251658242" behindDoc="1" locked="0" layoutInCell="1" allowOverlap="1" wp14:anchorId="0910D689" wp14:editId="35849940">
            <wp:simplePos x="0" y="0"/>
            <wp:positionH relativeFrom="page">
              <wp:align>left</wp:align>
            </wp:positionH>
            <wp:positionV relativeFrom="paragraph">
              <wp:posOffset>-1803400</wp:posOffset>
            </wp:positionV>
            <wp:extent cx="7560000" cy="10690798"/>
            <wp:effectExtent l="0" t="0" r="3175" b="0"/>
            <wp:wrapNone/>
            <wp:docPr id="516278280"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78280" name="Picture 19">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0000" cy="10690798"/>
                    </a:xfrm>
                    <a:prstGeom prst="rect">
                      <a:avLst/>
                    </a:prstGeom>
                  </pic:spPr>
                </pic:pic>
              </a:graphicData>
            </a:graphic>
            <wp14:sizeRelH relativeFrom="page">
              <wp14:pctWidth>0</wp14:pctWidth>
            </wp14:sizeRelH>
            <wp14:sizeRelV relativeFrom="page">
              <wp14:pctHeight>0</wp14:pctHeight>
            </wp14:sizeRelV>
          </wp:anchor>
        </w:drawing>
      </w:r>
      <w:r w:rsidR="002D4233" w:rsidRPr="004F4A29">
        <w:rPr>
          <w:rFonts w:ascii="Open Sans Extrabold" w:hAnsi="Open Sans Extrabold" w:cs="Open Sans Extrabold"/>
          <w:b/>
          <w:bCs/>
          <w:color w:val="132D4D" w:themeColor="background2" w:themeShade="80"/>
          <w:kern w:val="0"/>
          <w:sz w:val="56"/>
        </w:rPr>
        <w:t>Delivering quality care more efficiently</w:t>
      </w:r>
    </w:p>
    <w:p w14:paraId="698FC7E3" w14:textId="77777777" w:rsidR="006B2BCC" w:rsidRPr="00827808" w:rsidRDefault="006B2BCC" w:rsidP="006B2BCC">
      <w:pPr>
        <w:pStyle w:val="Coverdate"/>
        <w:framePr w:wrap="around" w:y="15321"/>
        <w:rPr>
          <w:rFonts w:ascii="Open Sans" w:hAnsi="Open Sans" w:cs="Open Sans"/>
          <w:color w:val="FFFFFF" w:themeColor="background1"/>
        </w:rPr>
      </w:pPr>
      <w:r>
        <w:rPr>
          <w:rFonts w:ascii="Open Sans" w:hAnsi="Open Sans" w:cs="Open Sans"/>
          <w:color w:val="FFFFFF" w:themeColor="background1"/>
        </w:rPr>
        <w:t>August</w:t>
      </w:r>
      <w:r w:rsidRPr="00827808">
        <w:rPr>
          <w:rFonts w:ascii="Open Sans" w:hAnsi="Open Sans" w:cs="Open Sans"/>
          <w:color w:val="FFFFFF" w:themeColor="background1"/>
        </w:rPr>
        <w:t xml:space="preserve"> 2025</w:t>
      </w:r>
    </w:p>
    <w:p w14:paraId="794120EB" w14:textId="763DCB49" w:rsidR="00A27A1B" w:rsidRPr="00740EC7" w:rsidRDefault="00A27A1B" w:rsidP="00A27A1B">
      <w:pPr>
        <w:spacing w:before="0" w:after="160" w:line="259" w:lineRule="auto"/>
        <w:rPr>
          <w:rFonts w:ascii="Open Sans" w:hAnsi="Open Sans" w:cs="Open Sans"/>
          <w:sz w:val="32"/>
          <w:szCs w:val="32"/>
        </w:rPr>
      </w:pPr>
      <w:r w:rsidRPr="009479D0">
        <w:rPr>
          <w:rFonts w:ascii="Open Sans" w:hAnsi="Open Sans" w:cs="Open Sans"/>
          <w:sz w:val="48"/>
          <w:szCs w:val="48"/>
        </w:rPr>
        <w:t>Interim report</w:t>
      </w:r>
      <w:r w:rsidR="00740EC7">
        <w:rPr>
          <w:rFonts w:ascii="Open Sans" w:hAnsi="Open Sans" w:cs="Open Sans"/>
          <w:sz w:val="48"/>
          <w:szCs w:val="48"/>
        </w:rPr>
        <w:br/>
      </w:r>
      <w:r w:rsidR="00764CF2" w:rsidRPr="004F7BE2">
        <w:rPr>
          <w:noProof/>
        </w:rPr>
        <mc:AlternateContent>
          <mc:Choice Requires="wps">
            <w:drawing>
              <wp:anchor distT="0" distB="0" distL="114300" distR="114300" simplePos="0" relativeHeight="251658241" behindDoc="0" locked="0" layoutInCell="1" allowOverlap="1" wp14:anchorId="19F6FA71" wp14:editId="082A13C2">
                <wp:simplePos x="0" y="0"/>
                <wp:positionH relativeFrom="page">
                  <wp:posOffset>720090</wp:posOffset>
                </wp:positionH>
                <wp:positionV relativeFrom="page">
                  <wp:posOffset>9469120</wp:posOffset>
                </wp:positionV>
                <wp:extent cx="1800000" cy="612000"/>
                <wp:effectExtent l="0" t="0" r="10160" b="17145"/>
                <wp:wrapNone/>
                <wp:docPr id="15" name="Text Box 15"/>
                <wp:cNvGraphicFramePr/>
                <a:graphic xmlns:a="http://schemas.openxmlformats.org/drawingml/2006/main">
                  <a:graphicData uri="http://schemas.microsoft.com/office/word/2010/wordprocessingShape">
                    <wps:wsp>
                      <wps:cNvSpPr txBox="1"/>
                      <wps:spPr>
                        <a:xfrm>
                          <a:off x="0" y="0"/>
                          <a:ext cx="1800000" cy="612000"/>
                        </a:xfrm>
                        <a:prstGeom prst="rect">
                          <a:avLst/>
                        </a:prstGeom>
                        <a:solidFill>
                          <a:schemeClr val="tx1"/>
                        </a:solidFill>
                        <a:ln w="6350">
                          <a:solidFill>
                            <a:prstClr val="black"/>
                          </a:solidFill>
                        </a:ln>
                      </wps:spPr>
                      <wps:txbx>
                        <w:txbxContent>
                          <w:p w14:paraId="67733FAF" w14:textId="77777777" w:rsidR="00764CF2" w:rsidRPr="00E945F6" w:rsidRDefault="00764CF2" w:rsidP="00764CF2">
                            <w:pPr>
                              <w:pStyle w:val="CoverdisclaimerwhiteCover"/>
                            </w:pPr>
                            <w:r w:rsidRPr="00A05AAF">
                              <w:t>This is an interim report prepared for further public consultation and input. The PC will finalise its report after these processes have taken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6FA71" id="_x0000_t202" coordsize="21600,21600" o:spt="202" path="m,l,21600r21600,l21600,xe">
                <v:stroke joinstyle="miter"/>
                <v:path gradientshapeok="t" o:connecttype="rect"/>
              </v:shapetype>
              <v:shape id="Text Box 15" o:spid="_x0000_s1026" type="#_x0000_t202" style="position:absolute;margin-left:56.7pt;margin-top:745.6pt;width:141.75pt;height:48.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" fillcolor="black [3213]" strokeweight=".5pt">
                <v:textbox>
                  <w:txbxContent>
                    <w:p w14:paraId="67733FAF" w14:textId="77777777" w:rsidR="00764CF2" w:rsidRPr="00E945F6" w:rsidRDefault="00764CF2" w:rsidP="00764CF2">
                      <w:pPr>
                        <w:pStyle w:val="CoverdisclaimerwhiteCover"/>
                      </w:pPr>
                      <w:r w:rsidRPr="00A05AAF">
                        <w:t>This is an interim report prepared for further public consultation and input. The PC will finalise its report after these processes have taken place.</w:t>
                      </w:r>
                    </w:p>
                  </w:txbxContent>
                </v:textbox>
                <w10:wrap anchorx="page" anchory="page"/>
              </v:shape>
            </w:pict>
          </mc:Fallback>
        </mc:AlternateContent>
      </w:r>
      <w:r w:rsidR="00740EC7">
        <w:rPr>
          <w:rFonts w:ascii="Open Sans" w:hAnsi="Open Sans" w:cs="Open Sans"/>
          <w:sz w:val="32"/>
          <w:szCs w:val="32"/>
        </w:rPr>
        <w:t>Executive summary</w:t>
      </w:r>
    </w:p>
    <w:sdt>
      <w:sdtPr>
        <w:rPr>
          <w:color w:val="FFFFFF" w:themeColor="background1"/>
        </w:rPr>
        <w:id w:val="-228914026"/>
        <w:docPartObj>
          <w:docPartGallery w:val="Cover Pages"/>
          <w:docPartUnique/>
        </w:docPartObj>
      </w:sdtPr>
      <w:sdtEndPr>
        <w:rPr>
          <w:color w:val="auto"/>
        </w:rPr>
      </w:sdtEndPr>
      <w:sdtContent>
        <w:p w14:paraId="44F60990" w14:textId="4B579021" w:rsidR="00246212" w:rsidRPr="00A27A1B" w:rsidRDefault="00246212" w:rsidP="00320229">
          <w:pPr>
            <w:pStyle w:val="BodyText"/>
            <w:spacing w:before="1680" w:after="240" w:line="640" w:lineRule="exact"/>
            <w:rPr>
              <w:color w:val="FFFFFF" w:themeColor="background1"/>
            </w:rPr>
          </w:pPr>
        </w:p>
        <w:p w14:paraId="2AD69A32" w14:textId="6C418BD5" w:rsidR="004F7BE2" w:rsidRDefault="004F7BE2" w:rsidP="004F7BE2">
          <w:pPr>
            <w:spacing w:after="160" w:line="259" w:lineRule="auto"/>
            <w:sectPr w:rsidR="004F7BE2" w:rsidSect="00910AD4">
              <w:footerReference w:type="even" r:id="rId15"/>
              <w:footerReference w:type="default" r:id="rId16"/>
              <w:footerReference w:type="first" r:id="rId17"/>
              <w:pgSz w:w="11906" w:h="16838" w:code="9"/>
              <w:pgMar w:top="2835" w:right="1134" w:bottom="1134" w:left="1134" w:header="624" w:footer="510" w:gutter="0"/>
              <w:pgNumType w:fmt="lowerRoman"/>
              <w:cols w:space="708"/>
              <w:titlePg/>
              <w:docGrid w:linePitch="360"/>
            </w:sectPr>
          </w:pPr>
        </w:p>
        <w:tbl>
          <w:tblPr>
            <w:tblStyle w:val="CopyrightPage"/>
            <w:tblW w:w="0" w:type="auto"/>
            <w:shd w:val="clear" w:color="auto" w:fill="E0F1F7"/>
            <w:tblLook w:val="04A0" w:firstRow="1" w:lastRow="0" w:firstColumn="1" w:lastColumn="0" w:noHBand="0" w:noVBand="1"/>
          </w:tblPr>
          <w:tblGrid>
            <w:gridCol w:w="9638"/>
          </w:tblGrid>
          <w:tr w:rsidR="004F7BE2" w:rsidRPr="00740EC7" w14:paraId="1E8C917A" w14:textId="77777777" w:rsidTr="004F4A29">
            <w:trPr>
              <w:trHeight w:hRule="exact" w:val="12586"/>
            </w:trPr>
            <w:tc>
              <w:tcPr>
                <w:tcW w:w="9638" w:type="dxa"/>
                <w:shd w:val="clear" w:color="auto" w:fill="E0F1F7"/>
                <w:tcMar>
                  <w:top w:w="113" w:type="dxa"/>
                </w:tcMar>
                <w:vAlign w:val="top"/>
              </w:tcPr>
              <w:p w14:paraId="05E62E95" w14:textId="4C08EBED" w:rsidR="004F7BE2" w:rsidRPr="00AE7C03" w:rsidRDefault="00DB6CAD" w:rsidP="004F4A29">
                <w:pPr>
                  <w:pStyle w:val="Copyrightpage-BodyBold"/>
                  <w:ind w:right="-284"/>
                  <w:rPr>
                    <w:rFonts w:ascii="Arial" w:hAnsi="Arial" w:cs="Arial"/>
                    <w:b w:val="0"/>
                    <w:color w:val="auto"/>
                    <w:spacing w:val="2"/>
                  </w:rPr>
                </w:pPr>
                <w:r w:rsidRPr="00DB6CAD">
                  <w:rPr>
                    <w:rFonts w:ascii="Arial" w:hAnsi="Arial" w:cs="Arial"/>
                    <w:b w:val="0"/>
                    <w:bCs/>
                    <w:noProof/>
                    <w:color w:val="auto"/>
                    <w:spacing w:val="2"/>
                  </w:rPr>
                  <w:lastRenderedPageBreak/>
                  <w:drawing>
                    <wp:anchor distT="0" distB="0" distL="114300" distR="114300" simplePos="0" relativeHeight="251658240" behindDoc="0" locked="0" layoutInCell="1" allowOverlap="1" wp14:anchorId="191BB936" wp14:editId="0923867F">
                      <wp:simplePos x="0" y="0"/>
                      <wp:positionH relativeFrom="column">
                        <wp:posOffset>0</wp:posOffset>
                      </wp:positionH>
                      <wp:positionV relativeFrom="paragraph">
                        <wp:posOffset>-36195</wp:posOffset>
                      </wp:positionV>
                      <wp:extent cx="630000" cy="637200"/>
                      <wp:effectExtent l="0" t="0" r="0" b="0"/>
                      <wp:wrapSquare wrapText="bothSides"/>
                      <wp:docPr id="2554509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50902" name="Picture 1">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BE2" w:rsidRPr="00AE7C03">
                  <w:rPr>
                    <w:rFonts w:ascii="Arial" w:hAnsi="Arial" w:cs="Arial"/>
                    <w:b w:val="0"/>
                    <w:color w:val="auto"/>
                    <w:spacing w:val="2"/>
                  </w:rPr>
                  <w:br w:type="page"/>
                  <w:t xml:space="preserve">The Productivity Commission acknowledges the Traditional Owners of </w:t>
                </w:r>
                <w:r w:rsidR="004F7BE2" w:rsidRPr="00AE7C03">
                  <w:rPr>
                    <w:rFonts w:ascii="Arial" w:hAnsi="Arial" w:cs="Arial"/>
                    <w:b w:val="0"/>
                    <w:color w:val="auto"/>
                    <w:spacing w:val="2"/>
                  </w:rPr>
                  <w:br/>
                  <w:t xml:space="preserve">Country throughout Australia and their continuing connection to land, </w:t>
                </w:r>
                <w:r w:rsidR="004F7BE2" w:rsidRPr="00AE7C03">
                  <w:rPr>
                    <w:rFonts w:ascii="Arial" w:hAnsi="Arial" w:cs="Arial"/>
                    <w:b w:val="0"/>
                    <w:color w:val="auto"/>
                    <w:spacing w:val="2"/>
                  </w:rPr>
                  <w:br/>
                  <w:t>waters and community. We pay our respects to their Cultures, Country and Elders past and present.</w:t>
                </w:r>
              </w:p>
              <w:p w14:paraId="6A95C95E" w14:textId="77777777" w:rsidR="004F7BE2" w:rsidRPr="00AE7C03" w:rsidRDefault="004F7BE2" w:rsidP="004F4A29">
                <w:pPr>
                  <w:pStyle w:val="Copyrightpage-Keylinenotext"/>
                  <w:ind w:right="-284"/>
                  <w:rPr>
                    <w:rFonts w:ascii="Arial" w:hAnsi="Arial" w:cs="Arial"/>
                    <w:color w:val="auto"/>
                    <w:spacing w:val="2"/>
                    <w:szCs w:val="20"/>
                  </w:rPr>
                </w:pPr>
              </w:p>
              <w:p w14:paraId="0F5B00AE" w14:textId="77777777" w:rsidR="004F7BE2" w:rsidRPr="00912755" w:rsidRDefault="004F7BE2" w:rsidP="004F4A29">
                <w:pPr>
                  <w:pStyle w:val="Copyrightpage-Heading"/>
                  <w:ind w:right="-284"/>
                  <w:rPr>
                    <w:color w:val="auto"/>
                  </w:rPr>
                </w:pPr>
                <w:r w:rsidRPr="00912755">
                  <w:rPr>
                    <w:color w:val="auto"/>
                  </w:rPr>
                  <w:t>The Productivity Commission</w:t>
                </w:r>
              </w:p>
              <w:p w14:paraId="3135CB69" w14:textId="77777777" w:rsidR="00EB755B" w:rsidRPr="00CF5430" w:rsidRDefault="00EB755B" w:rsidP="004F4A29">
                <w:pPr>
                  <w:pStyle w:val="Copyrightpage-BodyBold"/>
                  <w:rPr>
                    <w:rFonts w:ascii="Arial" w:hAnsi="Arial" w:cs="Arial"/>
                    <w:b w:val="0"/>
                    <w:color w:val="auto"/>
                  </w:rPr>
                </w:pPr>
                <w:r w:rsidRPr="00CF5430">
                  <w:rPr>
                    <w:rFonts w:ascii="Arial" w:hAnsi="Arial" w:cs="Arial"/>
                    <w:b w:val="0"/>
                    <w:color w:val="auto"/>
                  </w:rPr>
                  <w:t>The Productivity Commission (PC) is the Australian Government’s independent research and advisory body on a range of economic, social and environmental issues affecting the welfare of Australians. Its role, expressed most simply, is to help governments make better policies, in the long-term interest of the Australian community.</w:t>
                </w:r>
              </w:p>
              <w:p w14:paraId="77C93775" w14:textId="77777777" w:rsidR="00EB755B" w:rsidRPr="00AE7C03" w:rsidRDefault="00EB755B" w:rsidP="004F4A29">
                <w:pPr>
                  <w:pStyle w:val="Copyrightpage-BodyBold"/>
                  <w:rPr>
                    <w:rFonts w:ascii="Arial" w:hAnsi="Arial" w:cs="Arial"/>
                    <w:b w:val="0"/>
                    <w:color w:val="auto"/>
                    <w:spacing w:val="2"/>
                  </w:rPr>
                </w:pPr>
                <w:r w:rsidRPr="00AE7C03">
                  <w:rPr>
                    <w:rFonts w:ascii="Arial" w:hAnsi="Arial" w:cs="Arial"/>
                    <w:b w:val="0"/>
                    <w:color w:val="auto"/>
                    <w:spacing w:val="2"/>
                  </w:rPr>
                  <w:t xml:space="preserve">The PC’s independence is underpinned by an Act of Parliament. Its processes and outputs are open to public scrutiny and are driven by concern for the wellbeing of the </w:t>
                </w:r>
                <w:proofErr w:type="gramStart"/>
                <w:r w:rsidRPr="00AE7C03">
                  <w:rPr>
                    <w:rFonts w:ascii="Arial" w:hAnsi="Arial" w:cs="Arial"/>
                    <w:b w:val="0"/>
                    <w:color w:val="auto"/>
                    <w:spacing w:val="2"/>
                  </w:rPr>
                  <w:t>community as a whole</w:t>
                </w:r>
                <w:proofErr w:type="gramEnd"/>
                <w:r w:rsidRPr="00AE7C03">
                  <w:rPr>
                    <w:rFonts w:ascii="Arial" w:hAnsi="Arial" w:cs="Arial"/>
                    <w:b w:val="0"/>
                    <w:color w:val="auto"/>
                    <w:spacing w:val="2"/>
                  </w:rPr>
                  <w:t>.</w:t>
                </w:r>
              </w:p>
              <w:p w14:paraId="7D618C2B" w14:textId="77777777" w:rsidR="004F7BE2" w:rsidRPr="00AE7C03" w:rsidRDefault="00EB755B" w:rsidP="004F4A29">
                <w:pPr>
                  <w:pStyle w:val="Copyrightpage-BodyBold"/>
                  <w:rPr>
                    <w:rFonts w:ascii="Arial" w:hAnsi="Arial" w:cs="Arial"/>
                    <w:b w:val="0"/>
                    <w:color w:val="auto"/>
                    <w:spacing w:val="2"/>
                  </w:rPr>
                </w:pPr>
                <w:r w:rsidRPr="00AE7C03">
                  <w:rPr>
                    <w:rFonts w:ascii="Arial" w:hAnsi="Arial" w:cs="Arial"/>
                    <w:b w:val="0"/>
                    <w:color w:val="auto"/>
                    <w:spacing w:val="2"/>
                  </w:rPr>
                  <w:t xml:space="preserve">For more information, visit the PC’s website: </w:t>
                </w:r>
                <w:hyperlink r:id="rId19" w:history="1">
                  <w:r w:rsidRPr="00AE7C03">
                    <w:rPr>
                      <w:rFonts w:ascii="Arial" w:hAnsi="Arial" w:cs="Arial"/>
                      <w:b w:val="0"/>
                      <w:color w:val="auto"/>
                      <w:spacing w:val="2"/>
                    </w:rPr>
                    <w:t>www.pc.gov.au</w:t>
                  </w:r>
                </w:hyperlink>
              </w:p>
              <w:p w14:paraId="224B59D0" w14:textId="77777777" w:rsidR="004F7BE2" w:rsidRPr="00AE7C03" w:rsidRDefault="004F7BE2" w:rsidP="004F4A29">
                <w:pPr>
                  <w:pStyle w:val="Copyrightpage-Keylinenotext"/>
                  <w:ind w:right="-284"/>
                  <w:rPr>
                    <w:rFonts w:ascii="Arial" w:hAnsi="Arial" w:cs="Arial"/>
                    <w:color w:val="auto"/>
                    <w:spacing w:val="2"/>
                    <w:szCs w:val="20"/>
                  </w:rPr>
                </w:pPr>
              </w:p>
              <w:p w14:paraId="3FC154B5" w14:textId="77777777" w:rsidR="004F7BE2" w:rsidRPr="00AE7C03" w:rsidRDefault="004F7BE2" w:rsidP="004F4A29">
                <w:pPr>
                  <w:pStyle w:val="Copyrightpage-BodyBold"/>
                  <w:rPr>
                    <w:rFonts w:ascii="Arial" w:hAnsi="Arial" w:cs="Arial"/>
                    <w:b w:val="0"/>
                    <w:color w:val="auto"/>
                    <w:spacing w:val="2"/>
                  </w:rPr>
                </w:pPr>
                <w:r w:rsidRPr="00AE7C03">
                  <w:rPr>
                    <w:rFonts w:ascii="Arial" w:hAnsi="Arial" w:cs="Arial"/>
                    <w:b w:val="0"/>
                    <w:color w:val="auto"/>
                    <w:spacing w:val="2"/>
                  </w:rPr>
                  <w:t>© Commonwealth of Australia 202</w:t>
                </w:r>
                <w:r w:rsidR="00EB755B" w:rsidRPr="00AE7C03">
                  <w:rPr>
                    <w:rFonts w:ascii="Arial" w:hAnsi="Arial" w:cs="Arial"/>
                    <w:b w:val="0"/>
                    <w:color w:val="auto"/>
                    <w:spacing w:val="2"/>
                  </w:rPr>
                  <w:t>5</w:t>
                </w:r>
              </w:p>
              <w:p w14:paraId="76DB7CEA" w14:textId="77777777" w:rsidR="004F7BE2" w:rsidRPr="00AE7C03" w:rsidRDefault="004F7BE2" w:rsidP="004F4A29">
                <w:pPr>
                  <w:pStyle w:val="Copyrightpage-Heading2"/>
                  <w:spacing w:before="0"/>
                  <w:ind w:right="-284"/>
                  <w:rPr>
                    <w:rFonts w:ascii="Arial" w:hAnsi="Arial" w:cs="Arial"/>
                    <w:b w:val="0"/>
                    <w:color w:val="auto"/>
                    <w:spacing w:val="2"/>
                    <w:szCs w:val="20"/>
                  </w:rPr>
                </w:pPr>
                <w:r w:rsidRPr="00AE7C03">
                  <w:rPr>
                    <w:rFonts w:ascii="Arial" w:hAnsi="Arial" w:cs="Arial"/>
                    <w:b w:val="0"/>
                    <w:noProof/>
                    <w:color w:val="auto"/>
                    <w:spacing w:val="2"/>
                    <w:szCs w:val="20"/>
                  </w:rPr>
                  <w:drawing>
                    <wp:inline distT="0" distB="0" distL="0" distR="0" wp14:anchorId="3E46F5D4" wp14:editId="43519930">
                      <wp:extent cx="774000" cy="270000"/>
                      <wp:effectExtent l="0" t="0" r="7620" b="0"/>
                      <wp:docPr id="6" name="Graphic 5"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774000" cy="270000"/>
                              </a:xfrm>
                              <a:prstGeom prst="rect">
                                <a:avLst/>
                              </a:prstGeom>
                            </pic:spPr>
                          </pic:pic>
                        </a:graphicData>
                      </a:graphic>
                    </wp:inline>
                  </w:drawing>
                </w:r>
              </w:p>
              <w:p w14:paraId="5D54230E" w14:textId="2D26C9E8" w:rsidR="004F7BE2" w:rsidRPr="00AE7C03" w:rsidRDefault="004F7BE2" w:rsidP="004F4A29">
                <w:pPr>
                  <w:pStyle w:val="Copyrightpage-BodyBold"/>
                  <w:ind w:right="-143"/>
                  <w:rPr>
                    <w:rFonts w:ascii="Arial" w:hAnsi="Arial" w:cs="Arial"/>
                    <w:b w:val="0"/>
                    <w:color w:val="auto"/>
                    <w:spacing w:val="2"/>
                  </w:rPr>
                </w:pPr>
                <w:proofErr w:type="gramStart"/>
                <w:r w:rsidRPr="00AE7C03">
                  <w:rPr>
                    <w:rFonts w:ascii="Arial" w:hAnsi="Arial" w:cs="Arial"/>
                    <w:b w:val="0"/>
                    <w:color w:val="auto"/>
                    <w:spacing w:val="2"/>
                  </w:rPr>
                  <w:t>With the exception of</w:t>
                </w:r>
                <w:proofErr w:type="gramEnd"/>
                <w:r w:rsidRPr="00AE7C03">
                  <w:rPr>
                    <w:rFonts w:ascii="Arial" w:hAnsi="Arial" w:cs="Arial"/>
                    <w:b w:val="0"/>
                    <w:color w:val="auto"/>
                    <w:spacing w:val="2"/>
                  </w:rPr>
                  <w:t xml:space="preserve"> the Commonwealth Coat of Arms and content supplied by third parties, this copyright work is licensed under a Creative Commons Attribution 4.0 International licence. In essence, you are free to copy, communicate and adapt the work, </w:t>
                </w:r>
                <w:proofErr w:type="gramStart"/>
                <w:r w:rsidRPr="00AE7C03">
                  <w:rPr>
                    <w:rFonts w:ascii="Arial" w:hAnsi="Arial" w:cs="Arial"/>
                    <w:b w:val="0"/>
                    <w:color w:val="auto"/>
                    <w:spacing w:val="2"/>
                  </w:rPr>
                  <w:t>as long as</w:t>
                </w:r>
                <w:proofErr w:type="gramEnd"/>
                <w:r w:rsidRPr="00AE7C03">
                  <w:rPr>
                    <w:rFonts w:ascii="Arial" w:hAnsi="Arial" w:cs="Arial"/>
                    <w:b w:val="0"/>
                    <w:color w:val="auto"/>
                    <w:spacing w:val="2"/>
                  </w:rPr>
                  <w:t xml:space="preserve"> you attribute the work to the </w:t>
                </w:r>
                <w:r w:rsidR="00CF5430">
                  <w:rPr>
                    <w:rFonts w:ascii="Arial" w:hAnsi="Arial" w:cs="Arial"/>
                    <w:b w:val="0"/>
                    <w:color w:val="auto"/>
                    <w:spacing w:val="2"/>
                  </w:rPr>
                  <w:t xml:space="preserve">PC </w:t>
                </w:r>
                <w:r w:rsidRPr="00AE7C03">
                  <w:rPr>
                    <w:rFonts w:ascii="Arial" w:hAnsi="Arial" w:cs="Arial"/>
                    <w:b w:val="0"/>
                    <w:color w:val="auto"/>
                    <w:spacing w:val="2"/>
                  </w:rPr>
                  <w:t xml:space="preserve">(but not in any way that suggests the </w:t>
                </w:r>
                <w:r w:rsidR="00CF5430">
                  <w:rPr>
                    <w:rFonts w:ascii="Arial" w:hAnsi="Arial" w:cs="Arial"/>
                    <w:b w:val="0"/>
                    <w:color w:val="auto"/>
                    <w:spacing w:val="2"/>
                  </w:rPr>
                  <w:t>PC</w:t>
                </w:r>
                <w:r w:rsidRPr="00AE7C03">
                  <w:rPr>
                    <w:rFonts w:ascii="Arial" w:hAnsi="Arial" w:cs="Arial"/>
                    <w:b w:val="0"/>
                    <w:color w:val="auto"/>
                    <w:spacing w:val="2"/>
                  </w:rPr>
                  <w:t xml:space="preserve"> endorses you or your use) and abide by the other licence terms. The licence can be viewed at: https://creativecommons.org/licenses/by/4.0.</w:t>
                </w:r>
              </w:p>
              <w:p w14:paraId="7FD1A846" w14:textId="77777777" w:rsidR="004F7BE2" w:rsidRPr="00AE7C03" w:rsidRDefault="004F7BE2" w:rsidP="004F4A29">
                <w:pPr>
                  <w:pStyle w:val="Copyrightpage-BodyBold"/>
                  <w:rPr>
                    <w:rFonts w:ascii="Arial" w:hAnsi="Arial" w:cs="Arial"/>
                    <w:b w:val="0"/>
                    <w:color w:val="auto"/>
                    <w:spacing w:val="2"/>
                  </w:rPr>
                </w:pPr>
                <w:r w:rsidRPr="00AE7C03">
                  <w:rPr>
                    <w:rFonts w:ascii="Arial" w:hAnsi="Arial" w:cs="Arial"/>
                    <w:b w:val="0"/>
                    <w:color w:val="auto"/>
                    <w:spacing w:val="2"/>
                  </w:rPr>
                  <w:t>The terms under which the Coat of Arms can be used are detailed at: www.pmc.gov.au/government/commonwealth-coat-arms.</w:t>
                </w:r>
              </w:p>
              <w:p w14:paraId="29317D9E" w14:textId="77777777" w:rsidR="004F7BE2" w:rsidRPr="00CF5430" w:rsidRDefault="004F7BE2" w:rsidP="004F4A29">
                <w:pPr>
                  <w:pStyle w:val="Copyrightpage-BodyBold"/>
                  <w:rPr>
                    <w:rFonts w:ascii="Arial" w:hAnsi="Arial" w:cs="Arial"/>
                    <w:b w:val="0"/>
                    <w:color w:val="auto"/>
                    <w:spacing w:val="-2"/>
                  </w:rPr>
                </w:pPr>
                <w:r w:rsidRPr="00CF5430">
                  <w:rPr>
                    <w:rFonts w:ascii="Arial" w:hAnsi="Arial" w:cs="Arial"/>
                    <w:b w:val="0"/>
                    <w:color w:val="auto"/>
                    <w:spacing w:val="-2"/>
                  </w:rPr>
                  <w:t>Wherever a third party holds copyright in this material the copyright remains with that party. Their permission may be required to use the material, please contact them directly.</w:t>
                </w:r>
              </w:p>
              <w:p w14:paraId="6AACD75C" w14:textId="2C87A30E" w:rsidR="004F7BE2" w:rsidRPr="00AE7C03" w:rsidRDefault="004F7BE2" w:rsidP="004F4A29">
                <w:pPr>
                  <w:pStyle w:val="Copyrightpage-BodyBold"/>
                  <w:rPr>
                    <w:rFonts w:ascii="Arial" w:hAnsi="Arial" w:cs="Arial"/>
                    <w:b w:val="0"/>
                    <w:color w:val="auto"/>
                    <w:spacing w:val="2"/>
                  </w:rPr>
                </w:pPr>
                <w:r w:rsidRPr="00AE7C03">
                  <w:rPr>
                    <w:rFonts w:ascii="Arial" w:hAnsi="Arial" w:cs="Arial"/>
                    <w:b w:val="0"/>
                    <w:color w:val="auto"/>
                    <w:spacing w:val="2"/>
                  </w:rPr>
                  <w:t>An appropriate reference for this publication is:</w:t>
                </w:r>
                <w:r w:rsidRPr="00AE7C03">
                  <w:rPr>
                    <w:rFonts w:ascii="Arial" w:hAnsi="Arial" w:cs="Arial"/>
                    <w:b w:val="0"/>
                    <w:color w:val="auto"/>
                    <w:spacing w:val="2"/>
                  </w:rPr>
                  <w:br/>
                  <w:t xml:space="preserve">Productivity Commission </w:t>
                </w:r>
                <w:r w:rsidR="00F15989" w:rsidRPr="00AE7C03">
                  <w:rPr>
                    <w:rFonts w:ascii="Arial" w:hAnsi="Arial" w:cs="Arial"/>
                    <w:b w:val="0"/>
                    <w:color w:val="auto"/>
                    <w:spacing w:val="2"/>
                  </w:rPr>
                  <w:t>2025</w:t>
                </w:r>
                <w:r w:rsidRPr="00AE7C03">
                  <w:rPr>
                    <w:rFonts w:ascii="Arial" w:hAnsi="Arial" w:cs="Arial"/>
                    <w:b w:val="0"/>
                    <w:color w:val="auto"/>
                    <w:spacing w:val="2"/>
                  </w:rPr>
                  <w:t xml:space="preserve">, </w:t>
                </w:r>
                <w:r w:rsidR="002D4233">
                  <w:rPr>
                    <w:rFonts w:ascii="Arial" w:hAnsi="Arial" w:cs="Arial"/>
                    <w:b w:val="0"/>
                    <w:i/>
                    <w:color w:val="auto"/>
                    <w:spacing w:val="2"/>
                  </w:rPr>
                  <w:t>Delivering quality care more efficiently</w:t>
                </w:r>
                <w:r w:rsidRPr="00AE7C03">
                  <w:rPr>
                    <w:rFonts w:ascii="Arial" w:hAnsi="Arial" w:cs="Arial"/>
                    <w:b w:val="0"/>
                    <w:color w:val="auto"/>
                    <w:spacing w:val="2"/>
                  </w:rPr>
                  <w:t xml:space="preserve">, </w:t>
                </w:r>
                <w:r w:rsidR="002A03D0">
                  <w:rPr>
                    <w:rFonts w:ascii="Arial" w:hAnsi="Arial" w:cs="Arial"/>
                    <w:b w:val="0"/>
                    <w:bCs/>
                    <w:color w:val="auto"/>
                    <w:spacing w:val="2"/>
                  </w:rPr>
                  <w:t>Interim r</w:t>
                </w:r>
                <w:r w:rsidRPr="00AE7C03">
                  <w:rPr>
                    <w:rFonts w:ascii="Arial" w:hAnsi="Arial" w:cs="Arial"/>
                    <w:b w:val="0"/>
                    <w:bCs/>
                    <w:color w:val="auto"/>
                    <w:spacing w:val="2"/>
                  </w:rPr>
                  <w:t>eport</w:t>
                </w:r>
                <w:r w:rsidRPr="00AE7C03">
                  <w:rPr>
                    <w:rFonts w:ascii="Arial" w:hAnsi="Arial" w:cs="Arial"/>
                    <w:b w:val="0"/>
                    <w:color w:val="auto"/>
                    <w:spacing w:val="2"/>
                  </w:rPr>
                  <w:t xml:space="preserve">, Canberra, </w:t>
                </w:r>
                <w:r w:rsidR="002D4233">
                  <w:rPr>
                    <w:rFonts w:ascii="Arial" w:hAnsi="Arial" w:cs="Arial"/>
                    <w:b w:val="0"/>
                    <w:color w:val="auto"/>
                    <w:spacing w:val="2"/>
                  </w:rPr>
                  <w:t>August</w:t>
                </w:r>
                <w:r w:rsidR="000E2736">
                  <w:rPr>
                    <w:rFonts w:ascii="Arial" w:hAnsi="Arial" w:cs="Arial"/>
                    <w:b w:val="0"/>
                    <w:color w:val="auto"/>
                    <w:spacing w:val="2"/>
                  </w:rPr>
                  <w:t>.</w:t>
                </w:r>
              </w:p>
              <w:p w14:paraId="03CED0C6" w14:textId="77777777" w:rsidR="004F7BE2" w:rsidRPr="00AE7C03" w:rsidRDefault="004F7BE2" w:rsidP="004F4A29">
                <w:pPr>
                  <w:pStyle w:val="Copyrightpage-BodyBold"/>
                  <w:ind w:right="-284"/>
                  <w:rPr>
                    <w:rFonts w:ascii="Arial" w:hAnsi="Arial" w:cs="Arial"/>
                    <w:b w:val="0"/>
                    <w:color w:val="auto"/>
                    <w:spacing w:val="2"/>
                  </w:rPr>
                </w:pPr>
              </w:p>
              <w:p w14:paraId="302BE212" w14:textId="77777777" w:rsidR="004F7BE2" w:rsidRPr="00770705" w:rsidRDefault="004F7BE2" w:rsidP="004F4A29">
                <w:pPr>
                  <w:pStyle w:val="Copyrightpage-BodyBold"/>
                  <w:ind w:right="-284"/>
                  <w:rPr>
                    <w:rFonts w:ascii="Arial" w:hAnsi="Arial" w:cs="Arial"/>
                    <w:b w:val="0"/>
                    <w:color w:val="auto"/>
                    <w:spacing w:val="2"/>
                    <w:lang w:val="fr-CA"/>
                  </w:rPr>
                </w:pPr>
                <w:r w:rsidRPr="00770705">
                  <w:rPr>
                    <w:rFonts w:ascii="Arial" w:hAnsi="Arial" w:cs="Arial"/>
                    <w:b w:val="0"/>
                    <w:color w:val="auto"/>
                    <w:spacing w:val="2"/>
                    <w:lang w:val="fr-CA"/>
                  </w:rPr>
                  <w:t xml:space="preserve">Publication </w:t>
                </w:r>
                <w:proofErr w:type="spellStart"/>
                <w:r w:rsidRPr="00770705">
                  <w:rPr>
                    <w:rFonts w:ascii="Arial" w:hAnsi="Arial" w:cs="Arial"/>
                    <w:b w:val="0"/>
                    <w:color w:val="auto"/>
                    <w:spacing w:val="2"/>
                    <w:lang w:val="fr-CA"/>
                  </w:rPr>
                  <w:t>enquiries</w:t>
                </w:r>
                <w:proofErr w:type="spellEnd"/>
                <w:r w:rsidRPr="00770705">
                  <w:rPr>
                    <w:rFonts w:ascii="Arial" w:hAnsi="Arial" w:cs="Arial"/>
                    <w:b w:val="0"/>
                    <w:color w:val="auto"/>
                    <w:spacing w:val="2"/>
                    <w:lang w:val="fr-CA"/>
                  </w:rPr>
                  <w:t xml:space="preserve">: </w:t>
                </w:r>
                <w:r w:rsidRPr="00770705">
                  <w:rPr>
                    <w:rFonts w:ascii="Arial" w:hAnsi="Arial" w:cs="Arial"/>
                    <w:b w:val="0"/>
                    <w:color w:val="auto"/>
                    <w:spacing w:val="2"/>
                    <w:lang w:val="fr-CA"/>
                  </w:rPr>
                  <w:br/>
                </w:r>
                <w:r w:rsidR="00096878" w:rsidRPr="00770705">
                  <w:rPr>
                    <w:rFonts w:ascii="Arial" w:hAnsi="Arial" w:cs="Arial"/>
                    <w:b w:val="0"/>
                    <w:color w:val="auto"/>
                    <w:spacing w:val="2"/>
                    <w:lang w:val="fr-CA"/>
                  </w:rPr>
                  <w:t>P</w:t>
                </w:r>
                <w:r w:rsidRPr="00770705">
                  <w:rPr>
                    <w:rFonts w:ascii="Arial" w:hAnsi="Arial" w:cs="Arial"/>
                    <w:b w:val="0"/>
                    <w:color w:val="auto"/>
                    <w:spacing w:val="2"/>
                    <w:lang w:val="fr-CA"/>
                  </w:rPr>
                  <w:t xml:space="preserve">hone 03 9653 2244 | </w:t>
                </w:r>
                <w:proofErr w:type="gramStart"/>
                <w:r w:rsidR="00096878" w:rsidRPr="00770705">
                  <w:rPr>
                    <w:rFonts w:ascii="Arial" w:hAnsi="Arial" w:cs="Arial"/>
                    <w:b w:val="0"/>
                    <w:color w:val="auto"/>
                    <w:spacing w:val="2"/>
                    <w:lang w:val="fr-CA"/>
                  </w:rPr>
                  <w:t>E</w:t>
                </w:r>
                <w:r w:rsidRPr="00770705">
                  <w:rPr>
                    <w:rFonts w:ascii="Arial" w:hAnsi="Arial" w:cs="Arial"/>
                    <w:b w:val="0"/>
                    <w:color w:val="auto"/>
                    <w:spacing w:val="2"/>
                    <w:lang w:val="fr-CA"/>
                  </w:rPr>
                  <w:t>mail</w:t>
                </w:r>
                <w:proofErr w:type="gramEnd"/>
                <w:r w:rsidRPr="00770705">
                  <w:rPr>
                    <w:rFonts w:ascii="Arial" w:hAnsi="Arial" w:cs="Arial"/>
                    <w:b w:val="0"/>
                    <w:color w:val="auto"/>
                    <w:spacing w:val="2"/>
                    <w:lang w:val="fr-CA"/>
                  </w:rPr>
                  <w:t xml:space="preserve"> publications@pc.gov.au</w:t>
                </w:r>
              </w:p>
            </w:tc>
          </w:tr>
        </w:tbl>
        <w:p w14:paraId="11B5ACFF" w14:textId="77777777" w:rsidR="004F7BE2" w:rsidRPr="00DA3017" w:rsidRDefault="004F7BE2" w:rsidP="004F7BE2">
          <w:pPr>
            <w:spacing w:before="0" w:after="160" w:line="259" w:lineRule="auto"/>
            <w:rPr>
              <w:b/>
              <w:color w:val="FFFFFF" w:themeColor="background1"/>
            </w:rPr>
          </w:pPr>
          <w:r w:rsidRPr="00770705">
            <w:rPr>
              <w:rStyle w:val="White"/>
              <w:b/>
              <w:lang w:val="fr-CA"/>
            </w:rPr>
            <w:t xml:space="preserve"> </w:t>
          </w:r>
        </w:p>
      </w:sdtContent>
    </w:sdt>
    <w:tbl>
      <w:tblPr>
        <w:tblStyle w:val="NoBorderwithPadding"/>
        <w:tblW w:w="0" w:type="auto"/>
        <w:shd w:val="clear" w:color="auto" w:fill="66BCDB" w:themeFill="text2"/>
        <w:tblLook w:val="04A0" w:firstRow="1" w:lastRow="0" w:firstColumn="1" w:lastColumn="0" w:noHBand="0" w:noVBand="1"/>
      </w:tblPr>
      <w:tblGrid>
        <w:gridCol w:w="9638"/>
      </w:tblGrid>
      <w:tr w:rsidR="004F7BE2" w14:paraId="50215D27" w14:textId="77777777" w:rsidTr="002A6205">
        <w:trPr>
          <w:trHeight w:hRule="exact" w:val="12643"/>
        </w:trPr>
        <w:tc>
          <w:tcPr>
            <w:tcW w:w="9638" w:type="dxa"/>
            <w:shd w:val="clear" w:color="auto" w:fill="F4F5F6"/>
          </w:tcPr>
          <w:p w14:paraId="01BA648B" w14:textId="77777777" w:rsidR="004F7BE2" w:rsidRDefault="004F7BE2" w:rsidP="004F7BE2">
            <w:pPr>
              <w:pStyle w:val="Heading1-nobackground"/>
            </w:pPr>
            <w:bookmarkStart w:id="0" w:name="_Toc205388328"/>
            <w:r>
              <w:lastRenderedPageBreak/>
              <w:t>Opportunity for comment</w:t>
            </w:r>
            <w:bookmarkEnd w:id="0"/>
          </w:p>
          <w:p w14:paraId="68D72693" w14:textId="76CBE114" w:rsidR="00A838DE" w:rsidRDefault="004B09B0" w:rsidP="00681161">
            <w:pPr>
              <w:pStyle w:val="BodyText"/>
            </w:pPr>
            <w:r>
              <w:t>T</w:t>
            </w:r>
            <w:r w:rsidRPr="00A231B1">
              <w:t>he</w:t>
            </w:r>
            <w:r w:rsidR="00A231B1" w:rsidRPr="00A231B1">
              <w:t xml:space="preserve"> PC thanks all participants for their contribution to th</w:t>
            </w:r>
            <w:r w:rsidR="008A1C57">
              <w:t xml:space="preserve">is </w:t>
            </w:r>
            <w:r w:rsidR="00D622B7">
              <w:t>i</w:t>
            </w:r>
            <w:r w:rsidR="008A1C57">
              <w:t>nquiry</w:t>
            </w:r>
            <w:r w:rsidR="00A231B1" w:rsidRPr="00A231B1">
              <w:t xml:space="preserve"> and now seeks additional input for the final report. </w:t>
            </w:r>
          </w:p>
          <w:p w14:paraId="4FEA25C0" w14:textId="77777777" w:rsidR="00A838DE" w:rsidRDefault="00A231B1" w:rsidP="00681161">
            <w:pPr>
              <w:pStyle w:val="BodyText"/>
            </w:pPr>
            <w:r w:rsidRPr="00A231B1">
              <w:t>You are invited to examine this interim report and comment on it by written submission to the PC, preferably in electronic format, by</w:t>
            </w:r>
            <w:r w:rsidR="008A1C57">
              <w:t xml:space="preserve"> </w:t>
            </w:r>
            <w:r w:rsidR="00A838DE">
              <w:t>15 September</w:t>
            </w:r>
            <w:r w:rsidR="008A1C57">
              <w:t xml:space="preserve"> </w:t>
            </w:r>
            <w:r w:rsidRPr="00A231B1">
              <w:t xml:space="preserve">2025. </w:t>
            </w:r>
          </w:p>
          <w:p w14:paraId="2F400288" w14:textId="42273D75" w:rsidR="00A838DE" w:rsidRDefault="00CD76AF" w:rsidP="00681161">
            <w:pPr>
              <w:pStyle w:val="BodyText"/>
            </w:pPr>
            <w:r>
              <w:t>Further</w:t>
            </w:r>
            <w:r w:rsidR="00A231B1" w:rsidRPr="00A231B1">
              <w:t xml:space="preserve"> information on how to provide a submission is included on the website: </w:t>
            </w:r>
            <w:hyperlink r:id="rId22" w:history="1">
              <w:r w:rsidR="00335EB7" w:rsidRPr="00F00C1B">
                <w:rPr>
                  <w:rStyle w:val="Hyperlink"/>
                </w:rPr>
                <w:t>www.pc.gov.au/inquiries/current/quality-care</w:t>
              </w:r>
            </w:hyperlink>
            <w:r w:rsidR="00F70655">
              <w:t xml:space="preserve"> </w:t>
            </w:r>
          </w:p>
          <w:p w14:paraId="7D0B50DF" w14:textId="2579084C" w:rsidR="004F7BE2" w:rsidRDefault="00A231B1" w:rsidP="00910C8F">
            <w:pPr>
              <w:pStyle w:val="BodyText"/>
            </w:pPr>
            <w:r w:rsidRPr="00A231B1">
              <w:t>The PC will prepare the final report after further submissions have been received, and it will hold further discussions with participants.</w:t>
            </w:r>
          </w:p>
          <w:p w14:paraId="7AB4FF8D" w14:textId="018A039B" w:rsidR="004B09B0" w:rsidRPr="004B09B0" w:rsidRDefault="004B09B0" w:rsidP="00A85409">
            <w:pPr>
              <w:pStyle w:val="Heading2-nonumber"/>
            </w:pPr>
            <w:bookmarkStart w:id="1" w:name="_Toc204864880"/>
            <w:bookmarkStart w:id="2" w:name="_Toc205388329"/>
            <w:r w:rsidRPr="004B09B0">
              <w:t>Commissioners</w:t>
            </w:r>
            <w:bookmarkEnd w:id="1"/>
            <w:bookmarkEnd w:id="2"/>
          </w:p>
          <w:tbl>
            <w:tblPr>
              <w:tblW w:w="0" w:type="auto"/>
              <w:tblLook w:val="01E0" w:firstRow="1" w:lastRow="1" w:firstColumn="1" w:lastColumn="1" w:noHBand="0" w:noVBand="0"/>
            </w:tblPr>
            <w:tblGrid>
              <w:gridCol w:w="2268"/>
              <w:gridCol w:w="6521"/>
            </w:tblGrid>
            <w:tr w:rsidR="004F7BE2" w14:paraId="331AC13F" w14:textId="77777777" w:rsidTr="00335EB7">
              <w:tc>
                <w:tcPr>
                  <w:tcW w:w="2268" w:type="dxa"/>
                  <w:tcMar>
                    <w:left w:w="0" w:type="dxa"/>
                    <w:right w:w="0" w:type="dxa"/>
                  </w:tcMar>
                </w:tcPr>
                <w:p w14:paraId="362A83E8" w14:textId="08C03C86" w:rsidR="004F7BE2" w:rsidRDefault="00F70655" w:rsidP="00910C8F">
                  <w:pPr>
                    <w:pStyle w:val="BodyText"/>
                  </w:pPr>
                  <w:r>
                    <w:t>Alison Roberts</w:t>
                  </w:r>
                </w:p>
              </w:tc>
              <w:tc>
                <w:tcPr>
                  <w:tcW w:w="6521" w:type="dxa"/>
                </w:tcPr>
                <w:p w14:paraId="18132FBA" w14:textId="3E2AB35D" w:rsidR="004F7BE2" w:rsidRDefault="00F70655" w:rsidP="00910C8F">
                  <w:pPr>
                    <w:pStyle w:val="BodyText"/>
                  </w:pPr>
                  <w:r>
                    <w:t>Commissioner</w:t>
                  </w:r>
                </w:p>
              </w:tc>
            </w:tr>
            <w:tr w:rsidR="004F7BE2" w14:paraId="40859370" w14:textId="77777777" w:rsidTr="00335EB7">
              <w:tc>
                <w:tcPr>
                  <w:tcW w:w="2268" w:type="dxa"/>
                  <w:tcMar>
                    <w:left w:w="0" w:type="dxa"/>
                    <w:right w:w="0" w:type="dxa"/>
                  </w:tcMar>
                </w:tcPr>
                <w:p w14:paraId="24745D17" w14:textId="635CEAD6" w:rsidR="004F7BE2" w:rsidRDefault="00F70655" w:rsidP="00910C8F">
                  <w:pPr>
                    <w:pStyle w:val="BodyText"/>
                  </w:pPr>
                  <w:r>
                    <w:t>Martin Stokie</w:t>
                  </w:r>
                </w:p>
              </w:tc>
              <w:tc>
                <w:tcPr>
                  <w:tcW w:w="6521" w:type="dxa"/>
                </w:tcPr>
                <w:p w14:paraId="1F23EE9C" w14:textId="77777777" w:rsidR="004F7BE2" w:rsidRDefault="004F7BE2" w:rsidP="00910C8F">
                  <w:pPr>
                    <w:pStyle w:val="BodyText"/>
                  </w:pPr>
                  <w:r>
                    <w:t>Commissioner</w:t>
                  </w:r>
                </w:p>
              </w:tc>
            </w:tr>
            <w:tr w:rsidR="00F70655" w14:paraId="5D27FB6D" w14:textId="77777777" w:rsidTr="00335EB7">
              <w:tc>
                <w:tcPr>
                  <w:tcW w:w="2268" w:type="dxa"/>
                  <w:tcMar>
                    <w:left w:w="0" w:type="dxa"/>
                    <w:right w:w="0" w:type="dxa"/>
                  </w:tcMar>
                </w:tcPr>
                <w:p w14:paraId="51384563" w14:textId="4F51567D" w:rsidR="00F70655" w:rsidRDefault="00F70655" w:rsidP="00910C8F">
                  <w:pPr>
                    <w:pStyle w:val="BodyText"/>
                  </w:pPr>
                  <w:r>
                    <w:t>Angela Jackson</w:t>
                  </w:r>
                </w:p>
              </w:tc>
              <w:tc>
                <w:tcPr>
                  <w:tcW w:w="6521" w:type="dxa"/>
                </w:tcPr>
                <w:p w14:paraId="76CACD04" w14:textId="7A0EB3DE" w:rsidR="00F70655" w:rsidRDefault="00F70655" w:rsidP="00910C8F">
                  <w:pPr>
                    <w:pStyle w:val="BodyText"/>
                  </w:pPr>
                  <w:r>
                    <w:t>Commissioner</w:t>
                  </w:r>
                </w:p>
              </w:tc>
            </w:tr>
          </w:tbl>
          <w:p w14:paraId="5F761570" w14:textId="77777777" w:rsidR="004F7BE2" w:rsidRPr="00DD6473" w:rsidRDefault="004F7BE2" w:rsidP="00910C8F">
            <w:pPr>
              <w:pStyle w:val="BodyText"/>
            </w:pPr>
          </w:p>
        </w:tc>
      </w:tr>
    </w:tbl>
    <w:p w14:paraId="2AFF777D" w14:textId="77777777" w:rsidR="004F7BE2" w:rsidRDefault="004F7BE2" w:rsidP="004F7BE2">
      <w:pPr>
        <w:pStyle w:val="BodyText"/>
        <w:sectPr w:rsidR="004F7BE2" w:rsidSect="00910AD4">
          <w:headerReference w:type="even" r:id="rId23"/>
          <w:headerReference w:type="default" r:id="rId24"/>
          <w:footerReference w:type="even" r:id="rId25"/>
          <w:footerReference w:type="default" r:id="rId26"/>
          <w:headerReference w:type="first" r:id="rId27"/>
          <w:pgSz w:w="11906" w:h="16838" w:code="9"/>
          <w:pgMar w:top="1134" w:right="1134" w:bottom="1134" w:left="1134" w:header="794" w:footer="510" w:gutter="0"/>
          <w:pgNumType w:fmt="lowerRoman" w:start="2"/>
          <w:cols w:space="708"/>
          <w:docGrid w:linePitch="360"/>
        </w:sectPr>
      </w:pPr>
      <w:bookmarkStart w:id="3" w:name="_Toc77943765"/>
    </w:p>
    <w:bookmarkEnd w:id="3"/>
    <w:p w14:paraId="13069059" w14:textId="77777777" w:rsidR="00B91DFB" w:rsidRPr="00B91DFB" w:rsidRDefault="00B91DFB" w:rsidP="00B91DFB"/>
    <w:p w14:paraId="7E1F55F0" w14:textId="77777777" w:rsidR="006F5D89" w:rsidRDefault="006F5D89" w:rsidP="006F5D89">
      <w:pPr>
        <w:sectPr w:rsidR="006F5D89" w:rsidSect="00B91DFB">
          <w:headerReference w:type="even" r:id="rId28"/>
          <w:pgSz w:w="11906" w:h="16838" w:code="9"/>
          <w:pgMar w:top="1134" w:right="1134" w:bottom="1134" w:left="1134" w:header="794" w:footer="510" w:gutter="0"/>
          <w:pgNumType w:fmt="lowerRoman"/>
          <w:cols w:space="708"/>
          <w:docGrid w:linePitch="360"/>
        </w:sectPr>
      </w:pPr>
    </w:p>
    <w:p w14:paraId="7927AC1D" w14:textId="4202B85F" w:rsidR="000901ED" w:rsidRDefault="000901ED" w:rsidP="00D87D40">
      <w:pPr>
        <w:pStyle w:val="Heading1-nonumber"/>
      </w:pPr>
      <w:bookmarkStart w:id="4" w:name="_Toc205388337"/>
      <w:r>
        <w:lastRenderedPageBreak/>
        <w:t>Executive summary</w:t>
      </w:r>
      <w:bookmarkEnd w:id="4"/>
    </w:p>
    <w:p w14:paraId="0202D411" w14:textId="4BB73BAA" w:rsidR="000901ED" w:rsidRDefault="000901ED" w:rsidP="00D87D40">
      <w:pPr>
        <w:pStyle w:val="BodyText"/>
        <w:spacing w:before="0" w:line="270" w:lineRule="atLeast"/>
      </w:pPr>
      <w:r>
        <w:t xml:space="preserve">High quality care services – across health care, early childhood education and care, disability support, aged care, veterans’ care and other community services – enable us to live independent lives and participate more fully in the community and economy. Over recent decades, choice in services has increased and quality of care has improved. New and more innovative ways of delivering care have been introduced. </w:t>
      </w:r>
      <w:r w:rsidR="00905DCB">
        <w:t>B</w:t>
      </w:r>
      <w:r>
        <w:t>ut as the population and its needs continue to change, the care system is coming under increasing pressure to deliver high</w:t>
      </w:r>
      <w:r>
        <w:noBreakHyphen/>
        <w:t xml:space="preserve">quality services at a sustainable cost. </w:t>
      </w:r>
    </w:p>
    <w:p w14:paraId="418E49A5" w14:textId="15C8B82F" w:rsidR="000901ED" w:rsidRDefault="000901ED" w:rsidP="00D87D40">
      <w:pPr>
        <w:pStyle w:val="BodyText"/>
        <w:spacing w:line="270" w:lineRule="atLeast"/>
      </w:pPr>
      <w:r>
        <w:t>Governments can shape the trajectory of the care economy through reforms that enhance the connections between</w:t>
      </w:r>
      <w:r w:rsidDel="00DF3888">
        <w:t xml:space="preserve"> </w:t>
      </w:r>
      <w:r>
        <w:t>sectors and break through the siloed approach to government decision making</w:t>
      </w:r>
      <w:r w:rsidR="00AD0E5C">
        <w:t>. This will</w:t>
      </w:r>
      <w:r>
        <w:t xml:space="preserve"> improv</w:t>
      </w:r>
      <w:r w:rsidR="00AD0E5C">
        <w:t>e</w:t>
      </w:r>
      <w:r>
        <w:t xml:space="preserve"> the </w:t>
      </w:r>
      <w:proofErr w:type="gramStart"/>
      <w:r>
        <w:t>quality of care</w:t>
      </w:r>
      <w:proofErr w:type="gramEnd"/>
      <w:r>
        <w:t xml:space="preserve"> services and mak</w:t>
      </w:r>
      <w:r w:rsidR="00A369BC">
        <w:t>e</w:t>
      </w:r>
      <w:r>
        <w:t xml:space="preserve"> their delivery more efficient. </w:t>
      </w:r>
      <w:r w:rsidR="00A369BC">
        <w:t>We</w:t>
      </w:r>
      <w:r>
        <w:t xml:space="preserve"> outline three such opportunities to boost productivity in the care economy</w:t>
      </w:r>
      <w:r w:rsidR="008769F2">
        <w:t xml:space="preserve"> in this report</w:t>
      </w:r>
      <w:r>
        <w:t>.</w:t>
      </w:r>
    </w:p>
    <w:p w14:paraId="0AAC2500" w14:textId="0B8B9A03" w:rsidR="000901ED" w:rsidRDefault="000901ED" w:rsidP="00D87D40">
      <w:pPr>
        <w:pStyle w:val="BodyText"/>
        <w:spacing w:line="270" w:lineRule="atLeast"/>
      </w:pPr>
      <w:r>
        <w:t>First, greater alignment of safety and quality regulation in the care economy is needed. Regulation is essential for protecting people’s rights and safety, but taking different approaches across sectors creates risks and reduces choice for care users and leads to unnecessary costs for care</w:t>
      </w:r>
      <w:r w:rsidDel="0055619B">
        <w:t xml:space="preserve"> </w:t>
      </w:r>
      <w:r>
        <w:t>workers and providers</w:t>
      </w:r>
      <w:r w:rsidDel="0055619B">
        <w:t>.</w:t>
      </w:r>
      <w:r>
        <w:t xml:space="preserve"> </w:t>
      </w:r>
    </w:p>
    <w:p w14:paraId="09142441" w14:textId="6F9182B6" w:rsidR="000901ED" w:rsidRDefault="000901ED" w:rsidP="00D87D40">
      <w:pPr>
        <w:pStyle w:val="BodyText"/>
        <w:spacing w:line="270" w:lineRule="atLeast"/>
      </w:pPr>
      <w:r>
        <w:t>We propose the Australian Government</w:t>
      </w:r>
      <w:r w:rsidDel="008769F2">
        <w:t xml:space="preserve"> </w:t>
      </w:r>
      <w:r>
        <w:t>pursue greater alignment in quality and safety regulation across</w:t>
      </w:r>
      <w:r w:rsidDel="00710B3B">
        <w:t xml:space="preserve"> </w:t>
      </w:r>
      <w:r>
        <w:t>care sectors, including developing a standardised safety and quality reporting framework and data repository, and introducing a single set of practice and quality standards for aged care and National Disability Insurance Scheme services. Getting these regulatory settings right will improve workers’ mobility, enable providers to redirect resources into frontline services and provide care users with better information to support choice. A joined</w:t>
      </w:r>
      <w:r>
        <w:noBreakHyphen/>
        <w:t xml:space="preserve">up approach will also better protect care users from unsafe providers and workers. </w:t>
      </w:r>
    </w:p>
    <w:p w14:paraId="64BF8E61" w14:textId="77777777" w:rsidR="000901ED" w:rsidRDefault="000901ED" w:rsidP="00D87D40">
      <w:pPr>
        <w:pStyle w:val="BodyText"/>
        <w:spacing w:line="270" w:lineRule="atLeast"/>
      </w:pPr>
      <w:r>
        <w:t xml:space="preserve">Second, governments should embed the practice of organisations working in partnership to plan, procure and evaluate services for their local communities. This practice, known as collaborative commissioning, has potential to support more integrated care, address service gaps and tailor care services to local needs. </w:t>
      </w:r>
    </w:p>
    <w:p w14:paraId="23C604FE" w14:textId="77777777" w:rsidR="000901ED" w:rsidRDefault="000901ED" w:rsidP="00D87D40">
      <w:pPr>
        <w:pStyle w:val="BodyText"/>
        <w:spacing w:line="270" w:lineRule="atLeast"/>
      </w:pPr>
      <w:r>
        <w:t>While collaborative commissioning is endorsed in government plans and agreements, this ambition remains unrealised. As a start, governance arrangements between Local Hospital Networks, Primary Health Networks and Aboriginal Community Controlled Health Organisations should be strengthened to support more collaboration. Greater flexibility to address local needs and dedicated funding for more integrated care, including initiatives that minimise potentially preventable hospitalisations, are also required, to enhance productivity and lower potential future costs.</w:t>
      </w:r>
    </w:p>
    <w:p w14:paraId="285FA4DC" w14:textId="77777777" w:rsidR="00D87D40" w:rsidRDefault="000901ED" w:rsidP="00D87D40">
      <w:pPr>
        <w:pStyle w:val="BodyText"/>
        <w:spacing w:line="270" w:lineRule="atLeast"/>
        <w:rPr>
          <w:rFonts w:ascii="Arial" w:eastAsia="Arial" w:hAnsi="Arial" w:cs="Times New Roman"/>
        </w:rPr>
        <w:sectPr w:rsidR="00D87D40" w:rsidSect="00B91DFB">
          <w:headerReference w:type="even" r:id="rId29"/>
          <w:headerReference w:type="default" r:id="rId30"/>
          <w:pgSz w:w="11906" w:h="16838" w:code="9"/>
          <w:pgMar w:top="1134" w:right="1134" w:bottom="1134" w:left="1134" w:header="794" w:footer="510" w:gutter="0"/>
          <w:pgNumType w:start="1"/>
          <w:cols w:space="708"/>
          <w:docGrid w:linePitch="360"/>
        </w:sectPr>
      </w:pPr>
      <w:r>
        <w:t>Finally, a new approach to prevention investment is needed, through a National Prevention Investment Framework. S</w:t>
      </w:r>
      <w:r>
        <w:rPr>
          <w:rFonts w:ascii="Arial" w:eastAsia="Arial" w:hAnsi="Arial" w:cs="Times New Roman"/>
        </w:rPr>
        <w:t xml:space="preserve">topping problems from starting or getting worse – particularly for vulnerable populations – can result in better outcomes for individuals and the community. Investing in effective prevention can reduce demand for acute and more costly services down the track, helping to slow ongoing growth in government expenditure. The proposed framework will support a different approach to government investment in prevention by recognising that the benefits fall </w:t>
      </w:r>
      <w:r>
        <w:t>across sectors and levels of government, and over extended timeframes.</w:t>
      </w:r>
      <w:r>
        <w:rPr>
          <w:rFonts w:ascii="Arial" w:eastAsia="Arial" w:hAnsi="Arial" w:cs="Times New Roman"/>
        </w:rPr>
        <w:t xml:space="preserve"> At the centre of the framework is a new national independent advisory board that would evaluate ongoing prevention programs and assess the cost</w:t>
      </w:r>
      <w:r>
        <w:noBreakHyphen/>
      </w:r>
      <w:r>
        <w:rPr>
          <w:rFonts w:ascii="Arial" w:eastAsia="Arial" w:hAnsi="Arial" w:cs="Times New Roman"/>
        </w:rPr>
        <w:t>effectiveness of new programs. Where programs involve the states and territories, they should contribute funding based on their expected proportional benefit.</w:t>
      </w:r>
    </w:p>
    <w:p w14:paraId="4CD0A631" w14:textId="77777777" w:rsidR="000901ED" w:rsidRDefault="000901ED">
      <w:pPr>
        <w:pStyle w:val="Heading1-nonumber"/>
      </w:pPr>
      <w:bookmarkStart w:id="5" w:name="_Toc205388338"/>
      <w:r>
        <w:lastRenderedPageBreak/>
        <w:t>Draft recommendations</w:t>
      </w:r>
      <w:bookmarkEnd w:id="5"/>
    </w:p>
    <w:p w14:paraId="03C044DB" w14:textId="77777777" w:rsidR="002A57AA" w:rsidRDefault="002A57AA" w:rsidP="002A57AA">
      <w:pPr>
        <w:pStyle w:val="Heading2-nonumber"/>
      </w:pPr>
      <w:bookmarkStart w:id="6" w:name="_Toc205388339"/>
      <w:bookmarkStart w:id="7" w:name="_Toc204864892"/>
      <w:bookmarkStart w:id="8" w:name="_Toc204864890"/>
      <w:r>
        <w:t>Reform of quality and safety regulation to support a more cohesive care economy</w:t>
      </w:r>
      <w:bookmarkEnd w:id="6"/>
    </w:p>
    <w:tbl>
      <w:tblPr>
        <w:tblStyle w:val="Texttable-Paleblue"/>
        <w:tblW w:w="5000" w:type="pct"/>
        <w:tblLook w:val="04A0" w:firstRow="1" w:lastRow="0" w:firstColumn="1" w:lastColumn="0" w:noHBand="0" w:noVBand="1"/>
      </w:tblPr>
      <w:tblGrid>
        <w:gridCol w:w="713"/>
        <w:gridCol w:w="8925"/>
      </w:tblGrid>
      <w:tr w:rsidR="002A57AA" w14:paraId="4455EE02" w14:textId="77777777" w:rsidTr="001A06C1">
        <w:trPr>
          <w:tblHeader/>
        </w:trPr>
        <w:tc>
          <w:tcPr>
            <w:tcW w:w="709" w:type="dxa"/>
            <w:shd w:val="clear" w:color="auto" w:fill="E7F6FD"/>
            <w:tcMar>
              <w:top w:w="0" w:type="dxa"/>
              <w:bottom w:w="0" w:type="dxa"/>
            </w:tcMar>
            <w:vAlign w:val="center"/>
          </w:tcPr>
          <w:p w14:paraId="021E299A" w14:textId="77777777" w:rsidR="002A57AA" w:rsidRDefault="002A57AA" w:rsidP="001A06C1">
            <w:pPr>
              <w:keepLines/>
              <w:jc w:val="center"/>
            </w:pPr>
            <w:r w:rsidRPr="00A51374">
              <w:rPr>
                <w:noProof/>
              </w:rPr>
              <w:drawing>
                <wp:inline distT="0" distB="0" distL="0" distR="0" wp14:anchorId="4FFEB437" wp14:editId="795486C1">
                  <wp:extent cx="288000" cy="288000"/>
                  <wp:effectExtent l="0" t="0" r="0" b="0"/>
                  <wp:docPr id="197909894" name="Graphic 197909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5A2EBA95" w14:textId="16EA2CBF" w:rsidR="002A57AA" w:rsidRPr="00715040" w:rsidRDefault="002A57AA" w:rsidP="001A06C1">
            <w:pPr>
              <w:pStyle w:val="TableHeading"/>
              <w:keepLines/>
              <w:spacing w:before="120" w:after="120"/>
              <w:contextualSpacing/>
              <w:rPr>
                <w:sz w:val="20"/>
              </w:rPr>
            </w:pPr>
            <w:r>
              <w:rPr>
                <w:sz w:val="20"/>
              </w:rPr>
              <w:t>Draft r</w:t>
            </w:r>
            <w:r w:rsidRPr="00715040">
              <w:rPr>
                <w:sz w:val="20"/>
              </w:rPr>
              <w:t xml:space="preserve">ecommendation </w:t>
            </w:r>
            <w:r>
              <w:rPr>
                <w:sz w:val="20"/>
              </w:rPr>
              <w:t>1</w:t>
            </w:r>
            <w:r w:rsidRPr="00715040">
              <w:rPr>
                <w:sz w:val="20"/>
              </w:rPr>
              <w:t>.</w:t>
            </w:r>
            <w:r w:rsidR="00ED0D2C">
              <w:rPr>
                <w:noProof/>
                <w:sz w:val="20"/>
              </w:rPr>
              <w:t>1</w:t>
            </w:r>
          </w:p>
          <w:p w14:paraId="4DB8C477" w14:textId="77777777" w:rsidR="002A57AA" w:rsidRPr="00715040" w:rsidRDefault="002A57AA" w:rsidP="001A06C1">
            <w:pPr>
              <w:pStyle w:val="TableHeading"/>
              <w:keepLines/>
              <w:spacing w:before="120" w:after="120"/>
              <w:contextualSpacing/>
              <w:rPr>
                <w:sz w:val="20"/>
              </w:rPr>
            </w:pPr>
            <w:r>
              <w:rPr>
                <w:sz w:val="20"/>
              </w:rPr>
              <w:t>The Australian Government should pursue greater alignment in quality and safety regulation of the care economy to improve efficiency and outcomes for care users</w:t>
            </w:r>
          </w:p>
        </w:tc>
      </w:tr>
      <w:tr w:rsidR="002A57AA" w14:paraId="67712DD1" w14:textId="77777777" w:rsidTr="001A06C1">
        <w:tc>
          <w:tcPr>
            <w:tcW w:w="9583" w:type="dxa"/>
            <w:gridSpan w:val="2"/>
            <w:shd w:val="clear" w:color="auto" w:fill="E7F6FD"/>
            <w:tcMar>
              <w:top w:w="0" w:type="dxa"/>
            </w:tcMar>
          </w:tcPr>
          <w:p w14:paraId="2F98A855" w14:textId="77777777" w:rsidR="002A57AA" w:rsidRDefault="002A57AA" w:rsidP="0046497D">
            <w:pPr>
              <w:pStyle w:val="BodyText"/>
            </w:pPr>
            <w:r>
              <w:t xml:space="preserve">The Australian Government should pursue greater alignment in quality and safety regulation of the care economy, initially focusing on the aged care, National Disability Insurance Scheme (NDIS) and veterans’ care sectors. As a first step towards achieving this goal, the Australian Government should implement the following suite of actions. </w:t>
            </w:r>
          </w:p>
          <w:p w14:paraId="0E7E840C" w14:textId="77777777" w:rsidR="002A57AA" w:rsidRDefault="002A57AA" w:rsidP="0044087D">
            <w:pPr>
              <w:pStyle w:val="ListBullet"/>
              <w:spacing w:after="0"/>
            </w:pPr>
            <w:r w:rsidRPr="00405E0B">
              <w:t xml:space="preserve">To </w:t>
            </w:r>
            <w:r w:rsidRPr="0046497D">
              <w:t>align</w:t>
            </w:r>
            <w:r>
              <w:rPr>
                <w:b/>
                <w:bCs/>
              </w:rPr>
              <w:t xml:space="preserve"> care worker </w:t>
            </w:r>
            <w:r w:rsidRPr="008D36C6">
              <w:t>regulation</w:t>
            </w:r>
            <w:r>
              <w:rPr>
                <w:b/>
                <w:bCs/>
              </w:rPr>
              <w:t xml:space="preserve">, </w:t>
            </w:r>
            <w:r>
              <w:t>the Australian Government should, within three years:</w:t>
            </w:r>
          </w:p>
          <w:p w14:paraId="269C788F" w14:textId="77777777" w:rsidR="002A57AA" w:rsidRPr="00BD31B4" w:rsidRDefault="002A57AA" w:rsidP="001A06C1">
            <w:pPr>
              <w:pStyle w:val="ListBullet2"/>
              <w:numPr>
                <w:ilvl w:val="1"/>
                <w:numId w:val="15"/>
              </w:numPr>
              <w:spacing w:before="0" w:after="0"/>
            </w:pPr>
            <w:r w:rsidRPr="00BD31B4">
              <w:t>develop a national screening clearance for workers in the aged care, NDIS, veterans’ care and early childhood education and care (ECEC) sectors in collaboration with state and territory governments</w:t>
            </w:r>
          </w:p>
          <w:p w14:paraId="5BC9C244" w14:textId="77777777" w:rsidR="002A57AA" w:rsidRPr="00BD31B4" w:rsidRDefault="002A57AA" w:rsidP="001A06C1">
            <w:pPr>
              <w:pStyle w:val="ListBullet2"/>
              <w:numPr>
                <w:ilvl w:val="1"/>
                <w:numId w:val="15"/>
              </w:numPr>
              <w:spacing w:after="0"/>
            </w:pPr>
            <w:r w:rsidRPr="00BD31B4">
              <w:t>adopt a unified approach to worker registration across the aged care, NDIS and veterans’ care sectors, supported by:</w:t>
            </w:r>
          </w:p>
          <w:p w14:paraId="662E8D02" w14:textId="77777777" w:rsidR="002A57AA" w:rsidRPr="00BD31B4" w:rsidRDefault="002A57AA" w:rsidP="0044087D">
            <w:pPr>
              <w:pStyle w:val="ListBullet3"/>
              <w:numPr>
                <w:ilvl w:val="2"/>
                <w:numId w:val="15"/>
              </w:numPr>
              <w:spacing w:before="0"/>
              <w:ind w:left="681"/>
            </w:pPr>
            <w:r w:rsidRPr="00BD31B4">
              <w:t xml:space="preserve">a national registration system and single portal for workers required to be registered </w:t>
            </w:r>
          </w:p>
          <w:p w14:paraId="22E46B8E" w14:textId="77777777" w:rsidR="002A57AA" w:rsidRPr="00BD31B4" w:rsidRDefault="002A57AA" w:rsidP="0044087D">
            <w:pPr>
              <w:pStyle w:val="ListBullet3"/>
              <w:numPr>
                <w:ilvl w:val="2"/>
                <w:numId w:val="15"/>
              </w:numPr>
              <w:ind w:left="681"/>
            </w:pPr>
            <w:r w:rsidRPr="00BD31B4">
              <w:t>mutual recognition arrangements for health workers already registered through the National Registration and Accreditation Scheme.</w:t>
            </w:r>
          </w:p>
          <w:p w14:paraId="2FFEFAA8" w14:textId="77777777" w:rsidR="002A57AA" w:rsidRDefault="002A57AA" w:rsidP="000F7823">
            <w:pPr>
              <w:pStyle w:val="ListBullet"/>
              <w:spacing w:after="60"/>
            </w:pPr>
            <w:r w:rsidRPr="00F84401">
              <w:t>To</w:t>
            </w:r>
            <w:r>
              <w:t xml:space="preserve"> align the </w:t>
            </w:r>
            <w:r w:rsidRPr="00556434">
              <w:t>approach</w:t>
            </w:r>
            <w:r>
              <w:t xml:space="preserve"> taken to </w:t>
            </w:r>
            <w:r w:rsidRPr="00BC2B54">
              <w:rPr>
                <w:b/>
                <w:bCs/>
              </w:rPr>
              <w:t xml:space="preserve">care </w:t>
            </w:r>
            <w:r>
              <w:rPr>
                <w:b/>
                <w:bCs/>
              </w:rPr>
              <w:t xml:space="preserve">provider accreditation, registration and audits, </w:t>
            </w:r>
            <w:r>
              <w:t xml:space="preserve">the Australian Government should: </w:t>
            </w:r>
          </w:p>
          <w:p w14:paraId="63E2D13A" w14:textId="77777777" w:rsidR="002A57AA" w:rsidRDefault="002A57AA" w:rsidP="001A06C1">
            <w:pPr>
              <w:pStyle w:val="ListBullet2"/>
              <w:numPr>
                <w:ilvl w:val="1"/>
                <w:numId w:val="15"/>
              </w:numPr>
              <w:spacing w:before="0" w:after="0"/>
            </w:pPr>
            <w:r w:rsidRPr="00BD31B4">
              <w:t>within</w:t>
            </w:r>
            <w:r>
              <w:t xml:space="preserve"> three years:</w:t>
            </w:r>
          </w:p>
          <w:p w14:paraId="0F8181E1" w14:textId="77777777" w:rsidR="002A57AA" w:rsidRPr="00AE7143" w:rsidRDefault="002A57AA" w:rsidP="0044087D">
            <w:pPr>
              <w:pStyle w:val="ListBullet3"/>
              <w:numPr>
                <w:ilvl w:val="2"/>
                <w:numId w:val="15"/>
              </w:numPr>
              <w:spacing w:before="0"/>
              <w:ind w:left="681"/>
            </w:pPr>
            <w:r w:rsidRPr="00AE7143">
              <w:t>establish a common suitability assessment for providers operating across the aged care, NDIS, veterans’ care and ECEC sectors</w:t>
            </w:r>
          </w:p>
          <w:p w14:paraId="7660461D" w14:textId="77777777" w:rsidR="002A57AA" w:rsidRPr="00AE7143" w:rsidRDefault="002A57AA" w:rsidP="0044087D">
            <w:pPr>
              <w:pStyle w:val="ListBullet3"/>
              <w:numPr>
                <w:ilvl w:val="2"/>
                <w:numId w:val="15"/>
              </w:numPr>
              <w:ind w:left="681"/>
            </w:pPr>
            <w:r w:rsidRPr="00AE7143">
              <w:t>establish mutual recognition of audits against the aged care quality standards and NDIS practice standards</w:t>
            </w:r>
          </w:p>
          <w:p w14:paraId="666EBB45" w14:textId="77777777" w:rsidR="002A57AA" w:rsidRPr="00AE7143" w:rsidRDefault="002A57AA" w:rsidP="0044087D">
            <w:pPr>
              <w:pStyle w:val="ListBullet3"/>
              <w:numPr>
                <w:ilvl w:val="2"/>
                <w:numId w:val="15"/>
              </w:numPr>
              <w:spacing w:after="0"/>
              <w:ind w:left="681"/>
            </w:pPr>
            <w:r w:rsidRPr="00AE7143">
              <w:t>create a single digital portal for providers to manage their registration and audits across the aged care, NDIS and veterans’ care sectors</w:t>
            </w:r>
          </w:p>
          <w:p w14:paraId="41134645" w14:textId="77777777" w:rsidR="002A57AA" w:rsidRDefault="002A57AA" w:rsidP="0044087D">
            <w:pPr>
              <w:pStyle w:val="ListBullet2"/>
              <w:numPr>
                <w:ilvl w:val="1"/>
                <w:numId w:val="15"/>
              </w:numPr>
              <w:spacing w:before="60" w:after="0"/>
            </w:pPr>
            <w:r>
              <w:t xml:space="preserve">within a </w:t>
            </w:r>
            <w:r w:rsidRPr="00AE7143">
              <w:t>further</w:t>
            </w:r>
            <w:r>
              <w:t xml:space="preserve"> three years:</w:t>
            </w:r>
          </w:p>
          <w:p w14:paraId="1B7B96BE" w14:textId="77777777" w:rsidR="002A57AA" w:rsidRPr="00AE7143" w:rsidRDefault="002A57AA" w:rsidP="0044087D">
            <w:pPr>
              <w:pStyle w:val="ListBullet3"/>
              <w:numPr>
                <w:ilvl w:val="2"/>
                <w:numId w:val="15"/>
              </w:numPr>
              <w:spacing w:before="0"/>
              <w:ind w:left="737"/>
            </w:pPr>
            <w:r w:rsidRPr="00AE7143">
              <w:t>create a single (potentially modular) set of practice and quality standards across aged care and NDIS services</w:t>
            </w:r>
          </w:p>
          <w:p w14:paraId="6F52AA0C" w14:textId="77777777" w:rsidR="002A57AA" w:rsidRPr="00AE7143" w:rsidRDefault="002A57AA" w:rsidP="0044087D">
            <w:pPr>
              <w:pStyle w:val="ListBullet3"/>
              <w:numPr>
                <w:ilvl w:val="2"/>
                <w:numId w:val="15"/>
              </w:numPr>
              <w:ind w:left="737"/>
            </w:pPr>
            <w:r w:rsidRPr="00AE7143">
              <w:t>develop a cross</w:t>
            </w:r>
            <w:r>
              <w:noBreakHyphen/>
            </w:r>
            <w:r w:rsidRPr="00AE7143">
              <w:t>sectoral registration system for registered providers across the aged care, NDIS and veterans’ care sectors</w:t>
            </w:r>
            <w:r>
              <w:t>.</w:t>
            </w:r>
          </w:p>
          <w:p w14:paraId="515282F2" w14:textId="77777777" w:rsidR="002A57AA" w:rsidRDefault="002A57AA" w:rsidP="0044087D">
            <w:pPr>
              <w:pStyle w:val="ListBullet"/>
              <w:keepNext/>
              <w:spacing w:after="0"/>
            </w:pPr>
            <w:r w:rsidRPr="0046497D">
              <w:t>To</w:t>
            </w:r>
            <w:r>
              <w:t xml:space="preserve"> </w:t>
            </w:r>
            <w:r w:rsidRPr="00F84401">
              <w:t>align</w:t>
            </w:r>
            <w:r>
              <w:t xml:space="preserve"> the </w:t>
            </w:r>
            <w:r w:rsidRPr="00093C82">
              <w:rPr>
                <w:b/>
                <w:bCs/>
              </w:rPr>
              <w:t>broader regulatory landscape</w:t>
            </w:r>
            <w:r>
              <w:t>, the Australian Government should:</w:t>
            </w:r>
          </w:p>
          <w:p w14:paraId="65767007" w14:textId="77777777" w:rsidR="002A57AA" w:rsidRPr="00F84401" w:rsidRDefault="002A57AA" w:rsidP="001A06C1">
            <w:pPr>
              <w:pStyle w:val="ListBullet2"/>
              <w:numPr>
                <w:ilvl w:val="1"/>
                <w:numId w:val="15"/>
              </w:numPr>
              <w:spacing w:before="0"/>
            </w:pPr>
            <w:r w:rsidRPr="00F84401">
              <w:t xml:space="preserve">ensure a consistent approach to the regulation of artificial intelligence across the aged care, NDIS and veterans’ care sectors (within three years) </w:t>
            </w:r>
          </w:p>
          <w:p w14:paraId="0BB4AEE3" w14:textId="77777777" w:rsidR="002A57AA" w:rsidRPr="00F84401" w:rsidRDefault="002A57AA" w:rsidP="001A06C1">
            <w:pPr>
              <w:pStyle w:val="ListBullet2"/>
              <w:numPr>
                <w:ilvl w:val="1"/>
                <w:numId w:val="15"/>
              </w:numPr>
            </w:pPr>
            <w:r w:rsidRPr="00F84401">
              <w:lastRenderedPageBreak/>
              <w:t>establish a standardised quality and safety reporting framework and data repository to hold data reported against the framework, which could also be used to more consistently measure productivity and report on performance across sectors (within three years)</w:t>
            </w:r>
          </w:p>
          <w:p w14:paraId="2DA5F4FC" w14:textId="77777777" w:rsidR="002A57AA" w:rsidRDefault="002A57AA" w:rsidP="001A06C1">
            <w:pPr>
              <w:pStyle w:val="ListBullet2"/>
              <w:numPr>
                <w:ilvl w:val="1"/>
                <w:numId w:val="15"/>
              </w:numPr>
            </w:pPr>
            <w:r w:rsidRPr="00DF1E2A">
              <w:t>explore the suitability of a single regulator across the aged care, NDIS and veterans’ care sectors (within six years)</w:t>
            </w:r>
          </w:p>
          <w:p w14:paraId="52B43C11" w14:textId="77777777" w:rsidR="002A57AA" w:rsidRPr="00DF1E2A" w:rsidRDefault="002A57AA" w:rsidP="001A06C1">
            <w:pPr>
              <w:pStyle w:val="ListBullet2"/>
              <w:numPr>
                <w:ilvl w:val="1"/>
                <w:numId w:val="15"/>
              </w:numPr>
            </w:pPr>
            <w:r>
              <w:t xml:space="preserve">in collaboration with state and territory governments, </w:t>
            </w:r>
            <w:r w:rsidRPr="00DF1E2A">
              <w:t>explore the potential for greater alignment in the regulation of behaviour support plans and use of restrictive practices focusing on the aged care and NDIS sectors, and implement agreed actions (within six years).</w:t>
            </w:r>
          </w:p>
        </w:tc>
      </w:tr>
      <w:tr w:rsidR="002A57AA" w14:paraId="65369C23" w14:textId="77777777" w:rsidTr="001A06C1">
        <w:tc>
          <w:tcPr>
            <w:tcW w:w="9583" w:type="dxa"/>
            <w:gridSpan w:val="2"/>
            <w:shd w:val="clear" w:color="auto" w:fill="auto"/>
            <w:tcMar>
              <w:top w:w="0" w:type="dxa"/>
              <w:bottom w:w="0" w:type="dxa"/>
            </w:tcMar>
          </w:tcPr>
          <w:p w14:paraId="7BF79C5D" w14:textId="3520A094" w:rsidR="002A57AA" w:rsidRPr="007E0EA8" w:rsidRDefault="002A57AA" w:rsidP="001A06C1">
            <w:pPr>
              <w:pStyle w:val="NoSpacing"/>
              <w:spacing w:line="200" w:lineRule="exact"/>
            </w:pPr>
          </w:p>
        </w:tc>
      </w:tr>
    </w:tbl>
    <w:p w14:paraId="7B10CA65" w14:textId="77777777" w:rsidR="002A57AA" w:rsidRDefault="002A57AA" w:rsidP="002A57AA">
      <w:pPr>
        <w:pStyle w:val="Heading2-nonumber"/>
      </w:pPr>
      <w:bookmarkStart w:id="9" w:name="_Toc205388340"/>
      <w:r>
        <w:t>Embed collaborative commissioning to increase the integration of care services</w:t>
      </w:r>
      <w:bookmarkEnd w:id="9"/>
    </w:p>
    <w:tbl>
      <w:tblPr>
        <w:tblStyle w:val="Texttable-Paleblue"/>
        <w:tblW w:w="5000" w:type="pct"/>
        <w:tblLook w:val="04A0" w:firstRow="1" w:lastRow="0" w:firstColumn="1" w:lastColumn="0" w:noHBand="0" w:noVBand="1"/>
      </w:tblPr>
      <w:tblGrid>
        <w:gridCol w:w="713"/>
        <w:gridCol w:w="8925"/>
      </w:tblGrid>
      <w:tr w:rsidR="002A57AA" w14:paraId="05DB876A" w14:textId="77777777" w:rsidTr="001A06C1">
        <w:trPr>
          <w:tblHeader/>
        </w:trPr>
        <w:tc>
          <w:tcPr>
            <w:tcW w:w="713" w:type="dxa"/>
            <w:shd w:val="clear" w:color="auto" w:fill="E7F6FD"/>
            <w:tcMar>
              <w:top w:w="0" w:type="dxa"/>
              <w:bottom w:w="0" w:type="dxa"/>
            </w:tcMar>
            <w:vAlign w:val="center"/>
          </w:tcPr>
          <w:p w14:paraId="4E31832B" w14:textId="77777777" w:rsidR="002A57AA" w:rsidRDefault="002A57AA" w:rsidP="001A06C1">
            <w:pPr>
              <w:keepLines/>
              <w:jc w:val="center"/>
            </w:pPr>
            <w:r w:rsidRPr="00A51374">
              <w:rPr>
                <w:noProof/>
              </w:rPr>
              <w:drawing>
                <wp:inline distT="0" distB="0" distL="0" distR="0" wp14:anchorId="3AC2A614" wp14:editId="586A32CB">
                  <wp:extent cx="288000" cy="288000"/>
                  <wp:effectExtent l="0" t="0" r="0" b="0"/>
                  <wp:docPr id="2135580942" name="Graphic 2135580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5C81F9D6" w14:textId="77777777" w:rsidR="002A57AA" w:rsidRPr="00715040" w:rsidRDefault="002A57AA" w:rsidP="001A06C1">
            <w:pPr>
              <w:pStyle w:val="TableHeading"/>
              <w:keepLines/>
              <w:spacing w:before="120" w:after="120"/>
              <w:contextualSpacing/>
              <w:rPr>
                <w:sz w:val="20"/>
              </w:rPr>
            </w:pPr>
            <w:r>
              <w:rPr>
                <w:sz w:val="20"/>
              </w:rPr>
              <w:t>Draft r</w:t>
            </w:r>
            <w:r w:rsidRPr="00715040">
              <w:rPr>
                <w:sz w:val="20"/>
              </w:rPr>
              <w:t xml:space="preserve">ecommendation </w:t>
            </w:r>
            <w:r>
              <w:rPr>
                <w:sz w:val="20"/>
              </w:rPr>
              <w:t>2.1</w:t>
            </w:r>
          </w:p>
          <w:p w14:paraId="015A7232" w14:textId="77777777" w:rsidR="002A57AA" w:rsidRPr="00335EB7" w:rsidRDefault="002A57AA" w:rsidP="001A06C1">
            <w:pPr>
              <w:pStyle w:val="TableHeading"/>
              <w:keepLines/>
              <w:spacing w:before="120" w:after="120"/>
              <w:contextualSpacing/>
              <w:rPr>
                <w:spacing w:val="-4"/>
                <w:sz w:val="20"/>
              </w:rPr>
            </w:pPr>
            <w:r w:rsidRPr="00335EB7">
              <w:rPr>
                <w:spacing w:val="-4"/>
                <w:sz w:val="20"/>
              </w:rPr>
              <w:t xml:space="preserve">Governments should embed collaborative commissioning, with an initial focus on reducing </w:t>
            </w:r>
            <w:r w:rsidRPr="00335EB7">
              <w:rPr>
                <w:spacing w:val="-6"/>
                <w:sz w:val="20"/>
              </w:rPr>
              <w:t>fragmentation in health care to foster innovation, improve care outcomes and generate savings</w:t>
            </w:r>
          </w:p>
        </w:tc>
      </w:tr>
      <w:tr w:rsidR="002A57AA" w14:paraId="7F4DCF3C" w14:textId="77777777" w:rsidTr="001A06C1">
        <w:tc>
          <w:tcPr>
            <w:tcW w:w="9638" w:type="dxa"/>
            <w:gridSpan w:val="2"/>
            <w:shd w:val="clear" w:color="auto" w:fill="E7F6FD"/>
            <w:tcMar>
              <w:top w:w="0" w:type="dxa"/>
            </w:tcMar>
          </w:tcPr>
          <w:p w14:paraId="51E6972B" w14:textId="77777777" w:rsidR="002A57AA" w:rsidRPr="006B4B23" w:rsidRDefault="002A57AA" w:rsidP="001A06C1">
            <w:pPr>
              <w:pStyle w:val="BodyText"/>
              <w:rPr>
                <w:spacing w:val="-4"/>
              </w:rPr>
            </w:pPr>
            <w:r w:rsidRPr="006B4B23">
              <w:rPr>
                <w:spacing w:val="-4"/>
              </w:rPr>
              <w:t xml:space="preserve">In the next addendum to the </w:t>
            </w:r>
            <w:r w:rsidRPr="006B4B23">
              <w:rPr>
                <w:i/>
                <w:iCs/>
                <w:spacing w:val="-4"/>
              </w:rPr>
              <w:t>National Health Reform Agreement</w:t>
            </w:r>
            <w:r w:rsidRPr="006B4B23">
              <w:rPr>
                <w:spacing w:val="-4"/>
              </w:rPr>
              <w:t xml:space="preserve">, governments should agree to governance and funding arrangements that support better collaboration between Local Hospital Networks (LHNs), Primary Health Networks (PHNs) and Aboriginal Community Controlled Health Organisations (ACCHOs). </w:t>
            </w:r>
          </w:p>
          <w:p w14:paraId="164231A9" w14:textId="77777777" w:rsidR="002A57AA" w:rsidRPr="00BF7827" w:rsidRDefault="002A57AA" w:rsidP="001A06C1">
            <w:pPr>
              <w:pStyle w:val="BodyText"/>
              <w:rPr>
                <w:b/>
              </w:rPr>
            </w:pPr>
            <w:r w:rsidRPr="00BF7827">
              <w:rPr>
                <w:b/>
              </w:rPr>
              <w:t xml:space="preserve">New joint governance arrangements to </w:t>
            </w:r>
            <w:r>
              <w:rPr>
                <w:b/>
                <w:bCs/>
              </w:rPr>
              <w:t>support</w:t>
            </w:r>
            <w:r w:rsidRPr="00BF7827">
              <w:rPr>
                <w:b/>
              </w:rPr>
              <w:t xml:space="preserve"> collaboration are </w:t>
            </w:r>
            <w:r w:rsidRPr="00BF7827">
              <w:rPr>
                <w:b/>
                <w:bCs/>
              </w:rPr>
              <w:t>needed.</w:t>
            </w:r>
            <w:r w:rsidRPr="00BF7827">
              <w:rPr>
                <w:b/>
              </w:rPr>
              <w:t xml:space="preserve"> </w:t>
            </w:r>
          </w:p>
          <w:p w14:paraId="0477DD3E" w14:textId="77777777" w:rsidR="002A57AA" w:rsidRDefault="002A57AA" w:rsidP="001A06C1">
            <w:pPr>
              <w:pStyle w:val="ListBullet"/>
              <w:keepLines/>
              <w:numPr>
                <w:ilvl w:val="0"/>
                <w:numId w:val="15"/>
              </w:numPr>
            </w:pPr>
            <w:r>
              <w:t>LHNs and PHNs should be required to plan together to identify areas for collaboration, including joint needs assessments, agreed plans of work and joint monitoring and reporting of outcomes.</w:t>
            </w:r>
          </w:p>
          <w:p w14:paraId="056F3386" w14:textId="77777777" w:rsidR="002A57AA" w:rsidRDefault="002A57AA" w:rsidP="001A06C1">
            <w:pPr>
              <w:pStyle w:val="ListBullet"/>
              <w:keepLines/>
              <w:numPr>
                <w:ilvl w:val="0"/>
                <w:numId w:val="15"/>
              </w:numPr>
            </w:pPr>
            <w:r>
              <w:t xml:space="preserve">LHNs and PHNs must work in partnership with ACCHOs and other organisations to inform </w:t>
            </w:r>
            <w:r w:rsidRPr="00D91F0E">
              <w:t>planning</w:t>
            </w:r>
            <w:r>
              <w:t xml:space="preserve"> and </w:t>
            </w:r>
            <w:r w:rsidRPr="00D91F0E">
              <w:t>shared decision</w:t>
            </w:r>
            <w:r>
              <w:t xml:space="preserve"> </w:t>
            </w:r>
            <w:r w:rsidRPr="00D91F0E">
              <w:t>making</w:t>
            </w:r>
            <w:r>
              <w:t>. Partnering</w:t>
            </w:r>
            <w:r w:rsidRPr="00D91F0E">
              <w:t xml:space="preserve"> with ACCHOs </w:t>
            </w:r>
            <w:r>
              <w:t>should</w:t>
            </w:r>
            <w:r w:rsidRPr="00D91F0E">
              <w:t xml:space="preserve"> be consistent with the principles set out in </w:t>
            </w:r>
            <w:r>
              <w:t xml:space="preserve">the National Agreement on </w:t>
            </w:r>
            <w:r w:rsidRPr="00D91F0E">
              <w:t>Closing the Gap to ensure relevant needs are appropriately and respectfully assessed and key decisions are shared</w:t>
            </w:r>
            <w:r>
              <w:t>.</w:t>
            </w:r>
          </w:p>
          <w:p w14:paraId="16183E4D" w14:textId="50077B31" w:rsidR="002A57AA" w:rsidRPr="00F4214C" w:rsidRDefault="002A57AA" w:rsidP="001A06C1">
            <w:pPr>
              <w:pStyle w:val="ListBullet"/>
              <w:keepLines/>
              <w:numPr>
                <w:ilvl w:val="0"/>
                <w:numId w:val="15"/>
              </w:numPr>
              <w:rPr>
                <w:spacing w:val="-6"/>
              </w:rPr>
            </w:pPr>
            <w:r w:rsidRPr="00F4214C">
              <w:rPr>
                <w:spacing w:val="-6"/>
              </w:rPr>
              <w:t>There needs to be stronger requirements for formal joint collaborative commissioning committees and the development of data</w:t>
            </w:r>
            <w:r w:rsidRPr="00F4214C">
              <w:rPr>
                <w:spacing w:val="-6"/>
              </w:rPr>
              <w:noBreakHyphen/>
              <w:t xml:space="preserve">sharing arrangements to underpin joint needs </w:t>
            </w:r>
            <w:r w:rsidR="00F4214C" w:rsidRPr="00F4214C">
              <w:rPr>
                <w:spacing w:val="-6"/>
              </w:rPr>
              <w:t>assessments</w:t>
            </w:r>
            <w:r w:rsidRPr="00F4214C">
              <w:rPr>
                <w:spacing w:val="-6"/>
              </w:rPr>
              <w:t xml:space="preserve"> and evaluation of outcomes.</w:t>
            </w:r>
          </w:p>
          <w:p w14:paraId="3B1AC04D" w14:textId="77777777" w:rsidR="002A57AA" w:rsidRPr="00BF7827" w:rsidRDefault="002A57AA" w:rsidP="001A06C1">
            <w:pPr>
              <w:pStyle w:val="BodyText"/>
              <w:rPr>
                <w:b/>
              </w:rPr>
            </w:pPr>
            <w:r w:rsidRPr="00BF7827">
              <w:rPr>
                <w:b/>
              </w:rPr>
              <w:t>Changes to funding arrangements are also needed to embed collaborative commissioning.</w:t>
            </w:r>
          </w:p>
          <w:p w14:paraId="0C5029E2" w14:textId="77777777" w:rsidR="002A57AA" w:rsidRDefault="002A57AA" w:rsidP="001A06C1">
            <w:pPr>
              <w:pStyle w:val="ListBullet"/>
              <w:keepLines/>
              <w:numPr>
                <w:ilvl w:val="0"/>
                <w:numId w:val="15"/>
              </w:numPr>
            </w:pPr>
            <w:r>
              <w:t xml:space="preserve">Barriers to pooling funding or other forms of joint commissioning should be removed. The Australian Government should make funding for PHNs more flexible. State and territory governments need to ensure that service agreements provide flexibility in the services and programs that LHNs can fund. </w:t>
            </w:r>
          </w:p>
          <w:p w14:paraId="7A6389C1" w14:textId="77777777" w:rsidR="002A57AA" w:rsidRPr="00B9098D" w:rsidRDefault="002A57AA" w:rsidP="001A06C1">
            <w:pPr>
              <w:pStyle w:val="ListBullet"/>
              <w:keepLines/>
              <w:numPr>
                <w:ilvl w:val="0"/>
                <w:numId w:val="15"/>
              </w:numPr>
              <w:rPr>
                <w:spacing w:val="-4"/>
              </w:rPr>
            </w:pPr>
            <w:r w:rsidRPr="00B9098D">
              <w:rPr>
                <w:spacing w:val="-4"/>
              </w:rPr>
              <w:t>LHNs, PHNs and ACCHOs should be sufficiently resourced to undertake comprehensive joint governance.</w:t>
            </w:r>
          </w:p>
          <w:p w14:paraId="57A8BC54" w14:textId="77777777" w:rsidR="002A57AA" w:rsidRPr="00767EAE" w:rsidRDefault="002A57AA" w:rsidP="001A06C1">
            <w:pPr>
              <w:pStyle w:val="ListBullet"/>
              <w:keepLines/>
              <w:numPr>
                <w:ilvl w:val="0"/>
                <w:numId w:val="15"/>
              </w:numPr>
            </w:pPr>
            <w:r>
              <w:lastRenderedPageBreak/>
              <w:t>The Australian Government should provide LHNs and PHNs with sufficient dedicated funding to embed collaborative commissioning programs once they submit a joint plan. The joint plan should clearly link agreed shared outcomes to enhanced productivity in the form of quality improvements or more services that</w:t>
            </w:r>
            <w:r w:rsidRPr="007307BC">
              <w:t xml:space="preserve"> </w:t>
            </w:r>
            <w:r>
              <w:t>lower potential future costs. Initially, the focus should be on reducing potentially preventable hospitalisations. Future funding should be adjusted based on whether agreed shared outcomes have been achieved at the local level.</w:t>
            </w:r>
          </w:p>
        </w:tc>
      </w:tr>
      <w:tr w:rsidR="002A57AA" w14:paraId="0A21DBEC" w14:textId="77777777" w:rsidTr="001A06C1">
        <w:tc>
          <w:tcPr>
            <w:tcW w:w="9638" w:type="dxa"/>
            <w:gridSpan w:val="2"/>
            <w:shd w:val="clear" w:color="auto" w:fill="auto"/>
            <w:tcMar>
              <w:top w:w="0" w:type="dxa"/>
              <w:bottom w:w="0" w:type="dxa"/>
            </w:tcMar>
          </w:tcPr>
          <w:p w14:paraId="67142023" w14:textId="3FBD0CDB" w:rsidR="002A57AA" w:rsidRPr="007E0EA8" w:rsidRDefault="002A57AA" w:rsidP="001A06C1">
            <w:pPr>
              <w:pStyle w:val="NoSpacing"/>
              <w:spacing w:line="200" w:lineRule="exact"/>
            </w:pPr>
          </w:p>
        </w:tc>
      </w:tr>
    </w:tbl>
    <w:p w14:paraId="762F6753" w14:textId="77777777" w:rsidR="00185D6E" w:rsidRDefault="00185D6E" w:rsidP="00185D6E">
      <w:pPr>
        <w:pStyle w:val="Heading2-nonumber"/>
      </w:pPr>
      <w:bookmarkStart w:id="10" w:name="_Toc205388341"/>
      <w:r>
        <w:t>A national framework to support government investment in prevention</w:t>
      </w:r>
      <w:bookmarkEnd w:id="7"/>
      <w:bookmarkEnd w:id="10"/>
    </w:p>
    <w:tbl>
      <w:tblPr>
        <w:tblStyle w:val="Texttable-Paleblue"/>
        <w:tblW w:w="5000" w:type="pct"/>
        <w:tblLook w:val="04A0" w:firstRow="1" w:lastRow="0" w:firstColumn="1" w:lastColumn="0" w:noHBand="0" w:noVBand="1"/>
      </w:tblPr>
      <w:tblGrid>
        <w:gridCol w:w="713"/>
        <w:gridCol w:w="8925"/>
      </w:tblGrid>
      <w:tr w:rsidR="00185D6E" w14:paraId="5E6BB836" w14:textId="77777777">
        <w:trPr>
          <w:tblHeader/>
        </w:trPr>
        <w:tc>
          <w:tcPr>
            <w:tcW w:w="713" w:type="dxa"/>
            <w:shd w:val="clear" w:color="auto" w:fill="E7F6FD"/>
            <w:tcMar>
              <w:top w:w="0" w:type="dxa"/>
              <w:bottom w:w="0" w:type="dxa"/>
            </w:tcMar>
            <w:vAlign w:val="center"/>
          </w:tcPr>
          <w:p w14:paraId="139BCC99" w14:textId="77777777" w:rsidR="00185D6E" w:rsidRDefault="00185D6E">
            <w:pPr>
              <w:keepLines/>
              <w:jc w:val="center"/>
            </w:pPr>
            <w:r w:rsidRPr="00A51374">
              <w:rPr>
                <w:noProof/>
              </w:rPr>
              <w:drawing>
                <wp:inline distT="0" distB="0" distL="0" distR="0" wp14:anchorId="6801FA78" wp14:editId="2EF2A975">
                  <wp:extent cx="288000" cy="288000"/>
                  <wp:effectExtent l="0" t="0" r="0" b="0"/>
                  <wp:docPr id="2115589159" name="Graphic 2115589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5B04BD5B" w14:textId="77777777" w:rsidR="00185D6E" w:rsidRPr="00715040" w:rsidRDefault="00185D6E">
            <w:pPr>
              <w:pStyle w:val="TableHeading"/>
              <w:keepLines/>
              <w:spacing w:before="120" w:after="120"/>
              <w:ind w:left="0"/>
              <w:contextualSpacing/>
              <w:rPr>
                <w:sz w:val="20"/>
              </w:rPr>
            </w:pPr>
            <w:r>
              <w:rPr>
                <w:sz w:val="20"/>
              </w:rPr>
              <w:t>Draft r</w:t>
            </w:r>
            <w:r w:rsidRPr="00715040">
              <w:rPr>
                <w:sz w:val="20"/>
              </w:rPr>
              <w:t xml:space="preserve">ecommendation </w:t>
            </w:r>
            <w:r>
              <w:rPr>
                <w:sz w:val="20"/>
              </w:rPr>
              <w:t>3</w:t>
            </w:r>
            <w:r w:rsidRPr="00715040">
              <w:rPr>
                <w:sz w:val="20"/>
              </w:rPr>
              <w:t>.</w:t>
            </w:r>
            <w:r>
              <w:rPr>
                <w:sz w:val="20"/>
              </w:rPr>
              <w:t>1</w:t>
            </w:r>
          </w:p>
          <w:p w14:paraId="5FE1399A" w14:textId="3691C89A" w:rsidR="00185D6E" w:rsidRPr="006B4B23" w:rsidRDefault="00185D6E">
            <w:pPr>
              <w:pStyle w:val="TableHeading"/>
              <w:keepLines/>
              <w:spacing w:before="120" w:after="120"/>
              <w:ind w:left="0"/>
              <w:contextualSpacing/>
              <w:rPr>
                <w:spacing w:val="-4"/>
                <w:sz w:val="20"/>
              </w:rPr>
            </w:pPr>
            <w:r w:rsidRPr="006B4B23">
              <w:rPr>
                <w:spacing w:val="-4"/>
                <w:sz w:val="20"/>
              </w:rPr>
              <w:t>Establish a National Prevention Investment Framework to support investment in prevention, improving outcomes and slowing the escalating growth in government care expenditure</w:t>
            </w:r>
          </w:p>
        </w:tc>
      </w:tr>
      <w:tr w:rsidR="00185D6E" w14:paraId="1BA7065E" w14:textId="77777777">
        <w:tc>
          <w:tcPr>
            <w:tcW w:w="9638" w:type="dxa"/>
            <w:gridSpan w:val="2"/>
            <w:shd w:val="clear" w:color="auto" w:fill="E7F6FD"/>
            <w:tcMar>
              <w:top w:w="0" w:type="dxa"/>
            </w:tcMar>
          </w:tcPr>
          <w:p w14:paraId="6586E5B4" w14:textId="77777777" w:rsidR="00185D6E" w:rsidRDefault="00185D6E">
            <w:r>
              <w:t>The Australian Government should work with state and territory governments to establish a National P</w:t>
            </w:r>
            <w:r w:rsidRPr="00194AA3">
              <w:t xml:space="preserve">revention </w:t>
            </w:r>
            <w:r>
              <w:t>Investment</w:t>
            </w:r>
            <w:r w:rsidRPr="00194AA3">
              <w:t xml:space="preserve"> </w:t>
            </w:r>
            <w:r>
              <w:t>F</w:t>
            </w:r>
            <w:r w:rsidRPr="00194AA3">
              <w:t>ramework</w:t>
            </w:r>
            <w:r>
              <w:t>. The framework will support</w:t>
            </w:r>
            <w:r w:rsidRPr="00194AA3">
              <w:t xml:space="preserve"> </w:t>
            </w:r>
            <w:r>
              <w:t xml:space="preserve">governments to </w:t>
            </w:r>
            <w:r w:rsidRPr="00194AA3">
              <w:t xml:space="preserve">invest in prevention programs </w:t>
            </w:r>
            <w:r>
              <w:t>that improve outcomes and reduce demand for future acute care services.</w:t>
            </w:r>
            <w:r w:rsidRPr="00194AA3">
              <w:t xml:space="preserve"> </w:t>
            </w:r>
            <w:r>
              <w:t xml:space="preserve">It will identify </w:t>
            </w:r>
            <w:r w:rsidRPr="00194AA3">
              <w:t>programs</w:t>
            </w:r>
            <w:r>
              <w:t xml:space="preserve"> that produce the best value for money, based on rigorous assessment and evaluation</w:t>
            </w:r>
            <w:r w:rsidRPr="00194AA3">
              <w:t>.</w:t>
            </w:r>
            <w:r>
              <w:t xml:space="preserve"> The framework should provide a stable and ongoing basis for funding prevention, </w:t>
            </w:r>
            <w:r>
              <w:rPr>
                <w:rFonts w:ascii="Arial" w:eastAsia="Arial" w:hAnsi="Arial" w:cs="Times New Roman"/>
              </w:rPr>
              <w:t xml:space="preserve">recognising that the benefits fall </w:t>
            </w:r>
            <w:r>
              <w:t xml:space="preserve">across sectors and levels of government, and over extended timeframes. </w:t>
            </w:r>
          </w:p>
          <w:p w14:paraId="03270E6D" w14:textId="77777777" w:rsidR="00185D6E" w:rsidRPr="00194AA3" w:rsidRDefault="00185D6E">
            <w:r>
              <w:t>The</w:t>
            </w:r>
            <w:r w:rsidRPr="00194AA3" w:rsidDel="00246396">
              <w:t xml:space="preserve"> framework </w:t>
            </w:r>
            <w:r>
              <w:t>should</w:t>
            </w:r>
            <w:r w:rsidRPr="00194AA3">
              <w:t xml:space="preserve"> be implemented </w:t>
            </w:r>
            <w:r>
              <w:t>by establishing</w:t>
            </w:r>
            <w:r w:rsidRPr="00194AA3">
              <w:t xml:space="preserve">: </w:t>
            </w:r>
          </w:p>
          <w:p w14:paraId="0C610B85" w14:textId="77777777" w:rsidR="00185D6E" w:rsidRPr="00F24B01" w:rsidRDefault="00185D6E">
            <w:pPr>
              <w:pStyle w:val="ListBullet"/>
              <w:numPr>
                <w:ilvl w:val="0"/>
                <w:numId w:val="15"/>
              </w:numPr>
            </w:pPr>
            <w:r>
              <w:t>a</w:t>
            </w:r>
            <w:r w:rsidRPr="00906F2D">
              <w:t>n</w:t>
            </w:r>
            <w:r w:rsidRPr="00F24B01">
              <w:t xml:space="preserve"> independent </w:t>
            </w:r>
            <w:r>
              <w:t>P</w:t>
            </w:r>
            <w:r w:rsidRPr="00F24B01">
              <w:t xml:space="preserve">revention </w:t>
            </w:r>
            <w:r>
              <w:t>Framework</w:t>
            </w:r>
            <w:r w:rsidRPr="00F24B01">
              <w:t xml:space="preserve"> </w:t>
            </w:r>
            <w:r>
              <w:t>A</w:t>
            </w:r>
            <w:r w:rsidRPr="00F24B01">
              <w:t xml:space="preserve">dvisory </w:t>
            </w:r>
            <w:r>
              <w:t>Board</w:t>
            </w:r>
            <w:r w:rsidRPr="00F24B01">
              <w:t xml:space="preserve"> </w:t>
            </w:r>
            <w:r>
              <w:t>that</w:t>
            </w:r>
            <w:r w:rsidRPr="00F24B01">
              <w:t xml:space="preserve"> assesses and provides </w:t>
            </w:r>
            <w:r>
              <w:t>expert</w:t>
            </w:r>
            <w:r w:rsidRPr="00F24B01">
              <w:t xml:space="preserve"> advice on requests for prevention funding</w:t>
            </w:r>
            <w:r>
              <w:t xml:space="preserve"> and</w:t>
            </w:r>
            <w:r w:rsidRPr="00F24B01">
              <w:t xml:space="preserve"> </w:t>
            </w:r>
            <w:r>
              <w:t xml:space="preserve">develops a standardised actuarial model and frameworks for the analysis of prevention programs. The board would </w:t>
            </w:r>
            <w:r w:rsidRPr="00F24B01">
              <w:t>evaluate ongoing prevention programs</w:t>
            </w:r>
            <w:r>
              <w:t>, recommend whether programs should continue to be funded, and</w:t>
            </w:r>
            <w:r w:rsidRPr="00F24B01">
              <w:t xml:space="preserve"> build the evidence base </w:t>
            </w:r>
            <w:r>
              <w:t>for</w:t>
            </w:r>
            <w:r w:rsidRPr="00F24B01">
              <w:t xml:space="preserve"> prevention</w:t>
            </w:r>
          </w:p>
          <w:p w14:paraId="0203AF56" w14:textId="62F09880" w:rsidR="00185D6E" w:rsidRPr="00906F2D" w:rsidRDefault="00185D6E">
            <w:pPr>
              <w:pStyle w:val="ListBullet"/>
              <w:numPr>
                <w:ilvl w:val="0"/>
                <w:numId w:val="15"/>
              </w:numPr>
            </w:pPr>
            <w:r>
              <w:t>a</w:t>
            </w:r>
            <w:r w:rsidRPr="00906F2D">
              <w:t xml:space="preserve"> funding mechanism</w:t>
            </w:r>
            <w:r w:rsidRPr="00906F2D" w:rsidDel="00B50B9B">
              <w:t xml:space="preserve"> </w:t>
            </w:r>
            <w:r w:rsidRPr="00906F2D">
              <w:t xml:space="preserve">that supports eligible prevention initiatives across Australian, state and territory governments. </w:t>
            </w:r>
            <w:r w:rsidR="008E52FB">
              <w:rPr>
                <w:lang w:val="en-US"/>
              </w:rPr>
              <w:t>T</w:t>
            </w:r>
            <w:r w:rsidR="008E52FB" w:rsidRPr="008E52FB">
              <w:rPr>
                <w:lang w:val="en-US"/>
              </w:rPr>
              <w:t>he mechanism should support co-contributions from state and territory governments</w:t>
            </w:r>
            <w:r w:rsidRPr="00906F2D">
              <w:t xml:space="preserve"> based on their expected benefits, enable consideration of the second-round and longer-term fiscal effects of prevention programs, and facilitate ongoing funding where needed</w:t>
            </w:r>
          </w:p>
          <w:p w14:paraId="626A1B52" w14:textId="77777777" w:rsidR="00185D6E" w:rsidRPr="00767EAE" w:rsidRDefault="00185D6E">
            <w:pPr>
              <w:pStyle w:val="ListBullet"/>
              <w:numPr>
                <w:ilvl w:val="0"/>
                <w:numId w:val="15"/>
              </w:numPr>
            </w:pPr>
            <w:r w:rsidRPr="004E4421">
              <w:t xml:space="preserve">an intergovernmental agreement </w:t>
            </w:r>
            <w:r w:rsidRPr="00B5544A">
              <w:t xml:space="preserve">between </w:t>
            </w:r>
            <w:r>
              <w:t>the Australian, s</w:t>
            </w:r>
            <w:r w:rsidRPr="00B5544A">
              <w:t xml:space="preserve">tate and </w:t>
            </w:r>
            <w:r>
              <w:t>t</w:t>
            </w:r>
            <w:r w:rsidRPr="00B5544A">
              <w:t>erritor</w:t>
            </w:r>
            <w:r>
              <w:t>y governments</w:t>
            </w:r>
            <w:r w:rsidRPr="004E4421">
              <w:t xml:space="preserve"> </w:t>
            </w:r>
            <w:r>
              <w:t xml:space="preserve">that </w:t>
            </w:r>
            <w:r w:rsidRPr="00B5544A">
              <w:t xml:space="preserve">outlines </w:t>
            </w:r>
            <w:r w:rsidRPr="00906F2D">
              <w:t xml:space="preserve">prevention </w:t>
            </w:r>
            <w:r w:rsidRPr="00B5544A">
              <w:t xml:space="preserve">funding arrangements and </w:t>
            </w:r>
            <w:r>
              <w:t xml:space="preserve">the </w:t>
            </w:r>
            <w:r w:rsidRPr="00B5544A">
              <w:t xml:space="preserve">roles and responsibilities of </w:t>
            </w:r>
            <w:r>
              <w:t>relevant parties</w:t>
            </w:r>
            <w:r w:rsidRPr="004E4421">
              <w:t>. The agreement should be accompanied by</w:t>
            </w:r>
            <w:r w:rsidRPr="00906F2D">
              <w:t xml:space="preserve"> </w:t>
            </w:r>
            <w:r w:rsidRPr="00553998">
              <w:t xml:space="preserve">federation funding </w:t>
            </w:r>
            <w:r>
              <w:t xml:space="preserve">agreement </w:t>
            </w:r>
            <w:r w:rsidRPr="00553998">
              <w:t>schedule</w:t>
            </w:r>
            <w:r>
              <w:t>s</w:t>
            </w:r>
            <w:r w:rsidRPr="00553998">
              <w:t xml:space="preserve"> </w:t>
            </w:r>
            <w:r>
              <w:t>that</w:t>
            </w:r>
            <w:r w:rsidRPr="00553998">
              <w:t xml:space="preserve"> </w:t>
            </w:r>
            <w:r w:rsidRPr="004E4421">
              <w:t>deliver</w:t>
            </w:r>
            <w:r w:rsidRPr="00553998">
              <w:t xml:space="preserve"> </w:t>
            </w:r>
            <w:r>
              <w:t>Australian Government</w:t>
            </w:r>
            <w:r w:rsidRPr="00553998">
              <w:t xml:space="preserve"> funding to states and territories for specific interventions.</w:t>
            </w:r>
          </w:p>
        </w:tc>
      </w:tr>
      <w:tr w:rsidR="00185D6E" w14:paraId="6F4CEF84" w14:textId="77777777">
        <w:tc>
          <w:tcPr>
            <w:tcW w:w="9638" w:type="dxa"/>
            <w:gridSpan w:val="2"/>
            <w:shd w:val="clear" w:color="auto" w:fill="auto"/>
            <w:tcMar>
              <w:top w:w="0" w:type="dxa"/>
              <w:bottom w:w="0" w:type="dxa"/>
            </w:tcMar>
          </w:tcPr>
          <w:p w14:paraId="71AC051C" w14:textId="52A30526" w:rsidR="00185D6E" w:rsidRPr="007E0EA8" w:rsidRDefault="00185D6E">
            <w:pPr>
              <w:pStyle w:val="NoSpacing"/>
              <w:spacing w:line="200" w:lineRule="exact"/>
            </w:pPr>
          </w:p>
        </w:tc>
      </w:tr>
    </w:tbl>
    <w:p w14:paraId="758D8DF7" w14:textId="77777777" w:rsidR="00185D6E" w:rsidRDefault="00185D6E" w:rsidP="00185D6E">
      <w:pPr>
        <w:pStyle w:val="BodyText"/>
      </w:pPr>
    </w:p>
    <w:bookmarkEnd w:id="8"/>
    <w:p w14:paraId="1420DFD5" w14:textId="77777777" w:rsidR="00C012D5" w:rsidRPr="00362C8F" w:rsidRDefault="00C012D5" w:rsidP="00C012D5">
      <w:pPr>
        <w:pStyle w:val="Bibliography"/>
        <w:rPr>
          <w:rFonts w:ascii="Arial" w:hAnsi="Arial" w:cs="Arial"/>
        </w:rPr>
      </w:pPr>
    </w:p>
    <w:sectPr w:rsidR="00C012D5" w:rsidRPr="00362C8F" w:rsidSect="00730A3D">
      <w:headerReference w:type="even" r:id="rId33"/>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E9FE" w14:textId="77777777" w:rsidR="00940F10" w:rsidRDefault="00940F10" w:rsidP="008017BC">
      <w:r>
        <w:separator/>
      </w:r>
    </w:p>
    <w:p w14:paraId="01359B1B" w14:textId="77777777" w:rsidR="00940F10" w:rsidRDefault="00940F10"/>
  </w:endnote>
  <w:endnote w:type="continuationSeparator" w:id="0">
    <w:p w14:paraId="17326206" w14:textId="77777777" w:rsidR="00940F10" w:rsidRDefault="00940F10" w:rsidP="008017BC">
      <w:r>
        <w:continuationSeparator/>
      </w:r>
    </w:p>
    <w:p w14:paraId="02E74501" w14:textId="77777777" w:rsidR="00940F10" w:rsidRDefault="00940F10"/>
  </w:endnote>
  <w:endnote w:type="continuationNotice" w:id="1">
    <w:p w14:paraId="56116D2C" w14:textId="77777777" w:rsidR="00940F10" w:rsidRDefault="00940F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0DB0" w14:textId="77777777" w:rsidR="004F7BE2" w:rsidRPr="00187F05" w:rsidRDefault="004F7BE2"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DCA7" w14:textId="77777777" w:rsidR="004F7BE2" w:rsidRDefault="004F7BE2">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DFD0" w14:textId="77777777" w:rsidR="004F7BE2" w:rsidRDefault="004F7BE2">
    <w:pPr>
      <w:pStyle w:val="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282B" w14:textId="77777777" w:rsidR="004F7BE2" w:rsidRPr="00187F05" w:rsidRDefault="004F7BE2"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05459"/>
      <w:docPartObj>
        <w:docPartGallery w:val="Page Numbers (Bottom of Page)"/>
        <w:docPartUnique/>
      </w:docPartObj>
    </w:sdtPr>
    <w:sdtContent>
      <w:sdt>
        <w:sdtPr>
          <w:id w:val="372884374"/>
          <w:docPartObj>
            <w:docPartGallery w:val="Page Numbers (Top of Page)"/>
            <w:docPartUnique/>
          </w:docPartObj>
        </w:sdtPr>
        <w:sdtContent>
          <w:p w14:paraId="1236A80F" w14:textId="77777777" w:rsidR="004F7BE2" w:rsidRPr="0042508F" w:rsidRDefault="004F7BE2"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B78D4" w14:textId="77777777" w:rsidR="00940F10" w:rsidRPr="00C238D1" w:rsidRDefault="00940F10" w:rsidP="00273E86">
      <w:pPr>
        <w:spacing w:after="0" w:line="240" w:lineRule="auto"/>
        <w:rPr>
          <w:rStyle w:val="ColourDarkBlue"/>
        </w:rPr>
      </w:pPr>
      <w:r w:rsidRPr="00C238D1">
        <w:rPr>
          <w:rStyle w:val="ColourDarkBlue"/>
        </w:rPr>
        <w:continuationSeparator/>
      </w:r>
    </w:p>
  </w:footnote>
  <w:footnote w:type="continuationSeparator" w:id="0">
    <w:p w14:paraId="47B43090" w14:textId="77777777" w:rsidR="00940F10" w:rsidRPr="001D7D9B" w:rsidRDefault="00940F10" w:rsidP="001D7D9B">
      <w:pPr>
        <w:spacing w:after="0" w:line="240" w:lineRule="auto"/>
        <w:rPr>
          <w:color w:val="265A9A" w:themeColor="background2"/>
        </w:rPr>
      </w:pPr>
      <w:r w:rsidRPr="00C238D1">
        <w:rPr>
          <w:rStyle w:val="ColourDarkBlue"/>
        </w:rPr>
        <w:continuationSeparator/>
      </w:r>
    </w:p>
  </w:footnote>
  <w:footnote w:type="continuationNotice" w:id="1">
    <w:p w14:paraId="3892BBAA" w14:textId="77777777" w:rsidR="00940F10" w:rsidRDefault="00940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25EF" w14:textId="35A2CA7C" w:rsidR="004F7BE2" w:rsidRPr="00201320" w:rsidRDefault="00F30A2D" w:rsidP="004544D6">
    <w:pPr>
      <w:pStyle w:val="Header-Keyline"/>
      <w:rPr>
        <w:rStyle w:val="Strong"/>
        <w:b w:val="0"/>
        <w:bCs w:val="0"/>
      </w:rPr>
    </w:pPr>
    <w:r>
      <w:rPr>
        <w:rStyle w:val="Strong"/>
      </w:rPr>
      <w:t>Delivering quality care more efficiently</w:t>
    </w:r>
    <w:r w:rsidR="004F7BE2">
      <w:t xml:space="preserve"> </w:t>
    </w:r>
    <w:r w:rsidR="004F4A29">
      <w:t>I</w:t>
    </w:r>
    <w:r w:rsidR="00D756E1">
      <w:t>nquiry interim</w:t>
    </w:r>
    <w:r w:rsidR="004F7BE2">
      <w:t xml:space="preserve"> </w:t>
    </w:r>
    <w:r w:rsidR="009E3265">
      <w:t>r</w:t>
    </w:r>
    <w:r w:rsidR="004F7BE2">
      <w:t>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E044" w14:textId="0D07E61F" w:rsidR="004F7BE2" w:rsidRDefault="00922B0A" w:rsidP="004544D6">
    <w:pPr>
      <w:pStyle w:val="Header-KeylineRight"/>
    </w:pPr>
    <w:fldSimple w:instr="STYLEREF  &quot;Heading 1-no background&quot;  \* MERGEFORMAT">
      <w:r w:rsidR="00740EC7">
        <w:rPr>
          <w:noProof/>
        </w:rPr>
        <w:t>Opportunity for comment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4C18" w14:textId="06BABCC3" w:rsidR="00120DB2" w:rsidRDefault="00120D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BB74" w14:textId="4CA03C90" w:rsidR="00B91DFB" w:rsidRDefault="00B91DFB">
    <w:pPr>
      <w:pStyle w:val="Header-Keyline"/>
    </w:pPr>
    <w:r>
      <w:rPr>
        <w:rStyle w:val="Strong"/>
      </w:rPr>
      <w:t>Delivering quality care more efficiently</w:t>
    </w:r>
    <w:r>
      <w:t xml:space="preserve"> Inquiry interim report</w:t>
    </w:r>
    <w:r>
      <w:rPr>
        <w:noProof/>
      </w:rPr>
      <w:drawing>
        <wp:anchor distT="0" distB="0" distL="114300" distR="114300" simplePos="0" relativeHeight="251658245" behindDoc="1" locked="0" layoutInCell="1" allowOverlap="1" wp14:anchorId="56C52456" wp14:editId="04AFE2EB">
          <wp:simplePos x="0" y="0"/>
          <wp:positionH relativeFrom="column">
            <wp:posOffset>-720090</wp:posOffset>
          </wp:positionH>
          <wp:positionV relativeFrom="paragraph">
            <wp:posOffset>-504190</wp:posOffset>
          </wp:positionV>
          <wp:extent cx="7560000" cy="10681108"/>
          <wp:effectExtent l="0" t="0" r="3175" b="6350"/>
          <wp:wrapNone/>
          <wp:docPr id="183667566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75660"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1108"/>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1DAC" w14:textId="6CF6D194" w:rsidR="005B00D2" w:rsidRDefault="005B00D2">
    <w:pPr>
      <w:pStyle w:val="Header-Keyline"/>
    </w:pPr>
    <w:r>
      <w:rPr>
        <w:rStyle w:val="Strong"/>
      </w:rPr>
      <w:t>Delivering quality care more efficiently</w:t>
    </w:r>
    <w:r>
      <w:t xml:space="preserve"> Inquiry interim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72A4" w14:textId="4CBF7671" w:rsidR="00D87D40" w:rsidRDefault="00922B0A">
    <w:pPr>
      <w:pStyle w:val="Header-KeylineRight"/>
    </w:pPr>
    <w:fldSimple w:instr=" STYLEREF  &quot;Heading 1-no number&quot;  \* MERGEFORMAT ">
      <w:r w:rsidR="00740EC7">
        <w:rPr>
          <w:noProof/>
        </w:rPr>
        <w:t>Draft recommendations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3325" w14:textId="3218D41A" w:rsidR="00DA582F" w:rsidRDefault="00DA582F">
    <w:pPr>
      <w:pStyle w:val="Header-Keyline"/>
    </w:pPr>
    <w:r>
      <w:rPr>
        <w:rStyle w:val="Strong"/>
      </w:rPr>
      <w:t>Delivering quality care more efficiently</w:t>
    </w:r>
    <w:r>
      <w:t xml:space="preserve"> Inquiry interim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8C2B3A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DA4EE3"/>
    <w:multiLevelType w:val="hybridMultilevel"/>
    <w:tmpl w:val="3D28B81A"/>
    <w:lvl w:ilvl="0" w:tplc="30266912">
      <w:start w:val="1"/>
      <w:numFmt w:val="bullet"/>
      <w:lvlText w:val=""/>
      <w:lvlJc w:val="left"/>
      <w:pPr>
        <w:tabs>
          <w:tab w:val="num" w:pos="720"/>
        </w:tabs>
        <w:ind w:left="720" w:hanging="360"/>
      </w:pPr>
      <w:rPr>
        <w:rFonts w:ascii="Symbol" w:hAnsi="Symbol" w:hint="default"/>
      </w:rPr>
    </w:lvl>
    <w:lvl w:ilvl="1" w:tplc="71D45C4C" w:tentative="1">
      <w:start w:val="1"/>
      <w:numFmt w:val="bullet"/>
      <w:lvlText w:val=""/>
      <w:lvlJc w:val="left"/>
      <w:pPr>
        <w:tabs>
          <w:tab w:val="num" w:pos="1440"/>
        </w:tabs>
        <w:ind w:left="1440" w:hanging="360"/>
      </w:pPr>
      <w:rPr>
        <w:rFonts w:ascii="Symbol" w:hAnsi="Symbol" w:hint="default"/>
      </w:rPr>
    </w:lvl>
    <w:lvl w:ilvl="2" w:tplc="4D12274C" w:tentative="1">
      <w:start w:val="1"/>
      <w:numFmt w:val="bullet"/>
      <w:lvlText w:val=""/>
      <w:lvlJc w:val="left"/>
      <w:pPr>
        <w:tabs>
          <w:tab w:val="num" w:pos="2160"/>
        </w:tabs>
        <w:ind w:left="2160" w:hanging="360"/>
      </w:pPr>
      <w:rPr>
        <w:rFonts w:ascii="Symbol" w:hAnsi="Symbol" w:hint="default"/>
      </w:rPr>
    </w:lvl>
    <w:lvl w:ilvl="3" w:tplc="0C08DACE" w:tentative="1">
      <w:start w:val="1"/>
      <w:numFmt w:val="bullet"/>
      <w:lvlText w:val=""/>
      <w:lvlJc w:val="left"/>
      <w:pPr>
        <w:tabs>
          <w:tab w:val="num" w:pos="2880"/>
        </w:tabs>
        <w:ind w:left="2880" w:hanging="360"/>
      </w:pPr>
      <w:rPr>
        <w:rFonts w:ascii="Symbol" w:hAnsi="Symbol" w:hint="default"/>
      </w:rPr>
    </w:lvl>
    <w:lvl w:ilvl="4" w:tplc="B1488278" w:tentative="1">
      <w:start w:val="1"/>
      <w:numFmt w:val="bullet"/>
      <w:lvlText w:val=""/>
      <w:lvlJc w:val="left"/>
      <w:pPr>
        <w:tabs>
          <w:tab w:val="num" w:pos="3600"/>
        </w:tabs>
        <w:ind w:left="3600" w:hanging="360"/>
      </w:pPr>
      <w:rPr>
        <w:rFonts w:ascii="Symbol" w:hAnsi="Symbol" w:hint="default"/>
      </w:rPr>
    </w:lvl>
    <w:lvl w:ilvl="5" w:tplc="A88A382E" w:tentative="1">
      <w:start w:val="1"/>
      <w:numFmt w:val="bullet"/>
      <w:lvlText w:val=""/>
      <w:lvlJc w:val="left"/>
      <w:pPr>
        <w:tabs>
          <w:tab w:val="num" w:pos="4320"/>
        </w:tabs>
        <w:ind w:left="4320" w:hanging="360"/>
      </w:pPr>
      <w:rPr>
        <w:rFonts w:ascii="Symbol" w:hAnsi="Symbol" w:hint="default"/>
      </w:rPr>
    </w:lvl>
    <w:lvl w:ilvl="6" w:tplc="BDD4DF8E" w:tentative="1">
      <w:start w:val="1"/>
      <w:numFmt w:val="bullet"/>
      <w:lvlText w:val=""/>
      <w:lvlJc w:val="left"/>
      <w:pPr>
        <w:tabs>
          <w:tab w:val="num" w:pos="5040"/>
        </w:tabs>
        <w:ind w:left="5040" w:hanging="360"/>
      </w:pPr>
      <w:rPr>
        <w:rFonts w:ascii="Symbol" w:hAnsi="Symbol" w:hint="default"/>
      </w:rPr>
    </w:lvl>
    <w:lvl w:ilvl="7" w:tplc="D86C3E84" w:tentative="1">
      <w:start w:val="1"/>
      <w:numFmt w:val="bullet"/>
      <w:lvlText w:val=""/>
      <w:lvlJc w:val="left"/>
      <w:pPr>
        <w:tabs>
          <w:tab w:val="num" w:pos="5760"/>
        </w:tabs>
        <w:ind w:left="5760" w:hanging="360"/>
      </w:pPr>
      <w:rPr>
        <w:rFonts w:ascii="Symbol" w:hAnsi="Symbol" w:hint="default"/>
      </w:rPr>
    </w:lvl>
    <w:lvl w:ilvl="8" w:tplc="DA580C6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79A4E03"/>
    <w:multiLevelType w:val="hybridMultilevel"/>
    <w:tmpl w:val="3808FE28"/>
    <w:lvl w:ilvl="0" w:tplc="CF080D14">
      <w:start w:val="1"/>
      <w:numFmt w:val="bullet"/>
      <w:lvlText w:val=""/>
      <w:lvlJc w:val="left"/>
      <w:pPr>
        <w:tabs>
          <w:tab w:val="num" w:pos="720"/>
        </w:tabs>
        <w:ind w:left="720" w:hanging="360"/>
      </w:pPr>
      <w:rPr>
        <w:rFonts w:ascii="Symbol" w:hAnsi="Symbol" w:hint="default"/>
      </w:rPr>
    </w:lvl>
    <w:lvl w:ilvl="1" w:tplc="0C740F8A" w:tentative="1">
      <w:start w:val="1"/>
      <w:numFmt w:val="bullet"/>
      <w:lvlText w:val=""/>
      <w:lvlJc w:val="left"/>
      <w:pPr>
        <w:tabs>
          <w:tab w:val="num" w:pos="1440"/>
        </w:tabs>
        <w:ind w:left="1440" w:hanging="360"/>
      </w:pPr>
      <w:rPr>
        <w:rFonts w:ascii="Symbol" w:hAnsi="Symbol" w:hint="default"/>
      </w:rPr>
    </w:lvl>
    <w:lvl w:ilvl="2" w:tplc="82A22AB6" w:tentative="1">
      <w:start w:val="1"/>
      <w:numFmt w:val="bullet"/>
      <w:lvlText w:val=""/>
      <w:lvlJc w:val="left"/>
      <w:pPr>
        <w:tabs>
          <w:tab w:val="num" w:pos="2160"/>
        </w:tabs>
        <w:ind w:left="2160" w:hanging="360"/>
      </w:pPr>
      <w:rPr>
        <w:rFonts w:ascii="Symbol" w:hAnsi="Symbol" w:hint="default"/>
      </w:rPr>
    </w:lvl>
    <w:lvl w:ilvl="3" w:tplc="CFD8327E" w:tentative="1">
      <w:start w:val="1"/>
      <w:numFmt w:val="bullet"/>
      <w:lvlText w:val=""/>
      <w:lvlJc w:val="left"/>
      <w:pPr>
        <w:tabs>
          <w:tab w:val="num" w:pos="2880"/>
        </w:tabs>
        <w:ind w:left="2880" w:hanging="360"/>
      </w:pPr>
      <w:rPr>
        <w:rFonts w:ascii="Symbol" w:hAnsi="Symbol" w:hint="default"/>
      </w:rPr>
    </w:lvl>
    <w:lvl w:ilvl="4" w:tplc="54107E68" w:tentative="1">
      <w:start w:val="1"/>
      <w:numFmt w:val="bullet"/>
      <w:lvlText w:val=""/>
      <w:lvlJc w:val="left"/>
      <w:pPr>
        <w:tabs>
          <w:tab w:val="num" w:pos="3600"/>
        </w:tabs>
        <w:ind w:left="3600" w:hanging="360"/>
      </w:pPr>
      <w:rPr>
        <w:rFonts w:ascii="Symbol" w:hAnsi="Symbol" w:hint="default"/>
      </w:rPr>
    </w:lvl>
    <w:lvl w:ilvl="5" w:tplc="DE36789E" w:tentative="1">
      <w:start w:val="1"/>
      <w:numFmt w:val="bullet"/>
      <w:lvlText w:val=""/>
      <w:lvlJc w:val="left"/>
      <w:pPr>
        <w:tabs>
          <w:tab w:val="num" w:pos="4320"/>
        </w:tabs>
        <w:ind w:left="4320" w:hanging="360"/>
      </w:pPr>
      <w:rPr>
        <w:rFonts w:ascii="Symbol" w:hAnsi="Symbol" w:hint="default"/>
      </w:rPr>
    </w:lvl>
    <w:lvl w:ilvl="6" w:tplc="CA0CD2EA" w:tentative="1">
      <w:start w:val="1"/>
      <w:numFmt w:val="bullet"/>
      <w:lvlText w:val=""/>
      <w:lvlJc w:val="left"/>
      <w:pPr>
        <w:tabs>
          <w:tab w:val="num" w:pos="5040"/>
        </w:tabs>
        <w:ind w:left="5040" w:hanging="360"/>
      </w:pPr>
      <w:rPr>
        <w:rFonts w:ascii="Symbol" w:hAnsi="Symbol" w:hint="default"/>
      </w:rPr>
    </w:lvl>
    <w:lvl w:ilvl="7" w:tplc="DB9C9440" w:tentative="1">
      <w:start w:val="1"/>
      <w:numFmt w:val="bullet"/>
      <w:lvlText w:val=""/>
      <w:lvlJc w:val="left"/>
      <w:pPr>
        <w:tabs>
          <w:tab w:val="num" w:pos="5760"/>
        </w:tabs>
        <w:ind w:left="5760" w:hanging="360"/>
      </w:pPr>
      <w:rPr>
        <w:rFonts w:ascii="Symbol" w:hAnsi="Symbol" w:hint="default"/>
      </w:rPr>
    </w:lvl>
    <w:lvl w:ilvl="8" w:tplc="CDAA8EF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8" w15:restartNumberingAfterBreak="0">
    <w:nsid w:val="62EE110C"/>
    <w:multiLevelType w:val="hybridMultilevel"/>
    <w:tmpl w:val="996C38FE"/>
    <w:lvl w:ilvl="0" w:tplc="1DAA5306">
      <w:start w:val="3"/>
      <w:numFmt w:val="decimal"/>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761B4A1B"/>
    <w:multiLevelType w:val="multilevel"/>
    <w:tmpl w:val="4F48000A"/>
    <w:numStyleLink w:val="Alphalist"/>
  </w:abstractNum>
  <w:num w:numId="1" w16cid:durableId="1220020794">
    <w:abstractNumId w:val="6"/>
  </w:num>
  <w:num w:numId="2" w16cid:durableId="9335037">
    <w:abstractNumId w:val="2"/>
  </w:num>
  <w:num w:numId="3" w16cid:durableId="1770274636">
    <w:abstractNumId w:val="9"/>
  </w:num>
  <w:num w:numId="4" w16cid:durableId="2123768426">
    <w:abstractNumId w:val="16"/>
  </w:num>
  <w:num w:numId="5" w16cid:durableId="2147164343">
    <w:abstractNumId w:val="17"/>
  </w:num>
  <w:num w:numId="6" w16cid:durableId="1395083784">
    <w:abstractNumId w:val="15"/>
  </w:num>
  <w:num w:numId="7" w16cid:durableId="956329250">
    <w:abstractNumId w:val="11"/>
  </w:num>
  <w:num w:numId="8" w16cid:durableId="1611275472">
    <w:abstractNumId w:val="7"/>
  </w:num>
  <w:num w:numId="9" w16cid:durableId="360713607">
    <w:abstractNumId w:val="10"/>
  </w:num>
  <w:num w:numId="10" w16cid:durableId="1388069260">
    <w:abstractNumId w:val="19"/>
  </w:num>
  <w:num w:numId="11" w16cid:durableId="814882481">
    <w:abstractNumId w:val="0"/>
  </w:num>
  <w:num w:numId="12" w16cid:durableId="2008705549">
    <w:abstractNumId w:val="3"/>
  </w:num>
  <w:num w:numId="13" w16cid:durableId="490563872">
    <w:abstractNumId w:val="8"/>
  </w:num>
  <w:num w:numId="14" w16cid:durableId="1213885368">
    <w:abstractNumId w:val="5"/>
  </w:num>
  <w:num w:numId="15" w16cid:durableId="1120606403">
    <w:abstractNumId w:val="4"/>
  </w:num>
  <w:num w:numId="16" w16cid:durableId="695930222">
    <w:abstractNumId w:val="1"/>
  </w:num>
  <w:num w:numId="17" w16cid:durableId="1948732313">
    <w:abstractNumId w:val="12"/>
  </w:num>
  <w:num w:numId="18" w16cid:durableId="1589658487">
    <w:abstractNumId w:val="4"/>
  </w:num>
  <w:num w:numId="19" w16cid:durableId="877166036">
    <w:abstractNumId w:val="18"/>
  </w:num>
  <w:num w:numId="20" w16cid:durableId="387800070">
    <w:abstractNumId w:val="4"/>
  </w:num>
  <w:num w:numId="21" w16cid:durableId="114033110">
    <w:abstractNumId w:val="4"/>
  </w:num>
  <w:num w:numId="22" w16cid:durableId="1398165498">
    <w:abstractNumId w:val="4"/>
  </w:num>
  <w:num w:numId="23" w16cid:durableId="1329211714">
    <w:abstractNumId w:val="4"/>
  </w:num>
  <w:num w:numId="24" w16cid:durableId="736047706">
    <w:abstractNumId w:val="4"/>
  </w:num>
  <w:num w:numId="25" w16cid:durableId="1933201281">
    <w:abstractNumId w:val="14"/>
  </w:num>
  <w:num w:numId="26" w16cid:durableId="1437944690">
    <w:abstractNumId w:val="13"/>
  </w:num>
  <w:num w:numId="27" w16cid:durableId="550385054">
    <w:abstractNumId w:val="4"/>
  </w:num>
  <w:num w:numId="28" w16cid:durableId="19164410">
    <w:abstractNumId w:val="4"/>
  </w:num>
  <w:num w:numId="29" w16cid:durableId="1090463918">
    <w:abstractNumId w:val="4"/>
  </w:num>
  <w:num w:numId="30" w16cid:durableId="1401714296">
    <w:abstractNumId w:val="4"/>
  </w:num>
  <w:num w:numId="31" w16cid:durableId="1720471575">
    <w:abstractNumId w:val="4"/>
  </w:num>
  <w:num w:numId="32" w16cid:durableId="57828953">
    <w:abstractNumId w:val="4"/>
  </w:num>
  <w:num w:numId="33" w16cid:durableId="1669165104">
    <w:abstractNumId w:val="4"/>
  </w:num>
  <w:num w:numId="34" w16cid:durableId="985622991">
    <w:abstractNumId w:val="4"/>
  </w:num>
  <w:num w:numId="35" w16cid:durableId="1055737156">
    <w:abstractNumId w:val="4"/>
  </w:num>
  <w:num w:numId="36" w16cid:durableId="1072235609">
    <w:abstractNumId w:val="4"/>
  </w:num>
  <w:num w:numId="37" w16cid:durableId="182434510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D7"/>
    <w:rsid w:val="00000075"/>
    <w:rsid w:val="00000F3C"/>
    <w:rsid w:val="00004000"/>
    <w:rsid w:val="0000401F"/>
    <w:rsid w:val="00004489"/>
    <w:rsid w:val="00005A02"/>
    <w:rsid w:val="00005C79"/>
    <w:rsid w:val="00010AD3"/>
    <w:rsid w:val="00012243"/>
    <w:rsid w:val="00013E41"/>
    <w:rsid w:val="00014885"/>
    <w:rsid w:val="00017ACA"/>
    <w:rsid w:val="000207C0"/>
    <w:rsid w:val="00022A13"/>
    <w:rsid w:val="00024D96"/>
    <w:rsid w:val="00025352"/>
    <w:rsid w:val="00026C04"/>
    <w:rsid w:val="000300AF"/>
    <w:rsid w:val="0003241B"/>
    <w:rsid w:val="000324B2"/>
    <w:rsid w:val="000324F8"/>
    <w:rsid w:val="00032F94"/>
    <w:rsid w:val="000331E4"/>
    <w:rsid w:val="0003338D"/>
    <w:rsid w:val="00033619"/>
    <w:rsid w:val="00034BFB"/>
    <w:rsid w:val="00041492"/>
    <w:rsid w:val="00041C23"/>
    <w:rsid w:val="00043FF3"/>
    <w:rsid w:val="0004416E"/>
    <w:rsid w:val="000448DF"/>
    <w:rsid w:val="000451AE"/>
    <w:rsid w:val="00047894"/>
    <w:rsid w:val="0005151B"/>
    <w:rsid w:val="00054378"/>
    <w:rsid w:val="00054C95"/>
    <w:rsid w:val="00054FCC"/>
    <w:rsid w:val="000561CF"/>
    <w:rsid w:val="0005774F"/>
    <w:rsid w:val="00060911"/>
    <w:rsid w:val="00062A44"/>
    <w:rsid w:val="00063350"/>
    <w:rsid w:val="00071E55"/>
    <w:rsid w:val="00072163"/>
    <w:rsid w:val="000724AE"/>
    <w:rsid w:val="00074992"/>
    <w:rsid w:val="00074D8C"/>
    <w:rsid w:val="000757AE"/>
    <w:rsid w:val="000761B3"/>
    <w:rsid w:val="0007776A"/>
    <w:rsid w:val="00077A76"/>
    <w:rsid w:val="0008037D"/>
    <w:rsid w:val="00084660"/>
    <w:rsid w:val="0008547F"/>
    <w:rsid w:val="00085D1B"/>
    <w:rsid w:val="00085FB9"/>
    <w:rsid w:val="00087EF7"/>
    <w:rsid w:val="000901ED"/>
    <w:rsid w:val="000908A6"/>
    <w:rsid w:val="00090F39"/>
    <w:rsid w:val="00091257"/>
    <w:rsid w:val="00091286"/>
    <w:rsid w:val="000929FD"/>
    <w:rsid w:val="000944E3"/>
    <w:rsid w:val="00095DE3"/>
    <w:rsid w:val="00096878"/>
    <w:rsid w:val="00096CCC"/>
    <w:rsid w:val="000979A4"/>
    <w:rsid w:val="000A0F08"/>
    <w:rsid w:val="000A1609"/>
    <w:rsid w:val="000A2B42"/>
    <w:rsid w:val="000A38AA"/>
    <w:rsid w:val="000B0632"/>
    <w:rsid w:val="000B1945"/>
    <w:rsid w:val="000B2857"/>
    <w:rsid w:val="000B2927"/>
    <w:rsid w:val="000B2D8F"/>
    <w:rsid w:val="000B3E12"/>
    <w:rsid w:val="000B4603"/>
    <w:rsid w:val="000B497F"/>
    <w:rsid w:val="000B4A72"/>
    <w:rsid w:val="000B5105"/>
    <w:rsid w:val="000B511E"/>
    <w:rsid w:val="000B5A30"/>
    <w:rsid w:val="000B5F07"/>
    <w:rsid w:val="000C6577"/>
    <w:rsid w:val="000C6B77"/>
    <w:rsid w:val="000C7C9A"/>
    <w:rsid w:val="000D0330"/>
    <w:rsid w:val="000D73F4"/>
    <w:rsid w:val="000D7D7E"/>
    <w:rsid w:val="000E1DAC"/>
    <w:rsid w:val="000E2226"/>
    <w:rsid w:val="000E2736"/>
    <w:rsid w:val="000E43B0"/>
    <w:rsid w:val="000E4F36"/>
    <w:rsid w:val="000F0BBC"/>
    <w:rsid w:val="000F17B5"/>
    <w:rsid w:val="000F3A38"/>
    <w:rsid w:val="000F3E4E"/>
    <w:rsid w:val="000F4488"/>
    <w:rsid w:val="000F4C3D"/>
    <w:rsid w:val="000F6866"/>
    <w:rsid w:val="000F7781"/>
    <w:rsid w:val="000F7823"/>
    <w:rsid w:val="00100FAB"/>
    <w:rsid w:val="00103026"/>
    <w:rsid w:val="00103785"/>
    <w:rsid w:val="00104CC7"/>
    <w:rsid w:val="00110BB1"/>
    <w:rsid w:val="0011118C"/>
    <w:rsid w:val="0011217E"/>
    <w:rsid w:val="00112E8F"/>
    <w:rsid w:val="0011306B"/>
    <w:rsid w:val="00114205"/>
    <w:rsid w:val="00115B87"/>
    <w:rsid w:val="0011614C"/>
    <w:rsid w:val="0012059C"/>
    <w:rsid w:val="00120792"/>
    <w:rsid w:val="00120DB2"/>
    <w:rsid w:val="00123E34"/>
    <w:rsid w:val="001251EC"/>
    <w:rsid w:val="001268BC"/>
    <w:rsid w:val="00130114"/>
    <w:rsid w:val="00130CA2"/>
    <w:rsid w:val="00131B89"/>
    <w:rsid w:val="00131C0F"/>
    <w:rsid w:val="0013274B"/>
    <w:rsid w:val="00132B0E"/>
    <w:rsid w:val="001348FD"/>
    <w:rsid w:val="0013722E"/>
    <w:rsid w:val="00137526"/>
    <w:rsid w:val="00137AF0"/>
    <w:rsid w:val="00137FAB"/>
    <w:rsid w:val="001405C3"/>
    <w:rsid w:val="00141AB4"/>
    <w:rsid w:val="00144303"/>
    <w:rsid w:val="0014677B"/>
    <w:rsid w:val="00146C42"/>
    <w:rsid w:val="001500D2"/>
    <w:rsid w:val="00150629"/>
    <w:rsid w:val="00150A78"/>
    <w:rsid w:val="001526B2"/>
    <w:rsid w:val="00154E0D"/>
    <w:rsid w:val="001553BA"/>
    <w:rsid w:val="0015669B"/>
    <w:rsid w:val="00156A86"/>
    <w:rsid w:val="001600E9"/>
    <w:rsid w:val="001607BA"/>
    <w:rsid w:val="00160EFD"/>
    <w:rsid w:val="00160FEC"/>
    <w:rsid w:val="001610E5"/>
    <w:rsid w:val="00161BC8"/>
    <w:rsid w:val="0016561F"/>
    <w:rsid w:val="00166179"/>
    <w:rsid w:val="00170966"/>
    <w:rsid w:val="001714F3"/>
    <w:rsid w:val="00183DA4"/>
    <w:rsid w:val="00184827"/>
    <w:rsid w:val="00185D49"/>
    <w:rsid w:val="00185D6E"/>
    <w:rsid w:val="00187F05"/>
    <w:rsid w:val="00190475"/>
    <w:rsid w:val="001923B5"/>
    <w:rsid w:val="0019299E"/>
    <w:rsid w:val="001957BF"/>
    <w:rsid w:val="00195B9C"/>
    <w:rsid w:val="00195F31"/>
    <w:rsid w:val="001979EB"/>
    <w:rsid w:val="001A06C1"/>
    <w:rsid w:val="001A0D77"/>
    <w:rsid w:val="001A0EE9"/>
    <w:rsid w:val="001A172B"/>
    <w:rsid w:val="001A196A"/>
    <w:rsid w:val="001A1D95"/>
    <w:rsid w:val="001A22F5"/>
    <w:rsid w:val="001A2565"/>
    <w:rsid w:val="001A367E"/>
    <w:rsid w:val="001A5172"/>
    <w:rsid w:val="001A7171"/>
    <w:rsid w:val="001A77A8"/>
    <w:rsid w:val="001A7CE7"/>
    <w:rsid w:val="001B0CEC"/>
    <w:rsid w:val="001B0E55"/>
    <w:rsid w:val="001B1762"/>
    <w:rsid w:val="001B17AC"/>
    <w:rsid w:val="001B1A99"/>
    <w:rsid w:val="001B2535"/>
    <w:rsid w:val="001B588D"/>
    <w:rsid w:val="001B742F"/>
    <w:rsid w:val="001B74E5"/>
    <w:rsid w:val="001C08E2"/>
    <w:rsid w:val="001C1DAA"/>
    <w:rsid w:val="001C7835"/>
    <w:rsid w:val="001D100B"/>
    <w:rsid w:val="001D4050"/>
    <w:rsid w:val="001D4DD4"/>
    <w:rsid w:val="001D689A"/>
    <w:rsid w:val="001D7D9B"/>
    <w:rsid w:val="001E3CBC"/>
    <w:rsid w:val="001E6373"/>
    <w:rsid w:val="001F13C1"/>
    <w:rsid w:val="001F1E9A"/>
    <w:rsid w:val="001F446D"/>
    <w:rsid w:val="001F6B0A"/>
    <w:rsid w:val="00201320"/>
    <w:rsid w:val="002018F7"/>
    <w:rsid w:val="0020204A"/>
    <w:rsid w:val="0020244C"/>
    <w:rsid w:val="00202A29"/>
    <w:rsid w:val="00206183"/>
    <w:rsid w:val="002076D6"/>
    <w:rsid w:val="0021037F"/>
    <w:rsid w:val="002112EC"/>
    <w:rsid w:val="00211A62"/>
    <w:rsid w:val="002141BA"/>
    <w:rsid w:val="00215581"/>
    <w:rsid w:val="00221800"/>
    <w:rsid w:val="00221AB7"/>
    <w:rsid w:val="00223787"/>
    <w:rsid w:val="00224A2D"/>
    <w:rsid w:val="00225F67"/>
    <w:rsid w:val="00227217"/>
    <w:rsid w:val="00227712"/>
    <w:rsid w:val="00231F13"/>
    <w:rsid w:val="00233203"/>
    <w:rsid w:val="00233D8C"/>
    <w:rsid w:val="00234F9A"/>
    <w:rsid w:val="00235AC5"/>
    <w:rsid w:val="002368F3"/>
    <w:rsid w:val="0024006E"/>
    <w:rsid w:val="002414F6"/>
    <w:rsid w:val="0024292F"/>
    <w:rsid w:val="00242B1D"/>
    <w:rsid w:val="0024310E"/>
    <w:rsid w:val="002457DE"/>
    <w:rsid w:val="00246212"/>
    <w:rsid w:val="0024635B"/>
    <w:rsid w:val="00246435"/>
    <w:rsid w:val="00246BCF"/>
    <w:rsid w:val="002472A7"/>
    <w:rsid w:val="00251245"/>
    <w:rsid w:val="002516A0"/>
    <w:rsid w:val="00251CA2"/>
    <w:rsid w:val="00253940"/>
    <w:rsid w:val="002540CA"/>
    <w:rsid w:val="00255B6C"/>
    <w:rsid w:val="00255B98"/>
    <w:rsid w:val="00256B3B"/>
    <w:rsid w:val="00256DC0"/>
    <w:rsid w:val="00257B8A"/>
    <w:rsid w:val="002601BB"/>
    <w:rsid w:val="0026184E"/>
    <w:rsid w:val="00263247"/>
    <w:rsid w:val="00265918"/>
    <w:rsid w:val="00265ADC"/>
    <w:rsid w:val="00270834"/>
    <w:rsid w:val="00270ABC"/>
    <w:rsid w:val="00271E18"/>
    <w:rsid w:val="00272454"/>
    <w:rsid w:val="002736A5"/>
    <w:rsid w:val="00273E86"/>
    <w:rsid w:val="002755B0"/>
    <w:rsid w:val="00280A02"/>
    <w:rsid w:val="002814E6"/>
    <w:rsid w:val="00281A54"/>
    <w:rsid w:val="00282AE5"/>
    <w:rsid w:val="0028312D"/>
    <w:rsid w:val="002832F4"/>
    <w:rsid w:val="00287114"/>
    <w:rsid w:val="00287FAF"/>
    <w:rsid w:val="00290681"/>
    <w:rsid w:val="00291D30"/>
    <w:rsid w:val="002936B4"/>
    <w:rsid w:val="002951E6"/>
    <w:rsid w:val="00295330"/>
    <w:rsid w:val="00297679"/>
    <w:rsid w:val="002A03D0"/>
    <w:rsid w:val="002A23B5"/>
    <w:rsid w:val="002A2F58"/>
    <w:rsid w:val="002A3FF1"/>
    <w:rsid w:val="002A57AA"/>
    <w:rsid w:val="002A6205"/>
    <w:rsid w:val="002A6A9B"/>
    <w:rsid w:val="002B0577"/>
    <w:rsid w:val="002B4D76"/>
    <w:rsid w:val="002B6C00"/>
    <w:rsid w:val="002C08C4"/>
    <w:rsid w:val="002C1971"/>
    <w:rsid w:val="002C7594"/>
    <w:rsid w:val="002C797E"/>
    <w:rsid w:val="002D4233"/>
    <w:rsid w:val="002D4992"/>
    <w:rsid w:val="002D50CB"/>
    <w:rsid w:val="002D76AD"/>
    <w:rsid w:val="002E2A59"/>
    <w:rsid w:val="002E3F19"/>
    <w:rsid w:val="002E51D2"/>
    <w:rsid w:val="002E71A9"/>
    <w:rsid w:val="002E79B8"/>
    <w:rsid w:val="002E7A0E"/>
    <w:rsid w:val="002E7EFA"/>
    <w:rsid w:val="002F0736"/>
    <w:rsid w:val="002F0D52"/>
    <w:rsid w:val="002F14B3"/>
    <w:rsid w:val="002F2A9A"/>
    <w:rsid w:val="002F57E0"/>
    <w:rsid w:val="002F626A"/>
    <w:rsid w:val="002F6386"/>
    <w:rsid w:val="002F678B"/>
    <w:rsid w:val="00300FF4"/>
    <w:rsid w:val="003018B6"/>
    <w:rsid w:val="00301BC0"/>
    <w:rsid w:val="00303704"/>
    <w:rsid w:val="003037F1"/>
    <w:rsid w:val="003045C4"/>
    <w:rsid w:val="003048EF"/>
    <w:rsid w:val="00305171"/>
    <w:rsid w:val="00307940"/>
    <w:rsid w:val="0031354F"/>
    <w:rsid w:val="00313DEB"/>
    <w:rsid w:val="00314A87"/>
    <w:rsid w:val="003157C4"/>
    <w:rsid w:val="00315CCD"/>
    <w:rsid w:val="003166B8"/>
    <w:rsid w:val="00320229"/>
    <w:rsid w:val="0032054A"/>
    <w:rsid w:val="003217DB"/>
    <w:rsid w:val="00322602"/>
    <w:rsid w:val="00323400"/>
    <w:rsid w:val="003249DA"/>
    <w:rsid w:val="00326332"/>
    <w:rsid w:val="00326A36"/>
    <w:rsid w:val="00331B12"/>
    <w:rsid w:val="00332015"/>
    <w:rsid w:val="003347D1"/>
    <w:rsid w:val="00335EB7"/>
    <w:rsid w:val="00336ECB"/>
    <w:rsid w:val="0034022E"/>
    <w:rsid w:val="003417D9"/>
    <w:rsid w:val="00344EBD"/>
    <w:rsid w:val="003453FC"/>
    <w:rsid w:val="0034680A"/>
    <w:rsid w:val="00350452"/>
    <w:rsid w:val="0035108A"/>
    <w:rsid w:val="003526E9"/>
    <w:rsid w:val="00354696"/>
    <w:rsid w:val="0035519A"/>
    <w:rsid w:val="0036059A"/>
    <w:rsid w:val="00362C8F"/>
    <w:rsid w:val="003638CF"/>
    <w:rsid w:val="00363FF8"/>
    <w:rsid w:val="003640E1"/>
    <w:rsid w:val="003648F7"/>
    <w:rsid w:val="003713FB"/>
    <w:rsid w:val="003715B7"/>
    <w:rsid w:val="003759DE"/>
    <w:rsid w:val="00376491"/>
    <w:rsid w:val="0037659C"/>
    <w:rsid w:val="0037721D"/>
    <w:rsid w:val="00377D09"/>
    <w:rsid w:val="003801B0"/>
    <w:rsid w:val="00380862"/>
    <w:rsid w:val="0038102A"/>
    <w:rsid w:val="003816EA"/>
    <w:rsid w:val="003816F0"/>
    <w:rsid w:val="00381F55"/>
    <w:rsid w:val="003826DC"/>
    <w:rsid w:val="003833B4"/>
    <w:rsid w:val="00384F18"/>
    <w:rsid w:val="003852A1"/>
    <w:rsid w:val="003864C5"/>
    <w:rsid w:val="00387464"/>
    <w:rsid w:val="003925DB"/>
    <w:rsid w:val="0039463C"/>
    <w:rsid w:val="00394D16"/>
    <w:rsid w:val="003A0C12"/>
    <w:rsid w:val="003A0DBA"/>
    <w:rsid w:val="003A2453"/>
    <w:rsid w:val="003A743E"/>
    <w:rsid w:val="003A7ADE"/>
    <w:rsid w:val="003B12C9"/>
    <w:rsid w:val="003B280C"/>
    <w:rsid w:val="003B2A34"/>
    <w:rsid w:val="003B2A99"/>
    <w:rsid w:val="003B3BC2"/>
    <w:rsid w:val="003B6E2C"/>
    <w:rsid w:val="003B7DB1"/>
    <w:rsid w:val="003C01D4"/>
    <w:rsid w:val="003C04FB"/>
    <w:rsid w:val="003C1B34"/>
    <w:rsid w:val="003C2CC3"/>
    <w:rsid w:val="003C4210"/>
    <w:rsid w:val="003C4719"/>
    <w:rsid w:val="003C63EA"/>
    <w:rsid w:val="003C69BF"/>
    <w:rsid w:val="003D09EE"/>
    <w:rsid w:val="003D1A06"/>
    <w:rsid w:val="003D23A3"/>
    <w:rsid w:val="003D3F18"/>
    <w:rsid w:val="003D40C4"/>
    <w:rsid w:val="003D5856"/>
    <w:rsid w:val="003E017D"/>
    <w:rsid w:val="003E289A"/>
    <w:rsid w:val="003E518B"/>
    <w:rsid w:val="003E6055"/>
    <w:rsid w:val="003E6077"/>
    <w:rsid w:val="003E737F"/>
    <w:rsid w:val="003E7ACD"/>
    <w:rsid w:val="003F0769"/>
    <w:rsid w:val="003F0F45"/>
    <w:rsid w:val="003F32EA"/>
    <w:rsid w:val="003F4109"/>
    <w:rsid w:val="003F4AB4"/>
    <w:rsid w:val="003F6F1A"/>
    <w:rsid w:val="0040060F"/>
    <w:rsid w:val="00400C9F"/>
    <w:rsid w:val="00400F03"/>
    <w:rsid w:val="00401A76"/>
    <w:rsid w:val="00404DD3"/>
    <w:rsid w:val="00404E4F"/>
    <w:rsid w:val="004062FB"/>
    <w:rsid w:val="004064F7"/>
    <w:rsid w:val="00406AF0"/>
    <w:rsid w:val="00407415"/>
    <w:rsid w:val="0041015E"/>
    <w:rsid w:val="004106E9"/>
    <w:rsid w:val="00412B66"/>
    <w:rsid w:val="00413181"/>
    <w:rsid w:val="00413CAD"/>
    <w:rsid w:val="00414635"/>
    <w:rsid w:val="00414AA2"/>
    <w:rsid w:val="00415D65"/>
    <w:rsid w:val="00416D51"/>
    <w:rsid w:val="00420F0E"/>
    <w:rsid w:val="0042339A"/>
    <w:rsid w:val="00423B15"/>
    <w:rsid w:val="0042415E"/>
    <w:rsid w:val="00424CB8"/>
    <w:rsid w:val="00424E77"/>
    <w:rsid w:val="0042508F"/>
    <w:rsid w:val="0043326D"/>
    <w:rsid w:val="00435390"/>
    <w:rsid w:val="00437172"/>
    <w:rsid w:val="00437577"/>
    <w:rsid w:val="004379C2"/>
    <w:rsid w:val="00437FC3"/>
    <w:rsid w:val="004400E8"/>
    <w:rsid w:val="00440666"/>
    <w:rsid w:val="0044087D"/>
    <w:rsid w:val="00442C4D"/>
    <w:rsid w:val="004439E4"/>
    <w:rsid w:val="00444E95"/>
    <w:rsid w:val="00450967"/>
    <w:rsid w:val="00450C80"/>
    <w:rsid w:val="004516A4"/>
    <w:rsid w:val="004544D6"/>
    <w:rsid w:val="00455C82"/>
    <w:rsid w:val="00456373"/>
    <w:rsid w:val="00457552"/>
    <w:rsid w:val="00460C0D"/>
    <w:rsid w:val="00461CE9"/>
    <w:rsid w:val="00462407"/>
    <w:rsid w:val="004631DD"/>
    <w:rsid w:val="004635FD"/>
    <w:rsid w:val="00463DF2"/>
    <w:rsid w:val="0046497D"/>
    <w:rsid w:val="00465CE6"/>
    <w:rsid w:val="00467DBC"/>
    <w:rsid w:val="00467F83"/>
    <w:rsid w:val="00470023"/>
    <w:rsid w:val="00470129"/>
    <w:rsid w:val="0047142B"/>
    <w:rsid w:val="0047192D"/>
    <w:rsid w:val="004728A0"/>
    <w:rsid w:val="00472F3E"/>
    <w:rsid w:val="004742DD"/>
    <w:rsid w:val="00475096"/>
    <w:rsid w:val="00475231"/>
    <w:rsid w:val="004832CC"/>
    <w:rsid w:val="004843A0"/>
    <w:rsid w:val="00484E96"/>
    <w:rsid w:val="00485423"/>
    <w:rsid w:val="00485A43"/>
    <w:rsid w:val="00485E73"/>
    <w:rsid w:val="00486337"/>
    <w:rsid w:val="00486A1B"/>
    <w:rsid w:val="00491796"/>
    <w:rsid w:val="00493B7F"/>
    <w:rsid w:val="00493FE9"/>
    <w:rsid w:val="00495078"/>
    <w:rsid w:val="00495635"/>
    <w:rsid w:val="00495F4B"/>
    <w:rsid w:val="00496700"/>
    <w:rsid w:val="00496838"/>
    <w:rsid w:val="004A01D9"/>
    <w:rsid w:val="004A1F83"/>
    <w:rsid w:val="004A2FB8"/>
    <w:rsid w:val="004A3016"/>
    <w:rsid w:val="004A4707"/>
    <w:rsid w:val="004A486B"/>
    <w:rsid w:val="004A5586"/>
    <w:rsid w:val="004B09B0"/>
    <w:rsid w:val="004B1531"/>
    <w:rsid w:val="004B4A84"/>
    <w:rsid w:val="004B5D7A"/>
    <w:rsid w:val="004B609E"/>
    <w:rsid w:val="004B72E9"/>
    <w:rsid w:val="004C24FC"/>
    <w:rsid w:val="004C2E61"/>
    <w:rsid w:val="004C34D2"/>
    <w:rsid w:val="004C3A5D"/>
    <w:rsid w:val="004C4823"/>
    <w:rsid w:val="004C4A3E"/>
    <w:rsid w:val="004C59F6"/>
    <w:rsid w:val="004C6075"/>
    <w:rsid w:val="004D397A"/>
    <w:rsid w:val="004D3E27"/>
    <w:rsid w:val="004D49B4"/>
    <w:rsid w:val="004D4F6A"/>
    <w:rsid w:val="004E087F"/>
    <w:rsid w:val="004E1233"/>
    <w:rsid w:val="004E15B2"/>
    <w:rsid w:val="004E1BBF"/>
    <w:rsid w:val="004E28C6"/>
    <w:rsid w:val="004E3F46"/>
    <w:rsid w:val="004E44EB"/>
    <w:rsid w:val="004E5196"/>
    <w:rsid w:val="004E59E4"/>
    <w:rsid w:val="004E6DE1"/>
    <w:rsid w:val="004E71FA"/>
    <w:rsid w:val="004E79AE"/>
    <w:rsid w:val="004F0CE6"/>
    <w:rsid w:val="004F100B"/>
    <w:rsid w:val="004F10E0"/>
    <w:rsid w:val="004F138F"/>
    <w:rsid w:val="004F2D0A"/>
    <w:rsid w:val="004F381C"/>
    <w:rsid w:val="004F420C"/>
    <w:rsid w:val="004F4A29"/>
    <w:rsid w:val="004F4C25"/>
    <w:rsid w:val="004F6605"/>
    <w:rsid w:val="004F670A"/>
    <w:rsid w:val="004F6D5A"/>
    <w:rsid w:val="004F7BE2"/>
    <w:rsid w:val="00500123"/>
    <w:rsid w:val="005033E8"/>
    <w:rsid w:val="00505528"/>
    <w:rsid w:val="00505EC4"/>
    <w:rsid w:val="0050670B"/>
    <w:rsid w:val="0050791C"/>
    <w:rsid w:val="00511B29"/>
    <w:rsid w:val="005124ED"/>
    <w:rsid w:val="005141E8"/>
    <w:rsid w:val="005146C8"/>
    <w:rsid w:val="005155C0"/>
    <w:rsid w:val="00516A89"/>
    <w:rsid w:val="00517257"/>
    <w:rsid w:val="00517963"/>
    <w:rsid w:val="00523905"/>
    <w:rsid w:val="005277C4"/>
    <w:rsid w:val="00527A18"/>
    <w:rsid w:val="00527A92"/>
    <w:rsid w:val="00530CBF"/>
    <w:rsid w:val="005313F7"/>
    <w:rsid w:val="005373C9"/>
    <w:rsid w:val="0053795F"/>
    <w:rsid w:val="00540B70"/>
    <w:rsid w:val="005412A8"/>
    <w:rsid w:val="00541BA4"/>
    <w:rsid w:val="005429A0"/>
    <w:rsid w:val="005456DB"/>
    <w:rsid w:val="00550C99"/>
    <w:rsid w:val="00550FDB"/>
    <w:rsid w:val="00553413"/>
    <w:rsid w:val="00555AB2"/>
    <w:rsid w:val="0055646A"/>
    <w:rsid w:val="005576F3"/>
    <w:rsid w:val="00561129"/>
    <w:rsid w:val="00561ACE"/>
    <w:rsid w:val="00562410"/>
    <w:rsid w:val="00564CC0"/>
    <w:rsid w:val="00564DB5"/>
    <w:rsid w:val="00566019"/>
    <w:rsid w:val="00567E82"/>
    <w:rsid w:val="00571371"/>
    <w:rsid w:val="00571C54"/>
    <w:rsid w:val="005723BA"/>
    <w:rsid w:val="00572C87"/>
    <w:rsid w:val="0057481D"/>
    <w:rsid w:val="005754AB"/>
    <w:rsid w:val="00577971"/>
    <w:rsid w:val="0058113E"/>
    <w:rsid w:val="005826F4"/>
    <w:rsid w:val="00582870"/>
    <w:rsid w:val="0058369E"/>
    <w:rsid w:val="00584AB2"/>
    <w:rsid w:val="00584C5F"/>
    <w:rsid w:val="00585395"/>
    <w:rsid w:val="00587681"/>
    <w:rsid w:val="00590D09"/>
    <w:rsid w:val="00591070"/>
    <w:rsid w:val="00591410"/>
    <w:rsid w:val="0059156A"/>
    <w:rsid w:val="00593314"/>
    <w:rsid w:val="0059368E"/>
    <w:rsid w:val="00593BF5"/>
    <w:rsid w:val="00594194"/>
    <w:rsid w:val="00594496"/>
    <w:rsid w:val="005956C3"/>
    <w:rsid w:val="005956D3"/>
    <w:rsid w:val="00596365"/>
    <w:rsid w:val="005965BC"/>
    <w:rsid w:val="005A16C1"/>
    <w:rsid w:val="005A2DC8"/>
    <w:rsid w:val="005A360E"/>
    <w:rsid w:val="005A3EAE"/>
    <w:rsid w:val="005A4179"/>
    <w:rsid w:val="005A4962"/>
    <w:rsid w:val="005A7E78"/>
    <w:rsid w:val="005B00D2"/>
    <w:rsid w:val="005B03ED"/>
    <w:rsid w:val="005B1151"/>
    <w:rsid w:val="005B1776"/>
    <w:rsid w:val="005B1BA3"/>
    <w:rsid w:val="005B32FB"/>
    <w:rsid w:val="005B3325"/>
    <w:rsid w:val="005B4462"/>
    <w:rsid w:val="005B5E8C"/>
    <w:rsid w:val="005B62BF"/>
    <w:rsid w:val="005B7270"/>
    <w:rsid w:val="005B7FE4"/>
    <w:rsid w:val="005C05E0"/>
    <w:rsid w:val="005C07CB"/>
    <w:rsid w:val="005C1B05"/>
    <w:rsid w:val="005C2982"/>
    <w:rsid w:val="005C37E0"/>
    <w:rsid w:val="005C51DC"/>
    <w:rsid w:val="005C54B9"/>
    <w:rsid w:val="005C5A1C"/>
    <w:rsid w:val="005C6618"/>
    <w:rsid w:val="005C6FCC"/>
    <w:rsid w:val="005C7C43"/>
    <w:rsid w:val="005D0189"/>
    <w:rsid w:val="005D1004"/>
    <w:rsid w:val="005D1064"/>
    <w:rsid w:val="005D1782"/>
    <w:rsid w:val="005D2FB7"/>
    <w:rsid w:val="005D36CE"/>
    <w:rsid w:val="005D4C26"/>
    <w:rsid w:val="005D6C14"/>
    <w:rsid w:val="005E4470"/>
    <w:rsid w:val="005E5794"/>
    <w:rsid w:val="005E75A5"/>
    <w:rsid w:val="005F0273"/>
    <w:rsid w:val="005F372E"/>
    <w:rsid w:val="005F5952"/>
    <w:rsid w:val="006005EB"/>
    <w:rsid w:val="006033AB"/>
    <w:rsid w:val="00603FD5"/>
    <w:rsid w:val="00604259"/>
    <w:rsid w:val="006052AB"/>
    <w:rsid w:val="006063F8"/>
    <w:rsid w:val="006072ED"/>
    <w:rsid w:val="00607F03"/>
    <w:rsid w:val="00610627"/>
    <w:rsid w:val="00610F6C"/>
    <w:rsid w:val="006112AC"/>
    <w:rsid w:val="00611335"/>
    <w:rsid w:val="00612E88"/>
    <w:rsid w:val="00613A7E"/>
    <w:rsid w:val="00616DC8"/>
    <w:rsid w:val="00620548"/>
    <w:rsid w:val="00620549"/>
    <w:rsid w:val="00620664"/>
    <w:rsid w:val="00624194"/>
    <w:rsid w:val="00624B90"/>
    <w:rsid w:val="00630F02"/>
    <w:rsid w:val="0063310C"/>
    <w:rsid w:val="00633EEA"/>
    <w:rsid w:val="0063459F"/>
    <w:rsid w:val="00637F04"/>
    <w:rsid w:val="00640384"/>
    <w:rsid w:val="00642AD4"/>
    <w:rsid w:val="006475BD"/>
    <w:rsid w:val="0065098F"/>
    <w:rsid w:val="00651BDC"/>
    <w:rsid w:val="006527FF"/>
    <w:rsid w:val="00653190"/>
    <w:rsid w:val="006553D7"/>
    <w:rsid w:val="00656A8A"/>
    <w:rsid w:val="00657B71"/>
    <w:rsid w:val="00660BAB"/>
    <w:rsid w:val="00661CA3"/>
    <w:rsid w:val="00662209"/>
    <w:rsid w:val="0067078D"/>
    <w:rsid w:val="00670E77"/>
    <w:rsid w:val="00671C3F"/>
    <w:rsid w:val="00673D65"/>
    <w:rsid w:val="00673EFB"/>
    <w:rsid w:val="00677213"/>
    <w:rsid w:val="00681161"/>
    <w:rsid w:val="00681434"/>
    <w:rsid w:val="00682673"/>
    <w:rsid w:val="00682EAF"/>
    <w:rsid w:val="00684B58"/>
    <w:rsid w:val="006871C1"/>
    <w:rsid w:val="0068724F"/>
    <w:rsid w:val="00687E84"/>
    <w:rsid w:val="006929EA"/>
    <w:rsid w:val="00697713"/>
    <w:rsid w:val="00697B56"/>
    <w:rsid w:val="006A03BD"/>
    <w:rsid w:val="006A0941"/>
    <w:rsid w:val="006A1DEF"/>
    <w:rsid w:val="006A1FF8"/>
    <w:rsid w:val="006A56D9"/>
    <w:rsid w:val="006A6B79"/>
    <w:rsid w:val="006A7069"/>
    <w:rsid w:val="006B096D"/>
    <w:rsid w:val="006B126B"/>
    <w:rsid w:val="006B16A5"/>
    <w:rsid w:val="006B2BCC"/>
    <w:rsid w:val="006B3748"/>
    <w:rsid w:val="006B4B23"/>
    <w:rsid w:val="006B5E5B"/>
    <w:rsid w:val="006B6BA9"/>
    <w:rsid w:val="006B7253"/>
    <w:rsid w:val="006B7DB8"/>
    <w:rsid w:val="006C0019"/>
    <w:rsid w:val="006C0817"/>
    <w:rsid w:val="006C1052"/>
    <w:rsid w:val="006C11C2"/>
    <w:rsid w:val="006C36D5"/>
    <w:rsid w:val="006C4AF4"/>
    <w:rsid w:val="006C4C82"/>
    <w:rsid w:val="006C6C3F"/>
    <w:rsid w:val="006C79AF"/>
    <w:rsid w:val="006D095B"/>
    <w:rsid w:val="006D2008"/>
    <w:rsid w:val="006D3EB7"/>
    <w:rsid w:val="006D3F2F"/>
    <w:rsid w:val="006D4F09"/>
    <w:rsid w:val="006D51E8"/>
    <w:rsid w:val="006D5F4F"/>
    <w:rsid w:val="006E1B2C"/>
    <w:rsid w:val="006E2767"/>
    <w:rsid w:val="006E34EF"/>
    <w:rsid w:val="006E3536"/>
    <w:rsid w:val="006E3BF7"/>
    <w:rsid w:val="006E5800"/>
    <w:rsid w:val="006E66DB"/>
    <w:rsid w:val="006F2B99"/>
    <w:rsid w:val="006F4B6F"/>
    <w:rsid w:val="006F5D89"/>
    <w:rsid w:val="007001D3"/>
    <w:rsid w:val="00701100"/>
    <w:rsid w:val="00706A0E"/>
    <w:rsid w:val="00707045"/>
    <w:rsid w:val="007126A4"/>
    <w:rsid w:val="00714488"/>
    <w:rsid w:val="007144FF"/>
    <w:rsid w:val="007158C6"/>
    <w:rsid w:val="007165D5"/>
    <w:rsid w:val="0071737F"/>
    <w:rsid w:val="00720507"/>
    <w:rsid w:val="007215EF"/>
    <w:rsid w:val="00721A48"/>
    <w:rsid w:val="00721A79"/>
    <w:rsid w:val="00724729"/>
    <w:rsid w:val="00726271"/>
    <w:rsid w:val="00727223"/>
    <w:rsid w:val="00727259"/>
    <w:rsid w:val="007301C9"/>
    <w:rsid w:val="00730A3D"/>
    <w:rsid w:val="00730B7F"/>
    <w:rsid w:val="007338B8"/>
    <w:rsid w:val="007373F6"/>
    <w:rsid w:val="007378A9"/>
    <w:rsid w:val="00737956"/>
    <w:rsid w:val="007400B9"/>
    <w:rsid w:val="00740DA9"/>
    <w:rsid w:val="00740EC7"/>
    <w:rsid w:val="00742F0D"/>
    <w:rsid w:val="00743548"/>
    <w:rsid w:val="00744120"/>
    <w:rsid w:val="0074627E"/>
    <w:rsid w:val="00746926"/>
    <w:rsid w:val="00750B85"/>
    <w:rsid w:val="007533E9"/>
    <w:rsid w:val="0075386F"/>
    <w:rsid w:val="00754E27"/>
    <w:rsid w:val="007600EB"/>
    <w:rsid w:val="00760304"/>
    <w:rsid w:val="00760E1B"/>
    <w:rsid w:val="007611C7"/>
    <w:rsid w:val="007627DF"/>
    <w:rsid w:val="00762F69"/>
    <w:rsid w:val="00764CF2"/>
    <w:rsid w:val="00764FE1"/>
    <w:rsid w:val="00765416"/>
    <w:rsid w:val="00765D49"/>
    <w:rsid w:val="007669DE"/>
    <w:rsid w:val="00767EAE"/>
    <w:rsid w:val="00770705"/>
    <w:rsid w:val="00770DB0"/>
    <w:rsid w:val="00770E6F"/>
    <w:rsid w:val="007717F1"/>
    <w:rsid w:val="00774E57"/>
    <w:rsid w:val="00775165"/>
    <w:rsid w:val="00775336"/>
    <w:rsid w:val="007755EF"/>
    <w:rsid w:val="007810D3"/>
    <w:rsid w:val="00782810"/>
    <w:rsid w:val="00782BC5"/>
    <w:rsid w:val="0078533C"/>
    <w:rsid w:val="0078631F"/>
    <w:rsid w:val="0078786F"/>
    <w:rsid w:val="0079348D"/>
    <w:rsid w:val="007A0363"/>
    <w:rsid w:val="007A3F37"/>
    <w:rsid w:val="007A64CF"/>
    <w:rsid w:val="007B026A"/>
    <w:rsid w:val="007B18F6"/>
    <w:rsid w:val="007B3574"/>
    <w:rsid w:val="007C33D0"/>
    <w:rsid w:val="007C3475"/>
    <w:rsid w:val="007C5CC2"/>
    <w:rsid w:val="007C6CF1"/>
    <w:rsid w:val="007C6F5A"/>
    <w:rsid w:val="007D0201"/>
    <w:rsid w:val="007D1569"/>
    <w:rsid w:val="007D20EA"/>
    <w:rsid w:val="007D25EB"/>
    <w:rsid w:val="007D3003"/>
    <w:rsid w:val="007D4815"/>
    <w:rsid w:val="007D5653"/>
    <w:rsid w:val="007D609F"/>
    <w:rsid w:val="007E11DC"/>
    <w:rsid w:val="007E1463"/>
    <w:rsid w:val="007E1A38"/>
    <w:rsid w:val="007E1CC1"/>
    <w:rsid w:val="007E21AF"/>
    <w:rsid w:val="007E31CB"/>
    <w:rsid w:val="007E58EB"/>
    <w:rsid w:val="007E59E2"/>
    <w:rsid w:val="007F3AC8"/>
    <w:rsid w:val="007F3D04"/>
    <w:rsid w:val="007F4443"/>
    <w:rsid w:val="007F5793"/>
    <w:rsid w:val="007F6EDF"/>
    <w:rsid w:val="007F7845"/>
    <w:rsid w:val="008017BC"/>
    <w:rsid w:val="00802F10"/>
    <w:rsid w:val="0080322B"/>
    <w:rsid w:val="008035C3"/>
    <w:rsid w:val="00803F26"/>
    <w:rsid w:val="00804961"/>
    <w:rsid w:val="00804B8B"/>
    <w:rsid w:val="00806F63"/>
    <w:rsid w:val="0080728C"/>
    <w:rsid w:val="00807F06"/>
    <w:rsid w:val="008104B2"/>
    <w:rsid w:val="00811196"/>
    <w:rsid w:val="00812FFF"/>
    <w:rsid w:val="00813CD1"/>
    <w:rsid w:val="008147ED"/>
    <w:rsid w:val="0081533C"/>
    <w:rsid w:val="008161D7"/>
    <w:rsid w:val="00816D41"/>
    <w:rsid w:val="00816DE8"/>
    <w:rsid w:val="00817DDE"/>
    <w:rsid w:val="00820661"/>
    <w:rsid w:val="00820D15"/>
    <w:rsid w:val="0082437F"/>
    <w:rsid w:val="00824789"/>
    <w:rsid w:val="008250B7"/>
    <w:rsid w:val="00825573"/>
    <w:rsid w:val="008266E8"/>
    <w:rsid w:val="0082783E"/>
    <w:rsid w:val="00827D86"/>
    <w:rsid w:val="00835C64"/>
    <w:rsid w:val="00836137"/>
    <w:rsid w:val="00836262"/>
    <w:rsid w:val="00836E3A"/>
    <w:rsid w:val="00837210"/>
    <w:rsid w:val="00840DA1"/>
    <w:rsid w:val="0084225E"/>
    <w:rsid w:val="0084238D"/>
    <w:rsid w:val="008433D9"/>
    <w:rsid w:val="00845A4E"/>
    <w:rsid w:val="008472B8"/>
    <w:rsid w:val="008472ED"/>
    <w:rsid w:val="008519C8"/>
    <w:rsid w:val="00851B94"/>
    <w:rsid w:val="008524BA"/>
    <w:rsid w:val="008529A2"/>
    <w:rsid w:val="0085439B"/>
    <w:rsid w:val="0085753A"/>
    <w:rsid w:val="008579B4"/>
    <w:rsid w:val="008608F2"/>
    <w:rsid w:val="00861E38"/>
    <w:rsid w:val="00870383"/>
    <w:rsid w:val="008703D7"/>
    <w:rsid w:val="00871A6C"/>
    <w:rsid w:val="00872A6F"/>
    <w:rsid w:val="00874653"/>
    <w:rsid w:val="00875434"/>
    <w:rsid w:val="00875CCB"/>
    <w:rsid w:val="008766CB"/>
    <w:rsid w:val="008767B6"/>
    <w:rsid w:val="008769F2"/>
    <w:rsid w:val="00876AFC"/>
    <w:rsid w:val="008824A1"/>
    <w:rsid w:val="00882FE6"/>
    <w:rsid w:val="008833F3"/>
    <w:rsid w:val="00883B68"/>
    <w:rsid w:val="008847AB"/>
    <w:rsid w:val="00891251"/>
    <w:rsid w:val="00892CC9"/>
    <w:rsid w:val="00895F00"/>
    <w:rsid w:val="00897793"/>
    <w:rsid w:val="008A1632"/>
    <w:rsid w:val="008A1C57"/>
    <w:rsid w:val="008A2453"/>
    <w:rsid w:val="008A3324"/>
    <w:rsid w:val="008A3781"/>
    <w:rsid w:val="008A6ED2"/>
    <w:rsid w:val="008A6F83"/>
    <w:rsid w:val="008A72CE"/>
    <w:rsid w:val="008B05C3"/>
    <w:rsid w:val="008B0C1F"/>
    <w:rsid w:val="008B1916"/>
    <w:rsid w:val="008B3A89"/>
    <w:rsid w:val="008B4965"/>
    <w:rsid w:val="008B56DA"/>
    <w:rsid w:val="008B78B1"/>
    <w:rsid w:val="008C174B"/>
    <w:rsid w:val="008C1CCF"/>
    <w:rsid w:val="008C1CFA"/>
    <w:rsid w:val="008C2173"/>
    <w:rsid w:val="008D19B5"/>
    <w:rsid w:val="008D19FD"/>
    <w:rsid w:val="008D1ABD"/>
    <w:rsid w:val="008D1C45"/>
    <w:rsid w:val="008D3A0D"/>
    <w:rsid w:val="008D57ED"/>
    <w:rsid w:val="008D70A7"/>
    <w:rsid w:val="008D7BAE"/>
    <w:rsid w:val="008E24F4"/>
    <w:rsid w:val="008E25D6"/>
    <w:rsid w:val="008E2BAB"/>
    <w:rsid w:val="008E3A7B"/>
    <w:rsid w:val="008E52FB"/>
    <w:rsid w:val="008E5348"/>
    <w:rsid w:val="008E7BD4"/>
    <w:rsid w:val="008F050A"/>
    <w:rsid w:val="008F0A95"/>
    <w:rsid w:val="008F1AE4"/>
    <w:rsid w:val="008F4D58"/>
    <w:rsid w:val="008F567D"/>
    <w:rsid w:val="008F6F1A"/>
    <w:rsid w:val="008F7152"/>
    <w:rsid w:val="008F7897"/>
    <w:rsid w:val="008F7AD6"/>
    <w:rsid w:val="008F7B7F"/>
    <w:rsid w:val="00900CB2"/>
    <w:rsid w:val="0090137A"/>
    <w:rsid w:val="009016F9"/>
    <w:rsid w:val="00903370"/>
    <w:rsid w:val="00905136"/>
    <w:rsid w:val="00905DCB"/>
    <w:rsid w:val="0090696A"/>
    <w:rsid w:val="00906F12"/>
    <w:rsid w:val="0090785A"/>
    <w:rsid w:val="00910387"/>
    <w:rsid w:val="009107B9"/>
    <w:rsid w:val="00910AD4"/>
    <w:rsid w:val="00910C8F"/>
    <w:rsid w:val="00912755"/>
    <w:rsid w:val="0091349A"/>
    <w:rsid w:val="00914399"/>
    <w:rsid w:val="0091530C"/>
    <w:rsid w:val="009158BF"/>
    <w:rsid w:val="0091658E"/>
    <w:rsid w:val="009170BF"/>
    <w:rsid w:val="00917713"/>
    <w:rsid w:val="00922B0A"/>
    <w:rsid w:val="009257D3"/>
    <w:rsid w:val="00927479"/>
    <w:rsid w:val="00930965"/>
    <w:rsid w:val="00931861"/>
    <w:rsid w:val="00931E04"/>
    <w:rsid w:val="00932106"/>
    <w:rsid w:val="00933E08"/>
    <w:rsid w:val="009342FC"/>
    <w:rsid w:val="00935A12"/>
    <w:rsid w:val="00936068"/>
    <w:rsid w:val="00936C75"/>
    <w:rsid w:val="00937516"/>
    <w:rsid w:val="00940F10"/>
    <w:rsid w:val="00941A3C"/>
    <w:rsid w:val="00943806"/>
    <w:rsid w:val="00943D7B"/>
    <w:rsid w:val="00946351"/>
    <w:rsid w:val="009465C8"/>
    <w:rsid w:val="009504DE"/>
    <w:rsid w:val="00950C4B"/>
    <w:rsid w:val="009517CC"/>
    <w:rsid w:val="0095350A"/>
    <w:rsid w:val="00953658"/>
    <w:rsid w:val="00957D89"/>
    <w:rsid w:val="00960A85"/>
    <w:rsid w:val="009615D4"/>
    <w:rsid w:val="00961849"/>
    <w:rsid w:val="00962905"/>
    <w:rsid w:val="009642A6"/>
    <w:rsid w:val="0096616D"/>
    <w:rsid w:val="00970461"/>
    <w:rsid w:val="00970A20"/>
    <w:rsid w:val="009713DA"/>
    <w:rsid w:val="0097163D"/>
    <w:rsid w:val="0097194E"/>
    <w:rsid w:val="00971C2D"/>
    <w:rsid w:val="009721F8"/>
    <w:rsid w:val="00972BA7"/>
    <w:rsid w:val="00974677"/>
    <w:rsid w:val="0097493D"/>
    <w:rsid w:val="00975BB6"/>
    <w:rsid w:val="00976023"/>
    <w:rsid w:val="00976931"/>
    <w:rsid w:val="00980461"/>
    <w:rsid w:val="00980BDA"/>
    <w:rsid w:val="00981DFE"/>
    <w:rsid w:val="00982C25"/>
    <w:rsid w:val="009836F4"/>
    <w:rsid w:val="009839F9"/>
    <w:rsid w:val="00985D73"/>
    <w:rsid w:val="009860E2"/>
    <w:rsid w:val="009864AF"/>
    <w:rsid w:val="009901F4"/>
    <w:rsid w:val="009936CE"/>
    <w:rsid w:val="00994AA0"/>
    <w:rsid w:val="009969C3"/>
    <w:rsid w:val="00997D96"/>
    <w:rsid w:val="009A1FF0"/>
    <w:rsid w:val="009A2B70"/>
    <w:rsid w:val="009A2E2C"/>
    <w:rsid w:val="009A2F17"/>
    <w:rsid w:val="009A3C2B"/>
    <w:rsid w:val="009A3FEF"/>
    <w:rsid w:val="009A4233"/>
    <w:rsid w:val="009A6EA4"/>
    <w:rsid w:val="009A7316"/>
    <w:rsid w:val="009A7EAC"/>
    <w:rsid w:val="009B05D0"/>
    <w:rsid w:val="009B0F33"/>
    <w:rsid w:val="009B1B16"/>
    <w:rsid w:val="009B1D90"/>
    <w:rsid w:val="009B2A58"/>
    <w:rsid w:val="009B333A"/>
    <w:rsid w:val="009B4CD0"/>
    <w:rsid w:val="009B511E"/>
    <w:rsid w:val="009B58D8"/>
    <w:rsid w:val="009B72C6"/>
    <w:rsid w:val="009C015B"/>
    <w:rsid w:val="009C2B11"/>
    <w:rsid w:val="009C4571"/>
    <w:rsid w:val="009C6075"/>
    <w:rsid w:val="009D0729"/>
    <w:rsid w:val="009D24F5"/>
    <w:rsid w:val="009D2C48"/>
    <w:rsid w:val="009D3D76"/>
    <w:rsid w:val="009D48D6"/>
    <w:rsid w:val="009D74AF"/>
    <w:rsid w:val="009D7FB2"/>
    <w:rsid w:val="009E19A3"/>
    <w:rsid w:val="009E2BF5"/>
    <w:rsid w:val="009E3265"/>
    <w:rsid w:val="009E3B6A"/>
    <w:rsid w:val="009E4DC0"/>
    <w:rsid w:val="009E66FC"/>
    <w:rsid w:val="009E6E6E"/>
    <w:rsid w:val="009F0E56"/>
    <w:rsid w:val="009F1AE4"/>
    <w:rsid w:val="009F2D74"/>
    <w:rsid w:val="009F3545"/>
    <w:rsid w:val="009F373C"/>
    <w:rsid w:val="009F3C15"/>
    <w:rsid w:val="009F64FF"/>
    <w:rsid w:val="00A003C2"/>
    <w:rsid w:val="00A003EC"/>
    <w:rsid w:val="00A02048"/>
    <w:rsid w:val="00A02186"/>
    <w:rsid w:val="00A02A01"/>
    <w:rsid w:val="00A04BCC"/>
    <w:rsid w:val="00A050AE"/>
    <w:rsid w:val="00A0564B"/>
    <w:rsid w:val="00A05EF9"/>
    <w:rsid w:val="00A0603A"/>
    <w:rsid w:val="00A063CD"/>
    <w:rsid w:val="00A0757A"/>
    <w:rsid w:val="00A103C1"/>
    <w:rsid w:val="00A11DC2"/>
    <w:rsid w:val="00A12156"/>
    <w:rsid w:val="00A128B7"/>
    <w:rsid w:val="00A13664"/>
    <w:rsid w:val="00A14040"/>
    <w:rsid w:val="00A15552"/>
    <w:rsid w:val="00A20CAF"/>
    <w:rsid w:val="00A231B1"/>
    <w:rsid w:val="00A24A9F"/>
    <w:rsid w:val="00A257FF"/>
    <w:rsid w:val="00A27A1B"/>
    <w:rsid w:val="00A30BB8"/>
    <w:rsid w:val="00A33C9E"/>
    <w:rsid w:val="00A34FC6"/>
    <w:rsid w:val="00A35393"/>
    <w:rsid w:val="00A369BC"/>
    <w:rsid w:val="00A36D95"/>
    <w:rsid w:val="00A36DB3"/>
    <w:rsid w:val="00A3796D"/>
    <w:rsid w:val="00A4030B"/>
    <w:rsid w:val="00A40340"/>
    <w:rsid w:val="00A416AD"/>
    <w:rsid w:val="00A420B6"/>
    <w:rsid w:val="00A43A77"/>
    <w:rsid w:val="00A43F9F"/>
    <w:rsid w:val="00A471AE"/>
    <w:rsid w:val="00A50090"/>
    <w:rsid w:val="00A50BC8"/>
    <w:rsid w:val="00A50CD9"/>
    <w:rsid w:val="00A51374"/>
    <w:rsid w:val="00A51E8C"/>
    <w:rsid w:val="00A5529A"/>
    <w:rsid w:val="00A56A5A"/>
    <w:rsid w:val="00A56C0E"/>
    <w:rsid w:val="00A56FA6"/>
    <w:rsid w:val="00A5703F"/>
    <w:rsid w:val="00A57443"/>
    <w:rsid w:val="00A61C4A"/>
    <w:rsid w:val="00A63F07"/>
    <w:rsid w:val="00A64848"/>
    <w:rsid w:val="00A6517F"/>
    <w:rsid w:val="00A65DCB"/>
    <w:rsid w:val="00A678BF"/>
    <w:rsid w:val="00A70D8C"/>
    <w:rsid w:val="00A745E1"/>
    <w:rsid w:val="00A747F2"/>
    <w:rsid w:val="00A75DCB"/>
    <w:rsid w:val="00A77AE5"/>
    <w:rsid w:val="00A800C5"/>
    <w:rsid w:val="00A8043D"/>
    <w:rsid w:val="00A8183A"/>
    <w:rsid w:val="00A838DE"/>
    <w:rsid w:val="00A848CB"/>
    <w:rsid w:val="00A85409"/>
    <w:rsid w:val="00A85C57"/>
    <w:rsid w:val="00A86051"/>
    <w:rsid w:val="00A8625F"/>
    <w:rsid w:val="00A87050"/>
    <w:rsid w:val="00A87054"/>
    <w:rsid w:val="00A87AB4"/>
    <w:rsid w:val="00A90151"/>
    <w:rsid w:val="00A90256"/>
    <w:rsid w:val="00A91E15"/>
    <w:rsid w:val="00A93271"/>
    <w:rsid w:val="00A9359B"/>
    <w:rsid w:val="00A93D49"/>
    <w:rsid w:val="00A9545C"/>
    <w:rsid w:val="00A970A6"/>
    <w:rsid w:val="00AA163B"/>
    <w:rsid w:val="00AA3049"/>
    <w:rsid w:val="00AA3569"/>
    <w:rsid w:val="00AA389D"/>
    <w:rsid w:val="00AA395B"/>
    <w:rsid w:val="00AA423A"/>
    <w:rsid w:val="00AA6DCF"/>
    <w:rsid w:val="00AB10F4"/>
    <w:rsid w:val="00AB2D17"/>
    <w:rsid w:val="00AB34AD"/>
    <w:rsid w:val="00AB36B8"/>
    <w:rsid w:val="00AB46E2"/>
    <w:rsid w:val="00AC00BA"/>
    <w:rsid w:val="00AC2339"/>
    <w:rsid w:val="00AC23EF"/>
    <w:rsid w:val="00AC3396"/>
    <w:rsid w:val="00AC42E4"/>
    <w:rsid w:val="00AC46FC"/>
    <w:rsid w:val="00AC4814"/>
    <w:rsid w:val="00AC4DCD"/>
    <w:rsid w:val="00AC4F7C"/>
    <w:rsid w:val="00AC587D"/>
    <w:rsid w:val="00AC5FD9"/>
    <w:rsid w:val="00AC69FC"/>
    <w:rsid w:val="00AD0E5C"/>
    <w:rsid w:val="00AD12E0"/>
    <w:rsid w:val="00AD1AA2"/>
    <w:rsid w:val="00AD2D52"/>
    <w:rsid w:val="00AD2EB0"/>
    <w:rsid w:val="00AD4DDD"/>
    <w:rsid w:val="00AD55AF"/>
    <w:rsid w:val="00AD70DB"/>
    <w:rsid w:val="00AD7A30"/>
    <w:rsid w:val="00AE1844"/>
    <w:rsid w:val="00AE7C03"/>
    <w:rsid w:val="00AE7C09"/>
    <w:rsid w:val="00AF0128"/>
    <w:rsid w:val="00AF198B"/>
    <w:rsid w:val="00AF28A2"/>
    <w:rsid w:val="00AF3BD9"/>
    <w:rsid w:val="00AF3C14"/>
    <w:rsid w:val="00AF479F"/>
    <w:rsid w:val="00AF5F45"/>
    <w:rsid w:val="00AF6B4B"/>
    <w:rsid w:val="00AF6C0B"/>
    <w:rsid w:val="00AF77B1"/>
    <w:rsid w:val="00AF7843"/>
    <w:rsid w:val="00B03ECA"/>
    <w:rsid w:val="00B044BC"/>
    <w:rsid w:val="00B10570"/>
    <w:rsid w:val="00B1090B"/>
    <w:rsid w:val="00B10DDB"/>
    <w:rsid w:val="00B117DC"/>
    <w:rsid w:val="00B11F80"/>
    <w:rsid w:val="00B13F32"/>
    <w:rsid w:val="00B1524B"/>
    <w:rsid w:val="00B17093"/>
    <w:rsid w:val="00B176C9"/>
    <w:rsid w:val="00B21794"/>
    <w:rsid w:val="00B22F6A"/>
    <w:rsid w:val="00B23258"/>
    <w:rsid w:val="00B23603"/>
    <w:rsid w:val="00B24F57"/>
    <w:rsid w:val="00B26142"/>
    <w:rsid w:val="00B302FA"/>
    <w:rsid w:val="00B30EAC"/>
    <w:rsid w:val="00B31B6A"/>
    <w:rsid w:val="00B31BA9"/>
    <w:rsid w:val="00B32BFD"/>
    <w:rsid w:val="00B32D6C"/>
    <w:rsid w:val="00B34048"/>
    <w:rsid w:val="00B359BC"/>
    <w:rsid w:val="00B35C31"/>
    <w:rsid w:val="00B36B93"/>
    <w:rsid w:val="00B3749D"/>
    <w:rsid w:val="00B43AF4"/>
    <w:rsid w:val="00B443CC"/>
    <w:rsid w:val="00B45047"/>
    <w:rsid w:val="00B47CEA"/>
    <w:rsid w:val="00B52D00"/>
    <w:rsid w:val="00B621A3"/>
    <w:rsid w:val="00B6280D"/>
    <w:rsid w:val="00B6454A"/>
    <w:rsid w:val="00B65DAA"/>
    <w:rsid w:val="00B66524"/>
    <w:rsid w:val="00B66B2F"/>
    <w:rsid w:val="00B70AA9"/>
    <w:rsid w:val="00B70F55"/>
    <w:rsid w:val="00B71BDA"/>
    <w:rsid w:val="00B720EC"/>
    <w:rsid w:val="00B726CA"/>
    <w:rsid w:val="00B74F7F"/>
    <w:rsid w:val="00B75655"/>
    <w:rsid w:val="00B75B08"/>
    <w:rsid w:val="00B7663C"/>
    <w:rsid w:val="00B7789C"/>
    <w:rsid w:val="00B80A32"/>
    <w:rsid w:val="00B844D5"/>
    <w:rsid w:val="00B84869"/>
    <w:rsid w:val="00B855A6"/>
    <w:rsid w:val="00B86607"/>
    <w:rsid w:val="00B87859"/>
    <w:rsid w:val="00B9098D"/>
    <w:rsid w:val="00B91129"/>
    <w:rsid w:val="00B91D47"/>
    <w:rsid w:val="00B91DFB"/>
    <w:rsid w:val="00B93268"/>
    <w:rsid w:val="00B94953"/>
    <w:rsid w:val="00B94F48"/>
    <w:rsid w:val="00B95102"/>
    <w:rsid w:val="00B953E2"/>
    <w:rsid w:val="00B96006"/>
    <w:rsid w:val="00B97F76"/>
    <w:rsid w:val="00BA292E"/>
    <w:rsid w:val="00BA2D54"/>
    <w:rsid w:val="00BA3CB8"/>
    <w:rsid w:val="00BA5E8B"/>
    <w:rsid w:val="00BA6C34"/>
    <w:rsid w:val="00BA74E0"/>
    <w:rsid w:val="00BA7623"/>
    <w:rsid w:val="00BB00CE"/>
    <w:rsid w:val="00BB28A4"/>
    <w:rsid w:val="00BB4E29"/>
    <w:rsid w:val="00BB62DB"/>
    <w:rsid w:val="00BB6CA3"/>
    <w:rsid w:val="00BC0DCE"/>
    <w:rsid w:val="00BC127C"/>
    <w:rsid w:val="00BC1D02"/>
    <w:rsid w:val="00BC6606"/>
    <w:rsid w:val="00BC762E"/>
    <w:rsid w:val="00BC7C1B"/>
    <w:rsid w:val="00BD080E"/>
    <w:rsid w:val="00BD190D"/>
    <w:rsid w:val="00BD74E3"/>
    <w:rsid w:val="00BE277D"/>
    <w:rsid w:val="00BE45E3"/>
    <w:rsid w:val="00BE4FA8"/>
    <w:rsid w:val="00BE7254"/>
    <w:rsid w:val="00BF0546"/>
    <w:rsid w:val="00BF0B1C"/>
    <w:rsid w:val="00BF0EF2"/>
    <w:rsid w:val="00BF10F7"/>
    <w:rsid w:val="00BF11A0"/>
    <w:rsid w:val="00BF1F09"/>
    <w:rsid w:val="00BF246D"/>
    <w:rsid w:val="00BF46F0"/>
    <w:rsid w:val="00BF68C8"/>
    <w:rsid w:val="00C00920"/>
    <w:rsid w:val="00C012D5"/>
    <w:rsid w:val="00C016A3"/>
    <w:rsid w:val="00C01E68"/>
    <w:rsid w:val="00C03766"/>
    <w:rsid w:val="00C0436C"/>
    <w:rsid w:val="00C047AC"/>
    <w:rsid w:val="00C04B36"/>
    <w:rsid w:val="00C04D5E"/>
    <w:rsid w:val="00C06AF3"/>
    <w:rsid w:val="00C07479"/>
    <w:rsid w:val="00C11924"/>
    <w:rsid w:val="00C11D79"/>
    <w:rsid w:val="00C13FAA"/>
    <w:rsid w:val="00C14016"/>
    <w:rsid w:val="00C156A7"/>
    <w:rsid w:val="00C16A79"/>
    <w:rsid w:val="00C17937"/>
    <w:rsid w:val="00C17B40"/>
    <w:rsid w:val="00C2067D"/>
    <w:rsid w:val="00C221A0"/>
    <w:rsid w:val="00C235A9"/>
    <w:rsid w:val="00C238D1"/>
    <w:rsid w:val="00C23FF4"/>
    <w:rsid w:val="00C253A1"/>
    <w:rsid w:val="00C25C46"/>
    <w:rsid w:val="00C25EAC"/>
    <w:rsid w:val="00C26917"/>
    <w:rsid w:val="00C276D7"/>
    <w:rsid w:val="00C3161D"/>
    <w:rsid w:val="00C31E23"/>
    <w:rsid w:val="00C326F9"/>
    <w:rsid w:val="00C332D6"/>
    <w:rsid w:val="00C34FA0"/>
    <w:rsid w:val="00C363B2"/>
    <w:rsid w:val="00C36FFC"/>
    <w:rsid w:val="00C37A29"/>
    <w:rsid w:val="00C41206"/>
    <w:rsid w:val="00C45425"/>
    <w:rsid w:val="00C53587"/>
    <w:rsid w:val="00C53857"/>
    <w:rsid w:val="00C538DD"/>
    <w:rsid w:val="00C55A89"/>
    <w:rsid w:val="00C56DA5"/>
    <w:rsid w:val="00C618DC"/>
    <w:rsid w:val="00C61EC8"/>
    <w:rsid w:val="00C62C5C"/>
    <w:rsid w:val="00C64DB0"/>
    <w:rsid w:val="00C666EE"/>
    <w:rsid w:val="00C66909"/>
    <w:rsid w:val="00C66DBE"/>
    <w:rsid w:val="00C70D80"/>
    <w:rsid w:val="00C70EFC"/>
    <w:rsid w:val="00C71688"/>
    <w:rsid w:val="00C71D1E"/>
    <w:rsid w:val="00C74B46"/>
    <w:rsid w:val="00C74B93"/>
    <w:rsid w:val="00C75C56"/>
    <w:rsid w:val="00C80B97"/>
    <w:rsid w:val="00C81C79"/>
    <w:rsid w:val="00C84A74"/>
    <w:rsid w:val="00C90C71"/>
    <w:rsid w:val="00C927AB"/>
    <w:rsid w:val="00C92B15"/>
    <w:rsid w:val="00C9303C"/>
    <w:rsid w:val="00C932F3"/>
    <w:rsid w:val="00C939AA"/>
    <w:rsid w:val="00C9772E"/>
    <w:rsid w:val="00C97F43"/>
    <w:rsid w:val="00CA0B3F"/>
    <w:rsid w:val="00CA0FFF"/>
    <w:rsid w:val="00CA14AB"/>
    <w:rsid w:val="00CB0363"/>
    <w:rsid w:val="00CC07AB"/>
    <w:rsid w:val="00CC0B27"/>
    <w:rsid w:val="00CC0D12"/>
    <w:rsid w:val="00CC1B30"/>
    <w:rsid w:val="00CC2D70"/>
    <w:rsid w:val="00CC3573"/>
    <w:rsid w:val="00CC3DE4"/>
    <w:rsid w:val="00CC459B"/>
    <w:rsid w:val="00CC4C9D"/>
    <w:rsid w:val="00CC5812"/>
    <w:rsid w:val="00CC5F5B"/>
    <w:rsid w:val="00CD0ECA"/>
    <w:rsid w:val="00CD1D99"/>
    <w:rsid w:val="00CD284A"/>
    <w:rsid w:val="00CD2CC4"/>
    <w:rsid w:val="00CD2ED8"/>
    <w:rsid w:val="00CD5628"/>
    <w:rsid w:val="00CD5D22"/>
    <w:rsid w:val="00CD604C"/>
    <w:rsid w:val="00CD61EB"/>
    <w:rsid w:val="00CD6516"/>
    <w:rsid w:val="00CD76AF"/>
    <w:rsid w:val="00CD7F44"/>
    <w:rsid w:val="00CE398E"/>
    <w:rsid w:val="00CE39B3"/>
    <w:rsid w:val="00CE43AF"/>
    <w:rsid w:val="00CE45B9"/>
    <w:rsid w:val="00CE4D3A"/>
    <w:rsid w:val="00CE64FD"/>
    <w:rsid w:val="00CE6643"/>
    <w:rsid w:val="00CE7236"/>
    <w:rsid w:val="00CF02F0"/>
    <w:rsid w:val="00CF24AA"/>
    <w:rsid w:val="00CF2CEC"/>
    <w:rsid w:val="00CF4BC6"/>
    <w:rsid w:val="00CF512C"/>
    <w:rsid w:val="00CF512D"/>
    <w:rsid w:val="00CF5430"/>
    <w:rsid w:val="00CF6774"/>
    <w:rsid w:val="00CF6F71"/>
    <w:rsid w:val="00CF7F06"/>
    <w:rsid w:val="00D001EC"/>
    <w:rsid w:val="00D00441"/>
    <w:rsid w:val="00D007C0"/>
    <w:rsid w:val="00D01615"/>
    <w:rsid w:val="00D02433"/>
    <w:rsid w:val="00D02878"/>
    <w:rsid w:val="00D0352E"/>
    <w:rsid w:val="00D03FDC"/>
    <w:rsid w:val="00D05582"/>
    <w:rsid w:val="00D05C5C"/>
    <w:rsid w:val="00D10F14"/>
    <w:rsid w:val="00D115D3"/>
    <w:rsid w:val="00D15113"/>
    <w:rsid w:val="00D15B7C"/>
    <w:rsid w:val="00D15B7D"/>
    <w:rsid w:val="00D16BD4"/>
    <w:rsid w:val="00D16F74"/>
    <w:rsid w:val="00D170BF"/>
    <w:rsid w:val="00D17C1D"/>
    <w:rsid w:val="00D22A2F"/>
    <w:rsid w:val="00D25975"/>
    <w:rsid w:val="00D304A5"/>
    <w:rsid w:val="00D30791"/>
    <w:rsid w:val="00D31E3E"/>
    <w:rsid w:val="00D330CA"/>
    <w:rsid w:val="00D3316D"/>
    <w:rsid w:val="00D37882"/>
    <w:rsid w:val="00D378AD"/>
    <w:rsid w:val="00D40722"/>
    <w:rsid w:val="00D40F10"/>
    <w:rsid w:val="00D424E6"/>
    <w:rsid w:val="00D43E90"/>
    <w:rsid w:val="00D45DB5"/>
    <w:rsid w:val="00D46FD9"/>
    <w:rsid w:val="00D51D23"/>
    <w:rsid w:val="00D51DEB"/>
    <w:rsid w:val="00D54CC9"/>
    <w:rsid w:val="00D56AB2"/>
    <w:rsid w:val="00D57A6A"/>
    <w:rsid w:val="00D60649"/>
    <w:rsid w:val="00D61E88"/>
    <w:rsid w:val="00D622B7"/>
    <w:rsid w:val="00D63C2C"/>
    <w:rsid w:val="00D65F2E"/>
    <w:rsid w:val="00D70E66"/>
    <w:rsid w:val="00D72DC2"/>
    <w:rsid w:val="00D73A0C"/>
    <w:rsid w:val="00D756E1"/>
    <w:rsid w:val="00D8148F"/>
    <w:rsid w:val="00D8229C"/>
    <w:rsid w:val="00D83923"/>
    <w:rsid w:val="00D84139"/>
    <w:rsid w:val="00D84578"/>
    <w:rsid w:val="00D84C56"/>
    <w:rsid w:val="00D855C2"/>
    <w:rsid w:val="00D87D40"/>
    <w:rsid w:val="00D87EB1"/>
    <w:rsid w:val="00D9188A"/>
    <w:rsid w:val="00D93023"/>
    <w:rsid w:val="00D9419D"/>
    <w:rsid w:val="00D96F57"/>
    <w:rsid w:val="00D96F65"/>
    <w:rsid w:val="00D97D41"/>
    <w:rsid w:val="00DA136C"/>
    <w:rsid w:val="00DA2C86"/>
    <w:rsid w:val="00DA3017"/>
    <w:rsid w:val="00DA3148"/>
    <w:rsid w:val="00DA3703"/>
    <w:rsid w:val="00DA51D4"/>
    <w:rsid w:val="00DA5484"/>
    <w:rsid w:val="00DA582F"/>
    <w:rsid w:val="00DA5FE4"/>
    <w:rsid w:val="00DA6FF9"/>
    <w:rsid w:val="00DA7418"/>
    <w:rsid w:val="00DB1E6E"/>
    <w:rsid w:val="00DB34BF"/>
    <w:rsid w:val="00DB4D31"/>
    <w:rsid w:val="00DB5B76"/>
    <w:rsid w:val="00DB6CAD"/>
    <w:rsid w:val="00DB7E8D"/>
    <w:rsid w:val="00DC0276"/>
    <w:rsid w:val="00DC1012"/>
    <w:rsid w:val="00DC17E8"/>
    <w:rsid w:val="00DC1821"/>
    <w:rsid w:val="00DC18D8"/>
    <w:rsid w:val="00DC1B37"/>
    <w:rsid w:val="00DC1F12"/>
    <w:rsid w:val="00DC5DFF"/>
    <w:rsid w:val="00DC6A68"/>
    <w:rsid w:val="00DC73AB"/>
    <w:rsid w:val="00DC7446"/>
    <w:rsid w:val="00DC74CB"/>
    <w:rsid w:val="00DD062F"/>
    <w:rsid w:val="00DD134A"/>
    <w:rsid w:val="00DD6473"/>
    <w:rsid w:val="00DD6BE7"/>
    <w:rsid w:val="00DE0913"/>
    <w:rsid w:val="00DE49FC"/>
    <w:rsid w:val="00DE78E6"/>
    <w:rsid w:val="00DF3964"/>
    <w:rsid w:val="00DF4E3E"/>
    <w:rsid w:val="00DF5077"/>
    <w:rsid w:val="00DF57D9"/>
    <w:rsid w:val="00DF60B9"/>
    <w:rsid w:val="00DF63B7"/>
    <w:rsid w:val="00DF7DB3"/>
    <w:rsid w:val="00E010CD"/>
    <w:rsid w:val="00E0453D"/>
    <w:rsid w:val="00E05FA6"/>
    <w:rsid w:val="00E10954"/>
    <w:rsid w:val="00E11288"/>
    <w:rsid w:val="00E119D9"/>
    <w:rsid w:val="00E14396"/>
    <w:rsid w:val="00E15A2F"/>
    <w:rsid w:val="00E16F22"/>
    <w:rsid w:val="00E219BF"/>
    <w:rsid w:val="00E22E65"/>
    <w:rsid w:val="00E25474"/>
    <w:rsid w:val="00E2643A"/>
    <w:rsid w:val="00E26920"/>
    <w:rsid w:val="00E30226"/>
    <w:rsid w:val="00E30416"/>
    <w:rsid w:val="00E3249C"/>
    <w:rsid w:val="00E324B6"/>
    <w:rsid w:val="00E32EE5"/>
    <w:rsid w:val="00E32F93"/>
    <w:rsid w:val="00E379F7"/>
    <w:rsid w:val="00E413A5"/>
    <w:rsid w:val="00E41681"/>
    <w:rsid w:val="00E42BDA"/>
    <w:rsid w:val="00E43F02"/>
    <w:rsid w:val="00E47107"/>
    <w:rsid w:val="00E50383"/>
    <w:rsid w:val="00E53F26"/>
    <w:rsid w:val="00E54ACD"/>
    <w:rsid w:val="00E54B2B"/>
    <w:rsid w:val="00E57D03"/>
    <w:rsid w:val="00E61632"/>
    <w:rsid w:val="00E65010"/>
    <w:rsid w:val="00E70DD7"/>
    <w:rsid w:val="00E70DE7"/>
    <w:rsid w:val="00E7155B"/>
    <w:rsid w:val="00E72EE0"/>
    <w:rsid w:val="00E7303F"/>
    <w:rsid w:val="00E73BF7"/>
    <w:rsid w:val="00E741FB"/>
    <w:rsid w:val="00E756D6"/>
    <w:rsid w:val="00E75A1A"/>
    <w:rsid w:val="00E81038"/>
    <w:rsid w:val="00E83EF4"/>
    <w:rsid w:val="00E854D9"/>
    <w:rsid w:val="00E90195"/>
    <w:rsid w:val="00E9089D"/>
    <w:rsid w:val="00E91A7E"/>
    <w:rsid w:val="00E91FED"/>
    <w:rsid w:val="00E92314"/>
    <w:rsid w:val="00E92350"/>
    <w:rsid w:val="00E92987"/>
    <w:rsid w:val="00E92F4E"/>
    <w:rsid w:val="00E93254"/>
    <w:rsid w:val="00E96AFF"/>
    <w:rsid w:val="00EA0615"/>
    <w:rsid w:val="00EA1943"/>
    <w:rsid w:val="00EA1A0D"/>
    <w:rsid w:val="00EA66BB"/>
    <w:rsid w:val="00EA6D16"/>
    <w:rsid w:val="00EA7081"/>
    <w:rsid w:val="00EA7BD0"/>
    <w:rsid w:val="00EB08B4"/>
    <w:rsid w:val="00EB0F33"/>
    <w:rsid w:val="00EB1974"/>
    <w:rsid w:val="00EB1C02"/>
    <w:rsid w:val="00EB22C1"/>
    <w:rsid w:val="00EB3F9D"/>
    <w:rsid w:val="00EB5495"/>
    <w:rsid w:val="00EB5DC6"/>
    <w:rsid w:val="00EB5EB4"/>
    <w:rsid w:val="00EB755B"/>
    <w:rsid w:val="00EC0847"/>
    <w:rsid w:val="00EC12C7"/>
    <w:rsid w:val="00EC48D6"/>
    <w:rsid w:val="00ED0D2C"/>
    <w:rsid w:val="00ED21B6"/>
    <w:rsid w:val="00ED3114"/>
    <w:rsid w:val="00ED42C7"/>
    <w:rsid w:val="00ED4983"/>
    <w:rsid w:val="00ED4B50"/>
    <w:rsid w:val="00ED5FC9"/>
    <w:rsid w:val="00ED6125"/>
    <w:rsid w:val="00EE2B11"/>
    <w:rsid w:val="00EE3F22"/>
    <w:rsid w:val="00EE4E67"/>
    <w:rsid w:val="00EE5B0A"/>
    <w:rsid w:val="00EE6F14"/>
    <w:rsid w:val="00EF1F24"/>
    <w:rsid w:val="00EF2493"/>
    <w:rsid w:val="00EF2AA1"/>
    <w:rsid w:val="00EF3A04"/>
    <w:rsid w:val="00EF3F23"/>
    <w:rsid w:val="00EF4607"/>
    <w:rsid w:val="00EF651E"/>
    <w:rsid w:val="00EF6ADF"/>
    <w:rsid w:val="00EF77F8"/>
    <w:rsid w:val="00F00355"/>
    <w:rsid w:val="00F010A9"/>
    <w:rsid w:val="00F01216"/>
    <w:rsid w:val="00F04EA7"/>
    <w:rsid w:val="00F05C2F"/>
    <w:rsid w:val="00F05CEB"/>
    <w:rsid w:val="00F0659D"/>
    <w:rsid w:val="00F104FB"/>
    <w:rsid w:val="00F14D34"/>
    <w:rsid w:val="00F15989"/>
    <w:rsid w:val="00F162D4"/>
    <w:rsid w:val="00F17925"/>
    <w:rsid w:val="00F20016"/>
    <w:rsid w:val="00F20196"/>
    <w:rsid w:val="00F2058B"/>
    <w:rsid w:val="00F20AEE"/>
    <w:rsid w:val="00F21B53"/>
    <w:rsid w:val="00F23CAC"/>
    <w:rsid w:val="00F23D4A"/>
    <w:rsid w:val="00F23EDA"/>
    <w:rsid w:val="00F25AE6"/>
    <w:rsid w:val="00F25EE0"/>
    <w:rsid w:val="00F26D53"/>
    <w:rsid w:val="00F30A2D"/>
    <w:rsid w:val="00F3151C"/>
    <w:rsid w:val="00F3209B"/>
    <w:rsid w:val="00F3214C"/>
    <w:rsid w:val="00F3320F"/>
    <w:rsid w:val="00F33F8D"/>
    <w:rsid w:val="00F33FCE"/>
    <w:rsid w:val="00F341E8"/>
    <w:rsid w:val="00F3422D"/>
    <w:rsid w:val="00F35563"/>
    <w:rsid w:val="00F366BD"/>
    <w:rsid w:val="00F3711A"/>
    <w:rsid w:val="00F37B4F"/>
    <w:rsid w:val="00F37BD3"/>
    <w:rsid w:val="00F37CB6"/>
    <w:rsid w:val="00F37F65"/>
    <w:rsid w:val="00F4010B"/>
    <w:rsid w:val="00F4214C"/>
    <w:rsid w:val="00F43680"/>
    <w:rsid w:val="00F46113"/>
    <w:rsid w:val="00F46E42"/>
    <w:rsid w:val="00F4702C"/>
    <w:rsid w:val="00F4734E"/>
    <w:rsid w:val="00F505B8"/>
    <w:rsid w:val="00F5098D"/>
    <w:rsid w:val="00F5190F"/>
    <w:rsid w:val="00F53EFE"/>
    <w:rsid w:val="00F5415B"/>
    <w:rsid w:val="00F56B53"/>
    <w:rsid w:val="00F57F91"/>
    <w:rsid w:val="00F60BA2"/>
    <w:rsid w:val="00F60F8D"/>
    <w:rsid w:val="00F634F6"/>
    <w:rsid w:val="00F70655"/>
    <w:rsid w:val="00F73AC4"/>
    <w:rsid w:val="00F75608"/>
    <w:rsid w:val="00F7627E"/>
    <w:rsid w:val="00F77B4D"/>
    <w:rsid w:val="00F77EA5"/>
    <w:rsid w:val="00F812A0"/>
    <w:rsid w:val="00F8383C"/>
    <w:rsid w:val="00F849EC"/>
    <w:rsid w:val="00F855AE"/>
    <w:rsid w:val="00F86624"/>
    <w:rsid w:val="00F875EE"/>
    <w:rsid w:val="00F875F8"/>
    <w:rsid w:val="00F8765B"/>
    <w:rsid w:val="00F87B07"/>
    <w:rsid w:val="00F87DC1"/>
    <w:rsid w:val="00F9019E"/>
    <w:rsid w:val="00F91560"/>
    <w:rsid w:val="00F94880"/>
    <w:rsid w:val="00F95B02"/>
    <w:rsid w:val="00F96601"/>
    <w:rsid w:val="00F974EB"/>
    <w:rsid w:val="00F97641"/>
    <w:rsid w:val="00F97C58"/>
    <w:rsid w:val="00FA1695"/>
    <w:rsid w:val="00FA200B"/>
    <w:rsid w:val="00FA33D2"/>
    <w:rsid w:val="00FA53B9"/>
    <w:rsid w:val="00FB016C"/>
    <w:rsid w:val="00FB10F9"/>
    <w:rsid w:val="00FB148D"/>
    <w:rsid w:val="00FB19B6"/>
    <w:rsid w:val="00FB205F"/>
    <w:rsid w:val="00FB2770"/>
    <w:rsid w:val="00FB3495"/>
    <w:rsid w:val="00FB3905"/>
    <w:rsid w:val="00FB4E93"/>
    <w:rsid w:val="00FB6550"/>
    <w:rsid w:val="00FB7C45"/>
    <w:rsid w:val="00FC0EB2"/>
    <w:rsid w:val="00FC28AF"/>
    <w:rsid w:val="00FC2D8B"/>
    <w:rsid w:val="00FC55B9"/>
    <w:rsid w:val="00FD02BD"/>
    <w:rsid w:val="00FD2477"/>
    <w:rsid w:val="00FD3306"/>
    <w:rsid w:val="00FD361E"/>
    <w:rsid w:val="00FD36B1"/>
    <w:rsid w:val="00FD42AE"/>
    <w:rsid w:val="00FD5500"/>
    <w:rsid w:val="00FE3F04"/>
    <w:rsid w:val="00FE59FD"/>
    <w:rsid w:val="00FE7031"/>
    <w:rsid w:val="00FE78E7"/>
    <w:rsid w:val="00FE7F98"/>
    <w:rsid w:val="00FF00F9"/>
    <w:rsid w:val="00FF2E7F"/>
    <w:rsid w:val="00FF306D"/>
    <w:rsid w:val="00FF5762"/>
    <w:rsid w:val="00FF65D2"/>
    <w:rsid w:val="1A2CA9A3"/>
    <w:rsid w:val="220B9C5C"/>
    <w:rsid w:val="40EDF02D"/>
    <w:rsid w:val="67EC9975"/>
    <w:rsid w:val="71B2BB82"/>
    <w:rsid w:val="73DAB001"/>
    <w:rsid w:val="7A7E833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57EC"/>
  <w15:chartTrackingRefBased/>
  <w15:docId w15:val="{B2440CEB-2F41-694A-9C3C-60D3612A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8D19B5"/>
    <w:pPr>
      <w:spacing w:before="120" w:after="120" w:line="280" w:lineRule="atLeast"/>
    </w:pPr>
    <w:rPr>
      <w:sz w:val="20"/>
      <w:szCs w:val="20"/>
    </w:rPr>
  </w:style>
  <w:style w:type="paragraph" w:styleId="Heading1">
    <w:name w:val="heading 1"/>
    <w:basedOn w:val="Normal"/>
    <w:next w:val="BodyText"/>
    <w:link w:val="Heading1Char"/>
    <w:uiPriority w:val="9"/>
    <w:qFormat/>
    <w:rsid w:val="008D19B5"/>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8D19B5"/>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8D19B5"/>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8D19B5"/>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B31BA9"/>
    <w:pPr>
      <w:keepNext/>
      <w:keepLines/>
      <w:spacing w:before="160" w:after="100"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8D19B5"/>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8D19B5"/>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8D19B5"/>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8D19B5"/>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9B5"/>
    <w:rPr>
      <w:color w:val="808080"/>
    </w:rPr>
  </w:style>
  <w:style w:type="paragraph" w:styleId="Date">
    <w:name w:val="Date"/>
    <w:basedOn w:val="Normal"/>
    <w:next w:val="Normal"/>
    <w:link w:val="DateChar"/>
    <w:uiPriority w:val="99"/>
    <w:unhideWhenUsed/>
    <w:rsid w:val="008D19B5"/>
    <w:pPr>
      <w:spacing w:after="360" w:line="293" w:lineRule="auto"/>
    </w:pPr>
  </w:style>
  <w:style w:type="character" w:customStyle="1" w:styleId="DateChar">
    <w:name w:val="Date Char"/>
    <w:basedOn w:val="DefaultParagraphFont"/>
    <w:link w:val="Date"/>
    <w:uiPriority w:val="99"/>
    <w:rsid w:val="008D19B5"/>
    <w:rPr>
      <w:sz w:val="20"/>
      <w:szCs w:val="20"/>
    </w:rPr>
  </w:style>
  <w:style w:type="paragraph" w:styleId="NoSpacing">
    <w:name w:val="No Spacing"/>
    <w:basedOn w:val="Normal"/>
    <w:link w:val="NoSpacingChar"/>
    <w:uiPriority w:val="10"/>
    <w:qFormat/>
    <w:rsid w:val="008D19B5"/>
    <w:pPr>
      <w:spacing w:before="0" w:after="0"/>
    </w:pPr>
  </w:style>
  <w:style w:type="paragraph" w:styleId="ListBullet">
    <w:name w:val="List Bullet"/>
    <w:basedOn w:val="Normal"/>
    <w:link w:val="ListBulletChar"/>
    <w:uiPriority w:val="1"/>
    <w:qFormat/>
    <w:rsid w:val="008D19B5"/>
    <w:pPr>
      <w:numPr>
        <w:numId w:val="18"/>
      </w:numPr>
      <w:contextualSpacing/>
    </w:pPr>
  </w:style>
  <w:style w:type="paragraph" w:styleId="ListBullet2">
    <w:name w:val="List Bullet 2"/>
    <w:basedOn w:val="Normal"/>
    <w:uiPriority w:val="1"/>
    <w:qFormat/>
    <w:rsid w:val="008D19B5"/>
    <w:pPr>
      <w:numPr>
        <w:ilvl w:val="1"/>
        <w:numId w:val="18"/>
      </w:numPr>
      <w:contextualSpacing/>
    </w:pPr>
  </w:style>
  <w:style w:type="paragraph" w:styleId="ListNumber">
    <w:name w:val="List Number"/>
    <w:basedOn w:val="Normal"/>
    <w:uiPriority w:val="2"/>
    <w:qFormat/>
    <w:rsid w:val="008D19B5"/>
    <w:pPr>
      <w:numPr>
        <w:numId w:val="14"/>
      </w:numPr>
      <w:spacing w:before="60"/>
      <w:contextualSpacing/>
    </w:pPr>
  </w:style>
  <w:style w:type="numbering" w:customStyle="1" w:styleId="Bullets">
    <w:name w:val="Bullets"/>
    <w:uiPriority w:val="99"/>
    <w:rsid w:val="008D19B5"/>
    <w:pPr>
      <w:numPr>
        <w:numId w:val="5"/>
      </w:numPr>
    </w:pPr>
  </w:style>
  <w:style w:type="character" w:customStyle="1" w:styleId="Heading1Char">
    <w:name w:val="Heading 1 Char"/>
    <w:basedOn w:val="DefaultParagraphFont"/>
    <w:link w:val="Heading1"/>
    <w:uiPriority w:val="9"/>
    <w:rsid w:val="008D19B5"/>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8D19B5"/>
    <w:pPr>
      <w:numPr>
        <w:ilvl w:val="1"/>
        <w:numId w:val="14"/>
      </w:numPr>
      <w:spacing w:before="60"/>
      <w:contextualSpacing/>
    </w:pPr>
  </w:style>
  <w:style w:type="character" w:customStyle="1" w:styleId="Heading2Char">
    <w:name w:val="Heading 2 Char"/>
    <w:basedOn w:val="DefaultParagraphFont"/>
    <w:link w:val="Heading2"/>
    <w:uiPriority w:val="9"/>
    <w:rsid w:val="008D19B5"/>
    <w:rPr>
      <w:rFonts w:asciiTheme="majorHAnsi" w:eastAsiaTheme="majorEastAsia" w:hAnsiTheme="majorHAnsi" w:cstheme="majorBidi"/>
      <w:sz w:val="30"/>
      <w:szCs w:val="60"/>
    </w:rPr>
  </w:style>
  <w:style w:type="paragraph" w:styleId="ListParagraph">
    <w:name w:val="List Paragraph"/>
    <w:basedOn w:val="Normal"/>
    <w:uiPriority w:val="34"/>
    <w:qFormat/>
    <w:rsid w:val="008D19B5"/>
    <w:pPr>
      <w:spacing w:line="293" w:lineRule="auto"/>
      <w:ind w:left="284"/>
      <w:contextualSpacing/>
    </w:pPr>
  </w:style>
  <w:style w:type="paragraph" w:styleId="Header">
    <w:name w:val="header"/>
    <w:basedOn w:val="Normal"/>
    <w:link w:val="HeaderChar"/>
    <w:uiPriority w:val="99"/>
    <w:unhideWhenUsed/>
    <w:rsid w:val="008D19B5"/>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8D19B5"/>
    <w:rPr>
      <w:sz w:val="16"/>
      <w:szCs w:val="20"/>
    </w:rPr>
  </w:style>
  <w:style w:type="paragraph" w:styleId="Footer">
    <w:name w:val="footer"/>
    <w:basedOn w:val="Normal"/>
    <w:link w:val="FooterChar"/>
    <w:uiPriority w:val="11"/>
    <w:rsid w:val="008D19B5"/>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8D19B5"/>
    <w:rPr>
      <w:rFonts w:asciiTheme="majorHAnsi" w:hAnsiTheme="majorHAnsi"/>
      <w:sz w:val="17"/>
    </w:rPr>
  </w:style>
  <w:style w:type="numbering" w:customStyle="1" w:styleId="Numbering">
    <w:name w:val="Numbering"/>
    <w:uiPriority w:val="99"/>
    <w:rsid w:val="008D19B5"/>
    <w:pPr>
      <w:numPr>
        <w:numId w:val="14"/>
      </w:numPr>
    </w:pPr>
  </w:style>
  <w:style w:type="paragraph" w:styleId="ListBullet3">
    <w:name w:val="List Bullet 3"/>
    <w:basedOn w:val="Normal"/>
    <w:uiPriority w:val="1"/>
    <w:qFormat/>
    <w:rsid w:val="008D19B5"/>
    <w:pPr>
      <w:numPr>
        <w:ilvl w:val="2"/>
        <w:numId w:val="18"/>
      </w:numPr>
      <w:contextualSpacing/>
    </w:pPr>
  </w:style>
  <w:style w:type="paragraph" w:styleId="ListContinue2">
    <w:name w:val="List Continue 2"/>
    <w:basedOn w:val="Normal"/>
    <w:uiPriority w:val="3"/>
    <w:unhideWhenUsed/>
    <w:qFormat/>
    <w:rsid w:val="008D19B5"/>
    <w:pPr>
      <w:spacing w:before="60"/>
      <w:ind w:left="454"/>
    </w:pPr>
  </w:style>
  <w:style w:type="paragraph" w:styleId="ListNumber3">
    <w:name w:val="List Number 3"/>
    <w:basedOn w:val="Normal"/>
    <w:uiPriority w:val="13"/>
    <w:semiHidden/>
    <w:qFormat/>
    <w:rsid w:val="008D19B5"/>
    <w:pPr>
      <w:numPr>
        <w:ilvl w:val="2"/>
        <w:numId w:val="14"/>
      </w:numPr>
      <w:spacing w:before="60"/>
      <w:contextualSpacing/>
    </w:pPr>
  </w:style>
  <w:style w:type="paragraph" w:styleId="ListNumber4">
    <w:name w:val="List Number 4"/>
    <w:basedOn w:val="Normal"/>
    <w:uiPriority w:val="13"/>
    <w:semiHidden/>
    <w:qFormat/>
    <w:rsid w:val="008D19B5"/>
    <w:pPr>
      <w:numPr>
        <w:ilvl w:val="3"/>
        <w:numId w:val="14"/>
      </w:numPr>
      <w:spacing w:after="200" w:line="293" w:lineRule="auto"/>
      <w:contextualSpacing/>
    </w:pPr>
  </w:style>
  <w:style w:type="paragraph" w:styleId="ListNumber5">
    <w:name w:val="List Number 5"/>
    <w:basedOn w:val="Normal"/>
    <w:uiPriority w:val="13"/>
    <w:semiHidden/>
    <w:rsid w:val="008D19B5"/>
    <w:pPr>
      <w:numPr>
        <w:ilvl w:val="4"/>
        <w:numId w:val="14"/>
      </w:numPr>
      <w:spacing w:after="200" w:line="293" w:lineRule="auto"/>
      <w:contextualSpacing/>
    </w:pPr>
  </w:style>
  <w:style w:type="paragraph" w:styleId="ListContinue">
    <w:name w:val="List Continue"/>
    <w:basedOn w:val="Normal"/>
    <w:uiPriority w:val="3"/>
    <w:unhideWhenUsed/>
    <w:qFormat/>
    <w:rsid w:val="008D19B5"/>
    <w:pPr>
      <w:spacing w:before="60"/>
      <w:ind w:left="227"/>
    </w:pPr>
  </w:style>
  <w:style w:type="paragraph" w:styleId="ListContinue3">
    <w:name w:val="List Continue 3"/>
    <w:basedOn w:val="Normal"/>
    <w:uiPriority w:val="3"/>
    <w:unhideWhenUsed/>
    <w:qFormat/>
    <w:rsid w:val="008D19B5"/>
    <w:pPr>
      <w:spacing w:before="60"/>
      <w:ind w:left="907"/>
    </w:pPr>
  </w:style>
  <w:style w:type="paragraph" w:styleId="ListContinue4">
    <w:name w:val="List Continue 4"/>
    <w:basedOn w:val="Normal"/>
    <w:uiPriority w:val="3"/>
    <w:unhideWhenUsed/>
    <w:qFormat/>
    <w:rsid w:val="008D19B5"/>
    <w:pPr>
      <w:spacing w:line="293" w:lineRule="auto"/>
      <w:ind w:left="907"/>
      <w:contextualSpacing/>
    </w:pPr>
  </w:style>
  <w:style w:type="character" w:customStyle="1" w:styleId="Heading3Char">
    <w:name w:val="Heading 3 Char"/>
    <w:basedOn w:val="DefaultParagraphFont"/>
    <w:link w:val="Heading3"/>
    <w:uiPriority w:val="9"/>
    <w:rsid w:val="008D19B5"/>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8D19B5"/>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B31BA9"/>
    <w:rPr>
      <w:rFonts w:eastAsiaTheme="majorEastAsia" w:cstheme="majorBidi"/>
      <w:b/>
      <w:color w:val="265A9A" w:themeColor="background2"/>
      <w:szCs w:val="29"/>
    </w:rPr>
  </w:style>
  <w:style w:type="numbering" w:customStyle="1" w:styleId="ListHeadings">
    <w:name w:val="List Headings"/>
    <w:uiPriority w:val="99"/>
    <w:rsid w:val="008D19B5"/>
    <w:pPr>
      <w:numPr>
        <w:numId w:val="12"/>
      </w:numPr>
    </w:pPr>
  </w:style>
  <w:style w:type="paragraph" w:styleId="Title">
    <w:name w:val="Title"/>
    <w:basedOn w:val="Heading1"/>
    <w:next w:val="Normal"/>
    <w:link w:val="TitleChar"/>
    <w:uiPriority w:val="39"/>
    <w:rsid w:val="008D19B5"/>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8D19B5"/>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8D19B5"/>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8D19B5"/>
    <w:rPr>
      <w:b/>
    </w:rPr>
  </w:style>
  <w:style w:type="character" w:customStyle="1" w:styleId="Pull-outQuoteChar">
    <w:name w:val="Pull-out Quote Char"/>
    <w:basedOn w:val="DefaultParagraphFont"/>
    <w:link w:val="Pull-outQuote"/>
    <w:uiPriority w:val="99"/>
    <w:semiHidden/>
    <w:rsid w:val="008D19B5"/>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8D19B5"/>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8D19B5"/>
  </w:style>
  <w:style w:type="paragraph" w:customStyle="1" w:styleId="NumberedHeading2">
    <w:name w:val="Numbered Heading 2"/>
    <w:basedOn w:val="Heading2"/>
    <w:next w:val="Normal"/>
    <w:link w:val="NumberedHeading2Char"/>
    <w:uiPriority w:val="9"/>
    <w:semiHidden/>
    <w:rsid w:val="008D19B5"/>
  </w:style>
  <w:style w:type="character" w:customStyle="1" w:styleId="NumberedHeading1Char">
    <w:name w:val="Numbered Heading 1 Char"/>
    <w:basedOn w:val="Heading1Char"/>
    <w:link w:val="NumberedHeading1"/>
    <w:uiPriority w:val="9"/>
    <w:semiHidden/>
    <w:rsid w:val="008D19B5"/>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8D19B5"/>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8D19B5"/>
    <w:pPr>
      <w:ind w:left="1134"/>
      <w:contextualSpacing/>
    </w:pPr>
  </w:style>
  <w:style w:type="table" w:styleId="TableGrid">
    <w:name w:val="Table Grid"/>
    <w:basedOn w:val="TableNormal"/>
    <w:uiPriority w:val="39"/>
    <w:rsid w:val="008D1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8D19B5"/>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8D19B5"/>
    <w:pPr>
      <w:numPr>
        <w:numId w:val="9"/>
      </w:numPr>
      <w:spacing w:before="60"/>
    </w:pPr>
  </w:style>
  <w:style w:type="paragraph" w:styleId="List2">
    <w:name w:val="List 2"/>
    <w:basedOn w:val="Normal"/>
    <w:uiPriority w:val="99"/>
    <w:semiHidden/>
    <w:qFormat/>
    <w:rsid w:val="008D19B5"/>
    <w:pPr>
      <w:numPr>
        <w:ilvl w:val="1"/>
        <w:numId w:val="9"/>
      </w:numPr>
      <w:spacing w:before="60"/>
    </w:pPr>
  </w:style>
  <w:style w:type="numbering" w:customStyle="1" w:styleId="LetteredList">
    <w:name w:val="Lettered List"/>
    <w:uiPriority w:val="99"/>
    <w:rsid w:val="008D19B5"/>
    <w:pPr>
      <w:numPr>
        <w:numId w:val="8"/>
      </w:numPr>
    </w:pPr>
  </w:style>
  <w:style w:type="paragraph" w:styleId="Subtitle">
    <w:name w:val="Subtitle"/>
    <w:basedOn w:val="Normal"/>
    <w:next w:val="Normal"/>
    <w:link w:val="SubtitleChar"/>
    <w:uiPriority w:val="39"/>
    <w:rsid w:val="008D19B5"/>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8D19B5"/>
    <w:rPr>
      <w:rFonts w:eastAsiaTheme="minorEastAsia"/>
      <w:color w:val="FFFFFF" w:themeColor="background1"/>
      <w:sz w:val="52"/>
      <w:szCs w:val="20"/>
    </w:rPr>
  </w:style>
  <w:style w:type="character" w:styleId="Strong">
    <w:name w:val="Strong"/>
    <w:basedOn w:val="DefaultParagraphFont"/>
    <w:uiPriority w:val="22"/>
    <w:qFormat/>
    <w:rsid w:val="008D19B5"/>
    <w:rPr>
      <w:rFonts w:asciiTheme="minorHAnsi" w:hAnsiTheme="minorHAnsi"/>
      <w:b/>
      <w:bCs/>
    </w:rPr>
  </w:style>
  <w:style w:type="paragraph" w:customStyle="1" w:styleId="Header-Keyline">
    <w:name w:val="Header - Keyline"/>
    <w:basedOn w:val="Header"/>
    <w:link w:val="Header-KeylineChar"/>
    <w:uiPriority w:val="99"/>
    <w:rsid w:val="008D19B5"/>
    <w:pPr>
      <w:pBdr>
        <w:bottom w:val="single" w:sz="4" w:space="31" w:color="66BCDB" w:themeColor="text2"/>
      </w:pBdr>
      <w:spacing w:after="600"/>
    </w:pPr>
  </w:style>
  <w:style w:type="character" w:customStyle="1" w:styleId="Heading6Char">
    <w:name w:val="Heading 6 Char"/>
    <w:basedOn w:val="DefaultParagraphFont"/>
    <w:link w:val="Heading6"/>
    <w:uiPriority w:val="9"/>
    <w:rsid w:val="008D19B5"/>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8D19B5"/>
    <w:rPr>
      <w:sz w:val="16"/>
      <w:szCs w:val="20"/>
    </w:rPr>
  </w:style>
  <w:style w:type="character" w:customStyle="1" w:styleId="Heading7Char">
    <w:name w:val="Heading 7 Char"/>
    <w:basedOn w:val="DefaultParagraphFont"/>
    <w:link w:val="Heading7"/>
    <w:uiPriority w:val="9"/>
    <w:semiHidden/>
    <w:rsid w:val="008D19B5"/>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8D19B5"/>
    <w:rPr>
      <w:rFonts w:eastAsiaTheme="majorEastAsia" w:cstheme="majorBidi"/>
      <w:b/>
      <w:sz w:val="18"/>
      <w:szCs w:val="21"/>
    </w:rPr>
  </w:style>
  <w:style w:type="table" w:customStyle="1" w:styleId="ProductivityCommissionTable1">
    <w:name w:val="Productivity Commission Table 1"/>
    <w:basedOn w:val="TableNormal"/>
    <w:uiPriority w:val="99"/>
    <w:rsid w:val="008D19B5"/>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8D19B5"/>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8D19B5"/>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8D19B5"/>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8D19B5"/>
    <w:pPr>
      <w:spacing w:before="60" w:after="60" w:line="293" w:lineRule="auto"/>
      <w:contextualSpacing/>
    </w:pPr>
    <w:rPr>
      <w:sz w:val="18"/>
    </w:rPr>
  </w:style>
  <w:style w:type="paragraph" w:styleId="TOC1">
    <w:name w:val="toc 1"/>
    <w:basedOn w:val="Normal"/>
    <w:next w:val="BodyText"/>
    <w:autoRedefine/>
    <w:uiPriority w:val="39"/>
    <w:unhideWhenUsed/>
    <w:rsid w:val="008D19B5"/>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8D19B5"/>
    <w:rPr>
      <w:sz w:val="18"/>
      <w:szCs w:val="20"/>
    </w:rPr>
  </w:style>
  <w:style w:type="character" w:styleId="FootnoteReference">
    <w:name w:val="footnote reference"/>
    <w:basedOn w:val="DefaultParagraphFont"/>
    <w:uiPriority w:val="99"/>
    <w:semiHidden/>
    <w:unhideWhenUsed/>
    <w:rsid w:val="008D19B5"/>
    <w:rPr>
      <w:vertAlign w:val="superscript"/>
    </w:rPr>
  </w:style>
  <w:style w:type="character" w:styleId="Hyperlink">
    <w:name w:val="Hyperlink"/>
    <w:basedOn w:val="DefaultParagraphFont"/>
    <w:uiPriority w:val="99"/>
    <w:unhideWhenUsed/>
    <w:rsid w:val="008D19B5"/>
    <w:rPr>
      <w:color w:val="000000" w:themeColor="hyperlink"/>
      <w:u w:val="single"/>
    </w:rPr>
  </w:style>
  <w:style w:type="character" w:styleId="HTMLVariable">
    <w:name w:val="HTML Variable"/>
    <w:basedOn w:val="DefaultParagraphFont"/>
    <w:uiPriority w:val="99"/>
    <w:unhideWhenUsed/>
    <w:rsid w:val="008D19B5"/>
    <w:rPr>
      <w:i/>
      <w:iCs/>
    </w:rPr>
  </w:style>
  <w:style w:type="paragraph" w:styleId="TOC2">
    <w:name w:val="toc 2"/>
    <w:basedOn w:val="Normal"/>
    <w:next w:val="Normal"/>
    <w:autoRedefine/>
    <w:uiPriority w:val="39"/>
    <w:unhideWhenUsed/>
    <w:rsid w:val="008D19B5"/>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8D19B5"/>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8D19B5"/>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8D19B5"/>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8D19B5"/>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8D19B5"/>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8D19B5"/>
    <w:rPr>
      <w:sz w:val="20"/>
      <w:szCs w:val="20"/>
    </w:rPr>
  </w:style>
  <w:style w:type="character" w:customStyle="1" w:styleId="Copyrightpage-Heading2Char">
    <w:name w:val="Copyright page-Heading 2 Char"/>
    <w:basedOn w:val="NoSpacingChar"/>
    <w:link w:val="Copyrightpage-Heading2"/>
    <w:uiPriority w:val="19"/>
    <w:rsid w:val="008D19B5"/>
    <w:rPr>
      <w:b/>
      <w:color w:val="FFFFFF" w:themeColor="background1"/>
      <w:sz w:val="16"/>
      <w:szCs w:val="16"/>
    </w:rPr>
  </w:style>
  <w:style w:type="paragraph" w:customStyle="1" w:styleId="Copyrightpage-Heading">
    <w:name w:val="Copyright page-Heading"/>
    <w:basedOn w:val="Subtitle2"/>
    <w:link w:val="Copyrightpage-HeadingChar"/>
    <w:uiPriority w:val="19"/>
    <w:rsid w:val="008D19B5"/>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8D19B5"/>
    <w:rPr>
      <w:color w:val="FFFFFF" w:themeColor="background1"/>
      <w:sz w:val="16"/>
      <w:szCs w:val="20"/>
    </w:rPr>
  </w:style>
  <w:style w:type="paragraph" w:customStyle="1" w:styleId="Subtitle4">
    <w:name w:val="Subtitle 4"/>
    <w:basedOn w:val="Copyrightpage-Heading"/>
    <w:link w:val="Subtitle4Char"/>
    <w:uiPriority w:val="39"/>
    <w:rsid w:val="008D19B5"/>
    <w:pPr>
      <w:spacing w:after="40"/>
    </w:pPr>
    <w:rPr>
      <w:b/>
      <w:sz w:val="16"/>
    </w:rPr>
  </w:style>
  <w:style w:type="character" w:customStyle="1" w:styleId="Copyrightpage-HeadingChar">
    <w:name w:val="Copyright page-Heading Char"/>
    <w:basedOn w:val="Subtitle2Char"/>
    <w:link w:val="Copyrightpage-Heading"/>
    <w:uiPriority w:val="19"/>
    <w:rsid w:val="008D19B5"/>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8D19B5"/>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8D19B5"/>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8D19B5"/>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8D19B5"/>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8D19B5"/>
    <w:pPr>
      <w:spacing w:line="360" w:lineRule="auto"/>
      <w:jc w:val="right"/>
    </w:pPr>
    <w:rPr>
      <w:sz w:val="16"/>
    </w:rPr>
  </w:style>
  <w:style w:type="paragraph" w:customStyle="1" w:styleId="Letterlogo">
    <w:name w:val="Letter logo"/>
    <w:basedOn w:val="LetterRight"/>
    <w:uiPriority w:val="99"/>
    <w:rsid w:val="008D19B5"/>
    <w:pPr>
      <w:spacing w:after="320"/>
    </w:pPr>
  </w:style>
  <w:style w:type="character" w:customStyle="1" w:styleId="LetterRightChar">
    <w:name w:val="Letter Right Char"/>
    <w:basedOn w:val="DefaultParagraphFont"/>
    <w:link w:val="LetterRight"/>
    <w:uiPriority w:val="99"/>
    <w:rsid w:val="008D19B5"/>
    <w:rPr>
      <w:sz w:val="16"/>
      <w:szCs w:val="20"/>
    </w:rPr>
  </w:style>
  <w:style w:type="character" w:styleId="UnresolvedMention">
    <w:name w:val="Unresolved Mention"/>
    <w:basedOn w:val="DefaultParagraphFont"/>
    <w:uiPriority w:val="99"/>
    <w:unhideWhenUsed/>
    <w:rsid w:val="008D19B5"/>
    <w:rPr>
      <w:color w:val="605E5C"/>
      <w:shd w:val="clear" w:color="auto" w:fill="E1DFDD"/>
    </w:rPr>
  </w:style>
  <w:style w:type="paragraph" w:customStyle="1" w:styleId="LetterRight-NoSpace">
    <w:name w:val="Letter Right-No Space"/>
    <w:basedOn w:val="LetterRight"/>
    <w:uiPriority w:val="99"/>
    <w:rsid w:val="008D19B5"/>
    <w:pPr>
      <w:spacing w:after="0"/>
    </w:pPr>
  </w:style>
  <w:style w:type="table" w:customStyle="1" w:styleId="Blank">
    <w:name w:val="Blank"/>
    <w:basedOn w:val="TableNormal"/>
    <w:uiPriority w:val="99"/>
    <w:rsid w:val="008D19B5"/>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8D19B5"/>
    <w:pPr>
      <w:numPr>
        <w:numId w:val="11"/>
      </w:numPr>
      <w:contextualSpacing/>
    </w:pPr>
  </w:style>
  <w:style w:type="paragraph" w:customStyle="1" w:styleId="Coverdate">
    <w:name w:val="Cover date"/>
    <w:basedOn w:val="Normal"/>
    <w:uiPriority w:val="29"/>
    <w:rsid w:val="008D19B5"/>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8D19B5"/>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8D19B5"/>
    <w:rPr>
      <w:color w:val="FFFFFF" w:themeColor="background1"/>
    </w:rPr>
  </w:style>
  <w:style w:type="paragraph" w:customStyle="1" w:styleId="Copyrightpage-Keylinenotext">
    <w:name w:val="Copyright page-Keyline (no text)"/>
    <w:basedOn w:val="Copyrightpage-Heading2"/>
    <w:uiPriority w:val="19"/>
    <w:rsid w:val="008D19B5"/>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8D19B5"/>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8D19B5"/>
    <w:rPr>
      <w:b/>
    </w:rPr>
  </w:style>
  <w:style w:type="paragraph" w:customStyle="1" w:styleId="CoverImage">
    <w:name w:val="Cover Image"/>
    <w:basedOn w:val="Normal"/>
    <w:uiPriority w:val="29"/>
    <w:rsid w:val="008D19B5"/>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8D19B5"/>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8D19B5"/>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8D19B5"/>
    <w:pPr>
      <w:spacing w:before="60"/>
      <w:ind w:left="113" w:right="851"/>
    </w:pPr>
    <w:rPr>
      <w:color w:val="58585B"/>
    </w:rPr>
  </w:style>
  <w:style w:type="numbering" w:customStyle="1" w:styleId="TOCList">
    <w:name w:val="TOC List"/>
    <w:uiPriority w:val="99"/>
    <w:rsid w:val="008D19B5"/>
    <w:pPr>
      <w:numPr>
        <w:numId w:val="17"/>
      </w:numPr>
    </w:pPr>
  </w:style>
  <w:style w:type="paragraph" w:customStyle="1" w:styleId="Heading1-Section-fullpage">
    <w:name w:val="Heading 1-Section-full page"/>
    <w:basedOn w:val="Heading1-nobackground"/>
    <w:uiPriority w:val="9"/>
    <w:qFormat/>
    <w:rsid w:val="008D19B5"/>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8D19B5"/>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8D19B5"/>
    <w:pPr>
      <w:keepNext/>
      <w:spacing w:before="240"/>
    </w:pPr>
  </w:style>
  <w:style w:type="paragraph" w:customStyle="1" w:styleId="Source">
    <w:name w:val="Source"/>
    <w:basedOn w:val="Normal"/>
    <w:uiPriority w:val="9"/>
    <w:qFormat/>
    <w:rsid w:val="008D19B5"/>
    <w:pPr>
      <w:spacing w:before="80" w:after="240" w:line="216" w:lineRule="atLeast"/>
    </w:pPr>
    <w:rPr>
      <w:sz w:val="18"/>
    </w:rPr>
  </w:style>
  <w:style w:type="paragraph" w:customStyle="1" w:styleId="Note">
    <w:name w:val="Note"/>
    <w:basedOn w:val="Source"/>
    <w:uiPriority w:val="9"/>
    <w:qFormat/>
    <w:rsid w:val="008D19B5"/>
    <w:pPr>
      <w:spacing w:after="20"/>
    </w:pPr>
  </w:style>
  <w:style w:type="numbering" w:customStyle="1" w:styleId="Figure">
    <w:name w:val="Figure"/>
    <w:uiPriority w:val="99"/>
    <w:rsid w:val="008D19B5"/>
    <w:pPr>
      <w:numPr>
        <w:numId w:val="6"/>
      </w:numPr>
    </w:pPr>
  </w:style>
  <w:style w:type="table" w:customStyle="1" w:styleId="Boxtable">
    <w:name w:val="Box table"/>
    <w:basedOn w:val="Texttable-Paleblue"/>
    <w:uiPriority w:val="99"/>
    <w:rsid w:val="008D19B5"/>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8D19B5"/>
    <w:pPr>
      <w:numPr>
        <w:numId w:val="4"/>
      </w:numPr>
    </w:pPr>
  </w:style>
  <w:style w:type="paragraph" w:customStyle="1" w:styleId="BoxHeading2">
    <w:name w:val="Box Heading 2"/>
    <w:basedOn w:val="Normal"/>
    <w:next w:val="BodyText"/>
    <w:uiPriority w:val="4"/>
    <w:qFormat/>
    <w:rsid w:val="008D19B5"/>
    <w:rPr>
      <w:b/>
    </w:rPr>
  </w:style>
  <w:style w:type="table" w:customStyle="1" w:styleId="ProductivityCommissionTable2-Dark">
    <w:name w:val="Productivity Commission Table 2 - Dark"/>
    <w:basedOn w:val="ProductivityCommissionTable2"/>
    <w:uiPriority w:val="99"/>
    <w:rsid w:val="008D19B5"/>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8D19B5"/>
    <w:rPr>
      <w:i/>
    </w:rPr>
  </w:style>
  <w:style w:type="paragraph" w:customStyle="1" w:styleId="TableHeading">
    <w:name w:val="Table Heading"/>
    <w:basedOn w:val="NoSpacing"/>
    <w:uiPriority w:val="4"/>
    <w:qFormat/>
    <w:rsid w:val="008D19B5"/>
    <w:pPr>
      <w:spacing w:after="20"/>
      <w:ind w:left="57"/>
    </w:pPr>
    <w:rPr>
      <w:b/>
      <w:color w:val="265A9A" w:themeColor="background2"/>
      <w:sz w:val="18"/>
    </w:rPr>
  </w:style>
  <w:style w:type="paragraph" w:customStyle="1" w:styleId="BodyText-Blue">
    <w:name w:val="Body Text-Blue"/>
    <w:basedOn w:val="BodyText"/>
    <w:link w:val="BodyText-BlueChar"/>
    <w:semiHidden/>
    <w:qFormat/>
    <w:rsid w:val="008D19B5"/>
    <w:rPr>
      <w:color w:val="265A9A" w:themeColor="background2"/>
    </w:rPr>
  </w:style>
  <w:style w:type="table" w:customStyle="1" w:styleId="Texttable-Keyline">
    <w:name w:val="Text table-Keyline"/>
    <w:basedOn w:val="Texttable-Paleblue"/>
    <w:uiPriority w:val="99"/>
    <w:rsid w:val="008D19B5"/>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8D19B5"/>
    <w:pPr>
      <w:jc w:val="right"/>
    </w:pPr>
  </w:style>
  <w:style w:type="table" w:customStyle="1" w:styleId="CopyrightPage">
    <w:name w:val="Copyright Page"/>
    <w:basedOn w:val="OverviewPageBannerTableStyle"/>
    <w:uiPriority w:val="99"/>
    <w:rsid w:val="008D19B5"/>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8D19B5"/>
    <w:pPr>
      <w:spacing w:line="312" w:lineRule="atLeast"/>
    </w:pPr>
    <w:rPr>
      <w:color w:val="2C9BC2"/>
    </w:rPr>
  </w:style>
  <w:style w:type="paragraph" w:styleId="BodyText">
    <w:name w:val="Body Text"/>
    <w:basedOn w:val="Normal"/>
    <w:link w:val="BodyTextChar"/>
    <w:qFormat/>
    <w:rsid w:val="008D19B5"/>
  </w:style>
  <w:style w:type="character" w:customStyle="1" w:styleId="BodyTextChar">
    <w:name w:val="Body Text Char"/>
    <w:basedOn w:val="DefaultParagraphFont"/>
    <w:link w:val="BodyText"/>
    <w:rsid w:val="008D19B5"/>
    <w:rPr>
      <w:sz w:val="20"/>
      <w:szCs w:val="20"/>
    </w:rPr>
  </w:style>
  <w:style w:type="paragraph" w:styleId="List4">
    <w:name w:val="List 4"/>
    <w:basedOn w:val="Normal"/>
    <w:uiPriority w:val="99"/>
    <w:semiHidden/>
    <w:rsid w:val="008D19B5"/>
    <w:pPr>
      <w:numPr>
        <w:ilvl w:val="3"/>
        <w:numId w:val="9"/>
      </w:numPr>
      <w:contextualSpacing/>
    </w:pPr>
  </w:style>
  <w:style w:type="paragraph" w:styleId="List3">
    <w:name w:val="List 3"/>
    <w:basedOn w:val="Normal"/>
    <w:uiPriority w:val="99"/>
    <w:semiHidden/>
    <w:rsid w:val="008D19B5"/>
    <w:pPr>
      <w:numPr>
        <w:ilvl w:val="2"/>
        <w:numId w:val="9"/>
      </w:numPr>
      <w:contextualSpacing/>
    </w:pPr>
  </w:style>
  <w:style w:type="paragraph" w:customStyle="1" w:styleId="Heading1-nonumber">
    <w:name w:val="Heading 1-no number"/>
    <w:basedOn w:val="Heading1"/>
    <w:next w:val="BodyText"/>
    <w:uiPriority w:val="9"/>
    <w:qFormat/>
    <w:rsid w:val="008D19B5"/>
    <w:pPr>
      <w:numPr>
        <w:numId w:val="0"/>
      </w:numPr>
      <w:ind w:left="567"/>
    </w:pPr>
  </w:style>
  <w:style w:type="paragraph" w:customStyle="1" w:styleId="ListAlpha1">
    <w:name w:val="List Alpha 1"/>
    <w:basedOn w:val="Normal"/>
    <w:uiPriority w:val="3"/>
    <w:qFormat/>
    <w:rsid w:val="008D19B5"/>
    <w:pPr>
      <w:numPr>
        <w:numId w:val="10"/>
      </w:numPr>
      <w:spacing w:before="60"/>
      <w:contextualSpacing/>
    </w:pPr>
  </w:style>
  <w:style w:type="paragraph" w:customStyle="1" w:styleId="ListAlpha2">
    <w:name w:val="List Alpha 2"/>
    <w:basedOn w:val="ListAlpha1"/>
    <w:uiPriority w:val="3"/>
    <w:qFormat/>
    <w:rsid w:val="008D19B5"/>
    <w:pPr>
      <w:numPr>
        <w:ilvl w:val="1"/>
      </w:numPr>
    </w:pPr>
  </w:style>
  <w:style w:type="paragraph" w:customStyle="1" w:styleId="ListAlpha3">
    <w:name w:val="List Alpha 3"/>
    <w:basedOn w:val="ListAlpha2"/>
    <w:uiPriority w:val="3"/>
    <w:qFormat/>
    <w:rsid w:val="008D19B5"/>
    <w:pPr>
      <w:numPr>
        <w:ilvl w:val="2"/>
      </w:numPr>
    </w:pPr>
  </w:style>
  <w:style w:type="paragraph" w:customStyle="1" w:styleId="ListAlpha4">
    <w:name w:val="List Alpha 4"/>
    <w:basedOn w:val="ListAlpha3"/>
    <w:uiPriority w:val="3"/>
    <w:qFormat/>
    <w:rsid w:val="008D19B5"/>
    <w:pPr>
      <w:numPr>
        <w:ilvl w:val="3"/>
      </w:numPr>
    </w:pPr>
  </w:style>
  <w:style w:type="numbering" w:customStyle="1" w:styleId="Alphalist">
    <w:name w:val="Alpha list"/>
    <w:uiPriority w:val="99"/>
    <w:rsid w:val="008D19B5"/>
    <w:pPr>
      <w:numPr>
        <w:numId w:val="1"/>
      </w:numPr>
    </w:pPr>
  </w:style>
  <w:style w:type="paragraph" w:customStyle="1" w:styleId="KeyPoints-Bold">
    <w:name w:val="Key Points-Bold"/>
    <w:basedOn w:val="Normal"/>
    <w:uiPriority w:val="10"/>
    <w:qFormat/>
    <w:rsid w:val="008D19B5"/>
    <w:pPr>
      <w:spacing w:before="40" w:after="60" w:line="274" w:lineRule="atLeast"/>
    </w:pPr>
    <w:rPr>
      <w:b/>
      <w:sz w:val="18"/>
    </w:rPr>
  </w:style>
  <w:style w:type="paragraph" w:customStyle="1" w:styleId="Copyrightpage-BodyBold">
    <w:name w:val="Copyright page-Body Bold"/>
    <w:basedOn w:val="Copyrightpage-BodyText"/>
    <w:uiPriority w:val="19"/>
    <w:rsid w:val="008D19B5"/>
    <w:rPr>
      <w:b/>
    </w:rPr>
  </w:style>
  <w:style w:type="paragraph" w:customStyle="1" w:styleId="KeyPoints-Bullet">
    <w:name w:val="Key Points-Bullet"/>
    <w:basedOn w:val="ListBullet"/>
    <w:uiPriority w:val="10"/>
    <w:qFormat/>
    <w:rsid w:val="008D19B5"/>
    <w:pPr>
      <w:spacing w:after="60" w:line="274" w:lineRule="atLeast"/>
    </w:pPr>
    <w:rPr>
      <w:sz w:val="18"/>
    </w:rPr>
  </w:style>
  <w:style w:type="paragraph" w:customStyle="1" w:styleId="BodyText-Grey">
    <w:name w:val="Body Text-Grey"/>
    <w:basedOn w:val="BodyText"/>
    <w:link w:val="BodyText-GreyChar"/>
    <w:semiHidden/>
    <w:qFormat/>
    <w:rsid w:val="008D19B5"/>
    <w:rPr>
      <w:color w:val="58585B"/>
    </w:rPr>
  </w:style>
  <w:style w:type="character" w:customStyle="1" w:styleId="BodyText-GreyChar">
    <w:name w:val="Body Text-Grey Char"/>
    <w:basedOn w:val="BodyTextChar"/>
    <w:link w:val="BodyText-Grey"/>
    <w:semiHidden/>
    <w:rsid w:val="008D19B5"/>
    <w:rPr>
      <w:color w:val="58585B"/>
      <w:sz w:val="20"/>
      <w:szCs w:val="20"/>
    </w:rPr>
  </w:style>
  <w:style w:type="paragraph" w:styleId="BalloonText">
    <w:name w:val="Balloon Text"/>
    <w:basedOn w:val="Normal"/>
    <w:link w:val="BalloonTextChar"/>
    <w:uiPriority w:val="99"/>
    <w:semiHidden/>
    <w:unhideWhenUsed/>
    <w:rsid w:val="008D1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9B5"/>
    <w:rPr>
      <w:rFonts w:ascii="Segoe UI" w:hAnsi="Segoe UI" w:cs="Segoe UI"/>
      <w:sz w:val="18"/>
      <w:szCs w:val="18"/>
    </w:rPr>
  </w:style>
  <w:style w:type="character" w:styleId="CommentReference">
    <w:name w:val="annotation reference"/>
    <w:basedOn w:val="DefaultParagraphFont"/>
    <w:uiPriority w:val="99"/>
    <w:semiHidden/>
    <w:unhideWhenUsed/>
    <w:rsid w:val="008D19B5"/>
    <w:rPr>
      <w:sz w:val="16"/>
      <w:szCs w:val="16"/>
    </w:rPr>
  </w:style>
  <w:style w:type="paragraph" w:styleId="CommentText">
    <w:name w:val="annotation text"/>
    <w:basedOn w:val="Normal"/>
    <w:link w:val="CommentTextChar"/>
    <w:uiPriority w:val="99"/>
    <w:unhideWhenUsed/>
    <w:rsid w:val="008D19B5"/>
    <w:pPr>
      <w:spacing w:line="240" w:lineRule="auto"/>
    </w:pPr>
  </w:style>
  <w:style w:type="character" w:customStyle="1" w:styleId="CommentTextChar">
    <w:name w:val="Comment Text Char"/>
    <w:basedOn w:val="DefaultParagraphFont"/>
    <w:link w:val="CommentText"/>
    <w:uiPriority w:val="99"/>
    <w:rsid w:val="008D19B5"/>
    <w:rPr>
      <w:sz w:val="20"/>
      <w:szCs w:val="20"/>
    </w:rPr>
  </w:style>
  <w:style w:type="paragraph" w:styleId="CommentSubject">
    <w:name w:val="annotation subject"/>
    <w:basedOn w:val="CommentText"/>
    <w:next w:val="CommentText"/>
    <w:link w:val="CommentSubjectChar"/>
    <w:uiPriority w:val="99"/>
    <w:semiHidden/>
    <w:unhideWhenUsed/>
    <w:rsid w:val="008D19B5"/>
    <w:rPr>
      <w:b/>
      <w:bCs/>
    </w:rPr>
  </w:style>
  <w:style w:type="character" w:customStyle="1" w:styleId="CommentSubjectChar">
    <w:name w:val="Comment Subject Char"/>
    <w:basedOn w:val="CommentTextChar"/>
    <w:link w:val="CommentSubject"/>
    <w:uiPriority w:val="99"/>
    <w:semiHidden/>
    <w:rsid w:val="008D19B5"/>
    <w:rPr>
      <w:b/>
      <w:bCs/>
      <w:sz w:val="20"/>
      <w:szCs w:val="20"/>
    </w:rPr>
  </w:style>
  <w:style w:type="character" w:customStyle="1" w:styleId="ColourBlue">
    <w:name w:val="Colour Blue"/>
    <w:basedOn w:val="DefaultParagraphFont"/>
    <w:uiPriority w:val="22"/>
    <w:qFormat/>
    <w:rsid w:val="008D19B5"/>
    <w:rPr>
      <w:color w:val="66BCDB" w:themeColor="text2"/>
    </w:rPr>
  </w:style>
  <w:style w:type="character" w:customStyle="1" w:styleId="ColourDarkBlue">
    <w:name w:val="Colour Dark Blue"/>
    <w:basedOn w:val="ColourBlue"/>
    <w:uiPriority w:val="22"/>
    <w:qFormat/>
    <w:rsid w:val="008D19B5"/>
    <w:rPr>
      <w:color w:val="265A9A" w:themeColor="background2"/>
    </w:rPr>
  </w:style>
  <w:style w:type="paragraph" w:customStyle="1" w:styleId="BodyText-Beforebullet">
    <w:name w:val="Body Text-Before bullet"/>
    <w:basedOn w:val="BodyText"/>
    <w:link w:val="BodyText-BeforebulletChar"/>
    <w:semiHidden/>
    <w:unhideWhenUsed/>
    <w:rsid w:val="008D19B5"/>
    <w:pPr>
      <w:spacing w:after="20"/>
    </w:pPr>
  </w:style>
  <w:style w:type="paragraph" w:customStyle="1" w:styleId="PullQuote">
    <w:name w:val="Pull Quote"/>
    <w:basedOn w:val="BodyText"/>
    <w:next w:val="BodyText"/>
    <w:uiPriority w:val="10"/>
    <w:qFormat/>
    <w:rsid w:val="008D19B5"/>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8D19B5"/>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8D19B5"/>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8D19B5"/>
    <w:pPr>
      <w:spacing w:before="60"/>
      <w:jc w:val="right"/>
    </w:pPr>
  </w:style>
  <w:style w:type="paragraph" w:customStyle="1" w:styleId="FigureTableSubheading">
    <w:name w:val="Figure/Table Subheading"/>
    <w:basedOn w:val="FigureTableHeading"/>
    <w:uiPriority w:val="4"/>
    <w:qFormat/>
    <w:rsid w:val="008D19B5"/>
    <w:pPr>
      <w:spacing w:before="40"/>
    </w:pPr>
    <w:rPr>
      <w:color w:val="58585B"/>
    </w:rPr>
  </w:style>
  <w:style w:type="table" w:customStyle="1" w:styleId="TextTable-Grey">
    <w:name w:val="Text Table-Grey"/>
    <w:basedOn w:val="Texttable-Paleblue"/>
    <w:uiPriority w:val="99"/>
    <w:rsid w:val="008D19B5"/>
    <w:rPr>
      <w:color w:val="265A9A" w:themeColor="background2"/>
    </w:rPr>
    <w:tblPr/>
    <w:tcPr>
      <w:shd w:val="clear" w:color="auto" w:fill="F2F2F2"/>
    </w:tcPr>
  </w:style>
  <w:style w:type="character" w:customStyle="1" w:styleId="BodyText-BlueChar">
    <w:name w:val="Body Text-Blue Char"/>
    <w:basedOn w:val="BodyTextChar"/>
    <w:link w:val="BodyText-Blue"/>
    <w:semiHidden/>
    <w:rsid w:val="008D19B5"/>
    <w:rPr>
      <w:color w:val="265A9A" w:themeColor="background2"/>
      <w:sz w:val="20"/>
      <w:szCs w:val="20"/>
    </w:rPr>
  </w:style>
  <w:style w:type="paragraph" w:customStyle="1" w:styleId="Heading3-nonumber">
    <w:name w:val="Heading 3-no number"/>
    <w:basedOn w:val="Heading3"/>
    <w:uiPriority w:val="9"/>
    <w:semiHidden/>
    <w:qFormat/>
    <w:rsid w:val="008D19B5"/>
  </w:style>
  <w:style w:type="paragraph" w:customStyle="1" w:styleId="Heading1-nobackground">
    <w:name w:val="Heading 1-no background"/>
    <w:basedOn w:val="Heading1"/>
    <w:next w:val="BodyText"/>
    <w:uiPriority w:val="9"/>
    <w:qFormat/>
    <w:rsid w:val="008D19B5"/>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8D19B5"/>
    <w:rPr>
      <w:color w:val="58585B"/>
      <w:sz w:val="20"/>
      <w:szCs w:val="20"/>
    </w:rPr>
  </w:style>
  <w:style w:type="paragraph" w:customStyle="1" w:styleId="TableHeading-numbered">
    <w:name w:val="Table Heading-numbered"/>
    <w:basedOn w:val="Normal"/>
    <w:semiHidden/>
    <w:qFormat/>
    <w:rsid w:val="008D19B5"/>
    <w:pPr>
      <w:numPr>
        <w:numId w:val="16"/>
      </w:numPr>
      <w:spacing w:before="60"/>
      <w:contextualSpacing/>
    </w:pPr>
    <w:rPr>
      <w:b/>
      <w:color w:val="265A9A" w:themeColor="background2"/>
    </w:rPr>
  </w:style>
  <w:style w:type="numbering" w:customStyle="1" w:styleId="TableList">
    <w:name w:val="TableList"/>
    <w:uiPriority w:val="99"/>
    <w:rsid w:val="008D19B5"/>
    <w:pPr>
      <w:numPr>
        <w:numId w:val="16"/>
      </w:numPr>
    </w:pPr>
  </w:style>
  <w:style w:type="paragraph" w:customStyle="1" w:styleId="Footer-right">
    <w:name w:val="Footer-right"/>
    <w:basedOn w:val="Footer"/>
    <w:uiPriority w:val="11"/>
    <w:rsid w:val="008D19B5"/>
    <w:pPr>
      <w:jc w:val="right"/>
    </w:pPr>
    <w:rPr>
      <w:szCs w:val="24"/>
    </w:rPr>
  </w:style>
  <w:style w:type="paragraph" w:customStyle="1" w:styleId="Heading2-nonumber">
    <w:name w:val="Heading 2-no number"/>
    <w:basedOn w:val="Heading2"/>
    <w:uiPriority w:val="9"/>
    <w:qFormat/>
    <w:rsid w:val="008D19B5"/>
    <w:pPr>
      <w:numPr>
        <w:ilvl w:val="0"/>
        <w:numId w:val="0"/>
      </w:numPr>
    </w:pPr>
  </w:style>
  <w:style w:type="paragraph" w:customStyle="1" w:styleId="Heading-Appendix">
    <w:name w:val="Heading-Appendix"/>
    <w:basedOn w:val="Heading1-nonumber"/>
    <w:next w:val="BodyText"/>
    <w:uiPriority w:val="9"/>
    <w:qFormat/>
    <w:rsid w:val="008D19B5"/>
    <w:pPr>
      <w:numPr>
        <w:numId w:val="7"/>
      </w:numPr>
    </w:pPr>
  </w:style>
  <w:style w:type="numbering" w:customStyle="1" w:styleId="AppendixHeading">
    <w:name w:val="AppendixHeading"/>
    <w:uiPriority w:val="99"/>
    <w:rsid w:val="008D19B5"/>
    <w:pPr>
      <w:numPr>
        <w:numId w:val="3"/>
      </w:numPr>
    </w:pPr>
  </w:style>
  <w:style w:type="paragraph" w:customStyle="1" w:styleId="DraftingNote">
    <w:name w:val="Drafting Note"/>
    <w:basedOn w:val="BodyText"/>
    <w:link w:val="DraftingNoteChar"/>
    <w:qFormat/>
    <w:rsid w:val="008D19B5"/>
    <w:pPr>
      <w:contextualSpacing/>
    </w:pPr>
    <w:rPr>
      <w:color w:val="A22D2B"/>
      <w:sz w:val="24"/>
      <w:u w:val="dotted"/>
    </w:rPr>
  </w:style>
  <w:style w:type="character" w:customStyle="1" w:styleId="DraftingNoteChar">
    <w:name w:val="Drafting Note Char"/>
    <w:basedOn w:val="BodyTextChar"/>
    <w:link w:val="DraftingNote"/>
    <w:rsid w:val="008D19B5"/>
    <w:rPr>
      <w:color w:val="A22D2B"/>
      <w:sz w:val="24"/>
      <w:szCs w:val="20"/>
      <w:u w:val="dotted"/>
    </w:rPr>
  </w:style>
  <w:style w:type="paragraph" w:customStyle="1" w:styleId="BoxHeading1">
    <w:name w:val="Box Heading 1"/>
    <w:basedOn w:val="FigureTableHeading"/>
    <w:next w:val="BodyText"/>
    <w:uiPriority w:val="4"/>
    <w:qFormat/>
    <w:rsid w:val="008D19B5"/>
    <w:pPr>
      <w:spacing w:after="0"/>
    </w:pPr>
  </w:style>
  <w:style w:type="character" w:styleId="Emphasis">
    <w:name w:val="Emphasis"/>
    <w:basedOn w:val="DefaultParagraphFont"/>
    <w:uiPriority w:val="22"/>
    <w:qFormat/>
    <w:rsid w:val="008D19B5"/>
    <w:rPr>
      <w:i/>
      <w:iCs/>
    </w:rPr>
  </w:style>
  <w:style w:type="paragraph" w:customStyle="1" w:styleId="Reference">
    <w:name w:val="Reference"/>
    <w:basedOn w:val="BodyText"/>
    <w:qFormat/>
    <w:rsid w:val="008D19B5"/>
    <w:pPr>
      <w:spacing w:before="0" w:after="60" w:line="200" w:lineRule="exact"/>
    </w:pPr>
    <w:rPr>
      <w:sz w:val="16"/>
    </w:rPr>
  </w:style>
  <w:style w:type="paragraph" w:customStyle="1" w:styleId="Keypoints-heading">
    <w:name w:val="Key points-heading"/>
    <w:basedOn w:val="Heading3"/>
    <w:uiPriority w:val="10"/>
    <w:qFormat/>
    <w:rsid w:val="008D19B5"/>
    <w:rPr>
      <w:color w:val="auto"/>
    </w:rPr>
  </w:style>
  <w:style w:type="paragraph" w:customStyle="1" w:styleId="Heading2-Appendix">
    <w:name w:val="Heading 2-Appendix"/>
    <w:basedOn w:val="Heading2-nonumber"/>
    <w:next w:val="Normal"/>
    <w:uiPriority w:val="10"/>
    <w:qFormat/>
    <w:rsid w:val="008D19B5"/>
    <w:pPr>
      <w:numPr>
        <w:ilvl w:val="1"/>
        <w:numId w:val="7"/>
      </w:numPr>
    </w:pPr>
  </w:style>
  <w:style w:type="numbering" w:customStyle="1" w:styleId="AppendixHeadingList">
    <w:name w:val="Appendix Heading List"/>
    <w:uiPriority w:val="99"/>
    <w:rsid w:val="008D19B5"/>
    <w:pPr>
      <w:numPr>
        <w:numId w:val="2"/>
      </w:numPr>
    </w:pPr>
  </w:style>
  <w:style w:type="paragraph" w:customStyle="1" w:styleId="Space">
    <w:name w:val="Space"/>
    <w:basedOn w:val="BodyText"/>
    <w:uiPriority w:val="1"/>
    <w:rsid w:val="008D19B5"/>
    <w:pPr>
      <w:spacing w:before="0" w:after="0"/>
    </w:pPr>
  </w:style>
  <w:style w:type="paragraph" w:customStyle="1" w:styleId="QuoteBullet">
    <w:name w:val="Quote Bullet"/>
    <w:basedOn w:val="ListBullet"/>
    <w:link w:val="QuoteBulletChar"/>
    <w:uiPriority w:val="1"/>
    <w:qFormat/>
    <w:rsid w:val="008D19B5"/>
    <w:pPr>
      <w:spacing w:before="60"/>
      <w:ind w:left="340" w:right="851"/>
    </w:pPr>
    <w:rPr>
      <w:color w:val="58585B"/>
    </w:rPr>
  </w:style>
  <w:style w:type="character" w:customStyle="1" w:styleId="ListBulletChar">
    <w:name w:val="List Bullet Char"/>
    <w:basedOn w:val="DefaultParagraphFont"/>
    <w:link w:val="ListBullet"/>
    <w:uiPriority w:val="1"/>
    <w:rsid w:val="008D19B5"/>
    <w:rPr>
      <w:sz w:val="20"/>
      <w:szCs w:val="20"/>
    </w:rPr>
  </w:style>
  <w:style w:type="character" w:customStyle="1" w:styleId="QuoteBulletChar">
    <w:name w:val="Quote Bullet Char"/>
    <w:basedOn w:val="ListBulletChar"/>
    <w:link w:val="QuoteBullet"/>
    <w:uiPriority w:val="1"/>
    <w:rsid w:val="008D19B5"/>
    <w:rPr>
      <w:color w:val="58585B"/>
      <w:sz w:val="20"/>
      <w:szCs w:val="20"/>
    </w:rPr>
  </w:style>
  <w:style w:type="paragraph" w:customStyle="1" w:styleId="Figurecharttitle">
    <w:name w:val="Figure chart title"/>
    <w:basedOn w:val="BodyText"/>
    <w:uiPriority w:val="10"/>
    <w:qFormat/>
    <w:rsid w:val="008D19B5"/>
    <w:pPr>
      <w:spacing w:before="0" w:after="0"/>
      <w:ind w:left="284" w:hanging="284"/>
    </w:pPr>
    <w:rPr>
      <w:sz w:val="18"/>
      <w:szCs w:val="18"/>
    </w:rPr>
  </w:style>
  <w:style w:type="paragraph" w:customStyle="1" w:styleId="CoverdisclaimerwhiteCover">
    <w:name w:val="Cover – disclaimer (white) (Cover)"/>
    <w:basedOn w:val="Normal"/>
    <w:uiPriority w:val="99"/>
    <w:rsid w:val="004F7BE2"/>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PullQuoteNoSpacing">
    <w:name w:val="Pull Quote No Spacing"/>
    <w:basedOn w:val="NoSpacing"/>
    <w:link w:val="PullQuoteNoSpacingChar"/>
    <w:uiPriority w:val="10"/>
    <w:qFormat/>
    <w:rsid w:val="008D19B5"/>
    <w:pPr>
      <w:spacing w:line="160" w:lineRule="exact"/>
    </w:pPr>
  </w:style>
  <w:style w:type="character" w:customStyle="1" w:styleId="PullQuoteNoSpacingChar">
    <w:name w:val="Pull Quote No Spacing Char"/>
    <w:basedOn w:val="NoSpacingChar"/>
    <w:link w:val="PullQuoteNoSpacing"/>
    <w:uiPriority w:val="10"/>
    <w:rsid w:val="008D19B5"/>
    <w:rPr>
      <w:sz w:val="20"/>
      <w:szCs w:val="20"/>
    </w:rPr>
  </w:style>
  <w:style w:type="paragraph" w:customStyle="1" w:styleId="PullQuote-Indigenous">
    <w:name w:val="Pull Quote-Indigenous"/>
    <w:basedOn w:val="PullQuote"/>
    <w:uiPriority w:val="10"/>
    <w:qFormat/>
    <w:rsid w:val="008D19B5"/>
    <w:pPr>
      <w:ind w:right="680"/>
    </w:pPr>
    <w:rPr>
      <w:rFonts w:ascii="Arial" w:hAnsi="Arial" w:cs="Arial"/>
      <w:color w:val="auto"/>
      <w:spacing w:val="6"/>
      <w:sz w:val="22"/>
      <w:szCs w:val="22"/>
    </w:rPr>
  </w:style>
  <w:style w:type="paragraph" w:customStyle="1" w:styleId="TableListBullet">
    <w:name w:val="Table List Bullet"/>
    <w:basedOn w:val="ListBullet"/>
    <w:uiPriority w:val="10"/>
    <w:qFormat/>
    <w:rsid w:val="00120DB2"/>
    <w:pPr>
      <w:spacing w:before="46" w:after="46"/>
    </w:pPr>
    <w:rPr>
      <w:sz w:val="18"/>
    </w:rPr>
  </w:style>
  <w:style w:type="character" w:styleId="HTMLCite">
    <w:name w:val="HTML Cite"/>
    <w:basedOn w:val="DefaultParagraphFont"/>
    <w:uiPriority w:val="99"/>
    <w:semiHidden/>
    <w:unhideWhenUsed/>
    <w:rsid w:val="00905136"/>
    <w:rPr>
      <w:i/>
      <w:iCs/>
    </w:rPr>
  </w:style>
  <w:style w:type="character" w:styleId="FollowedHyperlink">
    <w:name w:val="FollowedHyperlink"/>
    <w:basedOn w:val="DefaultParagraphFont"/>
    <w:uiPriority w:val="99"/>
    <w:semiHidden/>
    <w:unhideWhenUsed/>
    <w:rsid w:val="00F00355"/>
    <w:rPr>
      <w:color w:val="BFBFBF" w:themeColor="followedHyperlink"/>
      <w:u w:val="single"/>
    </w:rPr>
  </w:style>
  <w:style w:type="character" w:styleId="Mention">
    <w:name w:val="Mention"/>
    <w:basedOn w:val="DefaultParagraphFont"/>
    <w:uiPriority w:val="99"/>
    <w:unhideWhenUsed/>
    <w:rsid w:val="00F96601"/>
    <w:rPr>
      <w:color w:val="2B579A"/>
      <w:shd w:val="clear" w:color="auto" w:fill="E1DFDD"/>
    </w:rPr>
  </w:style>
  <w:style w:type="paragraph" w:styleId="NormalWeb">
    <w:name w:val="Normal (Web)"/>
    <w:basedOn w:val="Normal"/>
    <w:uiPriority w:val="99"/>
    <w:unhideWhenUsed/>
    <w:rsid w:val="00F96601"/>
    <w:rPr>
      <w:rFonts w:ascii="Times New Roman" w:hAnsi="Times New Roman" w:cs="Times New Roman"/>
      <w:sz w:val="24"/>
      <w:szCs w:val="24"/>
    </w:rPr>
  </w:style>
  <w:style w:type="paragraph" w:styleId="Bibliography">
    <w:name w:val="Bibliography"/>
    <w:basedOn w:val="Normal"/>
    <w:next w:val="Normal"/>
    <w:uiPriority w:val="37"/>
    <w:unhideWhenUsed/>
    <w:rsid w:val="00F96601"/>
    <w:pPr>
      <w:spacing w:after="240" w:line="240" w:lineRule="atLeast"/>
      <w:ind w:left="720" w:hanging="720"/>
    </w:pPr>
  </w:style>
  <w:style w:type="character" w:styleId="EndnoteReference">
    <w:name w:val="endnote reference"/>
    <w:basedOn w:val="DefaultParagraphFont"/>
    <w:uiPriority w:val="99"/>
    <w:semiHidden/>
    <w:unhideWhenUsed/>
    <w:rsid w:val="00F96601"/>
    <w:rPr>
      <w:vertAlign w:val="superscript"/>
    </w:rPr>
  </w:style>
  <w:style w:type="paragraph" w:customStyle="1" w:styleId="paragraph">
    <w:name w:val="paragraph"/>
    <w:basedOn w:val="Normal"/>
    <w:rsid w:val="00F9660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96601"/>
  </w:style>
  <w:style w:type="character" w:customStyle="1" w:styleId="eop">
    <w:name w:val="eop"/>
    <w:basedOn w:val="DefaultParagraphFont"/>
    <w:rsid w:val="00F96601"/>
  </w:style>
  <w:style w:type="paragraph" w:customStyle="1" w:styleId="BriefingNotebox">
    <w:name w:val="Briefing Note box"/>
    <w:basedOn w:val="Normal"/>
    <w:qFormat/>
    <w:rsid w:val="00F96601"/>
    <w:pPr>
      <w:spacing w:after="0" w:line="300" w:lineRule="atLeast"/>
    </w:pPr>
    <w:rPr>
      <w:rFonts w:ascii="Times New Roman" w:eastAsia="Times New Roman" w:hAnsi="Times New Roman" w:cs="Times New Roman"/>
      <w:b/>
      <w:sz w:val="24"/>
      <w:szCs w:val="24"/>
      <w:lang w:eastAsia="en-AU"/>
    </w:rPr>
  </w:style>
  <w:style w:type="numbering" w:customStyle="1" w:styleId="Bullets1">
    <w:name w:val="Bullets1"/>
    <w:uiPriority w:val="99"/>
    <w:rsid w:val="00F96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0808">
      <w:bodyDiv w:val="1"/>
      <w:marLeft w:val="0"/>
      <w:marRight w:val="0"/>
      <w:marTop w:val="0"/>
      <w:marBottom w:val="0"/>
      <w:divBdr>
        <w:top w:val="none" w:sz="0" w:space="0" w:color="auto"/>
        <w:left w:val="none" w:sz="0" w:space="0" w:color="auto"/>
        <w:bottom w:val="none" w:sz="0" w:space="0" w:color="auto"/>
        <w:right w:val="none" w:sz="0" w:space="0" w:color="auto"/>
      </w:divBdr>
    </w:div>
    <w:div w:id="225532045">
      <w:bodyDiv w:val="1"/>
      <w:marLeft w:val="0"/>
      <w:marRight w:val="0"/>
      <w:marTop w:val="0"/>
      <w:marBottom w:val="0"/>
      <w:divBdr>
        <w:top w:val="none" w:sz="0" w:space="0" w:color="auto"/>
        <w:left w:val="none" w:sz="0" w:space="0" w:color="auto"/>
        <w:bottom w:val="none" w:sz="0" w:space="0" w:color="auto"/>
        <w:right w:val="none" w:sz="0" w:space="0" w:color="auto"/>
      </w:divBdr>
      <w:divsChild>
        <w:div w:id="501892128">
          <w:marLeft w:val="158"/>
          <w:marRight w:val="0"/>
          <w:marTop w:val="0"/>
          <w:marBottom w:val="32"/>
          <w:divBdr>
            <w:top w:val="none" w:sz="0" w:space="0" w:color="auto"/>
            <w:left w:val="none" w:sz="0" w:space="0" w:color="auto"/>
            <w:bottom w:val="none" w:sz="0" w:space="0" w:color="auto"/>
            <w:right w:val="none" w:sz="0" w:space="0" w:color="auto"/>
          </w:divBdr>
        </w:div>
        <w:div w:id="1008140826">
          <w:marLeft w:val="158"/>
          <w:marRight w:val="0"/>
          <w:marTop w:val="0"/>
          <w:marBottom w:val="32"/>
          <w:divBdr>
            <w:top w:val="none" w:sz="0" w:space="0" w:color="auto"/>
            <w:left w:val="none" w:sz="0" w:space="0" w:color="auto"/>
            <w:bottom w:val="none" w:sz="0" w:space="0" w:color="auto"/>
            <w:right w:val="none" w:sz="0" w:space="0" w:color="auto"/>
          </w:divBdr>
        </w:div>
        <w:div w:id="1528717262">
          <w:marLeft w:val="158"/>
          <w:marRight w:val="0"/>
          <w:marTop w:val="0"/>
          <w:marBottom w:val="32"/>
          <w:divBdr>
            <w:top w:val="none" w:sz="0" w:space="0" w:color="auto"/>
            <w:left w:val="none" w:sz="0" w:space="0" w:color="auto"/>
            <w:bottom w:val="none" w:sz="0" w:space="0" w:color="auto"/>
            <w:right w:val="none" w:sz="0" w:space="0" w:color="auto"/>
          </w:divBdr>
        </w:div>
        <w:div w:id="2073311122">
          <w:marLeft w:val="158"/>
          <w:marRight w:val="0"/>
          <w:marTop w:val="0"/>
          <w:marBottom w:val="32"/>
          <w:divBdr>
            <w:top w:val="none" w:sz="0" w:space="0" w:color="auto"/>
            <w:left w:val="none" w:sz="0" w:space="0" w:color="auto"/>
            <w:bottom w:val="none" w:sz="0" w:space="0" w:color="auto"/>
            <w:right w:val="none" w:sz="0" w:space="0" w:color="auto"/>
          </w:divBdr>
        </w:div>
        <w:div w:id="1150902202">
          <w:marLeft w:val="158"/>
          <w:marRight w:val="0"/>
          <w:marTop w:val="0"/>
          <w:marBottom w:val="32"/>
          <w:divBdr>
            <w:top w:val="none" w:sz="0" w:space="0" w:color="auto"/>
            <w:left w:val="none" w:sz="0" w:space="0" w:color="auto"/>
            <w:bottom w:val="none" w:sz="0" w:space="0" w:color="auto"/>
            <w:right w:val="none" w:sz="0" w:space="0" w:color="auto"/>
          </w:divBdr>
        </w:div>
      </w:divsChild>
    </w:div>
    <w:div w:id="493498487">
      <w:bodyDiv w:val="1"/>
      <w:marLeft w:val="0"/>
      <w:marRight w:val="0"/>
      <w:marTop w:val="0"/>
      <w:marBottom w:val="0"/>
      <w:divBdr>
        <w:top w:val="none" w:sz="0" w:space="0" w:color="auto"/>
        <w:left w:val="none" w:sz="0" w:space="0" w:color="auto"/>
        <w:bottom w:val="none" w:sz="0" w:space="0" w:color="auto"/>
        <w:right w:val="none" w:sz="0" w:space="0" w:color="auto"/>
      </w:divBdr>
    </w:div>
    <w:div w:id="539442637">
      <w:bodyDiv w:val="1"/>
      <w:marLeft w:val="0"/>
      <w:marRight w:val="0"/>
      <w:marTop w:val="0"/>
      <w:marBottom w:val="0"/>
      <w:divBdr>
        <w:top w:val="none" w:sz="0" w:space="0" w:color="auto"/>
        <w:left w:val="none" w:sz="0" w:space="0" w:color="auto"/>
        <w:bottom w:val="none" w:sz="0" w:space="0" w:color="auto"/>
        <w:right w:val="none" w:sz="0" w:space="0" w:color="auto"/>
      </w:divBdr>
    </w:div>
    <w:div w:id="586382265">
      <w:bodyDiv w:val="1"/>
      <w:marLeft w:val="0"/>
      <w:marRight w:val="0"/>
      <w:marTop w:val="0"/>
      <w:marBottom w:val="0"/>
      <w:divBdr>
        <w:top w:val="none" w:sz="0" w:space="0" w:color="auto"/>
        <w:left w:val="none" w:sz="0" w:space="0" w:color="auto"/>
        <w:bottom w:val="none" w:sz="0" w:space="0" w:color="auto"/>
        <w:right w:val="none" w:sz="0" w:space="0" w:color="auto"/>
      </w:divBdr>
      <w:divsChild>
        <w:div w:id="1609116310">
          <w:marLeft w:val="158"/>
          <w:marRight w:val="0"/>
          <w:marTop w:val="0"/>
          <w:marBottom w:val="32"/>
          <w:divBdr>
            <w:top w:val="none" w:sz="0" w:space="0" w:color="auto"/>
            <w:left w:val="none" w:sz="0" w:space="0" w:color="auto"/>
            <w:bottom w:val="none" w:sz="0" w:space="0" w:color="auto"/>
            <w:right w:val="none" w:sz="0" w:space="0" w:color="auto"/>
          </w:divBdr>
        </w:div>
        <w:div w:id="1905487369">
          <w:marLeft w:val="158"/>
          <w:marRight w:val="0"/>
          <w:marTop w:val="0"/>
          <w:marBottom w:val="32"/>
          <w:divBdr>
            <w:top w:val="none" w:sz="0" w:space="0" w:color="auto"/>
            <w:left w:val="none" w:sz="0" w:space="0" w:color="auto"/>
            <w:bottom w:val="none" w:sz="0" w:space="0" w:color="auto"/>
            <w:right w:val="none" w:sz="0" w:space="0" w:color="auto"/>
          </w:divBdr>
        </w:div>
        <w:div w:id="27731234">
          <w:marLeft w:val="158"/>
          <w:marRight w:val="0"/>
          <w:marTop w:val="0"/>
          <w:marBottom w:val="32"/>
          <w:divBdr>
            <w:top w:val="none" w:sz="0" w:space="0" w:color="auto"/>
            <w:left w:val="none" w:sz="0" w:space="0" w:color="auto"/>
            <w:bottom w:val="none" w:sz="0" w:space="0" w:color="auto"/>
            <w:right w:val="none" w:sz="0" w:space="0" w:color="auto"/>
          </w:divBdr>
        </w:div>
      </w:divsChild>
    </w:div>
    <w:div w:id="596640898">
      <w:bodyDiv w:val="1"/>
      <w:marLeft w:val="0"/>
      <w:marRight w:val="0"/>
      <w:marTop w:val="0"/>
      <w:marBottom w:val="0"/>
      <w:divBdr>
        <w:top w:val="none" w:sz="0" w:space="0" w:color="auto"/>
        <w:left w:val="none" w:sz="0" w:space="0" w:color="auto"/>
        <w:bottom w:val="none" w:sz="0" w:space="0" w:color="auto"/>
        <w:right w:val="none" w:sz="0" w:space="0" w:color="auto"/>
      </w:divBdr>
      <w:divsChild>
        <w:div w:id="680008912">
          <w:marLeft w:val="158"/>
          <w:marRight w:val="0"/>
          <w:marTop w:val="0"/>
          <w:marBottom w:val="32"/>
          <w:divBdr>
            <w:top w:val="none" w:sz="0" w:space="0" w:color="auto"/>
            <w:left w:val="none" w:sz="0" w:space="0" w:color="auto"/>
            <w:bottom w:val="none" w:sz="0" w:space="0" w:color="auto"/>
            <w:right w:val="none" w:sz="0" w:space="0" w:color="auto"/>
          </w:divBdr>
        </w:div>
        <w:div w:id="486941832">
          <w:marLeft w:val="158"/>
          <w:marRight w:val="0"/>
          <w:marTop w:val="0"/>
          <w:marBottom w:val="32"/>
          <w:divBdr>
            <w:top w:val="none" w:sz="0" w:space="0" w:color="auto"/>
            <w:left w:val="none" w:sz="0" w:space="0" w:color="auto"/>
            <w:bottom w:val="none" w:sz="0" w:space="0" w:color="auto"/>
            <w:right w:val="none" w:sz="0" w:space="0" w:color="auto"/>
          </w:divBdr>
        </w:div>
        <w:div w:id="482553003">
          <w:marLeft w:val="158"/>
          <w:marRight w:val="0"/>
          <w:marTop w:val="0"/>
          <w:marBottom w:val="32"/>
          <w:divBdr>
            <w:top w:val="none" w:sz="0" w:space="0" w:color="auto"/>
            <w:left w:val="none" w:sz="0" w:space="0" w:color="auto"/>
            <w:bottom w:val="none" w:sz="0" w:space="0" w:color="auto"/>
            <w:right w:val="none" w:sz="0" w:space="0" w:color="auto"/>
          </w:divBdr>
        </w:div>
      </w:divsChild>
    </w:div>
    <w:div w:id="674112573">
      <w:bodyDiv w:val="1"/>
      <w:marLeft w:val="0"/>
      <w:marRight w:val="0"/>
      <w:marTop w:val="0"/>
      <w:marBottom w:val="0"/>
      <w:divBdr>
        <w:top w:val="none" w:sz="0" w:space="0" w:color="auto"/>
        <w:left w:val="none" w:sz="0" w:space="0" w:color="auto"/>
        <w:bottom w:val="none" w:sz="0" w:space="0" w:color="auto"/>
        <w:right w:val="none" w:sz="0" w:space="0" w:color="auto"/>
      </w:divBdr>
    </w:div>
    <w:div w:id="803350868">
      <w:bodyDiv w:val="1"/>
      <w:marLeft w:val="0"/>
      <w:marRight w:val="0"/>
      <w:marTop w:val="0"/>
      <w:marBottom w:val="0"/>
      <w:divBdr>
        <w:top w:val="none" w:sz="0" w:space="0" w:color="auto"/>
        <w:left w:val="none" w:sz="0" w:space="0" w:color="auto"/>
        <w:bottom w:val="none" w:sz="0" w:space="0" w:color="auto"/>
        <w:right w:val="none" w:sz="0" w:space="0" w:color="auto"/>
      </w:divBdr>
      <w:divsChild>
        <w:div w:id="917128915">
          <w:marLeft w:val="158"/>
          <w:marRight w:val="0"/>
          <w:marTop w:val="0"/>
          <w:marBottom w:val="32"/>
          <w:divBdr>
            <w:top w:val="none" w:sz="0" w:space="0" w:color="auto"/>
            <w:left w:val="none" w:sz="0" w:space="0" w:color="auto"/>
            <w:bottom w:val="none" w:sz="0" w:space="0" w:color="auto"/>
            <w:right w:val="none" w:sz="0" w:space="0" w:color="auto"/>
          </w:divBdr>
        </w:div>
        <w:div w:id="1628274311">
          <w:marLeft w:val="158"/>
          <w:marRight w:val="0"/>
          <w:marTop w:val="0"/>
          <w:marBottom w:val="32"/>
          <w:divBdr>
            <w:top w:val="none" w:sz="0" w:space="0" w:color="auto"/>
            <w:left w:val="none" w:sz="0" w:space="0" w:color="auto"/>
            <w:bottom w:val="none" w:sz="0" w:space="0" w:color="auto"/>
            <w:right w:val="none" w:sz="0" w:space="0" w:color="auto"/>
          </w:divBdr>
        </w:div>
      </w:divsChild>
    </w:div>
    <w:div w:id="833028583">
      <w:bodyDiv w:val="1"/>
      <w:marLeft w:val="0"/>
      <w:marRight w:val="0"/>
      <w:marTop w:val="0"/>
      <w:marBottom w:val="0"/>
      <w:divBdr>
        <w:top w:val="none" w:sz="0" w:space="0" w:color="auto"/>
        <w:left w:val="none" w:sz="0" w:space="0" w:color="auto"/>
        <w:bottom w:val="none" w:sz="0" w:space="0" w:color="auto"/>
        <w:right w:val="none" w:sz="0" w:space="0" w:color="auto"/>
      </w:divBdr>
    </w:div>
    <w:div w:id="883254722">
      <w:bodyDiv w:val="1"/>
      <w:marLeft w:val="0"/>
      <w:marRight w:val="0"/>
      <w:marTop w:val="0"/>
      <w:marBottom w:val="0"/>
      <w:divBdr>
        <w:top w:val="none" w:sz="0" w:space="0" w:color="auto"/>
        <w:left w:val="none" w:sz="0" w:space="0" w:color="auto"/>
        <w:bottom w:val="none" w:sz="0" w:space="0" w:color="auto"/>
        <w:right w:val="none" w:sz="0" w:space="0" w:color="auto"/>
      </w:divBdr>
    </w:div>
    <w:div w:id="907617551">
      <w:bodyDiv w:val="1"/>
      <w:marLeft w:val="0"/>
      <w:marRight w:val="0"/>
      <w:marTop w:val="0"/>
      <w:marBottom w:val="0"/>
      <w:divBdr>
        <w:top w:val="none" w:sz="0" w:space="0" w:color="auto"/>
        <w:left w:val="none" w:sz="0" w:space="0" w:color="auto"/>
        <w:bottom w:val="none" w:sz="0" w:space="0" w:color="auto"/>
        <w:right w:val="none" w:sz="0" w:space="0" w:color="auto"/>
      </w:divBdr>
    </w:div>
    <w:div w:id="911812729">
      <w:bodyDiv w:val="1"/>
      <w:marLeft w:val="0"/>
      <w:marRight w:val="0"/>
      <w:marTop w:val="0"/>
      <w:marBottom w:val="0"/>
      <w:divBdr>
        <w:top w:val="none" w:sz="0" w:space="0" w:color="auto"/>
        <w:left w:val="none" w:sz="0" w:space="0" w:color="auto"/>
        <w:bottom w:val="none" w:sz="0" w:space="0" w:color="auto"/>
        <w:right w:val="none" w:sz="0" w:space="0" w:color="auto"/>
      </w:divBdr>
      <w:divsChild>
        <w:div w:id="1411586069">
          <w:marLeft w:val="202"/>
          <w:marRight w:val="0"/>
          <w:marTop w:val="120"/>
          <w:marBottom w:val="140"/>
          <w:divBdr>
            <w:top w:val="none" w:sz="0" w:space="0" w:color="auto"/>
            <w:left w:val="none" w:sz="0" w:space="0" w:color="auto"/>
            <w:bottom w:val="none" w:sz="0" w:space="0" w:color="auto"/>
            <w:right w:val="none" w:sz="0" w:space="0" w:color="auto"/>
          </w:divBdr>
        </w:div>
        <w:div w:id="159197873">
          <w:marLeft w:val="202"/>
          <w:marRight w:val="0"/>
          <w:marTop w:val="0"/>
          <w:marBottom w:val="140"/>
          <w:divBdr>
            <w:top w:val="none" w:sz="0" w:space="0" w:color="auto"/>
            <w:left w:val="none" w:sz="0" w:space="0" w:color="auto"/>
            <w:bottom w:val="none" w:sz="0" w:space="0" w:color="auto"/>
            <w:right w:val="none" w:sz="0" w:space="0" w:color="auto"/>
          </w:divBdr>
        </w:div>
        <w:div w:id="847325478">
          <w:marLeft w:val="202"/>
          <w:marRight w:val="0"/>
          <w:marTop w:val="0"/>
          <w:marBottom w:val="140"/>
          <w:divBdr>
            <w:top w:val="none" w:sz="0" w:space="0" w:color="auto"/>
            <w:left w:val="none" w:sz="0" w:space="0" w:color="auto"/>
            <w:bottom w:val="none" w:sz="0" w:space="0" w:color="auto"/>
            <w:right w:val="none" w:sz="0" w:space="0" w:color="auto"/>
          </w:divBdr>
        </w:div>
      </w:divsChild>
    </w:div>
    <w:div w:id="1115907526">
      <w:bodyDiv w:val="1"/>
      <w:marLeft w:val="0"/>
      <w:marRight w:val="0"/>
      <w:marTop w:val="0"/>
      <w:marBottom w:val="0"/>
      <w:divBdr>
        <w:top w:val="none" w:sz="0" w:space="0" w:color="auto"/>
        <w:left w:val="none" w:sz="0" w:space="0" w:color="auto"/>
        <w:bottom w:val="none" w:sz="0" w:space="0" w:color="auto"/>
        <w:right w:val="none" w:sz="0" w:space="0" w:color="auto"/>
      </w:divBdr>
    </w:div>
    <w:div w:id="1131746040">
      <w:bodyDiv w:val="1"/>
      <w:marLeft w:val="0"/>
      <w:marRight w:val="0"/>
      <w:marTop w:val="0"/>
      <w:marBottom w:val="0"/>
      <w:divBdr>
        <w:top w:val="none" w:sz="0" w:space="0" w:color="auto"/>
        <w:left w:val="none" w:sz="0" w:space="0" w:color="auto"/>
        <w:bottom w:val="none" w:sz="0" w:space="0" w:color="auto"/>
        <w:right w:val="none" w:sz="0" w:space="0" w:color="auto"/>
      </w:divBdr>
      <w:divsChild>
        <w:div w:id="531845978">
          <w:marLeft w:val="202"/>
          <w:marRight w:val="0"/>
          <w:marTop w:val="120"/>
          <w:marBottom w:val="140"/>
          <w:divBdr>
            <w:top w:val="none" w:sz="0" w:space="0" w:color="auto"/>
            <w:left w:val="none" w:sz="0" w:space="0" w:color="auto"/>
            <w:bottom w:val="none" w:sz="0" w:space="0" w:color="auto"/>
            <w:right w:val="none" w:sz="0" w:space="0" w:color="auto"/>
          </w:divBdr>
        </w:div>
        <w:div w:id="261765712">
          <w:marLeft w:val="202"/>
          <w:marRight w:val="0"/>
          <w:marTop w:val="0"/>
          <w:marBottom w:val="140"/>
          <w:divBdr>
            <w:top w:val="none" w:sz="0" w:space="0" w:color="auto"/>
            <w:left w:val="none" w:sz="0" w:space="0" w:color="auto"/>
            <w:bottom w:val="none" w:sz="0" w:space="0" w:color="auto"/>
            <w:right w:val="none" w:sz="0" w:space="0" w:color="auto"/>
          </w:divBdr>
        </w:div>
        <w:div w:id="467937690">
          <w:marLeft w:val="202"/>
          <w:marRight w:val="0"/>
          <w:marTop w:val="0"/>
          <w:marBottom w:val="140"/>
          <w:divBdr>
            <w:top w:val="none" w:sz="0" w:space="0" w:color="auto"/>
            <w:left w:val="none" w:sz="0" w:space="0" w:color="auto"/>
            <w:bottom w:val="none" w:sz="0" w:space="0" w:color="auto"/>
            <w:right w:val="none" w:sz="0" w:space="0" w:color="auto"/>
          </w:divBdr>
        </w:div>
        <w:div w:id="1625237115">
          <w:marLeft w:val="202"/>
          <w:marRight w:val="0"/>
          <w:marTop w:val="0"/>
          <w:marBottom w:val="140"/>
          <w:divBdr>
            <w:top w:val="none" w:sz="0" w:space="0" w:color="auto"/>
            <w:left w:val="none" w:sz="0" w:space="0" w:color="auto"/>
            <w:bottom w:val="none" w:sz="0" w:space="0" w:color="auto"/>
            <w:right w:val="none" w:sz="0" w:space="0" w:color="auto"/>
          </w:divBdr>
        </w:div>
      </w:divsChild>
    </w:div>
    <w:div w:id="1239635608">
      <w:bodyDiv w:val="1"/>
      <w:marLeft w:val="0"/>
      <w:marRight w:val="0"/>
      <w:marTop w:val="0"/>
      <w:marBottom w:val="0"/>
      <w:divBdr>
        <w:top w:val="none" w:sz="0" w:space="0" w:color="auto"/>
        <w:left w:val="none" w:sz="0" w:space="0" w:color="auto"/>
        <w:bottom w:val="none" w:sz="0" w:space="0" w:color="auto"/>
        <w:right w:val="none" w:sz="0" w:space="0" w:color="auto"/>
      </w:divBdr>
    </w:div>
    <w:div w:id="1270577872">
      <w:bodyDiv w:val="1"/>
      <w:marLeft w:val="0"/>
      <w:marRight w:val="0"/>
      <w:marTop w:val="0"/>
      <w:marBottom w:val="0"/>
      <w:divBdr>
        <w:top w:val="none" w:sz="0" w:space="0" w:color="auto"/>
        <w:left w:val="none" w:sz="0" w:space="0" w:color="auto"/>
        <w:bottom w:val="none" w:sz="0" w:space="0" w:color="auto"/>
        <w:right w:val="none" w:sz="0" w:space="0" w:color="auto"/>
      </w:divBdr>
    </w:div>
    <w:div w:id="1327631218">
      <w:bodyDiv w:val="1"/>
      <w:marLeft w:val="0"/>
      <w:marRight w:val="0"/>
      <w:marTop w:val="0"/>
      <w:marBottom w:val="0"/>
      <w:divBdr>
        <w:top w:val="none" w:sz="0" w:space="0" w:color="auto"/>
        <w:left w:val="none" w:sz="0" w:space="0" w:color="auto"/>
        <w:bottom w:val="none" w:sz="0" w:space="0" w:color="auto"/>
        <w:right w:val="none" w:sz="0" w:space="0" w:color="auto"/>
      </w:divBdr>
      <w:divsChild>
        <w:div w:id="62073449">
          <w:marLeft w:val="158"/>
          <w:marRight w:val="0"/>
          <w:marTop w:val="0"/>
          <w:marBottom w:val="32"/>
          <w:divBdr>
            <w:top w:val="none" w:sz="0" w:space="0" w:color="auto"/>
            <w:left w:val="none" w:sz="0" w:space="0" w:color="auto"/>
            <w:bottom w:val="none" w:sz="0" w:space="0" w:color="auto"/>
            <w:right w:val="none" w:sz="0" w:space="0" w:color="auto"/>
          </w:divBdr>
        </w:div>
        <w:div w:id="560605482">
          <w:marLeft w:val="158"/>
          <w:marRight w:val="0"/>
          <w:marTop w:val="0"/>
          <w:marBottom w:val="32"/>
          <w:divBdr>
            <w:top w:val="none" w:sz="0" w:space="0" w:color="auto"/>
            <w:left w:val="none" w:sz="0" w:space="0" w:color="auto"/>
            <w:bottom w:val="none" w:sz="0" w:space="0" w:color="auto"/>
            <w:right w:val="none" w:sz="0" w:space="0" w:color="auto"/>
          </w:divBdr>
        </w:div>
      </w:divsChild>
    </w:div>
    <w:div w:id="1405564018">
      <w:bodyDiv w:val="1"/>
      <w:marLeft w:val="0"/>
      <w:marRight w:val="0"/>
      <w:marTop w:val="0"/>
      <w:marBottom w:val="0"/>
      <w:divBdr>
        <w:top w:val="none" w:sz="0" w:space="0" w:color="auto"/>
        <w:left w:val="none" w:sz="0" w:space="0" w:color="auto"/>
        <w:bottom w:val="none" w:sz="0" w:space="0" w:color="auto"/>
        <w:right w:val="none" w:sz="0" w:space="0" w:color="auto"/>
      </w:divBdr>
    </w:div>
    <w:div w:id="1415206094">
      <w:bodyDiv w:val="1"/>
      <w:marLeft w:val="0"/>
      <w:marRight w:val="0"/>
      <w:marTop w:val="0"/>
      <w:marBottom w:val="0"/>
      <w:divBdr>
        <w:top w:val="none" w:sz="0" w:space="0" w:color="auto"/>
        <w:left w:val="none" w:sz="0" w:space="0" w:color="auto"/>
        <w:bottom w:val="none" w:sz="0" w:space="0" w:color="auto"/>
        <w:right w:val="none" w:sz="0" w:space="0" w:color="auto"/>
      </w:divBdr>
    </w:div>
    <w:div w:id="1532036625">
      <w:bodyDiv w:val="1"/>
      <w:marLeft w:val="0"/>
      <w:marRight w:val="0"/>
      <w:marTop w:val="0"/>
      <w:marBottom w:val="0"/>
      <w:divBdr>
        <w:top w:val="none" w:sz="0" w:space="0" w:color="auto"/>
        <w:left w:val="none" w:sz="0" w:space="0" w:color="auto"/>
        <w:bottom w:val="none" w:sz="0" w:space="0" w:color="auto"/>
        <w:right w:val="none" w:sz="0" w:space="0" w:color="auto"/>
      </w:divBdr>
      <w:divsChild>
        <w:div w:id="111562175">
          <w:marLeft w:val="158"/>
          <w:marRight w:val="0"/>
          <w:marTop w:val="0"/>
          <w:marBottom w:val="32"/>
          <w:divBdr>
            <w:top w:val="none" w:sz="0" w:space="0" w:color="auto"/>
            <w:left w:val="none" w:sz="0" w:space="0" w:color="auto"/>
            <w:bottom w:val="none" w:sz="0" w:space="0" w:color="auto"/>
            <w:right w:val="none" w:sz="0" w:space="0" w:color="auto"/>
          </w:divBdr>
        </w:div>
        <w:div w:id="188954242">
          <w:marLeft w:val="158"/>
          <w:marRight w:val="0"/>
          <w:marTop w:val="0"/>
          <w:marBottom w:val="32"/>
          <w:divBdr>
            <w:top w:val="none" w:sz="0" w:space="0" w:color="auto"/>
            <w:left w:val="none" w:sz="0" w:space="0" w:color="auto"/>
            <w:bottom w:val="none" w:sz="0" w:space="0" w:color="auto"/>
            <w:right w:val="none" w:sz="0" w:space="0" w:color="auto"/>
          </w:divBdr>
        </w:div>
        <w:div w:id="354311340">
          <w:marLeft w:val="158"/>
          <w:marRight w:val="0"/>
          <w:marTop w:val="0"/>
          <w:marBottom w:val="32"/>
          <w:divBdr>
            <w:top w:val="none" w:sz="0" w:space="0" w:color="auto"/>
            <w:left w:val="none" w:sz="0" w:space="0" w:color="auto"/>
            <w:bottom w:val="none" w:sz="0" w:space="0" w:color="auto"/>
            <w:right w:val="none" w:sz="0" w:space="0" w:color="auto"/>
          </w:divBdr>
        </w:div>
      </w:divsChild>
    </w:div>
    <w:div w:id="1547524307">
      <w:bodyDiv w:val="1"/>
      <w:marLeft w:val="0"/>
      <w:marRight w:val="0"/>
      <w:marTop w:val="0"/>
      <w:marBottom w:val="0"/>
      <w:divBdr>
        <w:top w:val="none" w:sz="0" w:space="0" w:color="auto"/>
        <w:left w:val="none" w:sz="0" w:space="0" w:color="auto"/>
        <w:bottom w:val="none" w:sz="0" w:space="0" w:color="auto"/>
        <w:right w:val="none" w:sz="0" w:space="0" w:color="auto"/>
      </w:divBdr>
    </w:div>
    <w:div w:id="1609850584">
      <w:bodyDiv w:val="1"/>
      <w:marLeft w:val="0"/>
      <w:marRight w:val="0"/>
      <w:marTop w:val="0"/>
      <w:marBottom w:val="0"/>
      <w:divBdr>
        <w:top w:val="none" w:sz="0" w:space="0" w:color="auto"/>
        <w:left w:val="none" w:sz="0" w:space="0" w:color="auto"/>
        <w:bottom w:val="none" w:sz="0" w:space="0" w:color="auto"/>
        <w:right w:val="none" w:sz="0" w:space="0" w:color="auto"/>
      </w:divBdr>
    </w:div>
    <w:div w:id="1689985245">
      <w:bodyDiv w:val="1"/>
      <w:marLeft w:val="0"/>
      <w:marRight w:val="0"/>
      <w:marTop w:val="0"/>
      <w:marBottom w:val="0"/>
      <w:divBdr>
        <w:top w:val="none" w:sz="0" w:space="0" w:color="auto"/>
        <w:left w:val="none" w:sz="0" w:space="0" w:color="auto"/>
        <w:bottom w:val="none" w:sz="0" w:space="0" w:color="auto"/>
        <w:right w:val="none" w:sz="0" w:space="0" w:color="auto"/>
      </w:divBdr>
    </w:div>
    <w:div w:id="1766219329">
      <w:bodyDiv w:val="1"/>
      <w:marLeft w:val="0"/>
      <w:marRight w:val="0"/>
      <w:marTop w:val="0"/>
      <w:marBottom w:val="0"/>
      <w:divBdr>
        <w:top w:val="none" w:sz="0" w:space="0" w:color="auto"/>
        <w:left w:val="none" w:sz="0" w:space="0" w:color="auto"/>
        <w:bottom w:val="none" w:sz="0" w:space="0" w:color="auto"/>
        <w:right w:val="none" w:sz="0" w:space="0" w:color="auto"/>
      </w:divBdr>
      <w:divsChild>
        <w:div w:id="1056780850">
          <w:marLeft w:val="202"/>
          <w:marRight w:val="0"/>
          <w:marTop w:val="120"/>
          <w:marBottom w:val="140"/>
          <w:divBdr>
            <w:top w:val="none" w:sz="0" w:space="0" w:color="auto"/>
            <w:left w:val="none" w:sz="0" w:space="0" w:color="auto"/>
            <w:bottom w:val="none" w:sz="0" w:space="0" w:color="auto"/>
            <w:right w:val="none" w:sz="0" w:space="0" w:color="auto"/>
          </w:divBdr>
        </w:div>
        <w:div w:id="736248291">
          <w:marLeft w:val="202"/>
          <w:marRight w:val="0"/>
          <w:marTop w:val="0"/>
          <w:marBottom w:val="140"/>
          <w:divBdr>
            <w:top w:val="none" w:sz="0" w:space="0" w:color="auto"/>
            <w:left w:val="none" w:sz="0" w:space="0" w:color="auto"/>
            <w:bottom w:val="none" w:sz="0" w:space="0" w:color="auto"/>
            <w:right w:val="none" w:sz="0" w:space="0" w:color="auto"/>
          </w:divBdr>
        </w:div>
        <w:div w:id="218707567">
          <w:marLeft w:val="202"/>
          <w:marRight w:val="0"/>
          <w:marTop w:val="0"/>
          <w:marBottom w:val="140"/>
          <w:divBdr>
            <w:top w:val="none" w:sz="0" w:space="0" w:color="auto"/>
            <w:left w:val="none" w:sz="0" w:space="0" w:color="auto"/>
            <w:bottom w:val="none" w:sz="0" w:space="0" w:color="auto"/>
            <w:right w:val="none" w:sz="0" w:space="0" w:color="auto"/>
          </w:divBdr>
        </w:div>
        <w:div w:id="1730376468">
          <w:marLeft w:val="202"/>
          <w:marRight w:val="0"/>
          <w:marTop w:val="0"/>
          <w:marBottom w:val="140"/>
          <w:divBdr>
            <w:top w:val="none" w:sz="0" w:space="0" w:color="auto"/>
            <w:left w:val="none" w:sz="0" w:space="0" w:color="auto"/>
            <w:bottom w:val="none" w:sz="0" w:space="0" w:color="auto"/>
            <w:right w:val="none" w:sz="0" w:space="0" w:color="auto"/>
          </w:divBdr>
        </w:div>
      </w:divsChild>
    </w:div>
    <w:div w:id="1880507811">
      <w:bodyDiv w:val="1"/>
      <w:marLeft w:val="0"/>
      <w:marRight w:val="0"/>
      <w:marTop w:val="0"/>
      <w:marBottom w:val="0"/>
      <w:divBdr>
        <w:top w:val="none" w:sz="0" w:space="0" w:color="auto"/>
        <w:left w:val="none" w:sz="0" w:space="0" w:color="auto"/>
        <w:bottom w:val="none" w:sz="0" w:space="0" w:color="auto"/>
        <w:right w:val="none" w:sz="0" w:space="0" w:color="auto"/>
      </w:divBdr>
      <w:divsChild>
        <w:div w:id="1172912887">
          <w:marLeft w:val="202"/>
          <w:marRight w:val="0"/>
          <w:marTop w:val="120"/>
          <w:marBottom w:val="140"/>
          <w:divBdr>
            <w:top w:val="none" w:sz="0" w:space="0" w:color="auto"/>
            <w:left w:val="none" w:sz="0" w:space="0" w:color="auto"/>
            <w:bottom w:val="none" w:sz="0" w:space="0" w:color="auto"/>
            <w:right w:val="none" w:sz="0" w:space="0" w:color="auto"/>
          </w:divBdr>
        </w:div>
        <w:div w:id="1453943899">
          <w:marLeft w:val="202"/>
          <w:marRight w:val="0"/>
          <w:marTop w:val="0"/>
          <w:marBottom w:val="140"/>
          <w:divBdr>
            <w:top w:val="none" w:sz="0" w:space="0" w:color="auto"/>
            <w:left w:val="none" w:sz="0" w:space="0" w:color="auto"/>
            <w:bottom w:val="none" w:sz="0" w:space="0" w:color="auto"/>
            <w:right w:val="none" w:sz="0" w:space="0" w:color="auto"/>
          </w:divBdr>
        </w:div>
        <w:div w:id="483131667">
          <w:marLeft w:val="202"/>
          <w:marRight w:val="0"/>
          <w:marTop w:val="0"/>
          <w:marBottom w:val="140"/>
          <w:divBdr>
            <w:top w:val="none" w:sz="0" w:space="0" w:color="auto"/>
            <w:left w:val="none" w:sz="0" w:space="0" w:color="auto"/>
            <w:bottom w:val="none" w:sz="0" w:space="0" w:color="auto"/>
            <w:right w:val="none" w:sz="0" w:space="0" w:color="auto"/>
          </w:divBdr>
        </w:div>
        <w:div w:id="1989746092">
          <w:marLeft w:val="202"/>
          <w:marRight w:val="0"/>
          <w:marTop w:val="0"/>
          <w:marBottom w:val="140"/>
          <w:divBdr>
            <w:top w:val="none" w:sz="0" w:space="0" w:color="auto"/>
            <w:left w:val="none" w:sz="0" w:space="0" w:color="auto"/>
            <w:bottom w:val="none" w:sz="0" w:space="0" w:color="auto"/>
            <w:right w:val="none" w:sz="0" w:space="0" w:color="auto"/>
          </w:divBdr>
        </w:div>
      </w:divsChild>
    </w:div>
    <w:div w:id="1971670977">
      <w:bodyDiv w:val="1"/>
      <w:marLeft w:val="0"/>
      <w:marRight w:val="0"/>
      <w:marTop w:val="0"/>
      <w:marBottom w:val="0"/>
      <w:divBdr>
        <w:top w:val="none" w:sz="0" w:space="0" w:color="auto"/>
        <w:left w:val="none" w:sz="0" w:space="0" w:color="auto"/>
        <w:bottom w:val="none" w:sz="0" w:space="0" w:color="auto"/>
        <w:right w:val="none" w:sz="0" w:space="0" w:color="auto"/>
      </w:divBdr>
    </w:div>
    <w:div w:id="2092504741">
      <w:bodyDiv w:val="1"/>
      <w:marLeft w:val="0"/>
      <w:marRight w:val="0"/>
      <w:marTop w:val="0"/>
      <w:marBottom w:val="0"/>
      <w:divBdr>
        <w:top w:val="none" w:sz="0" w:space="0" w:color="auto"/>
        <w:left w:val="none" w:sz="0" w:space="0" w:color="auto"/>
        <w:bottom w:val="none" w:sz="0" w:space="0" w:color="auto"/>
        <w:right w:val="none" w:sz="0" w:space="0" w:color="auto"/>
      </w:divBdr>
    </w:div>
    <w:div w:id="21250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sv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image" Target="media/image7.sv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s://www.pc.gov.au/productivity-insights"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pc.gov.au/inquiries/current/quality-care" TargetMode="External"/><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numbering" Target="numbering.xml"/></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goss\AppData\Local\Temp\Templafy\WordVsto\prelims-draft%20repor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MPWT-2140667901-86672</_dlc_DocId>
    <_dlc_DocIdUrl xmlns="20393cdf-440a-4521-8f19-00ba43423d00">
      <Url>https://pcgov.sharepoint.com/sites/sceteam/_layouts/15/DocIdRedir.aspx?ID=MPWT-2140667901-86672</Url>
      <Description>MPWT-2140667901-86672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591cf413756212422dfbf4d9cc15c06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2987eed91ccf794c65c187c91b0c6d8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ransformationConfigurations":[],"templateName":"prelims-draft report","templateDescription":"Prelims for draft inquiry and study reports","enableDocumentContentUpdater":false,"version":"2.0"}]]></TemplafyTemplateConfigura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37C2F-C802-4BFB-BA3F-97DDD86D52FB}">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DFB84C4F-73DF-45BE-BAAF-5520D073ED58}">
  <ds:schemaRefs>
    <ds:schemaRef ds:uri="http://schemas.microsoft.com/sharepoint/events"/>
  </ds:schemaRefs>
</ds:datastoreItem>
</file>

<file path=customXml/itemProps4.xml><?xml version="1.0" encoding="utf-8"?>
<ds:datastoreItem xmlns:ds="http://schemas.openxmlformats.org/officeDocument/2006/customXml" ds:itemID="{9897F752-2238-441E-ABA5-DB8C10DEA577}">
  <ds:schemaRefs/>
</ds:datastoreItem>
</file>

<file path=customXml/itemProps5.xml><?xml version="1.0" encoding="utf-8"?>
<ds:datastoreItem xmlns:ds="http://schemas.openxmlformats.org/officeDocument/2006/customXml" ds:itemID="{3B874CB8-4F96-407D-AB01-505BC04F7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CDCE8C-2FF2-479D-91C1-79A7A7683D3C}">
  <ds:schemaRefs/>
</ds:datastoreItem>
</file>

<file path=customXml/itemProps7.xml><?xml version="1.0" encoding="utf-8"?>
<ds:datastoreItem xmlns:ds="http://schemas.openxmlformats.org/officeDocument/2006/customXml" ds:itemID="{D638074C-39DA-448F-8AF9-78D34F03C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prelims-draft report.dotx</Template>
  <TotalTime>9</TotalTime>
  <Pages>8</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Executive summary - Interim report - Delivering quality care more efficiently</vt:lpstr>
    </vt:vector>
  </TitlesOfParts>
  <Company>Productivity Commission</Company>
  <LinksUpToDate>false</LinksUpToDate>
  <CharactersWithSpaces>13836</CharactersWithSpaces>
  <SharedDoc>false</SharedDoc>
  <HLinks>
    <vt:vector size="12" baseType="variant">
      <vt:variant>
        <vt:i4>3866664</vt:i4>
      </vt:variant>
      <vt:variant>
        <vt:i4>3</vt:i4>
      </vt:variant>
      <vt:variant>
        <vt:i4>0</vt:i4>
      </vt:variant>
      <vt:variant>
        <vt:i4>5</vt:i4>
      </vt:variant>
      <vt:variant>
        <vt:lpwstr>http://www.pc.gov.au/inquiries/current/quality-care</vt:lpwstr>
      </vt:variant>
      <vt:variant>
        <vt:lpwstr/>
      </vt:variant>
      <vt:variant>
        <vt:i4>7405684</vt:i4>
      </vt:variant>
      <vt:variant>
        <vt:i4>0</vt:i4>
      </vt:variant>
      <vt:variant>
        <vt:i4>0</vt:i4>
      </vt:variant>
      <vt:variant>
        <vt:i4>5</vt:i4>
      </vt:variant>
      <vt:variant>
        <vt:lpwstr>https://www.pc.gov.au/productivity-insights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 Interim report - Delivering quality care more efficiently</dc:title>
  <dc:subject>Interim report</dc:subject>
  <dc:creator>Productivity Commission</dc:creator>
  <cp:keywords/>
  <dc:description/>
  <cp:lastModifiedBy>Chris Alston</cp:lastModifiedBy>
  <cp:revision>7</cp:revision>
  <cp:lastPrinted>2025-08-07T02:05:00Z</cp:lastPrinted>
  <dcterms:created xsi:type="dcterms:W3CDTF">2025-08-07T02:00:00Z</dcterms:created>
  <dcterms:modified xsi:type="dcterms:W3CDTF">2025-08-07T02:09:00Z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ClassificationContentMarkingHeaderShapeIds">
    <vt:lpwstr>3c79a2aa,5666d423,1fb1d57a,684164be,281cb1e,b14e512,4390c437,fd60ca6</vt:lpwstr>
  </property>
  <property fmtid="{D5CDD505-2E9C-101B-9397-08002B2CF9AE}" pid="5" name="ClassificationContentMarkingHeaderFontProps">
    <vt:lpwstr>#000000,12,Calibri</vt:lpwstr>
  </property>
  <property fmtid="{D5CDD505-2E9C-101B-9397-08002B2CF9AE}" pid="6" name="ClassificationContentMarkingHeaderText">
    <vt:lpwstr> OFFICIAL</vt:lpwstr>
  </property>
  <property fmtid="{D5CDD505-2E9C-101B-9397-08002B2CF9AE}" pid="7" name="TemplafyTenantId">
    <vt:lpwstr>productivitycommission</vt:lpwstr>
  </property>
  <property fmtid="{D5CDD505-2E9C-101B-9397-08002B2CF9AE}" pid="8" name="TemplafyTemplateId">
    <vt:lpwstr>637629323326921041</vt:lpwstr>
  </property>
  <property fmtid="{D5CDD505-2E9C-101B-9397-08002B2CF9AE}" pid="9" name="TemplafyUserProfileId">
    <vt:lpwstr>637782392590976563</vt:lpwstr>
  </property>
  <property fmtid="{D5CDD505-2E9C-101B-9397-08002B2CF9AE}" pid="10" name="TemplafyFromBlank">
    <vt:bool>false</vt:bool>
  </property>
  <property fmtid="{D5CDD505-2E9C-101B-9397-08002B2CF9AE}" pid="11" name="Order">
    <vt:r8>485400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ZOTERO_PREF_1">
    <vt:lpwstr>&lt;data data-version="3" zotero-version="6.0.37"&gt;&lt;session id="xgJImR6o"/&gt;&lt;style id="http://www.zotero.org/styles/Productivity-Commission" hasBibliography="1" bibliographyStyleHasBeenSet="1"/&gt;&lt;prefs&gt;&lt;pref name="fieldType" value="Field"/&gt;&lt;pref name="automatic</vt:lpwstr>
  </property>
  <property fmtid="{D5CDD505-2E9C-101B-9397-08002B2CF9AE}" pid="19" name="ZOTERO_PREF_2">
    <vt:lpwstr>JournalAbbreviations" value="true"/&gt;&lt;pref name="delayCitationUpdates" value="true"/&gt;&lt;/prefs&gt;&lt;/data&gt;</vt:lpwstr>
  </property>
  <property fmtid="{D5CDD505-2E9C-101B-9397-08002B2CF9AE}" pid="20" name="RevIMBCS">
    <vt:lpwstr>1;#Unclassified|3955eeb1-2d18-4582-aeb2-00144ec3aaf5</vt:lpwstr>
  </property>
  <property fmtid="{D5CDD505-2E9C-101B-9397-08002B2CF9AE}" pid="21" name="_dlc_DocIdItemGuid">
    <vt:lpwstr>58d2bb52-d2e7-42fd-98ca-7e5a862a9901</vt:lpwstr>
  </property>
  <property fmtid="{D5CDD505-2E9C-101B-9397-08002B2CF9AE}" pid="22" name="MSIP_Label_c1f2b1ce-4212-46db-a901-dd8453f57141_Enabled">
    <vt:lpwstr>true</vt:lpwstr>
  </property>
  <property fmtid="{D5CDD505-2E9C-101B-9397-08002B2CF9AE}" pid="23" name="MSIP_Label_c1f2b1ce-4212-46db-a901-dd8453f57141_SetDate">
    <vt:lpwstr>2025-08-05T21:31:06Z</vt:lpwstr>
  </property>
  <property fmtid="{D5CDD505-2E9C-101B-9397-08002B2CF9AE}" pid="24" name="MSIP_Label_c1f2b1ce-4212-46db-a901-dd8453f57141_Method">
    <vt:lpwstr>Privileged</vt:lpwstr>
  </property>
  <property fmtid="{D5CDD505-2E9C-101B-9397-08002B2CF9AE}" pid="25" name="MSIP_Label_c1f2b1ce-4212-46db-a901-dd8453f57141_Name">
    <vt:lpwstr>Publish</vt:lpwstr>
  </property>
  <property fmtid="{D5CDD505-2E9C-101B-9397-08002B2CF9AE}" pid="26" name="MSIP_Label_c1f2b1ce-4212-46db-a901-dd8453f57141_SiteId">
    <vt:lpwstr>29f9330b-c0fe-4244-830e-ba9f275d6c34</vt:lpwstr>
  </property>
  <property fmtid="{D5CDD505-2E9C-101B-9397-08002B2CF9AE}" pid="27" name="MSIP_Label_c1f2b1ce-4212-46db-a901-dd8453f57141_ActionId">
    <vt:lpwstr>41b5d925-b80b-41fc-b86e-d86dccbcf9be</vt:lpwstr>
  </property>
  <property fmtid="{D5CDD505-2E9C-101B-9397-08002B2CF9AE}" pid="28" name="MSIP_Label_c1f2b1ce-4212-46db-a901-dd8453f57141_ContentBits">
    <vt:lpwstr>0</vt:lpwstr>
  </property>
  <property fmtid="{D5CDD505-2E9C-101B-9397-08002B2CF9AE}" pid="29" name="MSIP_Label_c1f2b1ce-4212-46db-a901-dd8453f57141_Tag">
    <vt:lpwstr>10, 0, 1, 1</vt:lpwstr>
  </property>
</Properties>
</file>