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EB52" w14:textId="25E08B7F" w:rsidR="00A75BE1" w:rsidRDefault="00DE76A9" w:rsidP="00A75BE1">
      <w:pPr>
        <w:pStyle w:val="Title"/>
        <w:rPr>
          <w:rFonts w:ascii="Calibri" w:hAnsi="Calibri" w:cs="Calibri"/>
        </w:rPr>
      </w:pPr>
      <w:r>
        <w:rPr>
          <w:rFonts w:ascii="Calibri" w:hAnsi="Calibri" w:cs="Calibri"/>
          <w:i/>
          <w:iCs/>
          <w:noProof/>
        </w:rPr>
        <w:drawing>
          <wp:inline distT="0" distB="0" distL="0" distR="0" wp14:anchorId="32544D0C" wp14:editId="0E555081">
            <wp:extent cx="2190750" cy="661670"/>
            <wp:effectExtent l="0" t="0" r="0" b="5080"/>
            <wp:docPr id="806549834" name="Picture 2"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9834" name="Picture 2" descr="A black background with a black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661670"/>
                    </a:xfrm>
                    <a:prstGeom prst="rect">
                      <a:avLst/>
                    </a:prstGeom>
                    <a:noFill/>
                    <a:ln>
                      <a:noFill/>
                    </a:ln>
                  </pic:spPr>
                </pic:pic>
              </a:graphicData>
            </a:graphic>
          </wp:inline>
        </w:drawing>
      </w:r>
    </w:p>
    <w:p w14:paraId="12276F3D" w14:textId="77777777" w:rsidR="00730714" w:rsidRPr="00730714" w:rsidRDefault="00730714" w:rsidP="00730714"/>
    <w:p w14:paraId="1EC09456" w14:textId="77777777" w:rsidR="00DE76A9" w:rsidRPr="00121433" w:rsidRDefault="00DE76A9" w:rsidP="00121433"/>
    <w:p w14:paraId="4F4C6ED3" w14:textId="55E96801" w:rsidR="000F7472" w:rsidRPr="00722093" w:rsidRDefault="000F7472" w:rsidP="00121433">
      <w:pPr>
        <w:pStyle w:val="Title"/>
        <w:rPr>
          <w:rFonts w:ascii="Calibri" w:hAnsi="Calibri" w:cs="Calibri"/>
        </w:rPr>
      </w:pPr>
      <w:r w:rsidRPr="00722093">
        <w:rPr>
          <w:rFonts w:ascii="Calibri" w:hAnsi="Calibri" w:cs="Calibri"/>
        </w:rPr>
        <w:t>Submission</w:t>
      </w:r>
      <w:r w:rsidR="00A75BE1">
        <w:rPr>
          <w:rFonts w:ascii="Calibri" w:hAnsi="Calibri" w:cs="Calibri"/>
        </w:rPr>
        <w:t xml:space="preserve"> – </w:t>
      </w:r>
      <w:r w:rsidRPr="00722093">
        <w:rPr>
          <w:rFonts w:ascii="Calibri" w:hAnsi="Calibri" w:cs="Calibri"/>
        </w:rPr>
        <w:t xml:space="preserve">Interim Report on </w:t>
      </w:r>
      <w:r w:rsidRPr="00121433">
        <w:rPr>
          <w:rFonts w:ascii="Calibri" w:hAnsi="Calibri" w:cs="Calibri"/>
          <w:i/>
          <w:iCs/>
        </w:rPr>
        <w:t>National Competition Policy Analysis 2025</w:t>
      </w:r>
      <w:r w:rsidRPr="00722093">
        <w:rPr>
          <w:rFonts w:ascii="Calibri" w:hAnsi="Calibri" w:cs="Calibri"/>
        </w:rPr>
        <w:t xml:space="preserve"> </w:t>
      </w:r>
    </w:p>
    <w:p w14:paraId="29DCFC59" w14:textId="72D64707" w:rsidR="00116514" w:rsidRPr="00722093" w:rsidRDefault="00116514" w:rsidP="00931FE5">
      <w:pPr>
        <w:pStyle w:val="Heading1"/>
        <w:rPr>
          <w:rFonts w:ascii="Calibri" w:hAnsi="Calibri" w:cs="Calibri"/>
        </w:rPr>
      </w:pPr>
      <w:r w:rsidRPr="00722093">
        <w:rPr>
          <w:rFonts w:ascii="Calibri" w:hAnsi="Calibri" w:cs="Calibri"/>
        </w:rPr>
        <w:t>Executive Summary</w:t>
      </w:r>
    </w:p>
    <w:p w14:paraId="248A1736" w14:textId="37AF6456" w:rsidR="009C636F" w:rsidRPr="00091793" w:rsidRDefault="009C636F" w:rsidP="009C636F">
      <w:pPr>
        <w:rPr>
          <w:rFonts w:ascii="Calibri" w:hAnsi="Calibri" w:cs="Calibri"/>
          <w:lang w:val="en-AU"/>
        </w:rPr>
      </w:pPr>
      <w:r w:rsidRPr="00091793">
        <w:rPr>
          <w:rFonts w:ascii="Calibri" w:hAnsi="Calibri" w:cs="Calibri"/>
          <w:lang w:val="en-AU"/>
        </w:rPr>
        <w:t>The Department of Health, Disability and Ageing</w:t>
      </w:r>
      <w:r w:rsidR="00A75BE1">
        <w:rPr>
          <w:rFonts w:ascii="Calibri" w:hAnsi="Calibri" w:cs="Calibri"/>
          <w:lang w:val="en-AU"/>
        </w:rPr>
        <w:t>,</w:t>
      </w:r>
      <w:r w:rsidRPr="00091793">
        <w:rPr>
          <w:rFonts w:ascii="Calibri" w:hAnsi="Calibri" w:cs="Calibri"/>
          <w:lang w:val="en-AU"/>
        </w:rPr>
        <w:t xml:space="preserve"> </w:t>
      </w:r>
      <w:r w:rsidR="00A75BE1">
        <w:rPr>
          <w:rFonts w:ascii="Calibri" w:hAnsi="Calibri" w:cs="Calibri"/>
          <w:lang w:val="en-AU"/>
        </w:rPr>
        <w:t xml:space="preserve">which includes the Australian Industrial Chemicals Introduction Scheme (AICIS), </w:t>
      </w:r>
      <w:r w:rsidRPr="00091793">
        <w:rPr>
          <w:rFonts w:ascii="Calibri" w:hAnsi="Calibri" w:cs="Calibri"/>
          <w:lang w:val="en-AU"/>
        </w:rPr>
        <w:t xml:space="preserve">welcomes the opportunity to respond to the Productivity Commission’s Interim Report on National Competition Policy Analysis 2025. </w:t>
      </w:r>
      <w:r w:rsidR="008A1B91" w:rsidRPr="00E86CB3">
        <w:rPr>
          <w:rFonts w:ascii="Calibri" w:hAnsi="Calibri" w:cs="Calibri"/>
        </w:rPr>
        <w:t xml:space="preserve">The Commission’s concern that legislated standards may act as trade barriers is acknowledged. </w:t>
      </w:r>
      <w:r w:rsidRPr="00091793">
        <w:rPr>
          <w:rFonts w:ascii="Calibri" w:hAnsi="Calibri" w:cs="Calibri"/>
        </w:rPr>
        <w:t xml:space="preserve">This submission </w:t>
      </w:r>
      <w:r w:rsidR="005B679E" w:rsidRPr="00091793">
        <w:rPr>
          <w:rFonts w:ascii="Calibri" w:hAnsi="Calibri" w:cs="Calibri"/>
        </w:rPr>
        <w:t xml:space="preserve">addresses the </w:t>
      </w:r>
      <w:r w:rsidR="00D65168" w:rsidRPr="00091793">
        <w:rPr>
          <w:rFonts w:ascii="Calibri" w:hAnsi="Calibri" w:cs="Calibri"/>
        </w:rPr>
        <w:t>recommendation to harmonise Australian standards with international and overseas frameworks to reduce trade barriers</w:t>
      </w:r>
      <w:r w:rsidR="00A75BE1">
        <w:rPr>
          <w:rFonts w:ascii="Calibri" w:hAnsi="Calibri" w:cs="Calibri"/>
        </w:rPr>
        <w:t xml:space="preserve"> for industrial chemicals</w:t>
      </w:r>
      <w:r w:rsidR="00D65168" w:rsidRPr="00091793">
        <w:rPr>
          <w:rFonts w:ascii="Calibri" w:hAnsi="Calibri" w:cs="Calibri"/>
        </w:rPr>
        <w:t>.</w:t>
      </w:r>
    </w:p>
    <w:p w14:paraId="60A938F9" w14:textId="0C249087" w:rsidR="009C636F" w:rsidRPr="00091793" w:rsidRDefault="009C636F" w:rsidP="009C636F">
      <w:pPr>
        <w:rPr>
          <w:rFonts w:ascii="Calibri" w:hAnsi="Calibri" w:cs="Calibri"/>
          <w:lang w:val="en-AU"/>
        </w:rPr>
      </w:pPr>
      <w:r w:rsidRPr="00091793">
        <w:rPr>
          <w:rFonts w:ascii="Calibri" w:hAnsi="Calibri" w:cs="Calibri"/>
          <w:lang w:val="en-AU"/>
        </w:rPr>
        <w:t xml:space="preserve">While harmonisation </w:t>
      </w:r>
      <w:r w:rsidRPr="00091793">
        <w:rPr>
          <w:rFonts w:ascii="Calibri" w:hAnsi="Calibri" w:cs="Calibri"/>
        </w:rPr>
        <w:t>with international and overseas standards</w:t>
      </w:r>
      <w:r w:rsidRPr="00091793">
        <w:rPr>
          <w:rFonts w:ascii="Calibri" w:hAnsi="Calibri" w:cs="Calibri"/>
          <w:lang w:val="en-AU"/>
        </w:rPr>
        <w:t xml:space="preserve"> may offer benefits in some sectors, </w:t>
      </w:r>
      <w:r w:rsidRPr="00091793">
        <w:rPr>
          <w:rFonts w:ascii="Calibri" w:hAnsi="Calibri" w:cs="Calibri"/>
        </w:rPr>
        <w:t xml:space="preserve">this submission outlines why </w:t>
      </w:r>
      <w:r w:rsidR="00A75BE1">
        <w:rPr>
          <w:rFonts w:ascii="Calibri" w:hAnsi="Calibri" w:cs="Calibri"/>
        </w:rPr>
        <w:t>careful consideration is required for the regulation of industrial chemicals in Australia</w:t>
      </w:r>
      <w:r w:rsidRPr="00091793">
        <w:rPr>
          <w:rFonts w:ascii="Calibri" w:hAnsi="Calibri" w:cs="Calibri"/>
          <w:lang w:val="en-AU"/>
        </w:rPr>
        <w:t>. Established under the </w:t>
      </w:r>
      <w:r w:rsidRPr="00091793">
        <w:rPr>
          <w:rFonts w:ascii="Calibri" w:hAnsi="Calibri" w:cs="Calibri"/>
          <w:i/>
          <w:iCs/>
          <w:lang w:val="en-AU"/>
        </w:rPr>
        <w:t>Industrial Chemicals Act 2019</w:t>
      </w:r>
      <w:r w:rsidR="00B16752" w:rsidRPr="00091793">
        <w:rPr>
          <w:rFonts w:ascii="Calibri" w:hAnsi="Calibri" w:cs="Calibri"/>
          <w:i/>
          <w:iCs/>
          <w:lang w:val="en-AU"/>
        </w:rPr>
        <w:t xml:space="preserve"> </w:t>
      </w:r>
      <w:r w:rsidR="00B16752" w:rsidRPr="00091793">
        <w:rPr>
          <w:rFonts w:ascii="Calibri" w:hAnsi="Calibri" w:cs="Calibri"/>
          <w:lang w:val="en-AU"/>
        </w:rPr>
        <w:t xml:space="preserve">(IC Act), </w:t>
      </w:r>
      <w:r w:rsidRPr="00091793">
        <w:rPr>
          <w:rFonts w:ascii="Calibri" w:hAnsi="Calibri" w:cs="Calibri"/>
          <w:lang w:val="en-AU"/>
        </w:rPr>
        <w:t xml:space="preserve">AICIS regulates the importation and manufacture of industrial chemicals through a risk-based approach that prioritises </w:t>
      </w:r>
      <w:r w:rsidR="005B4780">
        <w:rPr>
          <w:rFonts w:ascii="Calibri" w:hAnsi="Calibri" w:cs="Calibri"/>
          <w:lang w:val="en-AU"/>
        </w:rPr>
        <w:t xml:space="preserve">protection of </w:t>
      </w:r>
      <w:r w:rsidR="00FC6B25">
        <w:rPr>
          <w:rFonts w:ascii="Calibri" w:hAnsi="Calibri" w:cs="Calibri"/>
          <w:lang w:val="en-AU"/>
        </w:rPr>
        <w:t xml:space="preserve">both </w:t>
      </w:r>
      <w:r w:rsidRPr="00091793">
        <w:rPr>
          <w:rFonts w:ascii="Calibri" w:hAnsi="Calibri" w:cs="Calibri"/>
          <w:lang w:val="en-AU"/>
        </w:rPr>
        <w:t xml:space="preserve">human health and </w:t>
      </w:r>
      <w:r w:rsidR="00FC6B25">
        <w:rPr>
          <w:rFonts w:ascii="Calibri" w:hAnsi="Calibri" w:cs="Calibri"/>
          <w:lang w:val="en-AU"/>
        </w:rPr>
        <w:t xml:space="preserve">the </w:t>
      </w:r>
      <w:r w:rsidRPr="00091793">
        <w:rPr>
          <w:rFonts w:ascii="Calibri" w:hAnsi="Calibri" w:cs="Calibri"/>
          <w:lang w:val="en-AU"/>
        </w:rPr>
        <w:t xml:space="preserve">environment. </w:t>
      </w:r>
    </w:p>
    <w:p w14:paraId="56FB97CD" w14:textId="4E737CE1" w:rsidR="009C636F" w:rsidRPr="00091793" w:rsidRDefault="00B16752" w:rsidP="009C636F">
      <w:pPr>
        <w:rPr>
          <w:rFonts w:ascii="Calibri" w:hAnsi="Calibri" w:cs="Calibri"/>
          <w:lang w:val="en-AU"/>
        </w:rPr>
      </w:pPr>
      <w:r w:rsidRPr="00091793">
        <w:rPr>
          <w:rFonts w:ascii="Calibri" w:hAnsi="Calibri" w:cs="Calibri"/>
          <w:lang w:val="en-AU"/>
        </w:rPr>
        <w:t>The chemicals regulatory environment is complex and at the national level, chemicals are regulated according to their use. The different components of Australia’s chemicals regulatory framework, focusing on a particular type of use, are intended to operate in a complementary manner</w:t>
      </w:r>
      <w:r w:rsidR="00270472">
        <w:rPr>
          <w:rFonts w:ascii="Calibri" w:hAnsi="Calibri" w:cs="Calibri"/>
          <w:lang w:val="en-AU"/>
        </w:rPr>
        <w:t>. This</w:t>
      </w:r>
      <w:r w:rsidRPr="00091793">
        <w:rPr>
          <w:rFonts w:ascii="Calibri" w:hAnsi="Calibri" w:cs="Calibri"/>
          <w:lang w:val="en-AU"/>
        </w:rPr>
        <w:t xml:space="preserve"> ensure</w:t>
      </w:r>
      <w:r w:rsidR="00270472">
        <w:rPr>
          <w:rFonts w:ascii="Calibri" w:hAnsi="Calibri" w:cs="Calibri"/>
          <w:lang w:val="en-AU"/>
        </w:rPr>
        <w:t>s</w:t>
      </w:r>
      <w:r w:rsidRPr="00091793">
        <w:rPr>
          <w:rFonts w:ascii="Calibri" w:hAnsi="Calibri" w:cs="Calibri"/>
          <w:lang w:val="en-AU"/>
        </w:rPr>
        <w:t xml:space="preserve"> that all chemicals are appropriately managed and that human health and the environment are protected.</w:t>
      </w:r>
      <w:r w:rsidR="009D7FE9" w:rsidRPr="00091793">
        <w:rPr>
          <w:rFonts w:ascii="Calibri" w:hAnsi="Calibri" w:cs="Calibri"/>
          <w:lang w:val="en-AU"/>
        </w:rPr>
        <w:t xml:space="preserve"> </w:t>
      </w:r>
      <w:r w:rsidR="005B4780">
        <w:rPr>
          <w:rFonts w:ascii="Calibri" w:hAnsi="Calibri" w:cs="Calibri"/>
          <w:lang w:val="en-AU"/>
        </w:rPr>
        <w:t xml:space="preserve">AICIS assesses </w:t>
      </w:r>
      <w:r w:rsidR="002E449A">
        <w:rPr>
          <w:rFonts w:ascii="Calibri" w:hAnsi="Calibri" w:cs="Calibri"/>
          <w:lang w:val="en-AU"/>
        </w:rPr>
        <w:t xml:space="preserve">the </w:t>
      </w:r>
      <w:r w:rsidR="005B4780">
        <w:rPr>
          <w:rFonts w:ascii="Calibri" w:hAnsi="Calibri" w:cs="Calibri"/>
          <w:lang w:val="en-AU"/>
        </w:rPr>
        <w:t xml:space="preserve">risk of industrial chemicals </w:t>
      </w:r>
      <w:r w:rsidR="009D7FE9" w:rsidRPr="00091793">
        <w:rPr>
          <w:rFonts w:ascii="Calibri" w:hAnsi="Calibri" w:cs="Calibri"/>
          <w:lang w:val="en-AU"/>
        </w:rPr>
        <w:t>based on their intended use, hazard profile, and exposure potential.</w:t>
      </w:r>
    </w:p>
    <w:p w14:paraId="0B493B4B" w14:textId="39CBA9ED" w:rsidR="00B16752" w:rsidRPr="00091793" w:rsidRDefault="53AEC3FE" w:rsidP="00B16752">
      <w:pPr>
        <w:rPr>
          <w:rFonts w:ascii="Calibri" w:hAnsi="Calibri" w:cs="Calibri"/>
          <w:lang w:val="en-AU"/>
        </w:rPr>
      </w:pPr>
      <w:r w:rsidRPr="77E37E46">
        <w:rPr>
          <w:rFonts w:ascii="Calibri" w:hAnsi="Calibri" w:cs="Calibri"/>
          <w:lang w:val="en-AU"/>
        </w:rPr>
        <w:t xml:space="preserve">AICIS supports international alignment where appropriate, accepting overseas data, hazard classifications, and frameworks such as </w:t>
      </w:r>
      <w:r w:rsidR="752694A6" w:rsidRPr="77E37E46">
        <w:rPr>
          <w:rFonts w:ascii="Calibri" w:hAnsi="Calibri" w:cs="Calibri"/>
          <w:lang w:val="en-AU"/>
        </w:rPr>
        <w:t>International Fragrance Association (IFRA) Standards,</w:t>
      </w:r>
      <w:r w:rsidR="394516A2" w:rsidRPr="77E37E46">
        <w:rPr>
          <w:rFonts w:ascii="Calibri" w:hAnsi="Calibri" w:cs="Calibri"/>
          <w:lang w:val="en-AU"/>
        </w:rPr>
        <w:t xml:space="preserve"> </w:t>
      </w:r>
      <w:r w:rsidR="394516A2" w:rsidRPr="77E37E46">
        <w:rPr>
          <w:rFonts w:ascii="Calibri" w:hAnsi="Calibri" w:cs="Calibri"/>
        </w:rPr>
        <w:t>Organization for Economic Cooperation and Development (OECD)</w:t>
      </w:r>
      <w:r w:rsidRPr="77E37E46">
        <w:rPr>
          <w:rFonts w:ascii="Calibri" w:hAnsi="Calibri" w:cs="Calibri"/>
          <w:lang w:val="en-AU"/>
        </w:rPr>
        <w:t xml:space="preserve"> test guidelines</w:t>
      </w:r>
      <w:r w:rsidR="45F9F353" w:rsidRPr="77E37E46">
        <w:rPr>
          <w:rFonts w:ascii="Calibri" w:hAnsi="Calibri" w:cs="Calibri"/>
          <w:lang w:val="en-AU"/>
        </w:rPr>
        <w:t xml:space="preserve"> and </w:t>
      </w:r>
      <w:r w:rsidR="752694A6" w:rsidRPr="77E37E46">
        <w:rPr>
          <w:rFonts w:ascii="Calibri" w:hAnsi="Calibri" w:cs="Calibri"/>
          <w:lang w:val="en-AU"/>
        </w:rPr>
        <w:t xml:space="preserve">use of International Nomenclature Cosmetic Ingredient (INCI) names for </w:t>
      </w:r>
      <w:r w:rsidR="547AD9CE" w:rsidRPr="77E37E46">
        <w:rPr>
          <w:rFonts w:ascii="Calibri" w:hAnsi="Calibri" w:cs="Calibri"/>
          <w:lang w:val="en-AU"/>
        </w:rPr>
        <w:t xml:space="preserve">certain </w:t>
      </w:r>
      <w:r w:rsidR="752694A6" w:rsidRPr="77E37E46">
        <w:rPr>
          <w:rFonts w:ascii="Calibri" w:hAnsi="Calibri" w:cs="Calibri"/>
          <w:lang w:val="en-AU"/>
        </w:rPr>
        <w:t>low-risk introductions.</w:t>
      </w:r>
      <w:r w:rsidR="50A7A674" w:rsidRPr="77E37E46">
        <w:rPr>
          <w:rFonts w:ascii="Calibri" w:hAnsi="Calibri" w:cs="Calibri"/>
          <w:lang w:val="en-AU"/>
        </w:rPr>
        <w:t xml:space="preserve"> </w:t>
      </w:r>
    </w:p>
    <w:p w14:paraId="259E58A9" w14:textId="2A0218EF" w:rsidR="000A1D5C" w:rsidRPr="00091793" w:rsidRDefault="56A189DE" w:rsidP="000A1D5C">
      <w:pPr>
        <w:rPr>
          <w:rFonts w:ascii="Calibri" w:hAnsi="Calibri" w:cs="Calibri"/>
          <w:lang w:val="en-AU"/>
        </w:rPr>
      </w:pPr>
      <w:r w:rsidRPr="77E37E46">
        <w:rPr>
          <w:rFonts w:ascii="Calibri" w:hAnsi="Calibri" w:cs="Calibri"/>
        </w:rPr>
        <w:t xml:space="preserve">However, full harmonisation is limited by Australia’s </w:t>
      </w:r>
      <w:r w:rsidR="10026B5F" w:rsidRPr="77E37E46">
        <w:rPr>
          <w:rFonts w:ascii="Calibri" w:hAnsi="Calibri" w:cs="Calibri"/>
        </w:rPr>
        <w:t xml:space="preserve">unique </w:t>
      </w:r>
      <w:r w:rsidR="002E449A">
        <w:rPr>
          <w:rFonts w:ascii="Calibri" w:hAnsi="Calibri" w:cs="Calibri"/>
        </w:rPr>
        <w:t>characteristics</w:t>
      </w:r>
      <w:r w:rsidR="10026B5F" w:rsidRPr="77E37E46">
        <w:rPr>
          <w:rFonts w:ascii="Calibri" w:hAnsi="Calibri" w:cs="Calibri"/>
        </w:rPr>
        <w:t>, including population density and environmental conditions, which differ significantly from those in other countries</w:t>
      </w:r>
      <w:r w:rsidR="17DD4031" w:rsidRPr="77E37E46">
        <w:rPr>
          <w:rFonts w:ascii="Calibri" w:hAnsi="Calibri" w:cs="Calibri"/>
        </w:rPr>
        <w:t xml:space="preserve">. </w:t>
      </w:r>
      <w:r w:rsidRPr="77E37E46">
        <w:rPr>
          <w:rFonts w:ascii="Calibri" w:hAnsi="Calibri" w:cs="Calibri"/>
          <w:lang w:val="en-AU"/>
        </w:rPr>
        <w:t>O</w:t>
      </w:r>
      <w:r w:rsidR="658EF718" w:rsidRPr="77E37E46">
        <w:rPr>
          <w:rFonts w:ascii="Calibri" w:hAnsi="Calibri" w:cs="Calibri"/>
          <w:lang w:val="en-AU"/>
        </w:rPr>
        <w:t xml:space="preserve">verseas risk assessments </w:t>
      </w:r>
      <w:r w:rsidR="17DD4031" w:rsidRPr="77E37E46">
        <w:rPr>
          <w:rFonts w:ascii="Calibri" w:hAnsi="Calibri" w:cs="Calibri"/>
          <w:lang w:val="en-AU"/>
        </w:rPr>
        <w:t xml:space="preserve">of industrial chemicals </w:t>
      </w:r>
      <w:r w:rsidR="658EF718" w:rsidRPr="77E37E46">
        <w:rPr>
          <w:rFonts w:ascii="Calibri" w:hAnsi="Calibri" w:cs="Calibri"/>
          <w:lang w:val="en-AU"/>
        </w:rPr>
        <w:t xml:space="preserve">often fail to reflect </w:t>
      </w:r>
      <w:r w:rsidR="658EF718" w:rsidRPr="77E37E46">
        <w:rPr>
          <w:rFonts w:ascii="Calibri" w:hAnsi="Calibri" w:cs="Calibri"/>
          <w:lang w:val="en-AU"/>
        </w:rPr>
        <w:lastRenderedPageBreak/>
        <w:t>Australia’s specific environmental needs.</w:t>
      </w:r>
      <w:r w:rsidR="43CDA94A" w:rsidRPr="77E37E46">
        <w:rPr>
          <w:rFonts w:ascii="Calibri" w:hAnsi="Calibri" w:cs="Calibri"/>
          <w:lang w:val="en-AU"/>
        </w:rPr>
        <w:t xml:space="preserve"> </w:t>
      </w:r>
      <w:r w:rsidR="50A7A674" w:rsidRPr="77E37E46">
        <w:rPr>
          <w:rFonts w:ascii="Calibri" w:hAnsi="Calibri" w:cs="Calibri"/>
          <w:lang w:val="en-AU"/>
        </w:rPr>
        <w:t>Therefore, AICIS must adopt a risk-based, locally relevant framework rather than directly replicating overseas regulatory models.</w:t>
      </w:r>
    </w:p>
    <w:p w14:paraId="64A5B45C" w14:textId="1CB97CA7" w:rsidR="008A1B91" w:rsidRPr="00091793" w:rsidRDefault="000A1D5C" w:rsidP="009C636F">
      <w:pPr>
        <w:rPr>
          <w:rFonts w:ascii="Calibri" w:hAnsi="Calibri" w:cs="Calibri"/>
          <w:lang w:val="en-AU"/>
        </w:rPr>
      </w:pPr>
      <w:r w:rsidRPr="00091793">
        <w:rPr>
          <w:rFonts w:ascii="Calibri" w:hAnsi="Calibri" w:cs="Calibri"/>
        </w:rPr>
        <w:t>AICIS</w:t>
      </w:r>
      <w:r w:rsidR="002E449A">
        <w:rPr>
          <w:rFonts w:ascii="Calibri" w:hAnsi="Calibri" w:cs="Calibri"/>
        </w:rPr>
        <w:t>’s</w:t>
      </w:r>
      <w:r w:rsidR="00A75BE1">
        <w:rPr>
          <w:rFonts w:ascii="Calibri" w:hAnsi="Calibri" w:cs="Calibri"/>
        </w:rPr>
        <w:t xml:space="preserve"> use of </w:t>
      </w:r>
      <w:r w:rsidRPr="00091793">
        <w:rPr>
          <w:rFonts w:ascii="Calibri" w:hAnsi="Calibri" w:cs="Calibri"/>
        </w:rPr>
        <w:t xml:space="preserve">standards </w:t>
      </w:r>
      <w:r w:rsidR="00A75BE1">
        <w:rPr>
          <w:rFonts w:ascii="Calibri" w:hAnsi="Calibri" w:cs="Calibri"/>
        </w:rPr>
        <w:t>is</w:t>
      </w:r>
      <w:r w:rsidRPr="00091793">
        <w:rPr>
          <w:rFonts w:ascii="Calibri" w:hAnsi="Calibri" w:cs="Calibri"/>
        </w:rPr>
        <w:t xml:space="preserve"> necessary and justified under </w:t>
      </w:r>
      <w:r w:rsidR="00A75BE1">
        <w:rPr>
          <w:rFonts w:ascii="Calibri" w:hAnsi="Calibri" w:cs="Calibri"/>
        </w:rPr>
        <w:t>World Trade Organization (</w:t>
      </w:r>
      <w:r w:rsidRPr="00091793">
        <w:rPr>
          <w:rFonts w:ascii="Calibri" w:hAnsi="Calibri" w:cs="Calibri"/>
        </w:rPr>
        <w:t>WTO</w:t>
      </w:r>
      <w:r w:rsidR="00A75BE1">
        <w:rPr>
          <w:rFonts w:ascii="Calibri" w:hAnsi="Calibri" w:cs="Calibri"/>
        </w:rPr>
        <w:t>)</w:t>
      </w:r>
      <w:r w:rsidRPr="00091793">
        <w:rPr>
          <w:rFonts w:ascii="Calibri" w:hAnsi="Calibri" w:cs="Calibri"/>
        </w:rPr>
        <w:t xml:space="preserve"> principles. </w:t>
      </w:r>
      <w:r w:rsidR="00BE52FB" w:rsidRPr="00091793">
        <w:rPr>
          <w:rFonts w:ascii="Calibri" w:hAnsi="Calibri" w:cs="Calibri"/>
        </w:rPr>
        <w:t>Recent reforms including the 2024 amendments to the </w:t>
      </w:r>
      <w:r w:rsidR="00BE52FB" w:rsidRPr="00121433">
        <w:rPr>
          <w:rFonts w:ascii="Calibri" w:hAnsi="Calibri" w:cs="Calibri"/>
        </w:rPr>
        <w:t>Industrial Chemicals (General) Rules 2019</w:t>
      </w:r>
      <w:r w:rsidR="00BE52FB" w:rsidRPr="00A75BE1">
        <w:rPr>
          <w:rFonts w:ascii="Calibri" w:hAnsi="Calibri" w:cs="Calibri"/>
        </w:rPr>
        <w:t> </w:t>
      </w:r>
      <w:r w:rsidR="00BE52FB" w:rsidRPr="00091793">
        <w:rPr>
          <w:rFonts w:ascii="Calibri" w:hAnsi="Calibri" w:cs="Calibri"/>
        </w:rPr>
        <w:t>and the July 2025 updates to Specific Information Requirements (SIRs)</w:t>
      </w:r>
      <w:r w:rsidR="00670B90" w:rsidRPr="00091793">
        <w:rPr>
          <w:rFonts w:ascii="Calibri" w:hAnsi="Calibri" w:cs="Calibri"/>
        </w:rPr>
        <w:t xml:space="preserve"> </w:t>
      </w:r>
      <w:r w:rsidR="00BE52FB" w:rsidRPr="00091793">
        <w:rPr>
          <w:rFonts w:ascii="Calibri" w:hAnsi="Calibri" w:cs="Calibri"/>
        </w:rPr>
        <w:t xml:space="preserve">demonstrate </w:t>
      </w:r>
      <w:r w:rsidR="00A75BE1">
        <w:rPr>
          <w:rFonts w:ascii="Calibri" w:hAnsi="Calibri" w:cs="Calibri"/>
        </w:rPr>
        <w:t>a</w:t>
      </w:r>
      <w:r w:rsidR="00A75BE1" w:rsidRPr="00091793">
        <w:rPr>
          <w:rFonts w:ascii="Calibri" w:hAnsi="Calibri" w:cs="Calibri"/>
        </w:rPr>
        <w:t xml:space="preserve"> </w:t>
      </w:r>
      <w:r w:rsidR="00BE52FB" w:rsidRPr="00091793">
        <w:rPr>
          <w:rFonts w:ascii="Calibri" w:hAnsi="Calibri" w:cs="Calibri"/>
        </w:rPr>
        <w:t>commitment to continuous improvement and stakeholder responsiveness.</w:t>
      </w:r>
    </w:p>
    <w:p w14:paraId="6BAA2013" w14:textId="67C6BD44" w:rsidR="002D20AA" w:rsidRPr="00091793" w:rsidRDefault="00670B90" w:rsidP="00670B90">
      <w:pPr>
        <w:rPr>
          <w:rFonts w:ascii="Calibri" w:hAnsi="Calibri" w:cs="Calibri"/>
          <w:lang w:val="en-AU"/>
        </w:rPr>
      </w:pPr>
      <w:r w:rsidRPr="00091793">
        <w:rPr>
          <w:rFonts w:ascii="Calibri" w:hAnsi="Calibri" w:cs="Calibri"/>
        </w:rPr>
        <w:t>In conclusion, AICIS</w:t>
      </w:r>
      <w:r w:rsidR="001B5AF9">
        <w:rPr>
          <w:rFonts w:ascii="Calibri" w:hAnsi="Calibri" w:cs="Calibri"/>
        </w:rPr>
        <w:t>’s</w:t>
      </w:r>
      <w:r w:rsidR="007E3C86">
        <w:rPr>
          <w:rFonts w:ascii="Calibri" w:hAnsi="Calibri" w:cs="Calibri"/>
        </w:rPr>
        <w:t xml:space="preserve"> </w:t>
      </w:r>
      <w:r w:rsidRPr="00091793">
        <w:rPr>
          <w:rFonts w:ascii="Calibri" w:hAnsi="Calibri" w:cs="Calibri"/>
        </w:rPr>
        <w:t>tailored, risk-based model remains essential for safeguarding Australia’s public health and environment while supporting proportionate, efficient regulation.</w:t>
      </w:r>
    </w:p>
    <w:p w14:paraId="5F8231DB" w14:textId="77777777" w:rsidR="00A75BE1" w:rsidRDefault="00A75BE1">
      <w:pPr>
        <w:rPr>
          <w:rFonts w:ascii="Calibri" w:eastAsiaTheme="majorEastAsia" w:hAnsi="Calibri" w:cs="Calibri"/>
          <w:color w:val="0F4761" w:themeColor="accent1" w:themeShade="BF"/>
          <w:sz w:val="32"/>
          <w:szCs w:val="32"/>
        </w:rPr>
      </w:pPr>
      <w:r>
        <w:rPr>
          <w:rFonts w:ascii="Calibri" w:hAnsi="Calibri" w:cs="Calibri"/>
        </w:rPr>
        <w:br w:type="page"/>
      </w:r>
    </w:p>
    <w:p w14:paraId="37CAAF61" w14:textId="59B3BDB8" w:rsidR="001262E0" w:rsidRPr="00722093" w:rsidRDefault="001262E0" w:rsidP="00536167">
      <w:pPr>
        <w:pStyle w:val="Heading2"/>
        <w:rPr>
          <w:rFonts w:ascii="Calibri" w:hAnsi="Calibri" w:cs="Calibri"/>
        </w:rPr>
      </w:pPr>
      <w:r w:rsidRPr="00722093">
        <w:rPr>
          <w:rFonts w:ascii="Calibri" w:hAnsi="Calibri" w:cs="Calibri"/>
        </w:rPr>
        <w:lastRenderedPageBreak/>
        <w:t xml:space="preserve">Introduction </w:t>
      </w:r>
    </w:p>
    <w:p w14:paraId="33CF643A" w14:textId="71DF1339" w:rsidR="00E723BA" w:rsidRPr="00722093" w:rsidRDefault="00B94453" w:rsidP="002544F8">
      <w:pPr>
        <w:rPr>
          <w:rFonts w:ascii="Calibri" w:hAnsi="Calibri" w:cs="Calibri"/>
        </w:rPr>
      </w:pPr>
      <w:r w:rsidRPr="00722093">
        <w:rPr>
          <w:rFonts w:ascii="Calibri" w:hAnsi="Calibri" w:cs="Calibri"/>
        </w:rPr>
        <w:t>This submission is provided in response to the Productivity Commission’s Interim Report on the National Competition Policy Analysis 2025, released on 7 August 2025. The report explores key reform areas aimed at enhancing competition and economic productivity</w:t>
      </w:r>
      <w:r w:rsidR="00620A8F" w:rsidRPr="00722093">
        <w:rPr>
          <w:rFonts w:ascii="Calibri" w:hAnsi="Calibri" w:cs="Calibri"/>
        </w:rPr>
        <w:t xml:space="preserve">. </w:t>
      </w:r>
    </w:p>
    <w:p w14:paraId="713922A4" w14:textId="05BFAECA" w:rsidR="00E723BA" w:rsidRPr="00722093" w:rsidRDefault="00A75BE1" w:rsidP="002544F8">
      <w:pPr>
        <w:rPr>
          <w:rFonts w:ascii="Calibri" w:hAnsi="Calibri" w:cs="Calibri"/>
          <w:lang w:val="en-AU"/>
        </w:rPr>
      </w:pPr>
      <w:r>
        <w:rPr>
          <w:rFonts w:ascii="Calibri" w:hAnsi="Calibri" w:cs="Calibri"/>
        </w:rPr>
        <w:t>In considering the Interim Report, it is</w:t>
      </w:r>
      <w:r w:rsidRPr="00722093">
        <w:rPr>
          <w:rFonts w:ascii="Calibri" w:hAnsi="Calibri" w:cs="Calibri"/>
        </w:rPr>
        <w:t xml:space="preserve"> </w:t>
      </w:r>
      <w:r w:rsidR="003A7AD3" w:rsidRPr="00722093">
        <w:rPr>
          <w:rFonts w:ascii="Calibri" w:hAnsi="Calibri" w:cs="Calibri"/>
        </w:rPr>
        <w:t>note</w:t>
      </w:r>
      <w:r>
        <w:rPr>
          <w:rFonts w:ascii="Calibri" w:hAnsi="Calibri" w:cs="Calibri"/>
        </w:rPr>
        <w:t>d</w:t>
      </w:r>
      <w:r w:rsidR="003A7AD3" w:rsidRPr="00722093">
        <w:rPr>
          <w:rFonts w:ascii="Calibri" w:hAnsi="Calibri" w:cs="Calibri"/>
        </w:rPr>
        <w:t xml:space="preserve"> that a standard refers to a codified specification or rule that sets out how a product, service, or process should be designed, assessed, or delivered. </w:t>
      </w:r>
      <w:r>
        <w:rPr>
          <w:rFonts w:ascii="Calibri" w:hAnsi="Calibri" w:cs="Calibri"/>
          <w:lang w:val="en-AU"/>
        </w:rPr>
        <w:t>S</w:t>
      </w:r>
      <w:r w:rsidR="00E723BA" w:rsidRPr="00722093">
        <w:rPr>
          <w:rFonts w:ascii="Calibri" w:hAnsi="Calibri" w:cs="Calibri"/>
          <w:lang w:val="en-AU"/>
        </w:rPr>
        <w:t>tandards are used to ensure safety, quality, consistency, and interoperability, and may be developed domestically (Australian Standards), adopted from overseas jurisdictions, or aligned with international bodies such as</w:t>
      </w:r>
      <w:r w:rsidR="00DD2C64">
        <w:rPr>
          <w:rFonts w:ascii="Calibri" w:hAnsi="Calibri" w:cs="Calibri"/>
          <w:lang w:val="en-AU"/>
        </w:rPr>
        <w:t xml:space="preserve"> </w:t>
      </w:r>
      <w:r w:rsidR="00DD2C64" w:rsidRPr="00DD2C64">
        <w:rPr>
          <w:rFonts w:ascii="Calibri" w:hAnsi="Calibri" w:cs="Calibri"/>
        </w:rPr>
        <w:t>International Organization for Standardization</w:t>
      </w:r>
      <w:r w:rsidR="00E424A5">
        <w:rPr>
          <w:rFonts w:ascii="Calibri" w:hAnsi="Calibri" w:cs="Calibri"/>
        </w:rPr>
        <w:t xml:space="preserve"> (</w:t>
      </w:r>
      <w:r w:rsidR="00E723BA" w:rsidRPr="00722093">
        <w:rPr>
          <w:rFonts w:ascii="Calibri" w:hAnsi="Calibri" w:cs="Calibri"/>
          <w:lang w:val="en-AU"/>
        </w:rPr>
        <w:t>ISO</w:t>
      </w:r>
      <w:r w:rsidR="00E424A5">
        <w:rPr>
          <w:rFonts w:ascii="Calibri" w:hAnsi="Calibri" w:cs="Calibri"/>
          <w:lang w:val="en-AU"/>
        </w:rPr>
        <w:t>)</w:t>
      </w:r>
      <w:r w:rsidR="00E723BA" w:rsidRPr="00722093">
        <w:rPr>
          <w:rFonts w:ascii="Calibri" w:hAnsi="Calibri" w:cs="Calibri"/>
          <w:lang w:val="en-AU"/>
        </w:rPr>
        <w:t xml:space="preserve"> or </w:t>
      </w:r>
      <w:r w:rsidR="00174EE0" w:rsidRPr="00174EE0">
        <w:rPr>
          <w:rFonts w:ascii="Calibri" w:hAnsi="Calibri" w:cs="Calibri"/>
        </w:rPr>
        <w:t>Organization for Economic Cooperation and Development (OECD)</w:t>
      </w:r>
      <w:r w:rsidR="00FA198C" w:rsidRPr="00722093">
        <w:rPr>
          <w:rFonts w:ascii="Calibri" w:hAnsi="Calibri" w:cs="Calibri"/>
          <w:lang w:val="en-AU"/>
        </w:rPr>
        <w:t>.</w:t>
      </w:r>
    </w:p>
    <w:p w14:paraId="2EDCCA5B" w14:textId="5C01A690" w:rsidR="00620A8F" w:rsidRPr="00722093" w:rsidRDefault="00620A8F" w:rsidP="00931FE5">
      <w:pPr>
        <w:rPr>
          <w:rFonts w:ascii="Calibri" w:hAnsi="Calibri" w:cs="Calibri"/>
        </w:rPr>
      </w:pPr>
      <w:r w:rsidRPr="00722093">
        <w:rPr>
          <w:rFonts w:ascii="Calibri" w:hAnsi="Calibri" w:cs="Calibri"/>
          <w:lang w:val="en-AU"/>
        </w:rPr>
        <w:t xml:space="preserve">The Interim Report raises concerns that legislated standards, such as those in the Industrial Chemicals General Rules, may act as trade barriers. This view is based on WTO </w:t>
      </w:r>
      <w:r w:rsidR="00A75BE1">
        <w:rPr>
          <w:rFonts w:ascii="Calibri" w:hAnsi="Calibri" w:cs="Calibri"/>
          <w:lang w:val="en-AU"/>
        </w:rPr>
        <w:t>Technical Barriers to Trade (</w:t>
      </w:r>
      <w:r w:rsidRPr="00722093">
        <w:rPr>
          <w:rFonts w:ascii="Calibri" w:hAnsi="Calibri" w:cs="Calibri"/>
          <w:lang w:val="en-AU"/>
        </w:rPr>
        <w:t>TBT</w:t>
      </w:r>
      <w:r w:rsidR="00A75BE1">
        <w:rPr>
          <w:rFonts w:ascii="Calibri" w:hAnsi="Calibri" w:cs="Calibri"/>
          <w:lang w:val="en-AU"/>
        </w:rPr>
        <w:t>)</w:t>
      </w:r>
      <w:r w:rsidRPr="00722093">
        <w:rPr>
          <w:rFonts w:ascii="Calibri" w:hAnsi="Calibri" w:cs="Calibri"/>
          <w:lang w:val="en-AU"/>
        </w:rPr>
        <w:t xml:space="preserve"> notifications and legislative reviews.</w:t>
      </w:r>
      <w:r w:rsidR="00FA198C" w:rsidRPr="00722093">
        <w:rPr>
          <w:rFonts w:ascii="Calibri" w:hAnsi="Calibri" w:cs="Calibri"/>
          <w:lang w:val="en-AU"/>
        </w:rPr>
        <w:t xml:space="preserve"> </w:t>
      </w:r>
    </w:p>
    <w:p w14:paraId="30FC895D" w14:textId="4E57C407" w:rsidR="00103F2F" w:rsidRPr="00722093" w:rsidRDefault="00A75BE1" w:rsidP="00931FE5">
      <w:pPr>
        <w:rPr>
          <w:rFonts w:ascii="Calibri" w:hAnsi="Calibri" w:cs="Calibri"/>
        </w:rPr>
      </w:pPr>
      <w:r>
        <w:rPr>
          <w:rFonts w:ascii="Calibri" w:hAnsi="Calibri" w:cs="Calibri"/>
        </w:rPr>
        <w:t>The department</w:t>
      </w:r>
      <w:r w:rsidRPr="00722093">
        <w:rPr>
          <w:rFonts w:ascii="Calibri" w:hAnsi="Calibri" w:cs="Calibri"/>
        </w:rPr>
        <w:t xml:space="preserve"> </w:t>
      </w:r>
      <w:r w:rsidR="00103F2F" w:rsidRPr="00722093">
        <w:rPr>
          <w:rFonts w:ascii="Calibri" w:hAnsi="Calibri" w:cs="Calibri"/>
        </w:rPr>
        <w:t>acknowledges the Commission’s recommendation to enhance national consistency through greater alignment with international and overseas standards.</w:t>
      </w:r>
      <w:r w:rsidR="005864D0">
        <w:rPr>
          <w:rFonts w:ascii="Calibri" w:hAnsi="Calibri" w:cs="Calibri"/>
        </w:rPr>
        <w:t xml:space="preserve"> The department also </w:t>
      </w:r>
      <w:r w:rsidR="00103F2F" w:rsidRPr="00722093">
        <w:rPr>
          <w:rFonts w:ascii="Calibri" w:hAnsi="Calibri" w:cs="Calibri"/>
        </w:rPr>
        <w:t>emphasises the importance of maintaining a fit-for-purpose regulatory framework that reflects Australia’s unique environmental, public health, and safety priorities.</w:t>
      </w:r>
    </w:p>
    <w:p w14:paraId="3B56307A" w14:textId="0BEAE0A6" w:rsidR="00226F87" w:rsidRPr="00722093" w:rsidRDefault="00B94453" w:rsidP="00931FE5">
      <w:pPr>
        <w:rPr>
          <w:rFonts w:ascii="Calibri" w:hAnsi="Calibri" w:cs="Calibri"/>
        </w:rPr>
      </w:pPr>
      <w:r w:rsidRPr="00722093">
        <w:rPr>
          <w:rFonts w:ascii="Calibri" w:hAnsi="Calibri" w:cs="Calibri"/>
        </w:rPr>
        <w:t xml:space="preserve">The following sections </w:t>
      </w:r>
      <w:r w:rsidR="00A75BE1">
        <w:rPr>
          <w:rFonts w:ascii="Calibri" w:hAnsi="Calibri" w:cs="Calibri"/>
        </w:rPr>
        <w:t>discuss the role of AICIS</w:t>
      </w:r>
      <w:r w:rsidRPr="00722093">
        <w:rPr>
          <w:rFonts w:ascii="Calibri" w:hAnsi="Calibri" w:cs="Calibri"/>
        </w:rPr>
        <w:t xml:space="preserve"> in chemical regulation, the barriers to harmonisation, and the </w:t>
      </w:r>
      <w:r w:rsidR="00A75BE1">
        <w:rPr>
          <w:rFonts w:ascii="Calibri" w:hAnsi="Calibri" w:cs="Calibri"/>
        </w:rPr>
        <w:t xml:space="preserve">reasons for the </w:t>
      </w:r>
      <w:r w:rsidRPr="00722093">
        <w:rPr>
          <w:rFonts w:ascii="Calibri" w:hAnsi="Calibri" w:cs="Calibri"/>
        </w:rPr>
        <w:t xml:space="preserve">use of </w:t>
      </w:r>
      <w:r w:rsidR="00A75BE1">
        <w:rPr>
          <w:rFonts w:ascii="Calibri" w:hAnsi="Calibri" w:cs="Calibri"/>
        </w:rPr>
        <w:t>certain</w:t>
      </w:r>
      <w:r w:rsidR="00A75BE1" w:rsidRPr="00722093">
        <w:rPr>
          <w:rFonts w:ascii="Calibri" w:hAnsi="Calibri" w:cs="Calibri"/>
        </w:rPr>
        <w:t xml:space="preserve"> </w:t>
      </w:r>
      <w:r w:rsidRPr="00722093">
        <w:rPr>
          <w:rFonts w:ascii="Calibri" w:hAnsi="Calibri" w:cs="Calibri"/>
        </w:rPr>
        <w:t>standards and frameworks</w:t>
      </w:r>
      <w:r w:rsidR="00A75BE1">
        <w:rPr>
          <w:rFonts w:ascii="Calibri" w:hAnsi="Calibri" w:cs="Calibri"/>
        </w:rPr>
        <w:t xml:space="preserve"> available internationally</w:t>
      </w:r>
      <w:r w:rsidRPr="00722093">
        <w:rPr>
          <w:rFonts w:ascii="Calibri" w:hAnsi="Calibri" w:cs="Calibri"/>
        </w:rPr>
        <w:t>.</w:t>
      </w:r>
    </w:p>
    <w:p w14:paraId="6054F150" w14:textId="6DA9AB37" w:rsidR="00536167" w:rsidRPr="00091793" w:rsidRDefault="00536167" w:rsidP="00536167">
      <w:pPr>
        <w:pStyle w:val="Heading2"/>
        <w:rPr>
          <w:rFonts w:ascii="Calibri" w:hAnsi="Calibri" w:cs="Calibri"/>
        </w:rPr>
      </w:pPr>
      <w:r w:rsidRPr="00722093">
        <w:rPr>
          <w:rFonts w:ascii="Calibri" w:hAnsi="Calibri" w:cs="Calibri"/>
        </w:rPr>
        <w:t>The r</w:t>
      </w:r>
      <w:r w:rsidR="6A49892B" w:rsidRPr="00722093">
        <w:rPr>
          <w:rFonts w:ascii="Calibri" w:hAnsi="Calibri" w:cs="Calibri"/>
        </w:rPr>
        <w:t xml:space="preserve">ole </w:t>
      </w:r>
      <w:r w:rsidRPr="00722093">
        <w:rPr>
          <w:rFonts w:ascii="Calibri" w:hAnsi="Calibri" w:cs="Calibri"/>
        </w:rPr>
        <w:t>of AICIS in Australian</w:t>
      </w:r>
      <w:r w:rsidR="6A49892B" w:rsidRPr="00722093">
        <w:rPr>
          <w:rFonts w:ascii="Calibri" w:hAnsi="Calibri" w:cs="Calibri"/>
        </w:rPr>
        <w:t xml:space="preserve"> </w:t>
      </w:r>
      <w:r w:rsidRPr="00722093">
        <w:rPr>
          <w:rFonts w:ascii="Calibri" w:hAnsi="Calibri" w:cs="Calibri"/>
        </w:rPr>
        <w:t>c</w:t>
      </w:r>
      <w:r w:rsidR="6A49892B" w:rsidRPr="00722093">
        <w:rPr>
          <w:rFonts w:ascii="Calibri" w:hAnsi="Calibri" w:cs="Calibri"/>
        </w:rPr>
        <w:t>hemical</w:t>
      </w:r>
      <w:r w:rsidR="006A1150">
        <w:rPr>
          <w:rFonts w:ascii="Calibri" w:hAnsi="Calibri" w:cs="Calibri"/>
        </w:rPr>
        <w:t>s</w:t>
      </w:r>
      <w:r w:rsidR="6A49892B" w:rsidRPr="00722093">
        <w:rPr>
          <w:rFonts w:ascii="Calibri" w:hAnsi="Calibri" w:cs="Calibri"/>
        </w:rPr>
        <w:t xml:space="preserve"> </w:t>
      </w:r>
      <w:r w:rsidRPr="00722093">
        <w:rPr>
          <w:rFonts w:ascii="Calibri" w:hAnsi="Calibri" w:cs="Calibri"/>
        </w:rPr>
        <w:t>r</w:t>
      </w:r>
      <w:r w:rsidR="6A49892B" w:rsidRPr="00722093">
        <w:rPr>
          <w:rFonts w:ascii="Calibri" w:hAnsi="Calibri" w:cs="Calibri"/>
        </w:rPr>
        <w:t>egulation</w:t>
      </w:r>
    </w:p>
    <w:p w14:paraId="78752F9A" w14:textId="43D1C82E" w:rsidR="2F67D1B5" w:rsidRPr="00091793" w:rsidRDefault="269CA7DC" w:rsidP="1DD43890">
      <w:pPr>
        <w:spacing w:after="240"/>
        <w:rPr>
          <w:rFonts w:ascii="Calibri" w:hAnsi="Calibri" w:cs="Calibri"/>
          <w:color w:val="000000" w:themeColor="text1"/>
        </w:rPr>
      </w:pPr>
      <w:r w:rsidRPr="77E37E46">
        <w:rPr>
          <w:rFonts w:ascii="Calibri" w:hAnsi="Calibri" w:cs="Calibri"/>
          <w:color w:val="000000" w:themeColor="text1"/>
        </w:rPr>
        <w:t>AICIS was established to assess industrial chemical introductions based on the level of risk they pose to human health and the environment as defined by the IC Act. This approach considers the intended use</w:t>
      </w:r>
      <w:r w:rsidR="0068605E">
        <w:rPr>
          <w:rFonts w:ascii="Calibri" w:hAnsi="Calibri" w:cs="Calibri"/>
          <w:color w:val="000000" w:themeColor="text1"/>
        </w:rPr>
        <w:t xml:space="preserve"> and</w:t>
      </w:r>
      <w:r w:rsidRPr="77E37E46">
        <w:rPr>
          <w:rFonts w:ascii="Calibri" w:hAnsi="Calibri" w:cs="Calibri"/>
          <w:color w:val="000000" w:themeColor="text1"/>
        </w:rPr>
        <w:t xml:space="preserve"> hazards of a chemical</w:t>
      </w:r>
      <w:r w:rsidR="0068605E">
        <w:rPr>
          <w:rFonts w:ascii="Calibri" w:hAnsi="Calibri" w:cs="Calibri"/>
          <w:color w:val="000000" w:themeColor="text1"/>
        </w:rPr>
        <w:t>,</w:t>
      </w:r>
      <w:r w:rsidRPr="77E37E46">
        <w:rPr>
          <w:rFonts w:ascii="Calibri" w:hAnsi="Calibri" w:cs="Calibri"/>
          <w:color w:val="000000" w:themeColor="text1"/>
        </w:rPr>
        <w:t xml:space="preserve"> and the potential for exposure, rather than relying solely on the volume of chemical introduced. Following the assessment of industrial chemicals AICIS provides information to promote their safe use and makes risk management recommendations to Commonwealth standard setting bodies, and state and territory risk managers. AICIS is designed to make regulatory effort proportionate to the risks posed by industrial chemical introductions</w:t>
      </w:r>
      <w:r w:rsidR="405947C2" w:rsidRPr="77E37E46">
        <w:rPr>
          <w:rFonts w:ascii="Calibri" w:hAnsi="Calibri" w:cs="Calibri"/>
          <w:color w:val="000000" w:themeColor="text1"/>
        </w:rPr>
        <w:t xml:space="preserve">. An overview of the key elements of the industrial chemicals framework is provided in the </w:t>
      </w:r>
      <w:r w:rsidR="0AA7956F" w:rsidRPr="77E37E46">
        <w:rPr>
          <w:rFonts w:ascii="Calibri" w:hAnsi="Calibri" w:cs="Calibri"/>
          <w:color w:val="000000" w:themeColor="text1"/>
        </w:rPr>
        <w:t>Appendix.</w:t>
      </w:r>
    </w:p>
    <w:p w14:paraId="5FB4CB95" w14:textId="71D12A45" w:rsidR="0031719E" w:rsidRPr="00091793" w:rsidRDefault="00A75BE1" w:rsidP="0031719E">
      <w:pPr>
        <w:keepNext/>
        <w:keepLines/>
        <w:spacing w:before="160" w:after="80"/>
        <w:outlineLvl w:val="1"/>
        <w:rPr>
          <w:rFonts w:ascii="Calibri" w:eastAsiaTheme="majorEastAsia" w:hAnsi="Calibri" w:cs="Calibri"/>
          <w:color w:val="0F4761" w:themeColor="accent1" w:themeShade="BF"/>
          <w:sz w:val="32"/>
          <w:szCs w:val="32"/>
        </w:rPr>
      </w:pPr>
      <w:r>
        <w:rPr>
          <w:rFonts w:ascii="Calibri" w:eastAsiaTheme="majorEastAsia" w:hAnsi="Calibri" w:cs="Calibri"/>
          <w:color w:val="0F4761" w:themeColor="accent1" w:themeShade="BF"/>
          <w:sz w:val="32"/>
          <w:szCs w:val="32"/>
        </w:rPr>
        <w:t>B</w:t>
      </w:r>
      <w:r w:rsidR="0031719E" w:rsidRPr="00091793">
        <w:rPr>
          <w:rFonts w:ascii="Calibri" w:eastAsiaTheme="majorEastAsia" w:hAnsi="Calibri" w:cs="Calibri"/>
          <w:color w:val="0F4761" w:themeColor="accent1" w:themeShade="BF"/>
          <w:sz w:val="32"/>
          <w:szCs w:val="32"/>
        </w:rPr>
        <w:t>arriers to greater harmonisation</w:t>
      </w:r>
    </w:p>
    <w:p w14:paraId="23B55E6C" w14:textId="61F95DDB" w:rsidR="00A44737" w:rsidRPr="00091793" w:rsidRDefault="00190EBE" w:rsidP="00A44737">
      <w:pPr>
        <w:spacing w:line="254" w:lineRule="auto"/>
        <w:rPr>
          <w:rFonts w:ascii="Calibri" w:hAnsi="Calibri" w:cs="Calibri"/>
        </w:rPr>
      </w:pPr>
      <w:r w:rsidRPr="00091793">
        <w:rPr>
          <w:rFonts w:ascii="Calibri" w:hAnsi="Calibri" w:cs="Calibri"/>
          <w:lang w:val="en-AU"/>
        </w:rPr>
        <w:t xml:space="preserve">Australia’s industrial chemicals regulation framework considers the specific hazards, exposure scenarios, and use patterns relevant to the Australian context. </w:t>
      </w:r>
      <w:r w:rsidR="00A44737" w:rsidRPr="00091793">
        <w:rPr>
          <w:rFonts w:ascii="Calibri" w:hAnsi="Calibri" w:cs="Calibri"/>
        </w:rPr>
        <w:t>Exposure levels to chemicals in Australia are influenced by unique national factors</w:t>
      </w:r>
      <w:r w:rsidR="0090761E" w:rsidRPr="00091793">
        <w:rPr>
          <w:rFonts w:ascii="Calibri" w:hAnsi="Calibri" w:cs="Calibri"/>
          <w:lang w:val="en-AU"/>
        </w:rPr>
        <w:t xml:space="preserve"> like </w:t>
      </w:r>
      <w:r w:rsidR="00A44737" w:rsidRPr="00091793">
        <w:rPr>
          <w:rFonts w:ascii="Calibri" w:hAnsi="Calibri" w:cs="Calibri"/>
          <w:lang w:val="en-AU"/>
        </w:rPr>
        <w:t xml:space="preserve">population density, </w:t>
      </w:r>
      <w:r w:rsidR="00A44737" w:rsidRPr="00091793">
        <w:rPr>
          <w:rFonts w:ascii="Calibri" w:hAnsi="Calibri" w:cs="Calibri"/>
          <w:lang w:val="en-AU"/>
        </w:rPr>
        <w:lastRenderedPageBreak/>
        <w:t>biodiversity, climate, and water systems</w:t>
      </w:r>
      <w:r w:rsidR="002E449A">
        <w:rPr>
          <w:rFonts w:ascii="Calibri" w:hAnsi="Calibri" w:cs="Calibri"/>
          <w:lang w:val="en-AU"/>
        </w:rPr>
        <w:t>,</w:t>
      </w:r>
      <w:r w:rsidR="00A44737" w:rsidRPr="00091793">
        <w:rPr>
          <w:rFonts w:ascii="Calibri" w:hAnsi="Calibri" w:cs="Calibri"/>
          <w:lang w:val="en-AU"/>
        </w:rPr>
        <w:t xml:space="preserve"> </w:t>
      </w:r>
      <w:r w:rsidR="0090761E" w:rsidRPr="00091793">
        <w:rPr>
          <w:rFonts w:ascii="Calibri" w:hAnsi="Calibri" w:cs="Calibri"/>
          <w:lang w:val="en-AU"/>
        </w:rPr>
        <w:t xml:space="preserve">which </w:t>
      </w:r>
      <w:r w:rsidR="00A44737" w:rsidRPr="00091793">
        <w:rPr>
          <w:rFonts w:ascii="Calibri" w:hAnsi="Calibri" w:cs="Calibri"/>
          <w:lang w:val="en-AU"/>
        </w:rPr>
        <w:t xml:space="preserve">differ </w:t>
      </w:r>
      <w:r w:rsidR="000F7372" w:rsidRPr="00091793">
        <w:rPr>
          <w:rFonts w:ascii="Calibri" w:hAnsi="Calibri" w:cs="Calibri"/>
          <w:lang w:val="en-AU"/>
        </w:rPr>
        <w:t xml:space="preserve">significantly </w:t>
      </w:r>
      <w:r w:rsidR="00A44737" w:rsidRPr="00091793">
        <w:rPr>
          <w:rFonts w:ascii="Calibri" w:hAnsi="Calibri" w:cs="Calibri"/>
          <w:lang w:val="en-AU"/>
        </w:rPr>
        <w:t xml:space="preserve">from other countries. </w:t>
      </w:r>
      <w:r w:rsidR="00A44737" w:rsidRPr="00091793">
        <w:rPr>
          <w:rFonts w:ascii="Calibri" w:hAnsi="Calibri" w:cs="Calibri"/>
        </w:rPr>
        <w:t>These national factors necessitate a tailored regulatory approach that cannot be fully addressed by adopting standards</w:t>
      </w:r>
      <w:r w:rsidR="00A75BE1">
        <w:rPr>
          <w:rFonts w:ascii="Calibri" w:hAnsi="Calibri" w:cs="Calibri"/>
        </w:rPr>
        <w:t xml:space="preserve"> used overseas</w:t>
      </w:r>
      <w:r w:rsidR="00A44737" w:rsidRPr="00091793">
        <w:rPr>
          <w:rFonts w:ascii="Calibri" w:hAnsi="Calibri" w:cs="Calibri"/>
        </w:rPr>
        <w:t>, especially in a sector like industrial chemicals.</w:t>
      </w:r>
    </w:p>
    <w:p w14:paraId="6CE6E7E4" w14:textId="77777777" w:rsidR="0031719E" w:rsidRPr="00091793" w:rsidRDefault="0031719E" w:rsidP="0031719E">
      <w:pPr>
        <w:spacing w:line="254" w:lineRule="auto"/>
        <w:rPr>
          <w:rFonts w:ascii="Calibri" w:hAnsi="Calibri" w:cs="Calibri"/>
          <w:lang w:val="en-AU"/>
        </w:rPr>
      </w:pPr>
      <w:r w:rsidRPr="00091793">
        <w:rPr>
          <w:rFonts w:ascii="Calibri" w:hAnsi="Calibri" w:cs="Calibri"/>
          <w:lang w:val="en-AU"/>
        </w:rPr>
        <w:t>Under the IC Act, AICIS is mandated to regulate chemical imports and manufacturing to protect human health and the environment. This requires enforceable standards tailored to national priorities, which legislation best supports.</w:t>
      </w:r>
    </w:p>
    <w:p w14:paraId="715AF8A8" w14:textId="77777777" w:rsidR="0031719E" w:rsidRPr="00091793" w:rsidRDefault="0031719E" w:rsidP="0031719E">
      <w:pPr>
        <w:spacing w:line="254" w:lineRule="auto"/>
        <w:rPr>
          <w:rFonts w:ascii="Calibri" w:hAnsi="Calibri" w:cs="Calibri"/>
          <w:lang w:val="en-AU"/>
        </w:rPr>
      </w:pPr>
      <w:r w:rsidRPr="00091793">
        <w:rPr>
          <w:rFonts w:ascii="Calibri" w:hAnsi="Calibri" w:cs="Calibri"/>
          <w:lang w:val="en-AU"/>
        </w:rPr>
        <w:t>While legislated standards can sometimes restrict trade, the Commission acknowledges their necessity in safeguarding public health and the environment. AICIS continuously improves its processes, as seen in its July 2025 updates to Specific Information Requirements (SIRs), which simplify compliance based on stakeholder feedback.</w:t>
      </w:r>
    </w:p>
    <w:p w14:paraId="4A023559" w14:textId="44722C02" w:rsidR="0031719E" w:rsidRPr="00091793" w:rsidRDefault="000D102C" w:rsidP="0031719E">
      <w:pPr>
        <w:spacing w:line="254" w:lineRule="auto"/>
        <w:rPr>
          <w:rFonts w:ascii="Calibri" w:hAnsi="Calibri" w:cs="Calibri"/>
          <w:lang w:val="en-AU"/>
        </w:rPr>
      </w:pPr>
      <w:r>
        <w:rPr>
          <w:rFonts w:ascii="Calibri" w:hAnsi="Calibri" w:cs="Calibri"/>
          <w:lang w:val="en-AU"/>
        </w:rPr>
        <w:t>T</w:t>
      </w:r>
      <w:r w:rsidR="37350735" w:rsidRPr="77E37E46">
        <w:rPr>
          <w:rFonts w:ascii="Calibri" w:hAnsi="Calibri" w:cs="Calibri"/>
        </w:rPr>
        <w:t xml:space="preserve">here </w:t>
      </w:r>
      <w:r w:rsidR="17DD4031" w:rsidRPr="77E37E46">
        <w:rPr>
          <w:rFonts w:ascii="Calibri" w:hAnsi="Calibri" w:cs="Calibri"/>
        </w:rPr>
        <w:t>are</w:t>
      </w:r>
      <w:r w:rsidR="37350735" w:rsidRPr="77E37E46">
        <w:rPr>
          <w:rFonts w:ascii="Calibri" w:hAnsi="Calibri" w:cs="Calibri"/>
        </w:rPr>
        <w:t xml:space="preserve"> no globally accepted standard</w:t>
      </w:r>
      <w:r w:rsidR="17DD4031" w:rsidRPr="77E37E46">
        <w:rPr>
          <w:rFonts w:ascii="Calibri" w:hAnsi="Calibri" w:cs="Calibri"/>
        </w:rPr>
        <w:t>s</w:t>
      </w:r>
      <w:r w:rsidR="37350735" w:rsidRPr="77E37E46">
        <w:rPr>
          <w:rFonts w:ascii="Calibri" w:hAnsi="Calibri" w:cs="Calibri"/>
        </w:rPr>
        <w:t xml:space="preserve"> for </w:t>
      </w:r>
      <w:r w:rsidR="17DD4031" w:rsidRPr="77E37E46">
        <w:rPr>
          <w:rFonts w:ascii="Calibri" w:hAnsi="Calibri" w:cs="Calibri"/>
        </w:rPr>
        <w:t xml:space="preserve">the risk assessment of </w:t>
      </w:r>
      <w:r w:rsidR="37350735" w:rsidRPr="77E37E46">
        <w:rPr>
          <w:rFonts w:ascii="Calibri" w:hAnsi="Calibri" w:cs="Calibri"/>
        </w:rPr>
        <w:t xml:space="preserve">industrial chemicals. </w:t>
      </w:r>
      <w:r w:rsidR="00FF2E30" w:rsidRPr="00FF2E30">
        <w:rPr>
          <w:rFonts w:ascii="Calibri" w:hAnsi="Calibri" w:cs="Calibri"/>
        </w:rPr>
        <w:t xml:space="preserve">Regulatory decisions by overseas regulators or risk managers are made in different jurisdictional, geographical and legal contexts </w:t>
      </w:r>
      <w:r w:rsidR="00CC19F7" w:rsidRPr="00FF2E30">
        <w:rPr>
          <w:rFonts w:ascii="Calibri" w:hAnsi="Calibri" w:cs="Calibri"/>
        </w:rPr>
        <w:t>t</w:t>
      </w:r>
      <w:r w:rsidR="00CC19F7">
        <w:rPr>
          <w:rFonts w:ascii="Calibri" w:hAnsi="Calibri" w:cs="Calibri"/>
        </w:rPr>
        <w:t>o</w:t>
      </w:r>
      <w:r w:rsidR="00CC19F7" w:rsidRPr="00FF2E30">
        <w:rPr>
          <w:rFonts w:ascii="Calibri" w:hAnsi="Calibri" w:cs="Calibri"/>
        </w:rPr>
        <w:t xml:space="preserve"> </w:t>
      </w:r>
      <w:r w:rsidR="00FF2E30" w:rsidRPr="00FF2E30">
        <w:rPr>
          <w:rFonts w:ascii="Calibri" w:hAnsi="Calibri" w:cs="Calibri"/>
        </w:rPr>
        <w:t xml:space="preserve">those here in Australia. </w:t>
      </w:r>
      <w:r w:rsidR="37350735" w:rsidRPr="77E37E46">
        <w:rPr>
          <w:rFonts w:ascii="Calibri" w:hAnsi="Calibri" w:cs="Calibri"/>
        </w:rPr>
        <w:t xml:space="preserve">Overseas risk assessments </w:t>
      </w:r>
      <w:r w:rsidR="00D25C26">
        <w:rPr>
          <w:rFonts w:ascii="Calibri" w:hAnsi="Calibri" w:cs="Calibri"/>
        </w:rPr>
        <w:t>may not reflect</w:t>
      </w:r>
      <w:r w:rsidR="37350735" w:rsidRPr="77E37E46">
        <w:rPr>
          <w:rFonts w:ascii="Calibri" w:hAnsi="Calibri" w:cs="Calibri"/>
        </w:rPr>
        <w:t xml:space="preserve"> Australia’s unique biodiversity, climate, and water systems. </w:t>
      </w:r>
      <w:r w:rsidR="4CEE4D59" w:rsidRPr="77E37E46">
        <w:rPr>
          <w:rFonts w:ascii="Calibri" w:hAnsi="Calibri" w:cs="Calibri"/>
          <w:lang w:val="en-AU"/>
        </w:rPr>
        <w:t xml:space="preserve">AICIS </w:t>
      </w:r>
      <w:r w:rsidR="00CC19F7">
        <w:rPr>
          <w:rFonts w:ascii="Calibri" w:hAnsi="Calibri" w:cs="Calibri"/>
          <w:lang w:val="en-AU"/>
        </w:rPr>
        <w:t xml:space="preserve">consistently </w:t>
      </w:r>
      <w:r w:rsidR="4CEE4D59" w:rsidRPr="77E37E46">
        <w:rPr>
          <w:rFonts w:ascii="Calibri" w:hAnsi="Calibri" w:cs="Calibri"/>
          <w:lang w:val="en-AU"/>
        </w:rPr>
        <w:t>uses international data as a starting point but conducts its own assessments to ensure decisions are locally relevant and protective.</w:t>
      </w:r>
    </w:p>
    <w:p w14:paraId="42D6BD8E" w14:textId="77777777" w:rsidR="00CC19F7" w:rsidRPr="00091793" w:rsidRDefault="00CC19F7" w:rsidP="00CC19F7">
      <w:pPr>
        <w:spacing w:line="254" w:lineRule="auto"/>
        <w:rPr>
          <w:rFonts w:ascii="Calibri" w:hAnsi="Calibri" w:cs="Calibri"/>
          <w:lang w:val="en-AU"/>
        </w:rPr>
      </w:pPr>
      <w:r>
        <w:rPr>
          <w:rFonts w:ascii="Calibri" w:hAnsi="Calibri" w:cs="Calibri"/>
          <w:lang w:val="en-AU"/>
        </w:rPr>
        <w:t>AICIS has a</w:t>
      </w:r>
      <w:r w:rsidRPr="00091793">
        <w:rPr>
          <w:rFonts w:ascii="Calibri" w:hAnsi="Calibri" w:cs="Calibri"/>
          <w:lang w:val="en-AU"/>
        </w:rPr>
        <w:t xml:space="preserve"> risk-based system </w:t>
      </w:r>
      <w:r>
        <w:rPr>
          <w:rFonts w:ascii="Calibri" w:hAnsi="Calibri" w:cs="Calibri"/>
          <w:lang w:val="en-AU"/>
        </w:rPr>
        <w:t xml:space="preserve">that </w:t>
      </w:r>
      <w:r w:rsidRPr="00091793">
        <w:rPr>
          <w:rFonts w:ascii="Calibri" w:hAnsi="Calibri" w:cs="Calibri"/>
          <w:lang w:val="en-AU"/>
        </w:rPr>
        <w:t>categorises chemical introductions by potential harm and</w:t>
      </w:r>
      <w:r>
        <w:rPr>
          <w:rFonts w:ascii="Calibri" w:hAnsi="Calibri" w:cs="Calibri"/>
          <w:lang w:val="en-AU"/>
        </w:rPr>
        <w:t xml:space="preserve"> </w:t>
      </w:r>
      <w:r w:rsidRPr="00091793">
        <w:rPr>
          <w:rFonts w:ascii="Calibri" w:hAnsi="Calibri" w:cs="Calibri"/>
          <w:lang w:val="en-AU"/>
        </w:rPr>
        <w:t>streaml</w:t>
      </w:r>
      <w:r>
        <w:rPr>
          <w:rFonts w:ascii="Calibri" w:hAnsi="Calibri" w:cs="Calibri"/>
          <w:lang w:val="en-AU"/>
        </w:rPr>
        <w:t>ines</w:t>
      </w:r>
      <w:r w:rsidRPr="00091793">
        <w:rPr>
          <w:rFonts w:ascii="Calibri" w:hAnsi="Calibri" w:cs="Calibri"/>
          <w:lang w:val="en-AU"/>
        </w:rPr>
        <w:t xml:space="preserve"> low-risk cases while ensuring rigorous checks for higher-risk substances</w:t>
      </w:r>
      <w:r>
        <w:rPr>
          <w:rFonts w:ascii="Calibri" w:hAnsi="Calibri" w:cs="Calibri"/>
          <w:lang w:val="en-AU"/>
        </w:rPr>
        <w:t xml:space="preserve">. This requires </w:t>
      </w:r>
      <w:r w:rsidRPr="00091793">
        <w:rPr>
          <w:rFonts w:ascii="Calibri" w:hAnsi="Calibri" w:cs="Calibri"/>
          <w:lang w:val="en-AU"/>
        </w:rPr>
        <w:t>a flexible</w:t>
      </w:r>
      <w:r>
        <w:rPr>
          <w:rFonts w:ascii="Calibri" w:hAnsi="Calibri" w:cs="Calibri"/>
          <w:lang w:val="en-AU"/>
        </w:rPr>
        <w:t xml:space="preserve"> and</w:t>
      </w:r>
      <w:r w:rsidRPr="00091793">
        <w:rPr>
          <w:rFonts w:ascii="Calibri" w:hAnsi="Calibri" w:cs="Calibri"/>
          <w:lang w:val="en-AU"/>
        </w:rPr>
        <w:t xml:space="preserve"> enforceable legislative framework.</w:t>
      </w:r>
    </w:p>
    <w:p w14:paraId="75620728" w14:textId="1D5027E5" w:rsidR="002B0069" w:rsidRPr="00722093" w:rsidRDefault="00A75BE1" w:rsidP="0031719E">
      <w:pPr>
        <w:spacing w:line="254" w:lineRule="auto"/>
        <w:rPr>
          <w:rFonts w:ascii="Calibri" w:hAnsi="Calibri" w:cs="Calibri"/>
        </w:rPr>
      </w:pPr>
      <w:r>
        <w:rPr>
          <w:rFonts w:ascii="Calibri" w:hAnsi="Calibri" w:cs="Calibri"/>
        </w:rPr>
        <w:t xml:space="preserve">The </w:t>
      </w:r>
      <w:r w:rsidR="002B0069" w:rsidRPr="00091793">
        <w:rPr>
          <w:rFonts w:ascii="Calibri" w:hAnsi="Calibri" w:cs="Calibri"/>
        </w:rPr>
        <w:t xml:space="preserve">risk-based regulatory approach </w:t>
      </w:r>
      <w:r>
        <w:rPr>
          <w:rFonts w:ascii="Calibri" w:hAnsi="Calibri" w:cs="Calibri"/>
        </w:rPr>
        <w:t xml:space="preserve">taken by AICIS </w:t>
      </w:r>
      <w:r w:rsidR="002B0069" w:rsidRPr="00091793">
        <w:rPr>
          <w:rFonts w:ascii="Calibri" w:hAnsi="Calibri" w:cs="Calibri"/>
        </w:rPr>
        <w:t xml:space="preserve">allows for greater flexibility by enabling larger volumes of low-hazard chemicals to be introduced with fewer regulatory requirements, while maintaining stricter controls on smaller volumes of high-hazard </w:t>
      </w:r>
      <w:r>
        <w:rPr>
          <w:rFonts w:ascii="Calibri" w:hAnsi="Calibri" w:cs="Calibri"/>
        </w:rPr>
        <w:t>chemicals</w:t>
      </w:r>
      <w:r w:rsidR="002B0069" w:rsidRPr="00091793">
        <w:rPr>
          <w:rFonts w:ascii="Calibri" w:hAnsi="Calibri" w:cs="Calibri"/>
        </w:rPr>
        <w:t xml:space="preserve">. This ensures that regulatory effort is focused where it is most needed. Reflecting this principle, the 2024 amendments to the Industrial Chemicals (General) Rules 2019 introduced expanded criteria for categorising low-risk introductions. </w:t>
      </w:r>
    </w:p>
    <w:p w14:paraId="529C0AD9" w14:textId="42FF30C3" w:rsidR="1553741A" w:rsidRPr="00091793" w:rsidRDefault="00536167" w:rsidP="00121433">
      <w:pPr>
        <w:pStyle w:val="Heading2"/>
        <w:keepNext w:val="0"/>
        <w:keepLines w:val="0"/>
        <w:spacing w:line="278" w:lineRule="auto"/>
        <w:rPr>
          <w:rFonts w:ascii="Calibri" w:hAnsi="Calibri" w:cs="Calibri"/>
          <w:lang w:val="en-AU"/>
        </w:rPr>
      </w:pPr>
      <w:r w:rsidRPr="00091793">
        <w:rPr>
          <w:rFonts w:ascii="Calibri" w:hAnsi="Calibri" w:cs="Calibri"/>
          <w:lang w:val="en-AU"/>
        </w:rPr>
        <w:t>U</w:t>
      </w:r>
      <w:r w:rsidR="1553741A" w:rsidRPr="00091793">
        <w:rPr>
          <w:rFonts w:ascii="Calibri" w:hAnsi="Calibri" w:cs="Calibri"/>
          <w:lang w:val="en-AU"/>
        </w:rPr>
        <w:t>se of international standards</w:t>
      </w:r>
    </w:p>
    <w:p w14:paraId="7993014C" w14:textId="090012F8" w:rsidR="00431DF9" w:rsidRPr="00091793" w:rsidRDefault="00924402" w:rsidP="00121433">
      <w:pPr>
        <w:spacing w:line="278" w:lineRule="auto"/>
        <w:rPr>
          <w:rFonts w:ascii="Calibri" w:hAnsi="Calibri" w:cs="Calibri"/>
          <w:lang w:val="en-AU"/>
        </w:rPr>
      </w:pPr>
      <w:r w:rsidRPr="00091793">
        <w:rPr>
          <w:rFonts w:ascii="Calibri" w:hAnsi="Calibri" w:cs="Calibri"/>
          <w:lang w:val="en-AU"/>
        </w:rPr>
        <w:t xml:space="preserve">The Productivity Commission classifies voluntary standards into </w:t>
      </w:r>
      <w:r w:rsidR="00A75BE1">
        <w:rPr>
          <w:rFonts w:ascii="Calibri" w:hAnsi="Calibri" w:cs="Calibri"/>
          <w:lang w:val="en-AU"/>
        </w:rPr>
        <w:t>3</w:t>
      </w:r>
      <w:r w:rsidR="00A75BE1" w:rsidRPr="00091793">
        <w:rPr>
          <w:rFonts w:ascii="Calibri" w:hAnsi="Calibri" w:cs="Calibri"/>
          <w:lang w:val="en-AU"/>
        </w:rPr>
        <w:t xml:space="preserve"> </w:t>
      </w:r>
      <w:r w:rsidRPr="00091793">
        <w:rPr>
          <w:rFonts w:ascii="Calibri" w:hAnsi="Calibri" w:cs="Calibri"/>
          <w:lang w:val="en-AU"/>
        </w:rPr>
        <w:t xml:space="preserve">broad categories: international standards, national standards, and overseas standards. </w:t>
      </w:r>
      <w:r w:rsidRPr="00121433">
        <w:rPr>
          <w:rFonts w:ascii="Calibri" w:hAnsi="Calibri" w:cs="Calibri"/>
          <w:i/>
          <w:iCs/>
          <w:lang w:val="en-AU"/>
        </w:rPr>
        <w:t>International standards</w:t>
      </w:r>
      <w:r w:rsidRPr="00091793">
        <w:rPr>
          <w:rFonts w:ascii="Calibri" w:hAnsi="Calibri" w:cs="Calibri"/>
          <w:lang w:val="en-AU"/>
        </w:rPr>
        <w:t xml:space="preserve"> are developed by recognised international bodies (e.g. </w:t>
      </w:r>
      <w:r w:rsidR="00A75BE1">
        <w:rPr>
          <w:rFonts w:ascii="Calibri" w:hAnsi="Calibri" w:cs="Calibri"/>
          <w:lang w:val="en-AU"/>
        </w:rPr>
        <w:t>International Standards Organization (</w:t>
      </w:r>
      <w:r w:rsidRPr="00091793">
        <w:rPr>
          <w:rFonts w:ascii="Calibri" w:hAnsi="Calibri" w:cs="Calibri"/>
          <w:lang w:val="en-AU"/>
        </w:rPr>
        <w:t>ISO</w:t>
      </w:r>
      <w:r w:rsidR="00A75BE1">
        <w:rPr>
          <w:rFonts w:ascii="Calibri" w:hAnsi="Calibri" w:cs="Calibri"/>
          <w:lang w:val="en-AU"/>
        </w:rPr>
        <w:t>)</w:t>
      </w:r>
      <w:r w:rsidRPr="00091793">
        <w:rPr>
          <w:rFonts w:ascii="Calibri" w:hAnsi="Calibri" w:cs="Calibri"/>
          <w:lang w:val="en-AU"/>
        </w:rPr>
        <w:t xml:space="preserve">) and are intended to be globally applicable. </w:t>
      </w:r>
      <w:r w:rsidRPr="00121433">
        <w:rPr>
          <w:rFonts w:ascii="Calibri" w:hAnsi="Calibri" w:cs="Calibri"/>
          <w:i/>
          <w:iCs/>
          <w:lang w:val="en-AU"/>
        </w:rPr>
        <w:t>National standards</w:t>
      </w:r>
      <w:r w:rsidRPr="00091793">
        <w:rPr>
          <w:rFonts w:ascii="Calibri" w:hAnsi="Calibri" w:cs="Calibri"/>
          <w:lang w:val="en-AU"/>
        </w:rPr>
        <w:t xml:space="preserve"> are developed within Australia, typically by Standards Australia or jointly with Standards New Zealand. </w:t>
      </w:r>
      <w:r w:rsidRPr="00121433">
        <w:rPr>
          <w:rFonts w:ascii="Calibri" w:hAnsi="Calibri" w:cs="Calibri"/>
          <w:i/>
          <w:iCs/>
          <w:lang w:val="en-AU"/>
        </w:rPr>
        <w:t>Overseas standards</w:t>
      </w:r>
      <w:r w:rsidRPr="00091793">
        <w:rPr>
          <w:rFonts w:ascii="Calibri" w:hAnsi="Calibri" w:cs="Calibri"/>
          <w:lang w:val="en-AU"/>
        </w:rPr>
        <w:t xml:space="preserve"> refer to those developed by other countries, regions, or private organisations.</w:t>
      </w:r>
      <w:r w:rsidR="00340D75" w:rsidRPr="00091793">
        <w:rPr>
          <w:rFonts w:ascii="Calibri" w:hAnsi="Calibri" w:cs="Calibri"/>
          <w:lang w:val="en-AU"/>
        </w:rPr>
        <w:t xml:space="preserve"> </w:t>
      </w:r>
      <w:r w:rsidR="0063419A">
        <w:rPr>
          <w:rFonts w:ascii="Calibri" w:hAnsi="Calibri" w:cs="Calibri"/>
          <w:lang w:val="en-AU"/>
        </w:rPr>
        <w:t xml:space="preserve">Under AICIS’s </w:t>
      </w:r>
      <w:r w:rsidR="00A75BE1">
        <w:rPr>
          <w:rFonts w:ascii="Calibri" w:hAnsi="Calibri" w:cs="Calibri"/>
          <w:lang w:val="en-AU"/>
        </w:rPr>
        <w:t>administration of industrial chemical regulation</w:t>
      </w:r>
      <w:r w:rsidR="00431DF9" w:rsidRPr="00091793">
        <w:rPr>
          <w:rFonts w:ascii="Calibri" w:hAnsi="Calibri" w:cs="Calibri"/>
          <w:lang w:val="en-AU"/>
        </w:rPr>
        <w:t xml:space="preserve">, standards are </w:t>
      </w:r>
      <w:r w:rsidR="004C3A1A">
        <w:rPr>
          <w:rFonts w:ascii="Calibri" w:hAnsi="Calibri" w:cs="Calibri"/>
          <w:lang w:val="en-AU"/>
        </w:rPr>
        <w:t>used</w:t>
      </w:r>
      <w:r w:rsidR="004C3A1A" w:rsidRPr="00091793">
        <w:rPr>
          <w:rFonts w:ascii="Calibri" w:hAnsi="Calibri" w:cs="Calibri"/>
          <w:lang w:val="en-AU"/>
        </w:rPr>
        <w:t xml:space="preserve"> </w:t>
      </w:r>
      <w:r w:rsidR="00431DF9" w:rsidRPr="00091793">
        <w:rPr>
          <w:rFonts w:ascii="Calibri" w:hAnsi="Calibri" w:cs="Calibri"/>
          <w:lang w:val="en-AU"/>
        </w:rPr>
        <w:t xml:space="preserve">to guide chemical hazard classification, </w:t>
      </w:r>
      <w:r w:rsidR="004C3A1A">
        <w:rPr>
          <w:rFonts w:ascii="Calibri" w:hAnsi="Calibri" w:cs="Calibri"/>
          <w:lang w:val="en-AU"/>
        </w:rPr>
        <w:t xml:space="preserve">the </w:t>
      </w:r>
      <w:r w:rsidR="00A75BE1">
        <w:rPr>
          <w:rFonts w:ascii="Calibri" w:hAnsi="Calibri" w:cs="Calibri"/>
          <w:lang w:val="en-AU"/>
        </w:rPr>
        <w:t xml:space="preserve">provision of </w:t>
      </w:r>
      <w:r w:rsidR="00431DF9" w:rsidRPr="00091793">
        <w:rPr>
          <w:rFonts w:ascii="Calibri" w:hAnsi="Calibri" w:cs="Calibri"/>
          <w:lang w:val="en-AU"/>
        </w:rPr>
        <w:t xml:space="preserve">data, and </w:t>
      </w:r>
      <w:r w:rsidR="004C3A1A">
        <w:rPr>
          <w:rFonts w:ascii="Calibri" w:hAnsi="Calibri" w:cs="Calibri"/>
          <w:lang w:val="en-AU"/>
        </w:rPr>
        <w:t xml:space="preserve">the </w:t>
      </w:r>
      <w:r w:rsidR="00A75BE1">
        <w:rPr>
          <w:rFonts w:ascii="Calibri" w:hAnsi="Calibri" w:cs="Calibri"/>
          <w:lang w:val="en-AU"/>
        </w:rPr>
        <w:t xml:space="preserve">conduct of </w:t>
      </w:r>
      <w:r w:rsidR="00431DF9" w:rsidRPr="00091793">
        <w:rPr>
          <w:rFonts w:ascii="Calibri" w:hAnsi="Calibri" w:cs="Calibri"/>
          <w:lang w:val="en-AU"/>
        </w:rPr>
        <w:t>regulatory assessments.</w:t>
      </w:r>
    </w:p>
    <w:p w14:paraId="1E085228" w14:textId="374E41ED" w:rsidR="000F048C" w:rsidRPr="000F048C" w:rsidRDefault="6001BFB7" w:rsidP="000F048C">
      <w:pPr>
        <w:keepNext/>
        <w:spacing w:line="278" w:lineRule="auto"/>
        <w:rPr>
          <w:rFonts w:ascii="Calibri" w:hAnsi="Calibri" w:cs="Calibri"/>
          <w:lang w:val="en-AU"/>
        </w:rPr>
      </w:pPr>
      <w:r w:rsidRPr="21124C35">
        <w:rPr>
          <w:rFonts w:ascii="Calibri" w:hAnsi="Calibri" w:cs="Calibri"/>
        </w:rPr>
        <w:t xml:space="preserve">A key feature of AICIS is the acceptance of international data formats and regulatory assessments from trusted overseas authorities. </w:t>
      </w:r>
      <w:r w:rsidR="000F048C" w:rsidRPr="000F048C">
        <w:rPr>
          <w:rFonts w:ascii="Calibri" w:hAnsi="Calibri" w:cs="Calibri"/>
          <w:lang w:val="en-AU"/>
        </w:rPr>
        <w:t>AICIS allows businesses to use </w:t>
      </w:r>
      <w:r w:rsidR="000F048C" w:rsidRPr="005F03C6">
        <w:rPr>
          <w:rFonts w:ascii="Calibri" w:hAnsi="Calibri" w:cs="Calibri"/>
          <w:lang w:val="en-AU"/>
        </w:rPr>
        <w:t>hazard and risk assessments</w:t>
      </w:r>
      <w:r w:rsidR="000F048C" w:rsidRPr="000F048C">
        <w:rPr>
          <w:rFonts w:ascii="Calibri" w:hAnsi="Calibri" w:cs="Calibri"/>
          <w:lang w:val="en-AU"/>
        </w:rPr>
        <w:t> that have already been completed by </w:t>
      </w:r>
      <w:r w:rsidR="000F048C" w:rsidRPr="005F03C6">
        <w:rPr>
          <w:rFonts w:ascii="Calibri" w:hAnsi="Calibri" w:cs="Calibri"/>
          <w:lang w:val="en-AU"/>
        </w:rPr>
        <w:t xml:space="preserve">trusted overseas or Australian </w:t>
      </w:r>
      <w:r w:rsidR="000F048C" w:rsidRPr="005F03C6">
        <w:rPr>
          <w:rFonts w:ascii="Calibri" w:hAnsi="Calibri" w:cs="Calibri"/>
          <w:lang w:val="en-AU"/>
        </w:rPr>
        <w:lastRenderedPageBreak/>
        <w:t>regulators</w:t>
      </w:r>
      <w:r w:rsidR="000F048C" w:rsidRPr="000F048C">
        <w:rPr>
          <w:rFonts w:ascii="Calibri" w:hAnsi="Calibri" w:cs="Calibri"/>
          <w:lang w:val="en-AU"/>
        </w:rPr>
        <w:t> when applying for an assessment certificate. This includes assessments from authorities in </w:t>
      </w:r>
      <w:r w:rsidR="000F048C" w:rsidRPr="005F03C6">
        <w:rPr>
          <w:rFonts w:ascii="Calibri" w:hAnsi="Calibri" w:cs="Calibri"/>
          <w:lang w:val="en-AU"/>
        </w:rPr>
        <w:t>Canada, Europe, and the United States</w:t>
      </w:r>
      <w:r w:rsidR="000F048C" w:rsidRPr="000F048C">
        <w:rPr>
          <w:rFonts w:ascii="Calibri" w:hAnsi="Calibri" w:cs="Calibri"/>
          <w:lang w:val="en-AU"/>
        </w:rPr>
        <w:t>, and data formatted according to </w:t>
      </w:r>
      <w:r w:rsidR="000F048C" w:rsidRPr="005F03C6">
        <w:rPr>
          <w:rFonts w:ascii="Calibri" w:hAnsi="Calibri" w:cs="Calibri"/>
          <w:lang w:val="en-AU"/>
        </w:rPr>
        <w:t xml:space="preserve">OECD </w:t>
      </w:r>
      <w:r w:rsidR="0066499E">
        <w:rPr>
          <w:rFonts w:ascii="Calibri" w:hAnsi="Calibri" w:cs="Calibri"/>
          <w:lang w:val="en-AU"/>
        </w:rPr>
        <w:t xml:space="preserve">test </w:t>
      </w:r>
      <w:r w:rsidR="000F048C" w:rsidRPr="005F03C6">
        <w:rPr>
          <w:rFonts w:ascii="Calibri" w:hAnsi="Calibri" w:cs="Calibri"/>
          <w:lang w:val="en-AU"/>
        </w:rPr>
        <w:t>guidelines</w:t>
      </w:r>
      <w:r w:rsidR="000F048C" w:rsidRPr="000F048C">
        <w:rPr>
          <w:rFonts w:ascii="Calibri" w:hAnsi="Calibri" w:cs="Calibri"/>
          <w:lang w:val="en-AU"/>
        </w:rPr>
        <w:t>.</w:t>
      </w:r>
      <w:r w:rsidR="000F048C">
        <w:rPr>
          <w:rFonts w:ascii="Calibri" w:hAnsi="Calibri" w:cs="Calibri"/>
          <w:lang w:val="en-AU"/>
        </w:rPr>
        <w:t xml:space="preserve"> </w:t>
      </w:r>
      <w:r w:rsidR="000F048C" w:rsidRPr="000F048C">
        <w:rPr>
          <w:rFonts w:ascii="Calibri" w:hAnsi="Calibri" w:cs="Calibri"/>
          <w:lang w:val="en-AU"/>
        </w:rPr>
        <w:t xml:space="preserve">These internationally assessed introductions can be submitted under </w:t>
      </w:r>
      <w:r w:rsidR="000F048C" w:rsidRPr="0057373D">
        <w:rPr>
          <w:rFonts w:ascii="Calibri" w:hAnsi="Calibri" w:cs="Calibri"/>
          <w:lang w:val="en-AU"/>
        </w:rPr>
        <w:t>the </w:t>
      </w:r>
      <w:r w:rsidR="000F048C" w:rsidRPr="005F03C6">
        <w:rPr>
          <w:rFonts w:ascii="Calibri" w:hAnsi="Calibri" w:cs="Calibri"/>
          <w:lang w:val="en-AU"/>
        </w:rPr>
        <w:t>reported (low risk) category</w:t>
      </w:r>
      <w:r w:rsidR="000F048C" w:rsidRPr="0057373D">
        <w:rPr>
          <w:rFonts w:ascii="Calibri" w:hAnsi="Calibri" w:cs="Calibri"/>
          <w:lang w:val="en-AU"/>
        </w:rPr>
        <w:t xml:space="preserve">, provided they meet </w:t>
      </w:r>
      <w:r w:rsidR="00D50783">
        <w:rPr>
          <w:rFonts w:ascii="Calibri" w:hAnsi="Calibri" w:cs="Calibri"/>
          <w:lang w:val="en-AU"/>
        </w:rPr>
        <w:t xml:space="preserve">the relevant </w:t>
      </w:r>
      <w:r w:rsidR="000F048C" w:rsidRPr="0057373D">
        <w:rPr>
          <w:rFonts w:ascii="Calibri" w:hAnsi="Calibri" w:cs="Calibri"/>
          <w:lang w:val="en-AU"/>
        </w:rPr>
        <w:t>criteria.</w:t>
      </w:r>
      <w:r w:rsidR="000F048C" w:rsidRPr="000F048C">
        <w:rPr>
          <w:rFonts w:ascii="Calibri" w:hAnsi="Calibri" w:cs="Calibri"/>
          <w:lang w:val="en-AU"/>
        </w:rPr>
        <w:t> </w:t>
      </w:r>
    </w:p>
    <w:p w14:paraId="42C145EC" w14:textId="3E22972B" w:rsidR="39F2A557" w:rsidRPr="00091793" w:rsidRDefault="00805B3C" w:rsidP="00121433">
      <w:pPr>
        <w:keepNext/>
        <w:spacing w:line="278" w:lineRule="auto"/>
        <w:rPr>
          <w:rFonts w:ascii="Calibri" w:hAnsi="Calibri" w:cs="Calibri"/>
          <w:lang w:val="en-AU"/>
        </w:rPr>
      </w:pPr>
      <w:r w:rsidRPr="00805B3C">
        <w:rPr>
          <w:rFonts w:ascii="Calibri" w:hAnsi="Calibri" w:cs="Calibri"/>
        </w:rPr>
        <w:t xml:space="preserve">The OECD sets </w:t>
      </w:r>
      <w:r w:rsidR="00D50783">
        <w:rPr>
          <w:rFonts w:ascii="Calibri" w:hAnsi="Calibri" w:cs="Calibri"/>
        </w:rPr>
        <w:t xml:space="preserve">guidelines and </w:t>
      </w:r>
      <w:r w:rsidRPr="00805B3C">
        <w:rPr>
          <w:rFonts w:ascii="Calibri" w:hAnsi="Calibri" w:cs="Calibri"/>
        </w:rPr>
        <w:t>standards across diverse areas but leaves their implementation to member and adhering countries</w:t>
      </w:r>
      <w:r w:rsidR="000A29CD">
        <w:rPr>
          <w:rFonts w:ascii="Calibri" w:hAnsi="Calibri" w:cs="Calibri"/>
        </w:rPr>
        <w:t>. This approach enables</w:t>
      </w:r>
      <w:r w:rsidRPr="00805B3C">
        <w:rPr>
          <w:rFonts w:ascii="Calibri" w:hAnsi="Calibri" w:cs="Calibri"/>
        </w:rPr>
        <w:t xml:space="preserve"> countries to adapt the standards to their domestic contexts while upholding shared principles of transparency, accountability, and best practice.</w:t>
      </w:r>
      <w:r>
        <w:rPr>
          <w:rFonts w:ascii="Calibri" w:hAnsi="Calibri" w:cs="Calibri"/>
        </w:rPr>
        <w:t xml:space="preserve"> </w:t>
      </w:r>
      <w:r w:rsidR="389BE769" w:rsidRPr="21124C35">
        <w:rPr>
          <w:rFonts w:ascii="Calibri" w:hAnsi="Calibri" w:cs="Calibri"/>
        </w:rPr>
        <w:t xml:space="preserve">AICIS does not </w:t>
      </w:r>
      <w:r w:rsidR="00C44D06">
        <w:rPr>
          <w:rFonts w:ascii="Calibri" w:hAnsi="Calibri" w:cs="Calibri"/>
        </w:rPr>
        <w:t>require</w:t>
      </w:r>
      <w:r w:rsidR="389BE769" w:rsidRPr="21124C35">
        <w:rPr>
          <w:rFonts w:ascii="Calibri" w:hAnsi="Calibri" w:cs="Calibri"/>
        </w:rPr>
        <w:t xml:space="preserve"> conformity to these guidelines and frameworks but accepts them as valid sources of information for applicants.</w:t>
      </w:r>
    </w:p>
    <w:p w14:paraId="0CDD7DE8" w14:textId="73C6929E" w:rsidR="009E78A9" w:rsidRPr="00091793" w:rsidRDefault="72278B6D" w:rsidP="009E78A9">
      <w:pPr>
        <w:keepNext/>
        <w:keepLines/>
        <w:rPr>
          <w:rFonts w:ascii="Calibri" w:hAnsi="Calibri" w:cs="Calibri"/>
        </w:rPr>
      </w:pPr>
      <w:r w:rsidRPr="77E37E46">
        <w:rPr>
          <w:rFonts w:ascii="Calibri" w:hAnsi="Calibri" w:cs="Calibri"/>
        </w:rPr>
        <w:t xml:space="preserve">The standards referenced in AICIS’s regulatory framework, such as the International Fragrance Association (IFRA) Standards, do not fall under the category of internationally recognised standards like ISO. Instead, they are best </w:t>
      </w:r>
      <w:r w:rsidR="17DD4031" w:rsidRPr="77E37E46">
        <w:rPr>
          <w:rFonts w:ascii="Calibri" w:hAnsi="Calibri" w:cs="Calibri"/>
        </w:rPr>
        <w:t xml:space="preserve">classified </w:t>
      </w:r>
      <w:r w:rsidRPr="77E37E46">
        <w:rPr>
          <w:rFonts w:ascii="Calibri" w:hAnsi="Calibri" w:cs="Calibri"/>
        </w:rPr>
        <w:t>as </w:t>
      </w:r>
      <w:r w:rsidRPr="77E37E46">
        <w:rPr>
          <w:rFonts w:ascii="Calibri" w:hAnsi="Calibri" w:cs="Calibri"/>
          <w:i/>
          <w:iCs/>
        </w:rPr>
        <w:t>overseas standards</w:t>
      </w:r>
      <w:r w:rsidRPr="77E37E46">
        <w:rPr>
          <w:rFonts w:ascii="Calibri" w:hAnsi="Calibri" w:cs="Calibri"/>
        </w:rPr>
        <w:t xml:space="preserve">. These are developed by industry bodies or national regulators and are not subject to the same multilateral processes or WTO principles that define </w:t>
      </w:r>
      <w:r w:rsidRPr="77E37E46">
        <w:rPr>
          <w:rFonts w:ascii="Calibri" w:hAnsi="Calibri" w:cs="Calibri"/>
          <w:i/>
          <w:iCs/>
        </w:rPr>
        <w:t>international standards</w:t>
      </w:r>
      <w:r w:rsidRPr="77E37E46">
        <w:rPr>
          <w:rFonts w:ascii="Calibri" w:hAnsi="Calibri" w:cs="Calibri"/>
        </w:rPr>
        <w:t xml:space="preserve">. </w:t>
      </w:r>
    </w:p>
    <w:p w14:paraId="090F4312" w14:textId="064DC1C0" w:rsidR="008B520B" w:rsidRDefault="008B520B" w:rsidP="2225502A">
      <w:pPr>
        <w:keepNext/>
        <w:keepLines/>
        <w:rPr>
          <w:rFonts w:ascii="Calibri" w:hAnsi="Calibri" w:cs="Calibri"/>
          <w:lang w:val="en-AU"/>
        </w:rPr>
      </w:pPr>
      <w:r w:rsidRPr="00091793">
        <w:rPr>
          <w:rFonts w:ascii="Calibri" w:hAnsi="Calibri" w:cs="Calibri"/>
        </w:rPr>
        <w:t xml:space="preserve">Although these alignments do not constitute or include “internationally recognised standards” as defined by the Productivity Commission, </w:t>
      </w:r>
      <w:r w:rsidR="0027180C" w:rsidRPr="00091793">
        <w:rPr>
          <w:rFonts w:ascii="Calibri" w:hAnsi="Calibri" w:cs="Calibri"/>
        </w:rPr>
        <w:t>t</w:t>
      </w:r>
      <w:r w:rsidR="0027180C" w:rsidRPr="00091793">
        <w:rPr>
          <w:rFonts w:ascii="Calibri" w:hAnsi="Calibri" w:cs="Calibri"/>
          <w:lang w:val="en-AU"/>
        </w:rPr>
        <w:t>his flexibility allows introducers to submit information in a variety of internationally recognised formats</w:t>
      </w:r>
      <w:r w:rsidR="00080755">
        <w:rPr>
          <w:rFonts w:ascii="Calibri" w:hAnsi="Calibri" w:cs="Calibri"/>
          <w:lang w:val="en-AU"/>
        </w:rPr>
        <w:t>. This</w:t>
      </w:r>
      <w:r w:rsidR="0027180C" w:rsidRPr="00091793">
        <w:rPr>
          <w:rFonts w:ascii="Calibri" w:hAnsi="Calibri" w:cs="Calibri"/>
          <w:lang w:val="en-AU"/>
        </w:rPr>
        <w:t xml:space="preserve"> reduc</w:t>
      </w:r>
      <w:r w:rsidR="00080755">
        <w:rPr>
          <w:rFonts w:ascii="Calibri" w:hAnsi="Calibri" w:cs="Calibri"/>
          <w:lang w:val="en-AU"/>
        </w:rPr>
        <w:t>es</w:t>
      </w:r>
      <w:r w:rsidR="0027180C" w:rsidRPr="00091793">
        <w:rPr>
          <w:rFonts w:ascii="Calibri" w:hAnsi="Calibri" w:cs="Calibri"/>
          <w:lang w:val="en-AU"/>
        </w:rPr>
        <w:t xml:space="preserve"> duplication, lower</w:t>
      </w:r>
      <w:r w:rsidR="00080755">
        <w:rPr>
          <w:rFonts w:ascii="Calibri" w:hAnsi="Calibri" w:cs="Calibri"/>
          <w:lang w:val="en-AU"/>
        </w:rPr>
        <w:t>s</w:t>
      </w:r>
      <w:r w:rsidR="0027180C" w:rsidRPr="00091793">
        <w:rPr>
          <w:rFonts w:ascii="Calibri" w:hAnsi="Calibri" w:cs="Calibri"/>
          <w:lang w:val="en-AU"/>
        </w:rPr>
        <w:t xml:space="preserve"> costs, and accelerat</w:t>
      </w:r>
      <w:r w:rsidR="00080755">
        <w:rPr>
          <w:rFonts w:ascii="Calibri" w:hAnsi="Calibri" w:cs="Calibri"/>
          <w:lang w:val="en-AU"/>
        </w:rPr>
        <w:t>es</w:t>
      </w:r>
      <w:r w:rsidR="0027180C" w:rsidRPr="00091793">
        <w:rPr>
          <w:rFonts w:ascii="Calibri" w:hAnsi="Calibri" w:cs="Calibri"/>
          <w:lang w:val="en-AU"/>
        </w:rPr>
        <w:t xml:space="preserve"> access to market.</w:t>
      </w:r>
    </w:p>
    <w:p w14:paraId="781D6301" w14:textId="17147BF4" w:rsidR="00A75BE1" w:rsidRPr="00091793" w:rsidRDefault="00A75BE1" w:rsidP="2225502A">
      <w:pPr>
        <w:keepNext/>
        <w:keepLines/>
        <w:rPr>
          <w:rFonts w:ascii="Calibri" w:hAnsi="Calibri" w:cs="Calibri"/>
          <w:lang w:val="en-AU"/>
        </w:rPr>
      </w:pPr>
      <w:r>
        <w:rPr>
          <w:rFonts w:ascii="Calibri" w:hAnsi="Calibri" w:cs="Calibri"/>
          <w:lang w:val="en-AU"/>
        </w:rPr>
        <w:t>There are 9 areas</w:t>
      </w:r>
      <w:r w:rsidRPr="00A75BE1">
        <w:rPr>
          <w:rFonts w:ascii="Calibri" w:hAnsi="Calibri" w:cs="Calibri"/>
          <w:lang w:val="en-AU"/>
        </w:rPr>
        <w:t xml:space="preserve"> </w:t>
      </w:r>
      <w:r w:rsidR="00CE1416">
        <w:rPr>
          <w:rFonts w:ascii="Calibri" w:hAnsi="Calibri" w:cs="Calibri"/>
          <w:lang w:val="en-AU"/>
        </w:rPr>
        <w:t xml:space="preserve">where </w:t>
      </w:r>
      <w:r>
        <w:rPr>
          <w:rFonts w:ascii="Calibri" w:hAnsi="Calibri" w:cs="Calibri"/>
          <w:lang w:val="en-AU"/>
        </w:rPr>
        <w:t xml:space="preserve">AICIS accepts standards, depending on the purpose for which </w:t>
      </w:r>
      <w:r w:rsidR="00CC19F7">
        <w:rPr>
          <w:rFonts w:ascii="Calibri" w:hAnsi="Calibri" w:cs="Calibri"/>
          <w:lang w:val="en-AU"/>
        </w:rPr>
        <w:t xml:space="preserve">they </w:t>
      </w:r>
      <w:r>
        <w:rPr>
          <w:rFonts w:ascii="Calibri" w:hAnsi="Calibri" w:cs="Calibri"/>
          <w:lang w:val="en-AU"/>
        </w:rPr>
        <w:t>may be used. These are as follows</w:t>
      </w:r>
      <w:r w:rsidR="00992C00">
        <w:rPr>
          <w:rFonts w:ascii="Calibri" w:hAnsi="Calibri" w:cs="Calibri"/>
          <w:lang w:val="en-AU"/>
        </w:rPr>
        <w:t>:</w:t>
      </w:r>
    </w:p>
    <w:p w14:paraId="45B71EDE" w14:textId="282E58CA" w:rsidR="1553741A" w:rsidRPr="00FE32F3" w:rsidRDefault="1553741A" w:rsidP="00536167">
      <w:pPr>
        <w:pStyle w:val="Heading3"/>
        <w:rPr>
          <w:rFonts w:ascii="Calibri" w:eastAsia="Aptos Display" w:hAnsi="Calibri" w:cs="Calibri"/>
          <w:sz w:val="32"/>
          <w:szCs w:val="32"/>
        </w:rPr>
      </w:pPr>
      <w:r w:rsidRPr="00091793">
        <w:rPr>
          <w:rFonts w:ascii="Calibri" w:hAnsi="Calibri" w:cs="Calibri"/>
          <w:lang w:val="en-AU"/>
        </w:rPr>
        <w:t xml:space="preserve">International </w:t>
      </w:r>
      <w:r w:rsidR="00536167" w:rsidRPr="00091793">
        <w:rPr>
          <w:rFonts w:ascii="Calibri" w:hAnsi="Calibri" w:cs="Calibri"/>
          <w:lang w:val="en-AU"/>
        </w:rPr>
        <w:t>h</w:t>
      </w:r>
      <w:r w:rsidRPr="00FE32F3">
        <w:rPr>
          <w:rFonts w:ascii="Calibri" w:hAnsi="Calibri" w:cs="Calibri"/>
          <w:lang w:val="en-AU"/>
        </w:rPr>
        <w:t xml:space="preserve">azard </w:t>
      </w:r>
      <w:r w:rsidR="00536167" w:rsidRPr="00091793">
        <w:rPr>
          <w:rFonts w:ascii="Calibri" w:hAnsi="Calibri" w:cs="Calibri"/>
          <w:lang w:val="en-AU"/>
        </w:rPr>
        <w:t>a</w:t>
      </w:r>
      <w:r w:rsidRPr="00FE32F3">
        <w:rPr>
          <w:rFonts w:ascii="Calibri" w:hAnsi="Calibri" w:cs="Calibri"/>
          <w:lang w:val="en-AU"/>
        </w:rPr>
        <w:t>ssessments</w:t>
      </w:r>
    </w:p>
    <w:p w14:paraId="7E7AAE4B" w14:textId="06DB6CAB" w:rsidR="7435A069" w:rsidRPr="00FE32F3" w:rsidRDefault="7435A069" w:rsidP="2225502A">
      <w:pPr>
        <w:rPr>
          <w:rFonts w:ascii="Calibri" w:eastAsia="Aptos" w:hAnsi="Calibri" w:cs="Calibri"/>
          <w:color w:val="000000" w:themeColor="text1"/>
        </w:rPr>
      </w:pPr>
      <w:r w:rsidRPr="00FE32F3">
        <w:rPr>
          <w:rFonts w:ascii="Calibri" w:eastAsia="Aptos" w:hAnsi="Calibri" w:cs="Calibri"/>
          <w:color w:val="000000" w:themeColor="text1"/>
        </w:rPr>
        <w:t>AICIS allows businesses to use hazard assessments that have already been completed by trusted overseas or Australian regulators when applying for an assessment certificate</w:t>
      </w:r>
      <w:r w:rsidR="00825391">
        <w:rPr>
          <w:rFonts w:ascii="Calibri" w:eastAsia="Aptos" w:hAnsi="Calibri" w:cs="Calibri"/>
          <w:color w:val="000000" w:themeColor="text1"/>
        </w:rPr>
        <w:t xml:space="preserve">, </w:t>
      </w:r>
      <w:r w:rsidR="006D2A06">
        <w:rPr>
          <w:rFonts w:ascii="Calibri" w:eastAsia="Aptos" w:hAnsi="Calibri" w:cs="Calibri"/>
          <w:color w:val="000000" w:themeColor="text1"/>
        </w:rPr>
        <w:t xml:space="preserve">as prescribed by the </w:t>
      </w:r>
      <w:r w:rsidR="00B22FDB">
        <w:rPr>
          <w:rFonts w:ascii="Calibri" w:eastAsia="Aptos" w:hAnsi="Calibri" w:cs="Calibri"/>
          <w:color w:val="000000" w:themeColor="text1"/>
        </w:rPr>
        <w:t>Industrial Chemicals (General) Rules 2019</w:t>
      </w:r>
      <w:r w:rsidRPr="00FE32F3">
        <w:rPr>
          <w:rFonts w:ascii="Calibri" w:eastAsia="Aptos" w:hAnsi="Calibri" w:cs="Calibri"/>
          <w:color w:val="000000" w:themeColor="text1"/>
        </w:rPr>
        <w:t xml:space="preserve">. This means that instead of repeating scientific studies, applicants can rely on existing </w:t>
      </w:r>
      <w:r w:rsidR="005D24BA" w:rsidRPr="00FE32F3">
        <w:rPr>
          <w:rFonts w:ascii="Calibri" w:eastAsia="Aptos" w:hAnsi="Calibri" w:cs="Calibri"/>
          <w:color w:val="000000" w:themeColor="text1"/>
        </w:rPr>
        <w:t xml:space="preserve">assessments </w:t>
      </w:r>
      <w:r w:rsidRPr="00FE32F3">
        <w:rPr>
          <w:rFonts w:ascii="Calibri" w:eastAsia="Aptos" w:hAnsi="Calibri" w:cs="Calibri"/>
          <w:color w:val="000000" w:themeColor="text1"/>
        </w:rPr>
        <w:t>of a chemical’s potential health or environmental hazards.</w:t>
      </w:r>
    </w:p>
    <w:p w14:paraId="4616376B" w14:textId="2AE497B1" w:rsidR="7435A069" w:rsidRPr="00FE32F3" w:rsidRDefault="7435A069" w:rsidP="2225502A">
      <w:pPr>
        <w:rPr>
          <w:rFonts w:ascii="Calibri" w:eastAsia="Aptos" w:hAnsi="Calibri" w:cs="Calibri"/>
          <w:color w:val="000000" w:themeColor="text1"/>
        </w:rPr>
      </w:pPr>
      <w:r w:rsidRPr="00FE32F3">
        <w:rPr>
          <w:rFonts w:ascii="Calibri" w:eastAsia="Aptos" w:hAnsi="Calibri" w:cs="Calibri"/>
          <w:color w:val="000000" w:themeColor="text1"/>
        </w:rPr>
        <w:t>When AICIS receives such an application, it uses the overseas hazard assessment and then considers how the chemical would be used in Australia to determine any local risks. Only assessments from recognised (mainly international) bodies can be accepted under this pathway.</w:t>
      </w:r>
    </w:p>
    <w:p w14:paraId="0BA42287" w14:textId="45BB9B8A" w:rsidR="7435A069" w:rsidRPr="00FE32F3" w:rsidRDefault="7435A069" w:rsidP="2225502A">
      <w:pPr>
        <w:rPr>
          <w:rFonts w:ascii="Calibri" w:eastAsia="Aptos" w:hAnsi="Calibri" w:cs="Calibri"/>
          <w:color w:val="000000" w:themeColor="text1"/>
        </w:rPr>
      </w:pPr>
      <w:r w:rsidRPr="00FE32F3">
        <w:rPr>
          <w:rFonts w:ascii="Calibri" w:eastAsia="Aptos" w:hAnsi="Calibri" w:cs="Calibri"/>
          <w:color w:val="000000" w:themeColor="text1"/>
        </w:rPr>
        <w:t>Because much of the scientific work has already been done, this type of application has a lower fee than most others</w:t>
      </w:r>
      <w:r w:rsidR="09851DAD" w:rsidRPr="00FE32F3">
        <w:rPr>
          <w:rFonts w:ascii="Calibri" w:eastAsia="Aptos" w:hAnsi="Calibri" w:cs="Calibri"/>
          <w:color w:val="000000" w:themeColor="text1"/>
        </w:rPr>
        <w:t xml:space="preserve"> through reduced AICIS assessment fees</w:t>
      </w:r>
      <w:r w:rsidRPr="00FE32F3">
        <w:rPr>
          <w:rFonts w:ascii="Calibri" w:eastAsia="Aptos" w:hAnsi="Calibri" w:cs="Calibri"/>
          <w:color w:val="000000" w:themeColor="text1"/>
        </w:rPr>
        <w:t xml:space="preserve">. It also reduces the </w:t>
      </w:r>
      <w:r w:rsidR="6DA531A1" w:rsidRPr="00FE32F3">
        <w:rPr>
          <w:rFonts w:ascii="Calibri" w:eastAsia="Aptos" w:hAnsi="Calibri" w:cs="Calibri"/>
          <w:color w:val="000000" w:themeColor="text1"/>
        </w:rPr>
        <w:t xml:space="preserve">costs </w:t>
      </w:r>
      <w:r w:rsidRPr="00FE32F3">
        <w:rPr>
          <w:rFonts w:ascii="Calibri" w:eastAsia="Aptos" w:hAnsi="Calibri" w:cs="Calibri"/>
          <w:color w:val="000000" w:themeColor="text1"/>
        </w:rPr>
        <w:t>for businesses to generate new data.</w:t>
      </w:r>
    </w:p>
    <w:p w14:paraId="0FC12C90" w14:textId="78919453" w:rsidR="1553741A" w:rsidRPr="00FE32F3" w:rsidRDefault="1553741A" w:rsidP="00536167">
      <w:pPr>
        <w:pStyle w:val="Heading3"/>
        <w:rPr>
          <w:rFonts w:ascii="Calibri" w:eastAsia="Aptos Display" w:hAnsi="Calibri" w:cs="Calibri"/>
          <w:sz w:val="32"/>
          <w:szCs w:val="32"/>
        </w:rPr>
      </w:pPr>
      <w:r w:rsidRPr="00FE32F3">
        <w:rPr>
          <w:rFonts w:ascii="Calibri" w:hAnsi="Calibri" w:cs="Calibri"/>
          <w:lang w:val="en-AU"/>
        </w:rPr>
        <w:t xml:space="preserve">International </w:t>
      </w:r>
      <w:r w:rsidR="00536167" w:rsidRPr="00091793">
        <w:rPr>
          <w:rFonts w:ascii="Calibri" w:hAnsi="Calibri" w:cs="Calibri"/>
          <w:lang w:val="en-AU"/>
        </w:rPr>
        <w:t>r</w:t>
      </w:r>
      <w:r w:rsidRPr="00FE32F3">
        <w:rPr>
          <w:rFonts w:ascii="Calibri" w:hAnsi="Calibri" w:cs="Calibri"/>
          <w:lang w:val="en-AU"/>
        </w:rPr>
        <w:t xml:space="preserve">isk </w:t>
      </w:r>
      <w:r w:rsidR="00536167" w:rsidRPr="00091793">
        <w:rPr>
          <w:rFonts w:ascii="Calibri" w:hAnsi="Calibri" w:cs="Calibri"/>
          <w:lang w:val="en-AU"/>
        </w:rPr>
        <w:t>a</w:t>
      </w:r>
      <w:r w:rsidRPr="00FE32F3">
        <w:rPr>
          <w:rFonts w:ascii="Calibri" w:hAnsi="Calibri" w:cs="Calibri"/>
          <w:lang w:val="en-AU"/>
        </w:rPr>
        <w:t>ssessments</w:t>
      </w:r>
    </w:p>
    <w:p w14:paraId="6B4EDCC6" w14:textId="07E4028E" w:rsidR="1553741A" w:rsidRPr="00FE32F3" w:rsidRDefault="1553741A" w:rsidP="2225502A">
      <w:pPr>
        <w:rPr>
          <w:rFonts w:ascii="Calibri" w:eastAsia="Aptos" w:hAnsi="Calibri" w:cs="Calibri"/>
          <w:color w:val="000000" w:themeColor="text1"/>
        </w:rPr>
      </w:pPr>
      <w:r w:rsidRPr="00FE32F3">
        <w:rPr>
          <w:rFonts w:ascii="Calibri" w:eastAsia="Aptos" w:hAnsi="Calibri" w:cs="Calibri"/>
          <w:color w:val="000000" w:themeColor="text1"/>
          <w:lang w:val="en-AU"/>
        </w:rPr>
        <w:t xml:space="preserve">The risk assessment of a chemical that was conducted by a trusted international body can be used by an introducer as the basis for their chemical introduction to be ‘low risk’ to </w:t>
      </w:r>
      <w:r w:rsidRPr="00FE32F3">
        <w:rPr>
          <w:rFonts w:ascii="Calibri" w:eastAsia="Aptos" w:hAnsi="Calibri" w:cs="Calibri"/>
          <w:color w:val="000000" w:themeColor="text1"/>
          <w:lang w:val="en-AU"/>
        </w:rPr>
        <w:lastRenderedPageBreak/>
        <w:t xml:space="preserve">human health or the environment, if the criteria are met. In many circumstances, this will mean the introduction can be in the </w:t>
      </w:r>
      <w:r w:rsidR="002763FE">
        <w:rPr>
          <w:rFonts w:ascii="Calibri" w:eastAsia="Aptos" w:hAnsi="Calibri" w:cs="Calibri"/>
          <w:color w:val="000000" w:themeColor="text1"/>
          <w:lang w:val="en-AU"/>
        </w:rPr>
        <w:t>‘</w:t>
      </w:r>
      <w:r w:rsidRPr="00FE32F3">
        <w:rPr>
          <w:rFonts w:ascii="Calibri" w:eastAsia="Aptos" w:hAnsi="Calibri" w:cs="Calibri"/>
          <w:color w:val="000000" w:themeColor="text1"/>
          <w:lang w:val="en-AU"/>
        </w:rPr>
        <w:t>reported</w:t>
      </w:r>
      <w:r w:rsidR="002763FE">
        <w:rPr>
          <w:rFonts w:ascii="Calibri" w:eastAsia="Aptos" w:hAnsi="Calibri" w:cs="Calibri"/>
          <w:color w:val="000000" w:themeColor="text1"/>
          <w:lang w:val="en-AU"/>
        </w:rPr>
        <w:t>’</w:t>
      </w:r>
      <w:r w:rsidRPr="00FE32F3">
        <w:rPr>
          <w:rFonts w:ascii="Calibri" w:eastAsia="Aptos" w:hAnsi="Calibri" w:cs="Calibri"/>
          <w:color w:val="000000" w:themeColor="text1"/>
          <w:lang w:val="en-AU"/>
        </w:rPr>
        <w:t xml:space="preserve"> category. This can be the case even if the chemical introduction may </w:t>
      </w:r>
      <w:r w:rsidR="00A21E75" w:rsidRPr="00FE32F3">
        <w:rPr>
          <w:rFonts w:ascii="Calibri" w:eastAsia="Aptos" w:hAnsi="Calibri" w:cs="Calibri"/>
          <w:color w:val="000000" w:themeColor="text1"/>
          <w:lang w:val="en-AU"/>
        </w:rPr>
        <w:t xml:space="preserve">have </w:t>
      </w:r>
      <w:r w:rsidRPr="00FE32F3">
        <w:rPr>
          <w:rFonts w:ascii="Calibri" w:eastAsia="Aptos" w:hAnsi="Calibri" w:cs="Calibri"/>
          <w:color w:val="000000" w:themeColor="text1"/>
          <w:lang w:val="en-AU"/>
        </w:rPr>
        <w:t xml:space="preserve">otherwise been in the </w:t>
      </w:r>
      <w:r w:rsidR="002763FE">
        <w:rPr>
          <w:rFonts w:ascii="Calibri" w:eastAsia="Aptos" w:hAnsi="Calibri" w:cs="Calibri"/>
          <w:color w:val="000000" w:themeColor="text1"/>
          <w:lang w:val="en-AU"/>
        </w:rPr>
        <w:t>‘</w:t>
      </w:r>
      <w:r w:rsidRPr="00FE32F3">
        <w:rPr>
          <w:rFonts w:ascii="Calibri" w:eastAsia="Aptos" w:hAnsi="Calibri" w:cs="Calibri"/>
          <w:color w:val="000000" w:themeColor="text1"/>
          <w:lang w:val="en-AU"/>
        </w:rPr>
        <w:t>assessed</w:t>
      </w:r>
      <w:r w:rsidR="002763FE">
        <w:rPr>
          <w:rFonts w:ascii="Calibri" w:eastAsia="Aptos" w:hAnsi="Calibri" w:cs="Calibri"/>
          <w:color w:val="000000" w:themeColor="text1"/>
          <w:lang w:val="en-AU"/>
        </w:rPr>
        <w:t>’</w:t>
      </w:r>
      <w:r w:rsidRPr="00FE32F3">
        <w:rPr>
          <w:rFonts w:ascii="Calibri" w:eastAsia="Aptos" w:hAnsi="Calibri" w:cs="Calibri"/>
          <w:color w:val="000000" w:themeColor="text1"/>
          <w:lang w:val="en-AU"/>
        </w:rPr>
        <w:t xml:space="preserve"> category and required a full assessment by AICIS prior to its introduction into Australia, due to its risk being medium to high.</w:t>
      </w:r>
    </w:p>
    <w:p w14:paraId="5EB754A9" w14:textId="633B81A8" w:rsidR="1553741A" w:rsidRPr="00FE32F3" w:rsidRDefault="1553741A" w:rsidP="2225502A">
      <w:pPr>
        <w:rPr>
          <w:rFonts w:ascii="Calibri" w:eastAsia="Aptos" w:hAnsi="Calibri" w:cs="Calibri"/>
          <w:color w:val="000000" w:themeColor="text1"/>
        </w:rPr>
      </w:pPr>
      <w:r w:rsidRPr="00FE32F3">
        <w:rPr>
          <w:rFonts w:ascii="Calibri" w:eastAsia="Aptos" w:hAnsi="Calibri" w:cs="Calibri"/>
          <w:color w:val="000000" w:themeColor="text1"/>
          <w:lang w:val="en-AU"/>
        </w:rPr>
        <w:t>The outcomes of the international risk assessment are trusted by AICIS. This means that AICIS does not conduct its own risk assessment of the chemical because the criteria ensure that the risks of introducing the chemical in Australia are similar to what was assessed overseas.</w:t>
      </w:r>
    </w:p>
    <w:p w14:paraId="4199280F" w14:textId="1E9C244A" w:rsidR="1553741A" w:rsidRPr="00091793" w:rsidRDefault="1553741A" w:rsidP="2225502A">
      <w:pPr>
        <w:rPr>
          <w:rFonts w:ascii="Calibri" w:eastAsia="Aptos" w:hAnsi="Calibri" w:cs="Calibri"/>
          <w:color w:val="000000" w:themeColor="text1"/>
        </w:rPr>
      </w:pPr>
      <w:r w:rsidRPr="00FE32F3">
        <w:rPr>
          <w:rFonts w:ascii="Calibri" w:eastAsia="Aptos" w:hAnsi="Calibri" w:cs="Calibri"/>
          <w:color w:val="000000" w:themeColor="text1"/>
          <w:lang w:val="en-AU"/>
        </w:rPr>
        <w:t xml:space="preserve">There are </w:t>
      </w:r>
      <w:r w:rsidR="006D2A06">
        <w:rPr>
          <w:rFonts w:ascii="Calibri" w:eastAsia="Aptos" w:hAnsi="Calibri" w:cs="Calibri"/>
          <w:color w:val="000000" w:themeColor="text1"/>
          <w:lang w:val="en-AU"/>
        </w:rPr>
        <w:t>neither</w:t>
      </w:r>
      <w:r w:rsidR="006D2A06" w:rsidRPr="00FE32F3">
        <w:rPr>
          <w:rFonts w:ascii="Calibri" w:eastAsia="Aptos" w:hAnsi="Calibri" w:cs="Calibri"/>
          <w:color w:val="000000" w:themeColor="text1"/>
          <w:lang w:val="en-AU"/>
        </w:rPr>
        <w:t xml:space="preserve"> </w:t>
      </w:r>
      <w:r w:rsidRPr="00FE32F3">
        <w:rPr>
          <w:rFonts w:ascii="Calibri" w:eastAsia="Aptos" w:hAnsi="Calibri" w:cs="Calibri"/>
          <w:color w:val="000000" w:themeColor="text1"/>
          <w:lang w:val="en-AU"/>
        </w:rPr>
        <w:t xml:space="preserve">fees </w:t>
      </w:r>
      <w:r w:rsidR="006D2A06">
        <w:rPr>
          <w:rFonts w:ascii="Calibri" w:eastAsia="Aptos" w:hAnsi="Calibri" w:cs="Calibri"/>
          <w:color w:val="000000" w:themeColor="text1"/>
          <w:lang w:val="en-AU"/>
        </w:rPr>
        <w:t xml:space="preserve">nor waiting time to market </w:t>
      </w:r>
      <w:r w:rsidRPr="00FE32F3">
        <w:rPr>
          <w:rFonts w:ascii="Calibri" w:eastAsia="Aptos" w:hAnsi="Calibri" w:cs="Calibri"/>
          <w:color w:val="000000" w:themeColor="text1"/>
          <w:lang w:val="en-AU"/>
        </w:rPr>
        <w:t>for reported introductions.</w:t>
      </w:r>
      <w:r w:rsidR="66F2AF19" w:rsidRPr="00FE32F3">
        <w:rPr>
          <w:rFonts w:ascii="Calibri" w:eastAsia="Aptos" w:hAnsi="Calibri" w:cs="Calibri"/>
          <w:color w:val="000000" w:themeColor="text1"/>
          <w:lang w:val="en-AU"/>
        </w:rPr>
        <w:t xml:space="preserve"> </w:t>
      </w:r>
      <w:r w:rsidRPr="00FE32F3">
        <w:rPr>
          <w:rFonts w:ascii="Calibri" w:eastAsia="Aptos" w:hAnsi="Calibri" w:cs="Calibri"/>
          <w:color w:val="000000" w:themeColor="text1"/>
          <w:lang w:val="en-AU"/>
        </w:rPr>
        <w:t>This reduces the costs involved in</w:t>
      </w:r>
      <w:r w:rsidR="53122C0C" w:rsidRPr="00FE32F3">
        <w:rPr>
          <w:rFonts w:ascii="Calibri" w:eastAsia="Aptos" w:hAnsi="Calibri" w:cs="Calibri"/>
          <w:color w:val="000000" w:themeColor="text1"/>
          <w:lang w:val="en-AU"/>
        </w:rPr>
        <w:t xml:space="preserve"> </w:t>
      </w:r>
      <w:r w:rsidRPr="00FE32F3">
        <w:rPr>
          <w:rFonts w:ascii="Calibri" w:eastAsia="Aptos" w:hAnsi="Calibri" w:cs="Calibri"/>
          <w:color w:val="000000" w:themeColor="text1"/>
          <w:lang w:val="en-AU"/>
        </w:rPr>
        <w:t>AICIS assessment fees</w:t>
      </w:r>
      <w:r w:rsidR="0AFA6AE2" w:rsidRPr="00FE32F3">
        <w:rPr>
          <w:rFonts w:ascii="Calibri" w:eastAsia="Aptos" w:hAnsi="Calibri" w:cs="Calibri"/>
          <w:color w:val="000000" w:themeColor="text1"/>
          <w:lang w:val="en-AU"/>
        </w:rPr>
        <w:t xml:space="preserve">, </w:t>
      </w:r>
      <w:r w:rsidRPr="00FE32F3">
        <w:rPr>
          <w:rFonts w:ascii="Calibri" w:eastAsia="Aptos" w:hAnsi="Calibri" w:cs="Calibri"/>
          <w:color w:val="000000" w:themeColor="text1"/>
          <w:lang w:val="en-AU"/>
        </w:rPr>
        <w:t>the generation of information about the hazards of a chemical</w:t>
      </w:r>
      <w:r w:rsidR="171F1B8E" w:rsidRPr="00FE32F3">
        <w:rPr>
          <w:rFonts w:ascii="Calibri" w:eastAsia="Aptos" w:hAnsi="Calibri" w:cs="Calibri"/>
          <w:color w:val="000000" w:themeColor="text1"/>
          <w:lang w:val="en-AU"/>
        </w:rPr>
        <w:t xml:space="preserve">, and </w:t>
      </w:r>
      <w:r w:rsidR="00536167" w:rsidRPr="00091793">
        <w:rPr>
          <w:rFonts w:ascii="Calibri" w:eastAsia="Aptos" w:hAnsi="Calibri" w:cs="Calibri"/>
          <w:color w:val="000000" w:themeColor="text1"/>
          <w:lang w:val="en-AU"/>
        </w:rPr>
        <w:t xml:space="preserve">reduces </w:t>
      </w:r>
      <w:r w:rsidR="171F1B8E" w:rsidRPr="00091793">
        <w:rPr>
          <w:rFonts w:ascii="Calibri" w:eastAsia="Aptos" w:hAnsi="Calibri" w:cs="Calibri"/>
          <w:color w:val="000000" w:themeColor="text1"/>
          <w:lang w:val="en-AU"/>
        </w:rPr>
        <w:t>t</w:t>
      </w:r>
      <w:r w:rsidRPr="00091793">
        <w:rPr>
          <w:rFonts w:ascii="Calibri" w:eastAsia="Aptos" w:hAnsi="Calibri" w:cs="Calibri"/>
          <w:color w:val="000000" w:themeColor="text1"/>
          <w:lang w:val="en-AU"/>
        </w:rPr>
        <w:t>ime to market delay (</w:t>
      </w:r>
      <w:r w:rsidR="00A75BE1">
        <w:rPr>
          <w:rFonts w:ascii="Calibri" w:eastAsia="Aptos" w:hAnsi="Calibri" w:cs="Calibri"/>
          <w:color w:val="000000" w:themeColor="text1"/>
          <w:lang w:val="en-AU"/>
        </w:rPr>
        <w:t xml:space="preserve">as </w:t>
      </w:r>
      <w:r w:rsidRPr="00091793">
        <w:rPr>
          <w:rFonts w:ascii="Calibri" w:eastAsia="Aptos" w:hAnsi="Calibri" w:cs="Calibri"/>
          <w:color w:val="000000" w:themeColor="text1"/>
          <w:lang w:val="en-AU"/>
        </w:rPr>
        <w:t xml:space="preserve">no assessment by AICIS </w:t>
      </w:r>
      <w:r w:rsidR="00A75BE1">
        <w:rPr>
          <w:rFonts w:ascii="Calibri" w:eastAsia="Aptos" w:hAnsi="Calibri" w:cs="Calibri"/>
          <w:color w:val="000000" w:themeColor="text1"/>
          <w:lang w:val="en-AU"/>
        </w:rPr>
        <w:t xml:space="preserve">is </w:t>
      </w:r>
      <w:r w:rsidRPr="00091793">
        <w:rPr>
          <w:rFonts w:ascii="Calibri" w:eastAsia="Aptos" w:hAnsi="Calibri" w:cs="Calibri"/>
          <w:color w:val="000000" w:themeColor="text1"/>
          <w:lang w:val="en-AU"/>
        </w:rPr>
        <w:t xml:space="preserve">required before </w:t>
      </w:r>
      <w:r w:rsidR="00A75BE1">
        <w:rPr>
          <w:rFonts w:ascii="Calibri" w:eastAsia="Aptos" w:hAnsi="Calibri" w:cs="Calibri"/>
          <w:color w:val="000000" w:themeColor="text1"/>
          <w:lang w:val="en-AU"/>
        </w:rPr>
        <w:t xml:space="preserve">the </w:t>
      </w:r>
      <w:r w:rsidRPr="00091793">
        <w:rPr>
          <w:rFonts w:ascii="Calibri" w:eastAsia="Aptos" w:hAnsi="Calibri" w:cs="Calibri"/>
          <w:color w:val="000000" w:themeColor="text1"/>
          <w:lang w:val="en-AU"/>
        </w:rPr>
        <w:t>chemical is introduced)</w:t>
      </w:r>
      <w:r w:rsidR="4EF5B7DA" w:rsidRPr="00091793">
        <w:rPr>
          <w:rFonts w:ascii="Calibri" w:eastAsia="Aptos" w:hAnsi="Calibri" w:cs="Calibri"/>
          <w:color w:val="000000" w:themeColor="text1"/>
          <w:lang w:val="en-AU"/>
        </w:rPr>
        <w:t>.</w:t>
      </w:r>
    </w:p>
    <w:p w14:paraId="06D8AB71" w14:textId="575E612D" w:rsidR="1553741A" w:rsidRPr="00FE32F3" w:rsidRDefault="1553741A" w:rsidP="00536167">
      <w:pPr>
        <w:pStyle w:val="Heading3"/>
        <w:rPr>
          <w:rFonts w:ascii="Calibri" w:eastAsia="Aptos Display" w:hAnsi="Calibri" w:cs="Calibri"/>
          <w:sz w:val="32"/>
          <w:szCs w:val="32"/>
        </w:rPr>
      </w:pPr>
      <w:r w:rsidRPr="00091793">
        <w:rPr>
          <w:rFonts w:ascii="Calibri" w:hAnsi="Calibri" w:cs="Calibri"/>
          <w:lang w:val="en-AU"/>
        </w:rPr>
        <w:t xml:space="preserve">Guidelines for the </w:t>
      </w:r>
      <w:r w:rsidR="00536167" w:rsidRPr="00091793">
        <w:rPr>
          <w:rFonts w:ascii="Calibri" w:hAnsi="Calibri" w:cs="Calibri"/>
          <w:lang w:val="en-AU"/>
        </w:rPr>
        <w:t>t</w:t>
      </w:r>
      <w:r w:rsidRPr="00FE32F3">
        <w:rPr>
          <w:rFonts w:ascii="Calibri" w:hAnsi="Calibri" w:cs="Calibri"/>
          <w:lang w:val="en-AU"/>
        </w:rPr>
        <w:t xml:space="preserve">esting of </w:t>
      </w:r>
      <w:r w:rsidR="00536167" w:rsidRPr="00091793">
        <w:rPr>
          <w:rFonts w:ascii="Calibri" w:hAnsi="Calibri" w:cs="Calibri"/>
          <w:lang w:val="en-AU"/>
        </w:rPr>
        <w:t>c</w:t>
      </w:r>
      <w:r w:rsidRPr="00FE32F3">
        <w:rPr>
          <w:rFonts w:ascii="Calibri" w:hAnsi="Calibri" w:cs="Calibri"/>
          <w:lang w:val="en-AU"/>
        </w:rPr>
        <w:t>hemicals (OECD and equivalent)</w:t>
      </w:r>
    </w:p>
    <w:p w14:paraId="4876C919" w14:textId="6728ED31" w:rsidR="1553741A" w:rsidRPr="00091793" w:rsidRDefault="405947C2" w:rsidP="2225502A">
      <w:pPr>
        <w:rPr>
          <w:rFonts w:ascii="Calibri" w:eastAsia="Aptos" w:hAnsi="Calibri" w:cs="Calibri"/>
          <w:color w:val="000000" w:themeColor="text1"/>
        </w:rPr>
      </w:pPr>
      <w:r w:rsidRPr="77E37E46">
        <w:rPr>
          <w:rFonts w:ascii="Calibri" w:eastAsia="Aptos" w:hAnsi="Calibri" w:cs="Calibri"/>
          <w:color w:val="000000" w:themeColor="text1"/>
          <w:lang w:val="en-AU"/>
        </w:rPr>
        <w:t xml:space="preserve">The </w:t>
      </w:r>
      <w:r w:rsidR="14CABF46" w:rsidRPr="77E37E46">
        <w:rPr>
          <w:rFonts w:ascii="Calibri" w:eastAsia="Aptos" w:hAnsi="Calibri" w:cs="Calibri"/>
          <w:color w:val="000000" w:themeColor="text1"/>
          <w:lang w:val="en-AU"/>
        </w:rPr>
        <w:t>OECD</w:t>
      </w:r>
      <w:r w:rsidR="3D116CCD" w:rsidRPr="77E37E46">
        <w:rPr>
          <w:rFonts w:ascii="Calibri" w:eastAsia="Aptos" w:hAnsi="Calibri" w:cs="Calibri"/>
          <w:color w:val="000000" w:themeColor="text1"/>
          <w:lang w:val="en-AU"/>
        </w:rPr>
        <w:t xml:space="preserve"> </w:t>
      </w:r>
      <w:r w:rsidR="14CABF46" w:rsidRPr="77E37E46">
        <w:rPr>
          <w:rFonts w:ascii="Calibri" w:eastAsia="Aptos" w:hAnsi="Calibri" w:cs="Calibri"/>
          <w:i/>
          <w:iCs/>
          <w:color w:val="000000" w:themeColor="text1"/>
          <w:lang w:val="en-AU"/>
        </w:rPr>
        <w:t xml:space="preserve">Guidelines for the </w:t>
      </w:r>
      <w:r w:rsidR="7C10EC85" w:rsidRPr="77E37E46">
        <w:rPr>
          <w:rFonts w:ascii="Calibri" w:eastAsia="Aptos" w:hAnsi="Calibri" w:cs="Calibri"/>
          <w:i/>
          <w:iCs/>
          <w:color w:val="000000" w:themeColor="text1"/>
          <w:lang w:val="en-AU"/>
        </w:rPr>
        <w:t>T</w:t>
      </w:r>
      <w:r w:rsidR="14CABF46" w:rsidRPr="77E37E46">
        <w:rPr>
          <w:rFonts w:ascii="Calibri" w:eastAsia="Aptos" w:hAnsi="Calibri" w:cs="Calibri"/>
          <w:i/>
          <w:iCs/>
          <w:color w:val="000000" w:themeColor="text1"/>
          <w:lang w:val="en-AU"/>
        </w:rPr>
        <w:t xml:space="preserve">esting of </w:t>
      </w:r>
      <w:r w:rsidR="76432322" w:rsidRPr="77E37E46">
        <w:rPr>
          <w:rFonts w:ascii="Calibri" w:eastAsia="Aptos" w:hAnsi="Calibri" w:cs="Calibri"/>
          <w:i/>
          <w:iCs/>
          <w:color w:val="000000" w:themeColor="text1"/>
          <w:lang w:val="en-AU"/>
        </w:rPr>
        <w:t>C</w:t>
      </w:r>
      <w:r w:rsidR="14CABF46" w:rsidRPr="77E37E46">
        <w:rPr>
          <w:rFonts w:ascii="Calibri" w:eastAsia="Aptos" w:hAnsi="Calibri" w:cs="Calibri"/>
          <w:i/>
          <w:iCs/>
          <w:color w:val="000000" w:themeColor="text1"/>
          <w:lang w:val="en-AU"/>
        </w:rPr>
        <w:t>hemicals</w:t>
      </w:r>
      <w:r w:rsidR="14CABF46" w:rsidRPr="77E37E46">
        <w:rPr>
          <w:rFonts w:ascii="Calibri" w:eastAsia="Aptos" w:hAnsi="Calibri" w:cs="Calibri"/>
          <w:color w:val="000000" w:themeColor="text1"/>
          <w:lang w:val="en-AU"/>
        </w:rPr>
        <w:t xml:space="preserve"> are accepted internationally as standard methods for safety testing of chemicals. Study results generated using OECD </w:t>
      </w:r>
      <w:r w:rsidR="611ED1BA" w:rsidRPr="77E37E46">
        <w:rPr>
          <w:rFonts w:ascii="Calibri" w:eastAsia="Aptos" w:hAnsi="Calibri" w:cs="Calibri"/>
          <w:color w:val="000000" w:themeColor="text1"/>
          <w:lang w:val="en-AU"/>
        </w:rPr>
        <w:t>T</w:t>
      </w:r>
      <w:r w:rsidR="14CABF46" w:rsidRPr="77E37E46">
        <w:rPr>
          <w:rFonts w:ascii="Calibri" w:eastAsia="Aptos" w:hAnsi="Calibri" w:cs="Calibri"/>
          <w:color w:val="000000" w:themeColor="text1"/>
          <w:lang w:val="en-AU"/>
        </w:rPr>
        <w:t xml:space="preserve">est </w:t>
      </w:r>
      <w:r w:rsidR="5630EAF7" w:rsidRPr="77E37E46">
        <w:rPr>
          <w:rFonts w:ascii="Calibri" w:eastAsia="Aptos" w:hAnsi="Calibri" w:cs="Calibri"/>
          <w:color w:val="000000" w:themeColor="text1"/>
          <w:lang w:val="en-AU"/>
        </w:rPr>
        <w:t>G</w:t>
      </w:r>
      <w:r w:rsidR="14CABF46" w:rsidRPr="77E37E46">
        <w:rPr>
          <w:rFonts w:ascii="Calibri" w:eastAsia="Aptos" w:hAnsi="Calibri" w:cs="Calibri"/>
          <w:color w:val="000000" w:themeColor="text1"/>
          <w:lang w:val="en-AU"/>
        </w:rPr>
        <w:t xml:space="preserve">uidelines are accepted by AICIS for </w:t>
      </w:r>
      <w:r w:rsidR="7E0B3E30" w:rsidRPr="77E37E46">
        <w:rPr>
          <w:rFonts w:ascii="Calibri" w:eastAsia="Aptos" w:hAnsi="Calibri" w:cs="Calibri"/>
          <w:color w:val="000000" w:themeColor="text1"/>
          <w:lang w:val="en-AU"/>
        </w:rPr>
        <w:t xml:space="preserve">the categorisation of chemical introductions and </w:t>
      </w:r>
      <w:r w:rsidR="77E141D3" w:rsidRPr="77E37E46">
        <w:rPr>
          <w:rFonts w:ascii="Calibri" w:eastAsia="Aptos" w:hAnsi="Calibri" w:cs="Calibri"/>
          <w:color w:val="000000" w:themeColor="text1"/>
          <w:lang w:val="en-AU"/>
        </w:rPr>
        <w:t xml:space="preserve">Assessment Certificate applications. </w:t>
      </w:r>
      <w:r w:rsidR="14CABF46" w:rsidRPr="77E37E46">
        <w:rPr>
          <w:rFonts w:ascii="Calibri" w:eastAsia="Aptos" w:hAnsi="Calibri" w:cs="Calibri"/>
          <w:color w:val="000000" w:themeColor="text1"/>
          <w:lang w:val="en-AU"/>
        </w:rPr>
        <w:t xml:space="preserve">Acceptance of studies conducted overseas using OECD </w:t>
      </w:r>
      <w:r w:rsidR="792A9752" w:rsidRPr="77E37E46">
        <w:rPr>
          <w:rFonts w:ascii="Calibri" w:eastAsia="Aptos" w:hAnsi="Calibri" w:cs="Calibri"/>
          <w:color w:val="000000" w:themeColor="text1"/>
          <w:lang w:val="en-AU"/>
        </w:rPr>
        <w:t xml:space="preserve">Test </w:t>
      </w:r>
      <w:r w:rsidR="14CABF46" w:rsidRPr="77E37E46">
        <w:rPr>
          <w:rFonts w:ascii="Calibri" w:eastAsia="Aptos" w:hAnsi="Calibri" w:cs="Calibri"/>
          <w:color w:val="000000" w:themeColor="text1"/>
          <w:lang w:val="en-AU"/>
        </w:rPr>
        <w:t>Guidelines means that introducers do not need to repeat the studies for the Australian regulatory requirements, reducing cost</w:t>
      </w:r>
      <w:r w:rsidRPr="77E37E46">
        <w:rPr>
          <w:rFonts w:ascii="Calibri" w:eastAsia="Aptos" w:hAnsi="Calibri" w:cs="Calibri"/>
          <w:color w:val="000000" w:themeColor="text1"/>
          <w:lang w:val="en-AU"/>
        </w:rPr>
        <w:t>s</w:t>
      </w:r>
      <w:r w:rsidR="14CABF46" w:rsidRPr="77E37E46">
        <w:rPr>
          <w:rFonts w:ascii="Calibri" w:eastAsia="Aptos" w:hAnsi="Calibri" w:cs="Calibri"/>
          <w:color w:val="000000" w:themeColor="text1"/>
          <w:lang w:val="en-AU"/>
        </w:rPr>
        <w:t xml:space="preserve"> and time</w:t>
      </w:r>
      <w:r w:rsidRPr="77E37E46">
        <w:rPr>
          <w:rFonts w:ascii="Calibri" w:eastAsia="Aptos" w:hAnsi="Calibri" w:cs="Calibri"/>
          <w:color w:val="000000" w:themeColor="text1"/>
          <w:lang w:val="en-AU"/>
        </w:rPr>
        <w:t xml:space="preserve"> </w:t>
      </w:r>
      <w:r w:rsidR="73B2070C" w:rsidRPr="77E37E46">
        <w:rPr>
          <w:rFonts w:ascii="Calibri" w:eastAsia="Aptos" w:hAnsi="Calibri" w:cs="Calibri"/>
          <w:color w:val="000000" w:themeColor="text1"/>
          <w:lang w:val="en-AU"/>
        </w:rPr>
        <w:t>for the pre-market assessment</w:t>
      </w:r>
      <w:r w:rsidR="14CABF46" w:rsidRPr="77E37E46">
        <w:rPr>
          <w:rFonts w:ascii="Calibri" w:eastAsia="Aptos" w:hAnsi="Calibri" w:cs="Calibri"/>
          <w:color w:val="000000" w:themeColor="text1"/>
          <w:lang w:val="en-AU"/>
        </w:rPr>
        <w:t>.</w:t>
      </w:r>
    </w:p>
    <w:p w14:paraId="63F37581" w14:textId="6D819CDB" w:rsidR="1553741A" w:rsidRPr="00091793" w:rsidRDefault="1553741A" w:rsidP="00536167">
      <w:pPr>
        <w:pStyle w:val="Heading3"/>
        <w:rPr>
          <w:rFonts w:ascii="Calibri" w:eastAsia="Aptos Display" w:hAnsi="Calibri" w:cs="Calibri"/>
          <w:sz w:val="32"/>
          <w:szCs w:val="32"/>
        </w:rPr>
      </w:pPr>
      <w:r w:rsidRPr="00091793">
        <w:rPr>
          <w:rFonts w:ascii="Calibri" w:hAnsi="Calibri" w:cs="Calibri"/>
          <w:lang w:val="en-AU"/>
        </w:rPr>
        <w:t>Globally Harmonised System of Classification and Labelling of Chemicals (GHS)</w:t>
      </w:r>
    </w:p>
    <w:p w14:paraId="0B49C783" w14:textId="271932F7" w:rsidR="1553741A" w:rsidRPr="00091793" w:rsidRDefault="1553741A" w:rsidP="2225502A">
      <w:pPr>
        <w:rPr>
          <w:rFonts w:ascii="Calibri" w:eastAsia="Aptos" w:hAnsi="Calibri" w:cs="Calibri"/>
          <w:color w:val="000000" w:themeColor="text1"/>
          <w:lang w:val="en-AU"/>
        </w:rPr>
      </w:pPr>
      <w:r w:rsidRPr="00091793">
        <w:rPr>
          <w:rFonts w:ascii="Calibri" w:eastAsia="Aptos" w:hAnsi="Calibri" w:cs="Calibri"/>
          <w:color w:val="000000" w:themeColor="text1"/>
          <w:lang w:val="en-AU"/>
        </w:rPr>
        <w:t xml:space="preserve">The GHS is an internationally recognised framework to standardise the classification and labelling of chemicals. AICIS uses the GHS system for </w:t>
      </w:r>
      <w:r w:rsidR="18C8FEDD" w:rsidRPr="00091793">
        <w:rPr>
          <w:rFonts w:ascii="Calibri" w:eastAsia="Aptos" w:hAnsi="Calibri" w:cs="Calibri"/>
          <w:color w:val="000000" w:themeColor="text1"/>
          <w:lang w:val="en-AU"/>
        </w:rPr>
        <w:t>the categorisation of chemical introductions and for Assessment Certificate applications.</w:t>
      </w:r>
    </w:p>
    <w:p w14:paraId="7F9CA0A7" w14:textId="09C920B6" w:rsidR="1553741A" w:rsidRPr="00091793" w:rsidRDefault="1553741A" w:rsidP="00536167">
      <w:pPr>
        <w:pStyle w:val="Heading3"/>
        <w:rPr>
          <w:rFonts w:ascii="Calibri" w:eastAsia="Aptos Display" w:hAnsi="Calibri" w:cs="Calibri"/>
          <w:sz w:val="32"/>
          <w:szCs w:val="32"/>
        </w:rPr>
      </w:pPr>
      <w:r w:rsidRPr="00091793">
        <w:rPr>
          <w:rFonts w:ascii="Calibri" w:hAnsi="Calibri" w:cs="Calibri"/>
          <w:lang w:val="en-AU"/>
        </w:rPr>
        <w:t xml:space="preserve">International Uniform </w:t>
      </w:r>
      <w:r w:rsidR="65813007" w:rsidRPr="00091793">
        <w:rPr>
          <w:rFonts w:ascii="Calibri" w:hAnsi="Calibri" w:cs="Calibri"/>
          <w:lang w:val="en-AU"/>
        </w:rPr>
        <w:t>Chemical</w:t>
      </w:r>
      <w:r w:rsidRPr="00091793">
        <w:rPr>
          <w:rFonts w:ascii="Calibri" w:hAnsi="Calibri" w:cs="Calibri"/>
          <w:lang w:val="en-AU"/>
        </w:rPr>
        <w:t xml:space="preserve"> Information Database (IUCLID)</w:t>
      </w:r>
    </w:p>
    <w:p w14:paraId="468A3AE5" w14:textId="5B2D5674" w:rsidR="1DD43890" w:rsidRPr="00091793" w:rsidRDefault="1553741A" w:rsidP="2225502A">
      <w:pPr>
        <w:rPr>
          <w:rFonts w:ascii="Calibri" w:eastAsia="Aptos" w:hAnsi="Calibri" w:cs="Calibri"/>
          <w:color w:val="000000" w:themeColor="text1"/>
        </w:rPr>
      </w:pPr>
      <w:r w:rsidRPr="00091793">
        <w:rPr>
          <w:rFonts w:ascii="Calibri" w:eastAsia="Aptos" w:hAnsi="Calibri" w:cs="Calibri"/>
          <w:color w:val="000000" w:themeColor="text1"/>
          <w:lang w:val="en-AU"/>
        </w:rPr>
        <w:t>IUCLID is a software application for recording, storing, maintaining and exchanging data on chemicals in the format of the OECD Harmonised Templates.</w:t>
      </w:r>
      <w:r w:rsidR="00FE07BE">
        <w:rPr>
          <w:rFonts w:ascii="Calibri" w:eastAsia="Aptos" w:hAnsi="Calibri" w:cs="Calibri"/>
          <w:color w:val="000000" w:themeColor="text1"/>
          <w:lang w:val="en-AU"/>
        </w:rPr>
        <w:t xml:space="preserve"> M</w:t>
      </w:r>
      <w:r w:rsidR="00FE07BE" w:rsidRPr="00FE07BE">
        <w:rPr>
          <w:rFonts w:ascii="Calibri" w:eastAsia="Aptos" w:hAnsi="Calibri" w:cs="Calibri"/>
          <w:color w:val="000000" w:themeColor="text1"/>
          <w:lang w:val="en-AU"/>
        </w:rPr>
        <w:t xml:space="preserve">ost templates are built around the OECD Test Guidelines, as these are </w:t>
      </w:r>
      <w:r w:rsidR="00EB7979">
        <w:rPr>
          <w:rFonts w:ascii="Calibri" w:eastAsia="Aptos" w:hAnsi="Calibri" w:cs="Calibri"/>
          <w:color w:val="000000" w:themeColor="text1"/>
          <w:lang w:val="en-AU"/>
        </w:rPr>
        <w:t xml:space="preserve">accepted </w:t>
      </w:r>
      <w:r w:rsidR="00FE07BE" w:rsidRPr="00FE07BE">
        <w:rPr>
          <w:rFonts w:ascii="Calibri" w:eastAsia="Aptos" w:hAnsi="Calibri" w:cs="Calibri"/>
          <w:color w:val="000000" w:themeColor="text1"/>
          <w:lang w:val="en-AU"/>
        </w:rPr>
        <w:t>internationally.</w:t>
      </w:r>
      <w:r w:rsidRPr="00091793">
        <w:rPr>
          <w:rFonts w:ascii="Calibri" w:eastAsia="Aptos" w:hAnsi="Calibri" w:cs="Calibri"/>
          <w:color w:val="000000" w:themeColor="text1"/>
          <w:lang w:val="en-AU"/>
        </w:rPr>
        <w:t xml:space="preserve"> It is used by many OECD member countries such as EU, Canada, USA, and New Zealand. It can be used for the submission of an assessment certificate application to AICIS. This means an applicant can reuse information submitted to another regulator in their submission to AICIS for an application for an assessment certificate and vice versa. This streamlines processes for applicants by reducing duplication of effort and making the exchange of information more efficient.</w:t>
      </w:r>
    </w:p>
    <w:p w14:paraId="34DD88CC" w14:textId="75F997E1" w:rsidR="1553741A" w:rsidRPr="00722093" w:rsidRDefault="1553741A" w:rsidP="005F03C6">
      <w:pPr>
        <w:pStyle w:val="Heading3"/>
        <w:keepLines w:val="0"/>
        <w:spacing w:line="278" w:lineRule="auto"/>
        <w:rPr>
          <w:rFonts w:ascii="Calibri" w:eastAsia="Aptos Display" w:hAnsi="Calibri" w:cs="Calibri"/>
          <w:sz w:val="32"/>
          <w:szCs w:val="32"/>
        </w:rPr>
      </w:pPr>
      <w:r w:rsidRPr="00091793">
        <w:rPr>
          <w:rFonts w:ascii="Calibri" w:hAnsi="Calibri" w:cs="Calibri"/>
          <w:lang w:val="en-AU"/>
        </w:rPr>
        <w:lastRenderedPageBreak/>
        <w:t xml:space="preserve">List of </w:t>
      </w:r>
      <w:r w:rsidR="00536167" w:rsidRPr="00091793">
        <w:rPr>
          <w:rFonts w:ascii="Calibri" w:hAnsi="Calibri" w:cs="Calibri"/>
          <w:lang w:val="en-AU"/>
        </w:rPr>
        <w:t>c</w:t>
      </w:r>
      <w:r w:rsidRPr="00722093">
        <w:rPr>
          <w:rFonts w:ascii="Calibri" w:hAnsi="Calibri" w:cs="Calibri"/>
          <w:lang w:val="en-AU"/>
        </w:rPr>
        <w:t xml:space="preserve">hemicals with </w:t>
      </w:r>
      <w:r w:rsidR="00536167" w:rsidRPr="00091793">
        <w:rPr>
          <w:rFonts w:ascii="Calibri" w:hAnsi="Calibri" w:cs="Calibri"/>
          <w:lang w:val="en-AU"/>
        </w:rPr>
        <w:t>h</w:t>
      </w:r>
      <w:r w:rsidRPr="00722093">
        <w:rPr>
          <w:rFonts w:ascii="Calibri" w:hAnsi="Calibri" w:cs="Calibri"/>
          <w:lang w:val="en-AU"/>
        </w:rPr>
        <w:t xml:space="preserve">igh </w:t>
      </w:r>
      <w:r w:rsidR="00536167" w:rsidRPr="00091793">
        <w:rPr>
          <w:rFonts w:ascii="Calibri" w:hAnsi="Calibri" w:cs="Calibri"/>
          <w:lang w:val="en-AU"/>
        </w:rPr>
        <w:t>h</w:t>
      </w:r>
      <w:r w:rsidRPr="00722093">
        <w:rPr>
          <w:rFonts w:ascii="Calibri" w:hAnsi="Calibri" w:cs="Calibri"/>
          <w:lang w:val="en-AU"/>
        </w:rPr>
        <w:t xml:space="preserve">azards for </w:t>
      </w:r>
      <w:r w:rsidR="00536167" w:rsidRPr="00091793">
        <w:rPr>
          <w:rFonts w:ascii="Calibri" w:hAnsi="Calibri" w:cs="Calibri"/>
          <w:lang w:val="en-AU"/>
        </w:rPr>
        <w:t>c</w:t>
      </w:r>
      <w:r w:rsidRPr="00722093">
        <w:rPr>
          <w:rFonts w:ascii="Calibri" w:hAnsi="Calibri" w:cs="Calibri"/>
          <w:lang w:val="en-AU"/>
        </w:rPr>
        <w:t>ategorisation</w:t>
      </w:r>
    </w:p>
    <w:p w14:paraId="6DA7073B" w14:textId="5142BCEE" w:rsidR="005D24BA" w:rsidRPr="00091793" w:rsidRDefault="1553741A" w:rsidP="00121433">
      <w:pPr>
        <w:spacing w:line="278" w:lineRule="auto"/>
        <w:rPr>
          <w:rFonts w:ascii="Calibri" w:eastAsia="Aptos" w:hAnsi="Calibri" w:cs="Calibri"/>
          <w:color w:val="000000" w:themeColor="text1"/>
          <w:lang w:val="en-AU"/>
        </w:rPr>
      </w:pPr>
      <w:r w:rsidRPr="00722093">
        <w:rPr>
          <w:rFonts w:ascii="Calibri" w:eastAsia="Aptos" w:hAnsi="Calibri" w:cs="Calibri"/>
          <w:color w:val="000000" w:themeColor="text1"/>
          <w:lang w:val="en-AU"/>
        </w:rPr>
        <w:t>Th</w:t>
      </w:r>
      <w:r w:rsidR="00536167" w:rsidRPr="00091793">
        <w:rPr>
          <w:rFonts w:ascii="Calibri" w:eastAsia="Aptos" w:hAnsi="Calibri" w:cs="Calibri"/>
          <w:color w:val="000000" w:themeColor="text1"/>
          <w:lang w:val="en-AU"/>
        </w:rPr>
        <w:t>e</w:t>
      </w:r>
      <w:r w:rsidRPr="00091793">
        <w:rPr>
          <w:rFonts w:ascii="Calibri" w:eastAsia="Aptos" w:hAnsi="Calibri" w:cs="Calibri"/>
          <w:color w:val="000000" w:themeColor="text1"/>
          <w:lang w:val="en-AU"/>
        </w:rPr>
        <w:t xml:space="preserve"> AICIS list </w:t>
      </w:r>
      <w:r w:rsidR="00536167" w:rsidRPr="00091793">
        <w:rPr>
          <w:rFonts w:ascii="Calibri" w:eastAsia="Aptos" w:hAnsi="Calibri" w:cs="Calibri"/>
          <w:color w:val="000000" w:themeColor="text1"/>
          <w:lang w:val="en-AU"/>
        </w:rPr>
        <w:t xml:space="preserve">of </w:t>
      </w:r>
      <w:r w:rsidR="00536167" w:rsidRPr="00091793">
        <w:rPr>
          <w:rFonts w:ascii="Calibri" w:eastAsia="Aptos" w:hAnsi="Calibri" w:cs="Calibri"/>
          <w:i/>
          <w:iCs/>
          <w:color w:val="000000" w:themeColor="text1"/>
          <w:lang w:val="en-AU"/>
        </w:rPr>
        <w:t>chemicals with high hazards for categorisation</w:t>
      </w:r>
      <w:r w:rsidR="00536167" w:rsidRPr="00091793">
        <w:rPr>
          <w:rFonts w:ascii="Calibri" w:eastAsia="Aptos" w:hAnsi="Calibri" w:cs="Calibri"/>
          <w:color w:val="000000" w:themeColor="text1"/>
          <w:lang w:val="en-AU"/>
        </w:rPr>
        <w:t xml:space="preserve"> </w:t>
      </w:r>
      <w:r w:rsidRPr="00091793">
        <w:rPr>
          <w:rFonts w:ascii="Calibri" w:eastAsia="Aptos" w:hAnsi="Calibri" w:cs="Calibri"/>
          <w:color w:val="000000" w:themeColor="text1"/>
          <w:lang w:val="en-AU"/>
        </w:rPr>
        <w:t xml:space="preserve">is a compilation of chemicals that trusted national and international sources consider to be highly hazardous to human health or the environment. It must be used in certain circumstances when categorising chemical introductions. This means that AICIS accepts the conclusions of these trusted bodies and in many circumstances does not require </w:t>
      </w:r>
      <w:r w:rsidR="009D299D">
        <w:rPr>
          <w:rFonts w:ascii="Calibri" w:eastAsia="Aptos" w:hAnsi="Calibri" w:cs="Calibri"/>
          <w:color w:val="000000" w:themeColor="text1"/>
          <w:lang w:val="en-AU"/>
        </w:rPr>
        <w:t xml:space="preserve">new </w:t>
      </w:r>
      <w:r w:rsidRPr="00091793">
        <w:rPr>
          <w:rFonts w:ascii="Calibri" w:eastAsia="Aptos" w:hAnsi="Calibri" w:cs="Calibri"/>
          <w:color w:val="000000" w:themeColor="text1"/>
          <w:lang w:val="en-AU"/>
        </w:rPr>
        <w:t>toxicity information to be generated for high concern hazard characteristics</w:t>
      </w:r>
      <w:r w:rsidR="007E3485">
        <w:rPr>
          <w:rFonts w:ascii="Calibri" w:eastAsia="Aptos" w:hAnsi="Calibri" w:cs="Calibri"/>
          <w:color w:val="000000" w:themeColor="text1"/>
          <w:lang w:val="en-AU"/>
        </w:rPr>
        <w:t>,</w:t>
      </w:r>
      <w:r w:rsidRPr="00091793">
        <w:rPr>
          <w:rFonts w:ascii="Calibri" w:eastAsia="Aptos" w:hAnsi="Calibri" w:cs="Calibri"/>
          <w:color w:val="000000" w:themeColor="text1"/>
          <w:lang w:val="en-AU"/>
        </w:rPr>
        <w:t xml:space="preserve"> </w:t>
      </w:r>
      <w:r w:rsidR="007E3485">
        <w:rPr>
          <w:rFonts w:ascii="Calibri" w:eastAsia="Aptos" w:hAnsi="Calibri" w:cs="Calibri"/>
          <w:color w:val="000000" w:themeColor="text1"/>
          <w:lang w:val="en-AU"/>
        </w:rPr>
        <w:t>e.g.</w:t>
      </w:r>
      <w:r w:rsidRPr="00091793">
        <w:rPr>
          <w:rFonts w:ascii="Calibri" w:eastAsia="Aptos" w:hAnsi="Calibri" w:cs="Calibri"/>
          <w:color w:val="000000" w:themeColor="text1"/>
          <w:lang w:val="en-AU"/>
        </w:rPr>
        <w:t xml:space="preserve"> carcinogenicity.</w:t>
      </w:r>
    </w:p>
    <w:p w14:paraId="7E1A5060" w14:textId="7ED0A421" w:rsidR="1553741A" w:rsidRPr="00722093" w:rsidRDefault="0135A460" w:rsidP="00121433">
      <w:pPr>
        <w:pStyle w:val="Heading3"/>
        <w:spacing w:line="278" w:lineRule="auto"/>
        <w:rPr>
          <w:rFonts w:ascii="Calibri" w:eastAsia="Aptos Display" w:hAnsi="Calibri" w:cs="Calibri"/>
          <w:sz w:val="32"/>
          <w:szCs w:val="32"/>
        </w:rPr>
      </w:pPr>
      <w:r w:rsidRPr="00091793">
        <w:rPr>
          <w:rFonts w:ascii="Calibri" w:hAnsi="Calibri" w:cs="Calibri"/>
          <w:lang w:val="en-AU"/>
        </w:rPr>
        <w:t>I</w:t>
      </w:r>
      <w:r w:rsidR="1553741A" w:rsidRPr="00091793">
        <w:rPr>
          <w:rFonts w:ascii="Calibri" w:hAnsi="Calibri" w:cs="Calibri"/>
          <w:lang w:val="en-AU"/>
        </w:rPr>
        <w:t xml:space="preserve">n </w:t>
      </w:r>
      <w:r w:rsidR="00536167" w:rsidRPr="00091793">
        <w:rPr>
          <w:rFonts w:ascii="Calibri" w:hAnsi="Calibri" w:cs="Calibri"/>
          <w:lang w:val="en-AU"/>
        </w:rPr>
        <w:t>s</w:t>
      </w:r>
      <w:r w:rsidR="1553741A" w:rsidRPr="00722093">
        <w:rPr>
          <w:rFonts w:ascii="Calibri" w:hAnsi="Calibri" w:cs="Calibri"/>
          <w:lang w:val="en-AU"/>
        </w:rPr>
        <w:t xml:space="preserve">ilico </w:t>
      </w:r>
      <w:r w:rsidR="00536167" w:rsidRPr="00091793">
        <w:rPr>
          <w:rFonts w:ascii="Calibri" w:hAnsi="Calibri" w:cs="Calibri"/>
          <w:lang w:val="en-AU"/>
        </w:rPr>
        <w:t>p</w:t>
      </w:r>
      <w:r w:rsidR="1553741A" w:rsidRPr="00722093">
        <w:rPr>
          <w:rFonts w:ascii="Calibri" w:hAnsi="Calibri" w:cs="Calibri"/>
          <w:lang w:val="en-AU"/>
        </w:rPr>
        <w:t>redictions</w:t>
      </w:r>
    </w:p>
    <w:p w14:paraId="77AAB4EC" w14:textId="0856CAE9" w:rsidR="00A75BE1" w:rsidRDefault="1553741A" w:rsidP="00722093">
      <w:pPr>
        <w:keepLines/>
        <w:spacing w:line="278" w:lineRule="auto"/>
        <w:rPr>
          <w:rFonts w:ascii="Calibri" w:eastAsia="Aptos" w:hAnsi="Calibri" w:cs="Calibri"/>
          <w:color w:val="000000" w:themeColor="text1"/>
          <w:lang w:val="en-AU"/>
        </w:rPr>
      </w:pPr>
      <w:r w:rsidRPr="00722093">
        <w:rPr>
          <w:rFonts w:ascii="Calibri" w:eastAsia="Aptos" w:hAnsi="Calibri" w:cs="Calibri"/>
          <w:color w:val="000000" w:themeColor="text1"/>
          <w:lang w:val="en-AU"/>
        </w:rPr>
        <w:t>In silico predictions</w:t>
      </w:r>
      <w:r w:rsidR="00DC605E">
        <w:rPr>
          <w:rFonts w:ascii="Calibri" w:eastAsia="Aptos" w:hAnsi="Calibri" w:cs="Calibri"/>
          <w:color w:val="000000" w:themeColor="text1"/>
          <w:lang w:val="en-AU"/>
        </w:rPr>
        <w:t xml:space="preserve"> involve the</w:t>
      </w:r>
      <w:r w:rsidRPr="00722093">
        <w:rPr>
          <w:rFonts w:ascii="Calibri" w:eastAsia="Aptos" w:hAnsi="Calibri" w:cs="Calibri"/>
          <w:color w:val="000000" w:themeColor="text1"/>
          <w:lang w:val="en-AU"/>
        </w:rPr>
        <w:t xml:space="preserve"> use</w:t>
      </w:r>
      <w:r w:rsidR="00DC605E">
        <w:rPr>
          <w:rFonts w:ascii="Calibri" w:eastAsia="Aptos" w:hAnsi="Calibri" w:cs="Calibri"/>
          <w:color w:val="000000" w:themeColor="text1"/>
          <w:lang w:val="en-AU"/>
        </w:rPr>
        <w:t xml:space="preserve"> of</w:t>
      </w:r>
      <w:r w:rsidRPr="00722093">
        <w:rPr>
          <w:rFonts w:ascii="Calibri" w:eastAsia="Aptos" w:hAnsi="Calibri" w:cs="Calibri"/>
          <w:color w:val="000000" w:themeColor="text1"/>
          <w:lang w:val="en-AU"/>
        </w:rPr>
        <w:t xml:space="preserve"> computer</w:t>
      </w:r>
      <w:r w:rsidR="00FB4509">
        <w:rPr>
          <w:rFonts w:ascii="Calibri" w:eastAsia="Aptos" w:hAnsi="Calibri" w:cs="Calibri"/>
          <w:color w:val="000000" w:themeColor="text1"/>
          <w:lang w:val="en-AU"/>
        </w:rPr>
        <w:t>-based models and</w:t>
      </w:r>
      <w:r w:rsidRPr="00722093">
        <w:rPr>
          <w:rFonts w:ascii="Calibri" w:eastAsia="Aptos" w:hAnsi="Calibri" w:cs="Calibri"/>
          <w:color w:val="000000" w:themeColor="text1"/>
          <w:lang w:val="en-AU"/>
        </w:rPr>
        <w:t xml:space="preserve"> simulations to predict effects in complex systems</w:t>
      </w:r>
      <w:r w:rsidR="00FB4509">
        <w:rPr>
          <w:rFonts w:ascii="Calibri" w:eastAsia="Aptos" w:hAnsi="Calibri" w:cs="Calibri"/>
          <w:color w:val="000000" w:themeColor="text1"/>
          <w:lang w:val="en-AU"/>
        </w:rPr>
        <w:t>,</w:t>
      </w:r>
      <w:r w:rsidRPr="00722093">
        <w:rPr>
          <w:rFonts w:ascii="Calibri" w:eastAsia="Aptos" w:hAnsi="Calibri" w:cs="Calibri"/>
          <w:color w:val="000000" w:themeColor="text1"/>
          <w:lang w:val="en-AU"/>
        </w:rPr>
        <w:t xml:space="preserve"> such as biological systems. There are several in silico models that are designed to predict physico-chemical, toxicological and ecotoxicological properties of chemicals. </w:t>
      </w:r>
      <w:r w:rsidR="00A75BE1">
        <w:rPr>
          <w:rFonts w:ascii="Calibri" w:eastAsia="Aptos" w:hAnsi="Calibri" w:cs="Calibri"/>
          <w:color w:val="000000" w:themeColor="text1"/>
          <w:lang w:val="en-AU"/>
        </w:rPr>
        <w:t xml:space="preserve">For example, the OECD QSAR Toolbox </w:t>
      </w:r>
      <w:r w:rsidR="00A75BE1" w:rsidRPr="00A75BE1">
        <w:rPr>
          <w:rFonts w:ascii="Calibri" w:eastAsia="Aptos" w:hAnsi="Calibri" w:cs="Calibri"/>
          <w:color w:val="000000" w:themeColor="text1"/>
          <w:lang w:val="en-AU"/>
        </w:rPr>
        <w:t xml:space="preserve">is a software application intended </w:t>
      </w:r>
      <w:r w:rsidR="00A75BE1">
        <w:rPr>
          <w:rFonts w:ascii="Calibri" w:eastAsia="Aptos" w:hAnsi="Calibri" w:cs="Calibri"/>
          <w:color w:val="000000" w:themeColor="text1"/>
          <w:lang w:val="en-AU"/>
        </w:rPr>
        <w:t>for</w:t>
      </w:r>
      <w:r w:rsidR="00A75BE1" w:rsidRPr="00A75BE1">
        <w:rPr>
          <w:rFonts w:ascii="Calibri" w:eastAsia="Aptos" w:hAnsi="Calibri" w:cs="Calibri"/>
          <w:color w:val="000000" w:themeColor="text1"/>
          <w:lang w:val="en-AU"/>
        </w:rPr>
        <w:t xml:space="preserve"> the use of governments, chemical industry and other stakeholders in filling gaps in (eco)toxicity data needed for assessing the hazards of chemicals. It</w:t>
      </w:r>
      <w:r w:rsidR="00A75BE1">
        <w:rPr>
          <w:rFonts w:ascii="Calibri" w:eastAsia="Aptos" w:hAnsi="Calibri" w:cs="Calibri"/>
          <w:color w:val="000000" w:themeColor="text1"/>
          <w:lang w:val="en-AU"/>
        </w:rPr>
        <w:t xml:space="preserve"> was</w:t>
      </w:r>
      <w:r w:rsidR="00A75BE1" w:rsidRPr="00A75BE1">
        <w:rPr>
          <w:rFonts w:ascii="Calibri" w:eastAsia="Aptos" w:hAnsi="Calibri" w:cs="Calibri"/>
          <w:color w:val="000000" w:themeColor="text1"/>
          <w:lang w:val="en-AU"/>
        </w:rPr>
        <w:t xml:space="preserve"> developed in close collaboration with the European Chemicals Agency.</w:t>
      </w:r>
    </w:p>
    <w:p w14:paraId="511D2F65" w14:textId="04B2F4F6" w:rsidR="1553741A" w:rsidRPr="00722093" w:rsidRDefault="1553741A" w:rsidP="00722093">
      <w:pPr>
        <w:keepLines/>
        <w:spacing w:line="278" w:lineRule="auto"/>
        <w:rPr>
          <w:rFonts w:ascii="Calibri" w:eastAsia="Aptos" w:hAnsi="Calibri" w:cs="Calibri"/>
          <w:color w:val="000000" w:themeColor="text1"/>
          <w:lang w:val="en-AU"/>
        </w:rPr>
      </w:pPr>
      <w:r w:rsidRPr="00722093">
        <w:rPr>
          <w:rFonts w:ascii="Calibri" w:eastAsia="Aptos" w:hAnsi="Calibri" w:cs="Calibri"/>
          <w:color w:val="000000" w:themeColor="text1"/>
          <w:lang w:val="en-AU"/>
        </w:rPr>
        <w:t xml:space="preserve">AICIS accepts information from certain in silico predictions for </w:t>
      </w:r>
      <w:r w:rsidR="144D52D5" w:rsidRPr="00722093">
        <w:rPr>
          <w:rFonts w:ascii="Calibri" w:eastAsia="Aptos" w:hAnsi="Calibri" w:cs="Calibri"/>
          <w:color w:val="000000" w:themeColor="text1"/>
          <w:lang w:val="en-AU"/>
        </w:rPr>
        <w:t>the categorisation of chemical introductions and Assessment Certificate applications</w:t>
      </w:r>
      <w:r w:rsidR="00582666">
        <w:rPr>
          <w:rFonts w:ascii="Calibri" w:eastAsia="Aptos" w:hAnsi="Calibri" w:cs="Calibri"/>
          <w:color w:val="000000" w:themeColor="text1"/>
          <w:lang w:val="en-AU"/>
        </w:rPr>
        <w:t>. This</w:t>
      </w:r>
      <w:r w:rsidRPr="00722093">
        <w:rPr>
          <w:rFonts w:ascii="Calibri" w:eastAsia="Aptos" w:hAnsi="Calibri" w:cs="Calibri"/>
          <w:color w:val="000000" w:themeColor="text1"/>
          <w:lang w:val="en-AU"/>
        </w:rPr>
        <w:t xml:space="preserve"> can reduce the need to conduct chemical testing</w:t>
      </w:r>
      <w:r w:rsidR="0FF28F4C" w:rsidRPr="00722093">
        <w:rPr>
          <w:rFonts w:ascii="Calibri" w:eastAsia="Aptos" w:hAnsi="Calibri" w:cs="Calibri"/>
          <w:color w:val="000000" w:themeColor="text1"/>
          <w:lang w:val="en-AU"/>
        </w:rPr>
        <w:t>.</w:t>
      </w:r>
    </w:p>
    <w:p w14:paraId="13688EE4" w14:textId="0DF2013C" w:rsidR="1553741A" w:rsidRPr="00722093" w:rsidRDefault="1553741A" w:rsidP="00536167">
      <w:pPr>
        <w:pStyle w:val="Heading3"/>
        <w:rPr>
          <w:rFonts w:ascii="Calibri" w:eastAsia="Aptos Display" w:hAnsi="Calibri" w:cs="Calibri"/>
          <w:sz w:val="32"/>
          <w:szCs w:val="32"/>
        </w:rPr>
      </w:pPr>
      <w:r w:rsidRPr="00722093">
        <w:rPr>
          <w:rFonts w:ascii="Calibri" w:hAnsi="Calibri" w:cs="Calibri"/>
          <w:lang w:val="en-AU"/>
        </w:rPr>
        <w:t>International Fragrance Association (IFRA) Transparency List and IFRA Standards</w:t>
      </w:r>
    </w:p>
    <w:p w14:paraId="5AC2F4CC" w14:textId="7E2EF575" w:rsidR="00795DEF" w:rsidRPr="00795DEF" w:rsidRDefault="006A0A17" w:rsidP="00795DEF">
      <w:pPr>
        <w:rPr>
          <w:rFonts w:ascii="Calibri" w:eastAsia="Aptos" w:hAnsi="Calibri" w:cs="Calibri"/>
          <w:color w:val="000000" w:themeColor="text1"/>
        </w:rPr>
      </w:pPr>
      <w:r w:rsidRPr="00091793">
        <w:rPr>
          <w:rFonts w:ascii="Calibri" w:eastAsia="Aptos" w:hAnsi="Calibri" w:cs="Calibri"/>
          <w:color w:val="000000" w:themeColor="text1"/>
        </w:rPr>
        <w:t>The International Fragrance Association (IFRA)</w:t>
      </w:r>
      <w:r w:rsidR="00795DEF">
        <w:rPr>
          <w:rFonts w:ascii="Calibri" w:eastAsia="Aptos" w:hAnsi="Calibri" w:cs="Calibri"/>
          <w:color w:val="000000" w:themeColor="text1"/>
        </w:rPr>
        <w:t xml:space="preserve">, </w:t>
      </w:r>
      <w:r w:rsidR="00795DEF" w:rsidRPr="00795DEF">
        <w:rPr>
          <w:rFonts w:ascii="Calibri" w:eastAsia="Aptos" w:hAnsi="Calibri" w:cs="Calibri"/>
          <w:color w:val="000000" w:themeColor="text1"/>
        </w:rPr>
        <w:t>a private, industry-led body</w:t>
      </w:r>
      <w:r w:rsidR="00795DEF">
        <w:rPr>
          <w:rFonts w:ascii="Calibri" w:eastAsia="Aptos" w:hAnsi="Calibri" w:cs="Calibri"/>
          <w:color w:val="000000" w:themeColor="text1"/>
        </w:rPr>
        <w:t xml:space="preserve">, </w:t>
      </w:r>
      <w:r w:rsidRPr="00091793">
        <w:rPr>
          <w:rFonts w:ascii="Calibri" w:eastAsia="Aptos" w:hAnsi="Calibri" w:cs="Calibri"/>
          <w:color w:val="000000" w:themeColor="text1"/>
        </w:rPr>
        <w:t>represents a significant portion of the global fragrance industry</w:t>
      </w:r>
      <w:r w:rsidR="00795DEF">
        <w:rPr>
          <w:rFonts w:ascii="Calibri" w:eastAsia="Aptos" w:hAnsi="Calibri" w:cs="Calibri"/>
          <w:color w:val="000000" w:themeColor="text1"/>
        </w:rPr>
        <w:t xml:space="preserve">. </w:t>
      </w:r>
      <w:r w:rsidR="00795DEF" w:rsidRPr="00795DEF">
        <w:rPr>
          <w:rFonts w:ascii="Calibri" w:eastAsia="Aptos" w:hAnsi="Calibri" w:cs="Calibri"/>
          <w:color w:val="000000" w:themeColor="text1"/>
        </w:rPr>
        <w:t>IFRA Standards are a set of voluntary guidelines developed by the IFRA to ensure the safe use of fragrance ingredients in consumer products. These standards are based on scientific assessments by the Research Institute for Fragrance Materials (RIFM) and are periodically updated through IFRA Amendments.</w:t>
      </w:r>
    </w:p>
    <w:p w14:paraId="31B269A4" w14:textId="6A8B7B8B" w:rsidR="00795DEF" w:rsidRDefault="7D42A865" w:rsidP="00556A13">
      <w:pPr>
        <w:rPr>
          <w:rFonts w:ascii="Calibri" w:eastAsia="Aptos" w:hAnsi="Calibri" w:cs="Calibri"/>
          <w:color w:val="000000" w:themeColor="text1"/>
        </w:rPr>
      </w:pPr>
      <w:r w:rsidRPr="77E37E46">
        <w:rPr>
          <w:rFonts w:ascii="Calibri" w:eastAsia="Aptos" w:hAnsi="Calibri" w:cs="Calibri"/>
          <w:color w:val="000000" w:themeColor="text1"/>
        </w:rPr>
        <w:t>IFRA</w:t>
      </w:r>
      <w:r w:rsidR="2CB8C63D" w:rsidRPr="77E37E46">
        <w:rPr>
          <w:rFonts w:ascii="Calibri" w:eastAsia="Aptos" w:hAnsi="Calibri" w:cs="Calibri"/>
          <w:color w:val="000000" w:themeColor="text1"/>
        </w:rPr>
        <w:t xml:space="preserve"> maintains the IFRA Transparency List, a periodically updated snapshot of ingredients used by its members. While this list provides valuable insight into materials commonly used in fragrance formulations, it is not exhaustive and does not reflect real-time changes. Additionally, not all ingredients listed have </w:t>
      </w:r>
      <w:r w:rsidR="2CB8C63D" w:rsidRPr="00C13CFC">
        <w:rPr>
          <w:rFonts w:ascii="Calibri" w:eastAsia="Aptos" w:hAnsi="Calibri" w:cs="Calibri"/>
          <w:color w:val="000000" w:themeColor="text1"/>
        </w:rPr>
        <w:t>corresponding IFRA Standards</w:t>
      </w:r>
      <w:r w:rsidR="2CB8C63D" w:rsidRPr="77E37E46">
        <w:rPr>
          <w:rFonts w:ascii="Calibri" w:eastAsia="Aptos" w:hAnsi="Calibri" w:cs="Calibri"/>
          <w:color w:val="000000" w:themeColor="text1"/>
        </w:rPr>
        <w:t>, and the list includes substances used only in specific regions or in minimal quantities.</w:t>
      </w:r>
      <w:r w:rsidR="0BB2B2C4" w:rsidRPr="77E37E46">
        <w:rPr>
          <w:rFonts w:ascii="Calibri" w:eastAsia="Aptos" w:hAnsi="Calibri" w:cs="Calibri"/>
          <w:color w:val="000000" w:themeColor="text1"/>
        </w:rPr>
        <w:t xml:space="preserve"> </w:t>
      </w:r>
    </w:p>
    <w:p w14:paraId="5C317080" w14:textId="606C2A34" w:rsidR="00C941CB" w:rsidRPr="00091793" w:rsidRDefault="00C01B3F" w:rsidP="00556A13">
      <w:pPr>
        <w:rPr>
          <w:rFonts w:ascii="Calibri" w:eastAsia="Aptos" w:hAnsi="Calibri" w:cs="Calibri"/>
          <w:color w:val="000000" w:themeColor="text1"/>
        </w:rPr>
      </w:pPr>
      <w:r w:rsidRPr="00091793">
        <w:rPr>
          <w:rFonts w:ascii="Calibri" w:eastAsia="Aptos" w:hAnsi="Calibri" w:cs="Calibri"/>
          <w:color w:val="000000" w:themeColor="text1"/>
        </w:rPr>
        <w:t>In 2024, AICIS introduced expanded criteria allowing chemicals listed on the IFRA Transparency List to be categorised as Reported introductions</w:t>
      </w:r>
      <w:r w:rsidR="00B26628" w:rsidRPr="00091793">
        <w:rPr>
          <w:rFonts w:ascii="Calibri" w:eastAsia="Aptos" w:hAnsi="Calibri" w:cs="Calibri"/>
          <w:color w:val="000000" w:themeColor="text1"/>
        </w:rPr>
        <w:t xml:space="preserve"> provided they are used in accordance with IFRA Standards and meet additional safeguards</w:t>
      </w:r>
      <w:r w:rsidR="00556A13" w:rsidRPr="00722093">
        <w:rPr>
          <w:rFonts w:ascii="Calibri" w:eastAsia="Aptos" w:hAnsi="Calibri" w:cs="Calibri"/>
          <w:color w:val="000000" w:themeColor="text1"/>
          <w:lang w:val="en-AU"/>
        </w:rPr>
        <w:t xml:space="preserve">. </w:t>
      </w:r>
      <w:r w:rsidR="003D7EA3">
        <w:rPr>
          <w:rFonts w:ascii="Calibri" w:eastAsia="Aptos" w:hAnsi="Calibri" w:cs="Calibri"/>
          <w:color w:val="000000" w:themeColor="text1"/>
        </w:rPr>
        <w:t>These a</w:t>
      </w:r>
      <w:r w:rsidR="00C941CB" w:rsidRPr="00722093">
        <w:rPr>
          <w:rFonts w:ascii="Calibri" w:eastAsia="Aptos" w:hAnsi="Calibri" w:cs="Calibri"/>
          <w:color w:val="000000" w:themeColor="text1"/>
        </w:rPr>
        <w:t>dditional safeguards</w:t>
      </w:r>
      <w:r w:rsidR="00543EF0">
        <w:rPr>
          <w:rFonts w:ascii="Calibri" w:eastAsia="Aptos" w:hAnsi="Calibri" w:cs="Calibri"/>
          <w:color w:val="000000" w:themeColor="text1"/>
        </w:rPr>
        <w:t>,</w:t>
      </w:r>
      <w:r w:rsidR="00C941CB" w:rsidRPr="00722093">
        <w:rPr>
          <w:rFonts w:ascii="Calibri" w:eastAsia="Aptos" w:hAnsi="Calibri" w:cs="Calibri"/>
          <w:color w:val="000000" w:themeColor="text1"/>
        </w:rPr>
        <w:t xml:space="preserve"> such as limits on the concentration and the known hazards of the chemical</w:t>
      </w:r>
      <w:r w:rsidR="00543EF0">
        <w:rPr>
          <w:rFonts w:ascii="Calibri" w:eastAsia="Aptos" w:hAnsi="Calibri" w:cs="Calibri"/>
          <w:color w:val="000000" w:themeColor="text1"/>
        </w:rPr>
        <w:t>,</w:t>
      </w:r>
      <w:r w:rsidR="00C941CB" w:rsidRPr="00722093">
        <w:rPr>
          <w:rFonts w:ascii="Calibri" w:eastAsia="Aptos" w:hAnsi="Calibri" w:cs="Calibri"/>
          <w:color w:val="000000" w:themeColor="text1"/>
        </w:rPr>
        <w:t xml:space="preserve"> were embedded in these criteria to ensure that public health and environmental protection remain paramount.</w:t>
      </w:r>
      <w:r w:rsidR="00B26628" w:rsidRPr="00722093">
        <w:rPr>
          <w:rFonts w:ascii="Calibri" w:hAnsi="Calibri" w:cs="Calibri"/>
          <w:color w:val="424242"/>
          <w:shd w:val="clear" w:color="auto" w:fill="FAFAFA"/>
        </w:rPr>
        <w:t xml:space="preserve"> </w:t>
      </w:r>
      <w:r w:rsidR="00B26628" w:rsidRPr="00091793">
        <w:rPr>
          <w:rFonts w:ascii="Calibri" w:eastAsia="Aptos" w:hAnsi="Calibri" w:cs="Calibri"/>
          <w:color w:val="000000" w:themeColor="text1"/>
        </w:rPr>
        <w:t>This supports low-risk classification and</w:t>
      </w:r>
      <w:r w:rsidR="00C941CB" w:rsidRPr="00722093">
        <w:rPr>
          <w:rFonts w:ascii="Calibri" w:eastAsia="Aptos" w:hAnsi="Calibri" w:cs="Calibri"/>
          <w:color w:val="000000" w:themeColor="text1"/>
        </w:rPr>
        <w:t xml:space="preserve"> </w:t>
      </w:r>
      <w:r w:rsidR="00C941CB" w:rsidRPr="00091793">
        <w:rPr>
          <w:rFonts w:ascii="Calibri" w:eastAsia="Aptos" w:hAnsi="Calibri" w:cs="Calibri"/>
          <w:color w:val="000000" w:themeColor="text1"/>
        </w:rPr>
        <w:t xml:space="preserve">comes with minimal reporting </w:t>
      </w:r>
      <w:r w:rsidR="00C941CB" w:rsidRPr="00091793">
        <w:rPr>
          <w:rFonts w:ascii="Calibri" w:eastAsia="Aptos" w:hAnsi="Calibri" w:cs="Calibri"/>
          <w:color w:val="000000" w:themeColor="text1"/>
        </w:rPr>
        <w:lastRenderedPageBreak/>
        <w:t>and record-keeping obligations, reducing the administrative burden on industry while upholding the scheme’s core objective of proportionate, risk-based regulation.</w:t>
      </w:r>
      <w:r w:rsidR="00B12A1A" w:rsidRPr="00091793">
        <w:rPr>
          <w:rFonts w:ascii="Calibri" w:eastAsia="Aptos" w:hAnsi="Calibri" w:cs="Calibri"/>
          <w:color w:val="000000" w:themeColor="text1"/>
        </w:rPr>
        <w:t xml:space="preserve"> </w:t>
      </w:r>
    </w:p>
    <w:p w14:paraId="1D8A138B" w14:textId="141A0430" w:rsidR="1553741A" w:rsidRPr="00091793" w:rsidRDefault="00B40E7A" w:rsidP="00536167">
      <w:pPr>
        <w:pStyle w:val="Heading3"/>
        <w:rPr>
          <w:rFonts w:ascii="Calibri" w:eastAsia="Aptos Display" w:hAnsi="Calibri" w:cs="Calibri"/>
          <w:sz w:val="32"/>
          <w:szCs w:val="32"/>
        </w:rPr>
      </w:pPr>
      <w:r w:rsidRPr="00091793">
        <w:rPr>
          <w:rFonts w:ascii="Calibri" w:hAnsi="Calibri" w:cs="Calibri"/>
          <w:lang w:val="en-AU"/>
        </w:rPr>
        <w:t>International Nomenclature Cosmetic Ingredient (</w:t>
      </w:r>
      <w:r w:rsidR="1553741A" w:rsidRPr="00091793">
        <w:rPr>
          <w:rFonts w:ascii="Calibri" w:hAnsi="Calibri" w:cs="Calibri"/>
          <w:lang w:val="en-AU"/>
        </w:rPr>
        <w:t>INCI</w:t>
      </w:r>
      <w:r w:rsidRPr="00091793">
        <w:rPr>
          <w:rFonts w:ascii="Calibri" w:hAnsi="Calibri" w:cs="Calibri"/>
          <w:lang w:val="en-AU"/>
        </w:rPr>
        <w:t>)</w:t>
      </w:r>
      <w:r w:rsidR="1553741A" w:rsidRPr="00091793">
        <w:rPr>
          <w:rFonts w:ascii="Calibri" w:hAnsi="Calibri" w:cs="Calibri"/>
          <w:lang w:val="en-AU"/>
        </w:rPr>
        <w:t xml:space="preserve"> names</w:t>
      </w:r>
    </w:p>
    <w:p w14:paraId="4784EF37" w14:textId="05E51873" w:rsidR="00FB0FE5" w:rsidRPr="00FB0FE5" w:rsidRDefault="1553741A" w:rsidP="00FB0FE5">
      <w:pPr>
        <w:rPr>
          <w:rFonts w:ascii="Calibri" w:eastAsia="Aptos" w:hAnsi="Calibri" w:cs="Calibri"/>
          <w:color w:val="000000" w:themeColor="text1"/>
          <w:lang w:val="en-AU"/>
        </w:rPr>
      </w:pPr>
      <w:r w:rsidRPr="00091793">
        <w:rPr>
          <w:rFonts w:ascii="Calibri" w:eastAsia="Aptos" w:hAnsi="Calibri" w:cs="Calibri"/>
          <w:color w:val="000000" w:themeColor="text1"/>
          <w:lang w:val="en-AU"/>
        </w:rPr>
        <w:t xml:space="preserve">INCI names are systematic names used to identify cosmetic ingredients. </w:t>
      </w:r>
      <w:r w:rsidR="00FB0FE5" w:rsidRPr="00FB0FE5">
        <w:rPr>
          <w:rFonts w:ascii="Calibri" w:eastAsia="Aptos" w:hAnsi="Calibri" w:cs="Calibri"/>
          <w:color w:val="000000" w:themeColor="text1"/>
          <w:lang w:val="en-AU"/>
        </w:rPr>
        <w:t>These names are used globally to identify ingredients in cosmetic products, especially on product labels.</w:t>
      </w:r>
      <w:r w:rsidR="00FB0FE5">
        <w:rPr>
          <w:rFonts w:ascii="Calibri" w:eastAsia="Aptos" w:hAnsi="Calibri" w:cs="Calibri"/>
          <w:color w:val="000000" w:themeColor="text1"/>
          <w:lang w:val="en-AU"/>
        </w:rPr>
        <w:t xml:space="preserve"> </w:t>
      </w:r>
      <w:r w:rsidR="00FB0FE5" w:rsidRPr="00FB0FE5">
        <w:rPr>
          <w:rFonts w:ascii="Calibri" w:eastAsia="Aptos" w:hAnsi="Calibri" w:cs="Calibri"/>
          <w:color w:val="000000" w:themeColor="text1"/>
          <w:lang w:val="en-AU"/>
        </w:rPr>
        <w:t xml:space="preserve">INCI names are developed by the International Nomenclature Committee (INC), which operates under the Personal Care Products Council (PCPC) in the </w:t>
      </w:r>
      <w:r w:rsidR="00FB0FE5">
        <w:rPr>
          <w:rFonts w:ascii="Calibri" w:eastAsia="Aptos" w:hAnsi="Calibri" w:cs="Calibri"/>
          <w:color w:val="000000" w:themeColor="text1"/>
          <w:lang w:val="en-AU"/>
        </w:rPr>
        <w:t>USA</w:t>
      </w:r>
      <w:r w:rsidR="00FB0FE5" w:rsidRPr="00FB0FE5">
        <w:rPr>
          <w:rFonts w:ascii="Calibri" w:eastAsia="Aptos" w:hAnsi="Calibri" w:cs="Calibri"/>
          <w:color w:val="000000" w:themeColor="text1"/>
          <w:lang w:val="en-AU"/>
        </w:rPr>
        <w:t>.</w:t>
      </w:r>
      <w:r w:rsidR="00FB0FE5">
        <w:rPr>
          <w:rFonts w:ascii="Calibri" w:eastAsia="Aptos" w:hAnsi="Calibri" w:cs="Calibri"/>
          <w:color w:val="000000" w:themeColor="text1"/>
          <w:lang w:val="en-AU"/>
        </w:rPr>
        <w:t xml:space="preserve"> </w:t>
      </w:r>
      <w:r w:rsidR="00FB0FE5" w:rsidRPr="00FB0FE5">
        <w:rPr>
          <w:rFonts w:ascii="Calibri" w:eastAsia="Aptos" w:hAnsi="Calibri" w:cs="Calibri"/>
          <w:color w:val="000000" w:themeColor="text1"/>
          <w:lang w:val="en-AU"/>
        </w:rPr>
        <w:t xml:space="preserve">The INC is a private, industry-led body composed of scientists from academia, industry, and government. It is not a government or treaty-based international standards organisation, such as </w:t>
      </w:r>
      <w:r w:rsidR="009759B0">
        <w:rPr>
          <w:rFonts w:ascii="Calibri" w:eastAsia="Aptos" w:hAnsi="Calibri" w:cs="Calibri"/>
          <w:color w:val="000000" w:themeColor="text1"/>
          <w:lang w:val="en-AU"/>
        </w:rPr>
        <w:t xml:space="preserve">the </w:t>
      </w:r>
      <w:r w:rsidR="00FB0FE5" w:rsidRPr="00FB0FE5">
        <w:rPr>
          <w:rFonts w:ascii="Calibri" w:eastAsia="Aptos" w:hAnsi="Calibri" w:cs="Calibri"/>
          <w:color w:val="000000" w:themeColor="text1"/>
          <w:lang w:val="en-AU"/>
        </w:rPr>
        <w:t>ISO.</w:t>
      </w:r>
    </w:p>
    <w:p w14:paraId="425FA1B1" w14:textId="67E6C5FE" w:rsidR="003B7A8D" w:rsidRDefault="00FB0FE5" w:rsidP="00FB0FE5">
      <w:pPr>
        <w:rPr>
          <w:rFonts w:ascii="Calibri" w:eastAsia="Aptos" w:hAnsi="Calibri" w:cs="Calibri"/>
          <w:color w:val="000000" w:themeColor="text1"/>
          <w:lang w:val="en-AU"/>
        </w:rPr>
      </w:pPr>
      <w:r w:rsidRPr="00FB0FE5">
        <w:rPr>
          <w:rFonts w:ascii="Calibri" w:eastAsia="Aptos" w:hAnsi="Calibri" w:cs="Calibri"/>
          <w:color w:val="000000" w:themeColor="text1"/>
          <w:lang w:val="en-AU"/>
        </w:rPr>
        <w:t xml:space="preserve">INCI names do not constitute formal </w:t>
      </w:r>
      <w:r w:rsidRPr="005F03C6">
        <w:rPr>
          <w:rFonts w:ascii="Calibri" w:eastAsia="Aptos" w:hAnsi="Calibri" w:cs="Calibri"/>
          <w:i/>
          <w:iCs/>
          <w:color w:val="000000" w:themeColor="text1"/>
          <w:lang w:val="en-AU"/>
        </w:rPr>
        <w:t>international standards</w:t>
      </w:r>
      <w:r w:rsidRPr="00FB0FE5">
        <w:rPr>
          <w:rFonts w:ascii="Calibri" w:eastAsia="Aptos" w:hAnsi="Calibri" w:cs="Calibri"/>
          <w:color w:val="000000" w:themeColor="text1"/>
          <w:lang w:val="en-AU"/>
        </w:rPr>
        <w:t xml:space="preserve"> in the sense defined by the </w:t>
      </w:r>
      <w:r w:rsidR="0002114F" w:rsidRPr="00091793">
        <w:rPr>
          <w:rFonts w:ascii="Calibri" w:hAnsi="Calibri" w:cs="Calibri"/>
        </w:rPr>
        <w:t>Productivity</w:t>
      </w:r>
      <w:r w:rsidR="0002114F" w:rsidRPr="00FB0FE5" w:rsidDel="00911FE2">
        <w:rPr>
          <w:rFonts w:ascii="Calibri" w:eastAsia="Aptos" w:hAnsi="Calibri" w:cs="Calibri"/>
          <w:color w:val="000000" w:themeColor="text1"/>
          <w:lang w:val="en-AU"/>
        </w:rPr>
        <w:t xml:space="preserve"> </w:t>
      </w:r>
      <w:r w:rsidR="00911FE2">
        <w:rPr>
          <w:rFonts w:ascii="Calibri" w:eastAsia="Aptos" w:hAnsi="Calibri" w:cs="Calibri"/>
          <w:color w:val="000000" w:themeColor="text1"/>
          <w:lang w:val="en-AU"/>
        </w:rPr>
        <w:t xml:space="preserve">Commission </w:t>
      </w:r>
      <w:r w:rsidRPr="00FB0FE5">
        <w:rPr>
          <w:rFonts w:ascii="Calibri" w:eastAsia="Aptos" w:hAnsi="Calibri" w:cs="Calibri"/>
          <w:color w:val="000000" w:themeColor="text1"/>
          <w:lang w:val="en-AU"/>
        </w:rPr>
        <w:t>which typically refers to standards developed by treaty-based or intergovernmental organisations.</w:t>
      </w:r>
      <w:r>
        <w:rPr>
          <w:rFonts w:ascii="Calibri" w:eastAsia="Aptos" w:hAnsi="Calibri" w:cs="Calibri"/>
          <w:color w:val="000000" w:themeColor="text1"/>
          <w:lang w:val="en-AU"/>
        </w:rPr>
        <w:t xml:space="preserve"> </w:t>
      </w:r>
      <w:r w:rsidR="00DF2211" w:rsidRPr="00DF2211">
        <w:rPr>
          <w:rFonts w:ascii="Calibri" w:eastAsia="Aptos" w:hAnsi="Calibri" w:cs="Calibri"/>
          <w:color w:val="000000" w:themeColor="text1"/>
        </w:rPr>
        <w:t>The absence of international standardisation highlights the need for jurisdiction-specific regulatory approaches when using INCI names.</w:t>
      </w:r>
    </w:p>
    <w:p w14:paraId="436E05AB" w14:textId="6CDA339D" w:rsidR="1553741A" w:rsidRPr="00091793" w:rsidRDefault="492B0F9E" w:rsidP="00FB0FE5">
      <w:pPr>
        <w:rPr>
          <w:rFonts w:ascii="Calibri" w:eastAsia="Aptos" w:hAnsi="Calibri" w:cs="Calibri"/>
          <w:color w:val="000000" w:themeColor="text1"/>
          <w:lang w:val="en-AU"/>
        </w:rPr>
      </w:pPr>
      <w:r w:rsidRPr="00091793">
        <w:rPr>
          <w:rFonts w:ascii="Calibri" w:eastAsia="Aptos" w:hAnsi="Calibri" w:cs="Calibri"/>
          <w:color w:val="000000" w:themeColor="text1"/>
          <w:lang w:val="en-AU"/>
        </w:rPr>
        <w:t xml:space="preserve">The INCI naming system </w:t>
      </w:r>
      <w:r w:rsidR="298BC1C2" w:rsidRPr="00091793">
        <w:rPr>
          <w:rFonts w:ascii="Calibri" w:eastAsia="Aptos" w:hAnsi="Calibri" w:cs="Calibri"/>
          <w:color w:val="000000" w:themeColor="text1"/>
          <w:lang w:val="en-AU"/>
        </w:rPr>
        <w:t xml:space="preserve">conveys less precise information about chemicals than </w:t>
      </w:r>
      <w:r w:rsidRPr="00091793">
        <w:rPr>
          <w:rFonts w:ascii="Calibri" w:eastAsia="Aptos" w:hAnsi="Calibri" w:cs="Calibri"/>
          <w:color w:val="000000" w:themeColor="text1"/>
          <w:lang w:val="en-AU"/>
        </w:rPr>
        <w:t xml:space="preserve">the </w:t>
      </w:r>
      <w:r w:rsidR="00536167" w:rsidRPr="00091793">
        <w:rPr>
          <w:rFonts w:ascii="Calibri" w:eastAsia="Aptos" w:hAnsi="Calibri" w:cs="Calibri"/>
          <w:color w:val="000000" w:themeColor="text1"/>
          <w:lang w:val="en-AU"/>
        </w:rPr>
        <w:t xml:space="preserve">legislated </w:t>
      </w:r>
      <w:r w:rsidRPr="00091793">
        <w:rPr>
          <w:rFonts w:ascii="Calibri" w:eastAsia="Aptos" w:hAnsi="Calibri" w:cs="Calibri"/>
          <w:color w:val="000000" w:themeColor="text1"/>
          <w:lang w:val="en-AU"/>
        </w:rPr>
        <w:t xml:space="preserve">chemical naming </w:t>
      </w:r>
      <w:r w:rsidR="00C01B3F" w:rsidRPr="00091793">
        <w:rPr>
          <w:rFonts w:ascii="Calibri" w:eastAsia="Aptos" w:hAnsi="Calibri" w:cs="Calibri"/>
          <w:color w:val="000000" w:themeColor="text1"/>
          <w:lang w:val="en-AU"/>
        </w:rPr>
        <w:t>systems</w:t>
      </w:r>
      <w:r w:rsidRPr="00091793">
        <w:rPr>
          <w:rFonts w:ascii="Calibri" w:eastAsia="Aptos" w:hAnsi="Calibri" w:cs="Calibri"/>
          <w:color w:val="000000" w:themeColor="text1"/>
          <w:lang w:val="en-AU"/>
        </w:rPr>
        <w:t xml:space="preserve"> used by AICIS, the Chemical Abstracts Index </w:t>
      </w:r>
      <w:r w:rsidR="00536167" w:rsidRPr="00091793">
        <w:rPr>
          <w:rFonts w:ascii="Calibri" w:eastAsia="Aptos" w:hAnsi="Calibri" w:cs="Calibri"/>
          <w:color w:val="000000" w:themeColor="text1"/>
          <w:lang w:val="en-AU"/>
        </w:rPr>
        <w:t xml:space="preserve">name </w:t>
      </w:r>
      <w:r w:rsidRPr="00091793">
        <w:rPr>
          <w:rFonts w:ascii="Calibri" w:eastAsia="Aptos" w:hAnsi="Calibri" w:cs="Calibri"/>
          <w:color w:val="000000" w:themeColor="text1"/>
          <w:lang w:val="en-AU"/>
        </w:rPr>
        <w:t>(CAS)</w:t>
      </w:r>
      <w:r w:rsidR="00536167" w:rsidRPr="00091793">
        <w:rPr>
          <w:rFonts w:ascii="Calibri" w:eastAsia="Aptos" w:hAnsi="Calibri" w:cs="Calibri"/>
          <w:color w:val="000000" w:themeColor="text1"/>
          <w:lang w:val="en-AU"/>
        </w:rPr>
        <w:t xml:space="preserve">, or </w:t>
      </w:r>
      <w:r w:rsidRPr="00722093">
        <w:rPr>
          <w:rFonts w:ascii="Calibri" w:eastAsia="Aptos" w:hAnsi="Calibri" w:cs="Calibri"/>
          <w:color w:val="000000" w:themeColor="text1"/>
          <w:lang w:val="en-AU"/>
        </w:rPr>
        <w:t xml:space="preserve">the </w:t>
      </w:r>
      <w:r w:rsidR="00536167" w:rsidRPr="00091793">
        <w:rPr>
          <w:rFonts w:ascii="Calibri" w:eastAsia="Aptos" w:hAnsi="Calibri" w:cs="Calibri"/>
          <w:color w:val="000000" w:themeColor="text1"/>
          <w:lang w:val="en-AU"/>
        </w:rPr>
        <w:t xml:space="preserve">naming system of the </w:t>
      </w:r>
      <w:r w:rsidRPr="00091793">
        <w:rPr>
          <w:rFonts w:ascii="Calibri" w:eastAsia="Aptos" w:hAnsi="Calibri" w:cs="Calibri"/>
          <w:color w:val="000000" w:themeColor="text1"/>
          <w:lang w:val="en-AU"/>
        </w:rPr>
        <w:t xml:space="preserve">International Union of Pure and Applied Chemistry (IUPAC). INCI names </w:t>
      </w:r>
      <w:r w:rsidR="1553741A" w:rsidRPr="00091793">
        <w:rPr>
          <w:rFonts w:ascii="Calibri" w:eastAsia="Aptos" w:hAnsi="Calibri" w:cs="Calibri"/>
          <w:color w:val="000000" w:themeColor="text1"/>
          <w:lang w:val="en-AU"/>
        </w:rPr>
        <w:t>are primarily used to convey information to consumers about ingredients in a cosmetic product (on the product label)</w:t>
      </w:r>
      <w:r w:rsidR="37C6FF3F" w:rsidRPr="00091793">
        <w:rPr>
          <w:rFonts w:ascii="Calibri" w:eastAsia="Aptos" w:hAnsi="Calibri" w:cs="Calibri"/>
          <w:color w:val="000000" w:themeColor="text1"/>
          <w:lang w:val="en-AU"/>
        </w:rPr>
        <w:t>. INCI names allow introducers to identify chemicals while simultaneously pr</w:t>
      </w:r>
      <w:r w:rsidR="00210940">
        <w:rPr>
          <w:rFonts w:ascii="Calibri" w:eastAsia="Aptos" w:hAnsi="Calibri" w:cs="Calibri"/>
          <w:color w:val="000000" w:themeColor="text1"/>
          <w:lang w:val="en-AU"/>
        </w:rPr>
        <w:t>o</w:t>
      </w:r>
      <w:r w:rsidR="37C6FF3F" w:rsidRPr="00091793">
        <w:rPr>
          <w:rFonts w:ascii="Calibri" w:eastAsia="Aptos" w:hAnsi="Calibri" w:cs="Calibri"/>
          <w:color w:val="000000" w:themeColor="text1"/>
          <w:lang w:val="en-AU"/>
        </w:rPr>
        <w:t>tecting proprietary information.</w:t>
      </w:r>
    </w:p>
    <w:p w14:paraId="6BB10271" w14:textId="086D400C" w:rsidR="001012B0" w:rsidRDefault="00BD401A" w:rsidP="2225502A">
      <w:pPr>
        <w:spacing w:after="240"/>
        <w:rPr>
          <w:rFonts w:ascii="Calibri" w:eastAsia="Aptos" w:hAnsi="Calibri" w:cs="Calibri"/>
          <w:color w:val="000000" w:themeColor="text1"/>
          <w:lang w:val="en-AU"/>
        </w:rPr>
      </w:pPr>
      <w:r>
        <w:rPr>
          <w:rFonts w:ascii="Calibri" w:eastAsia="Aptos" w:hAnsi="Calibri" w:cs="Calibri"/>
          <w:color w:val="000000" w:themeColor="text1"/>
          <w:lang w:val="en-AU"/>
        </w:rPr>
        <w:t>Since t</w:t>
      </w:r>
      <w:r w:rsidR="1553741A" w:rsidRPr="00091793">
        <w:rPr>
          <w:rFonts w:ascii="Calibri" w:eastAsia="Aptos" w:hAnsi="Calibri" w:cs="Calibri"/>
          <w:color w:val="000000" w:themeColor="text1"/>
          <w:lang w:val="en-AU"/>
        </w:rPr>
        <w:t xml:space="preserve">he level of detail that INCI names convey about a chemical </w:t>
      </w:r>
      <w:r w:rsidR="00F62B94">
        <w:rPr>
          <w:rFonts w:ascii="Calibri" w:eastAsia="Aptos" w:hAnsi="Calibri" w:cs="Calibri"/>
          <w:color w:val="000000" w:themeColor="text1"/>
          <w:lang w:val="en-AU"/>
        </w:rPr>
        <w:t>often lack the specificity provided by</w:t>
      </w:r>
      <w:r w:rsidR="1553741A" w:rsidRPr="00091793">
        <w:rPr>
          <w:rFonts w:ascii="Calibri" w:eastAsia="Aptos" w:hAnsi="Calibri" w:cs="Calibri"/>
          <w:color w:val="000000" w:themeColor="text1"/>
          <w:lang w:val="en-AU"/>
        </w:rPr>
        <w:t xml:space="preserve"> CAS or IUPAC names</w:t>
      </w:r>
      <w:r w:rsidR="0077560F">
        <w:rPr>
          <w:rFonts w:ascii="Calibri" w:eastAsia="Aptos" w:hAnsi="Calibri" w:cs="Calibri"/>
          <w:color w:val="000000" w:themeColor="text1"/>
          <w:lang w:val="en-AU"/>
        </w:rPr>
        <w:t>,</w:t>
      </w:r>
      <w:r w:rsidR="1553741A" w:rsidRPr="00091793">
        <w:rPr>
          <w:rFonts w:ascii="Calibri" w:eastAsia="Aptos" w:hAnsi="Calibri" w:cs="Calibri"/>
          <w:color w:val="000000" w:themeColor="text1"/>
          <w:lang w:val="en-AU"/>
        </w:rPr>
        <w:t xml:space="preserve"> </w:t>
      </w:r>
      <w:r w:rsidR="00F62B94">
        <w:rPr>
          <w:rFonts w:ascii="Calibri" w:eastAsia="Aptos" w:hAnsi="Calibri" w:cs="Calibri"/>
          <w:color w:val="000000" w:themeColor="text1"/>
          <w:lang w:val="en-AU"/>
        </w:rPr>
        <w:t>they</w:t>
      </w:r>
      <w:r w:rsidR="1553741A" w:rsidRPr="00091793">
        <w:rPr>
          <w:rFonts w:ascii="Calibri" w:eastAsia="Aptos" w:hAnsi="Calibri" w:cs="Calibri"/>
          <w:color w:val="000000" w:themeColor="text1"/>
          <w:lang w:val="en-AU"/>
        </w:rPr>
        <w:t xml:space="preserve"> may not contain </w:t>
      </w:r>
      <w:r w:rsidR="006371DC">
        <w:rPr>
          <w:rFonts w:ascii="Calibri" w:eastAsia="Aptos" w:hAnsi="Calibri" w:cs="Calibri"/>
          <w:color w:val="000000" w:themeColor="text1"/>
          <w:lang w:val="en-AU"/>
        </w:rPr>
        <w:t>sufficient detail</w:t>
      </w:r>
      <w:r w:rsidR="1553741A" w:rsidRPr="00091793">
        <w:rPr>
          <w:rFonts w:ascii="Calibri" w:eastAsia="Aptos" w:hAnsi="Calibri" w:cs="Calibri"/>
          <w:color w:val="000000" w:themeColor="text1"/>
          <w:lang w:val="en-AU"/>
        </w:rPr>
        <w:t xml:space="preserve"> about the chemical’s identity </w:t>
      </w:r>
      <w:r w:rsidR="002342C1">
        <w:rPr>
          <w:rFonts w:ascii="Calibri" w:eastAsia="Aptos" w:hAnsi="Calibri" w:cs="Calibri"/>
          <w:color w:val="000000" w:themeColor="text1"/>
          <w:lang w:val="en-AU"/>
        </w:rPr>
        <w:t>to ensure</w:t>
      </w:r>
      <w:r w:rsidR="1553741A" w:rsidRPr="00091793">
        <w:rPr>
          <w:rFonts w:ascii="Calibri" w:eastAsia="Aptos" w:hAnsi="Calibri" w:cs="Calibri"/>
          <w:color w:val="000000" w:themeColor="text1"/>
          <w:lang w:val="en-AU"/>
        </w:rPr>
        <w:t xml:space="preserve"> regulatory certainty, such as AICIS being able to identify if a chemical is or is not listed on the AICIS Inventory.</w:t>
      </w:r>
    </w:p>
    <w:p w14:paraId="50A2459D" w14:textId="2B07C679" w:rsidR="1553741A" w:rsidRPr="00091793" w:rsidRDefault="00F34660" w:rsidP="2225502A">
      <w:pPr>
        <w:spacing w:after="240"/>
        <w:rPr>
          <w:rFonts w:ascii="Calibri" w:eastAsia="Aptos" w:hAnsi="Calibri" w:cs="Calibri"/>
          <w:color w:val="000000" w:themeColor="text1"/>
        </w:rPr>
      </w:pPr>
      <w:r w:rsidRPr="00F34660">
        <w:rPr>
          <w:rFonts w:ascii="Calibri" w:eastAsia="Aptos" w:hAnsi="Calibri" w:cs="Calibri"/>
          <w:color w:val="000000" w:themeColor="text1"/>
        </w:rPr>
        <w:t xml:space="preserve">Industrial chemicals identified only by INCI names can still be introduced into Australia under the appropriate introduction category. </w:t>
      </w:r>
      <w:r w:rsidR="00C95793">
        <w:rPr>
          <w:rFonts w:ascii="Calibri" w:eastAsia="Aptos" w:hAnsi="Calibri" w:cs="Calibri"/>
          <w:color w:val="000000" w:themeColor="text1"/>
        </w:rPr>
        <w:t>The primary use of INCI names in Australia</w:t>
      </w:r>
      <w:r w:rsidR="006A78B2">
        <w:rPr>
          <w:rFonts w:ascii="Calibri" w:eastAsia="Aptos" w:hAnsi="Calibri" w:cs="Calibri"/>
          <w:color w:val="000000" w:themeColor="text1"/>
        </w:rPr>
        <w:t xml:space="preserve"> is </w:t>
      </w:r>
      <w:r w:rsidR="00B97FC8">
        <w:rPr>
          <w:rFonts w:ascii="Calibri" w:eastAsia="Aptos" w:hAnsi="Calibri" w:cs="Calibri"/>
          <w:color w:val="000000" w:themeColor="text1"/>
        </w:rPr>
        <w:t xml:space="preserve">for the labelling of consumer products under the </w:t>
      </w:r>
      <w:r w:rsidR="00B97FC8" w:rsidRPr="00B97FC8">
        <w:rPr>
          <w:rFonts w:ascii="Calibri" w:eastAsia="Aptos" w:hAnsi="Calibri" w:cs="Calibri"/>
          <w:color w:val="000000" w:themeColor="text1"/>
        </w:rPr>
        <w:t>Consumer Goods (Cosmetics) Information Standard 2020</w:t>
      </w:r>
      <w:r w:rsidR="00B97FC8">
        <w:rPr>
          <w:rFonts w:ascii="Calibri" w:eastAsia="Aptos" w:hAnsi="Calibri" w:cs="Calibri"/>
          <w:color w:val="000000" w:themeColor="text1"/>
        </w:rPr>
        <w:t>, which is the responsibility of the Australian Competition and Consumer Commission.</w:t>
      </w:r>
    </w:p>
    <w:p w14:paraId="7BB2ADE1" w14:textId="2FAB1323" w:rsidR="1553741A" w:rsidRPr="00091793" w:rsidRDefault="1553741A" w:rsidP="2225502A">
      <w:pPr>
        <w:spacing w:after="240"/>
        <w:rPr>
          <w:rFonts w:ascii="Calibri" w:eastAsia="Aptos" w:hAnsi="Calibri" w:cs="Calibri"/>
          <w:color w:val="000000" w:themeColor="text1"/>
        </w:rPr>
      </w:pPr>
      <w:r w:rsidRPr="00091793">
        <w:rPr>
          <w:rFonts w:ascii="Calibri" w:eastAsia="Aptos" w:hAnsi="Calibri" w:cs="Calibri"/>
          <w:color w:val="000000" w:themeColor="text1"/>
          <w:lang w:val="en-AU"/>
        </w:rPr>
        <w:t>An INCI name can always be used by an Australian importer to identify a chemical, however, they may also need to know (or be able to provide) other information to enable AICIS to confirm that an introduction is authorised and allow the objects of the IC Act to be met (including considering risks that may arise from the introduction and use of the chemical).</w:t>
      </w:r>
    </w:p>
    <w:p w14:paraId="7740D346" w14:textId="55EE27FF" w:rsidR="00121627" w:rsidRDefault="1553741A">
      <w:pPr>
        <w:rPr>
          <w:rFonts w:ascii="Calibri" w:eastAsia="Aptos" w:hAnsi="Calibri" w:cs="Calibri"/>
          <w:color w:val="000000" w:themeColor="text1"/>
          <w:lang w:val="en-AU"/>
        </w:rPr>
      </w:pPr>
      <w:r w:rsidRPr="00091793">
        <w:rPr>
          <w:rFonts w:ascii="Calibri" w:eastAsia="Aptos" w:hAnsi="Calibri" w:cs="Calibri"/>
          <w:color w:val="000000" w:themeColor="text1"/>
          <w:lang w:val="en-AU"/>
        </w:rPr>
        <w:t xml:space="preserve">The </w:t>
      </w:r>
      <w:r w:rsidR="00536167" w:rsidRPr="00091793">
        <w:rPr>
          <w:rFonts w:ascii="Calibri" w:eastAsia="Aptos" w:hAnsi="Calibri" w:cs="Calibri"/>
          <w:color w:val="000000" w:themeColor="text1"/>
          <w:lang w:val="en-AU"/>
        </w:rPr>
        <w:t xml:space="preserve">amendments to the </w:t>
      </w:r>
      <w:r w:rsidRPr="00091793">
        <w:rPr>
          <w:rFonts w:ascii="Calibri" w:eastAsia="Aptos" w:hAnsi="Calibri" w:cs="Calibri"/>
          <w:color w:val="000000" w:themeColor="text1"/>
          <w:lang w:val="en-AU"/>
        </w:rPr>
        <w:t xml:space="preserve">Industrial Chemicals (General) Rules </w:t>
      </w:r>
      <w:r w:rsidR="00536167" w:rsidRPr="00091793">
        <w:rPr>
          <w:rFonts w:ascii="Calibri" w:eastAsia="Aptos" w:hAnsi="Calibri" w:cs="Calibri"/>
          <w:color w:val="000000" w:themeColor="text1"/>
          <w:lang w:val="en-AU"/>
        </w:rPr>
        <w:t>2019</w:t>
      </w:r>
      <w:r w:rsidRPr="00722093">
        <w:rPr>
          <w:rFonts w:ascii="Calibri" w:eastAsia="Aptos" w:hAnsi="Calibri" w:cs="Calibri"/>
          <w:color w:val="000000" w:themeColor="text1"/>
          <w:lang w:val="en-AU"/>
        </w:rPr>
        <w:t xml:space="preserve"> introduced in 2024 provide expanded options for the provision of INCI names for Reported and Exempted Introductions</w:t>
      </w:r>
      <w:r w:rsidR="00C24122">
        <w:rPr>
          <w:rFonts w:ascii="Calibri" w:eastAsia="Aptos" w:hAnsi="Calibri" w:cs="Calibri"/>
          <w:color w:val="000000" w:themeColor="text1"/>
          <w:lang w:val="en-AU"/>
        </w:rPr>
        <w:t xml:space="preserve"> (</w:t>
      </w:r>
      <w:r w:rsidR="0027043B">
        <w:rPr>
          <w:rFonts w:ascii="Calibri" w:eastAsia="Aptos" w:hAnsi="Calibri" w:cs="Calibri"/>
          <w:color w:val="000000" w:themeColor="text1"/>
          <w:lang w:val="en-AU"/>
        </w:rPr>
        <w:t>low to very low indicative risk)</w:t>
      </w:r>
      <w:r w:rsidRPr="00722093">
        <w:rPr>
          <w:rFonts w:ascii="Calibri" w:eastAsia="Aptos" w:hAnsi="Calibri" w:cs="Calibri"/>
          <w:color w:val="000000" w:themeColor="text1"/>
          <w:lang w:val="en-AU"/>
        </w:rPr>
        <w:t>, and INCI plant extract names for Listed Introductions.</w:t>
      </w:r>
    </w:p>
    <w:p w14:paraId="77D3F092" w14:textId="6F0C2C47" w:rsidR="00121627" w:rsidRPr="00722093" w:rsidRDefault="00121627" w:rsidP="00121627">
      <w:pPr>
        <w:pStyle w:val="Heading2"/>
        <w:rPr>
          <w:rFonts w:ascii="Calibri" w:hAnsi="Calibri" w:cs="Calibri"/>
          <w:lang w:val="en-AU"/>
        </w:rPr>
      </w:pPr>
      <w:r w:rsidRPr="00722093">
        <w:rPr>
          <w:rFonts w:ascii="Calibri" w:hAnsi="Calibri" w:cs="Calibri"/>
          <w:lang w:val="en-AU"/>
        </w:rPr>
        <w:lastRenderedPageBreak/>
        <w:t xml:space="preserve">Conclusion </w:t>
      </w:r>
    </w:p>
    <w:p w14:paraId="3F1838A2" w14:textId="6455CD8C" w:rsidR="00A75BE1" w:rsidRDefault="00A75BE1" w:rsidP="00B8415E">
      <w:pPr>
        <w:rPr>
          <w:rFonts w:ascii="Calibri" w:hAnsi="Calibri" w:cs="Calibri"/>
          <w:lang w:val="en-AU"/>
        </w:rPr>
      </w:pPr>
      <w:r>
        <w:rPr>
          <w:rFonts w:ascii="Calibri" w:hAnsi="Calibri" w:cs="Calibri"/>
          <w:lang w:val="en-AU"/>
        </w:rPr>
        <w:t xml:space="preserve">The department </w:t>
      </w:r>
      <w:r w:rsidR="00121627" w:rsidRPr="00722093">
        <w:rPr>
          <w:rFonts w:ascii="Calibri" w:hAnsi="Calibri" w:cs="Calibri"/>
          <w:lang w:val="en-AU"/>
        </w:rPr>
        <w:t xml:space="preserve">supports the Productivity Commission’s goal of improving regulatory consistency and reducing unnecessary duplication. However, </w:t>
      </w:r>
      <w:r w:rsidR="008F6DB7">
        <w:rPr>
          <w:rFonts w:ascii="Calibri" w:hAnsi="Calibri" w:cs="Calibri"/>
          <w:lang w:val="en-AU"/>
        </w:rPr>
        <w:t xml:space="preserve">the regulation of </w:t>
      </w:r>
      <w:r>
        <w:rPr>
          <w:rFonts w:ascii="Calibri" w:hAnsi="Calibri" w:cs="Calibri"/>
          <w:lang w:val="en-AU"/>
        </w:rPr>
        <w:t xml:space="preserve">industrial chemicals primarily relies on </w:t>
      </w:r>
      <w:r w:rsidRPr="00121433">
        <w:rPr>
          <w:rFonts w:ascii="Calibri" w:hAnsi="Calibri" w:cs="Calibri"/>
          <w:i/>
          <w:iCs/>
          <w:lang w:val="en-AU"/>
        </w:rPr>
        <w:t>overseas standards</w:t>
      </w:r>
      <w:r>
        <w:rPr>
          <w:rFonts w:ascii="Calibri" w:hAnsi="Calibri" w:cs="Calibri"/>
          <w:lang w:val="en-AU"/>
        </w:rPr>
        <w:t xml:space="preserve"> rather than </w:t>
      </w:r>
      <w:r w:rsidRPr="00121433">
        <w:rPr>
          <w:rFonts w:ascii="Calibri" w:hAnsi="Calibri" w:cs="Calibri"/>
          <w:i/>
          <w:iCs/>
          <w:lang w:val="en-AU"/>
        </w:rPr>
        <w:t>international</w:t>
      </w:r>
      <w:r>
        <w:rPr>
          <w:rFonts w:ascii="Calibri" w:hAnsi="Calibri" w:cs="Calibri"/>
          <w:lang w:val="en-AU"/>
        </w:rPr>
        <w:t xml:space="preserve"> or </w:t>
      </w:r>
      <w:r w:rsidRPr="00121433">
        <w:rPr>
          <w:rFonts w:ascii="Calibri" w:hAnsi="Calibri" w:cs="Calibri"/>
          <w:i/>
          <w:iCs/>
          <w:lang w:val="en-AU"/>
        </w:rPr>
        <w:t>national standards</w:t>
      </w:r>
      <w:r>
        <w:rPr>
          <w:rFonts w:ascii="Calibri" w:hAnsi="Calibri" w:cs="Calibri"/>
          <w:lang w:val="en-AU"/>
        </w:rPr>
        <w:t>.</w:t>
      </w:r>
    </w:p>
    <w:p w14:paraId="42A205C5" w14:textId="0927EB3C" w:rsidR="00536167" w:rsidRPr="00091793" w:rsidRDefault="00A75BE1" w:rsidP="00B8415E">
      <w:pPr>
        <w:rPr>
          <w:rFonts w:ascii="Calibri" w:eastAsiaTheme="majorEastAsia" w:hAnsi="Calibri" w:cs="Calibri"/>
          <w:color w:val="0F4761" w:themeColor="accent1" w:themeShade="BF"/>
          <w:sz w:val="40"/>
          <w:szCs w:val="40"/>
        </w:rPr>
      </w:pPr>
      <w:r>
        <w:rPr>
          <w:rFonts w:ascii="Calibri" w:hAnsi="Calibri" w:cs="Calibri"/>
          <w:lang w:val="en-AU"/>
        </w:rPr>
        <w:t xml:space="preserve">Therefore, </w:t>
      </w:r>
      <w:r w:rsidR="00121627" w:rsidRPr="00722093">
        <w:rPr>
          <w:rFonts w:ascii="Calibri" w:hAnsi="Calibri" w:cs="Calibri"/>
          <w:lang w:val="en-AU"/>
        </w:rPr>
        <w:t>adoption of standards</w:t>
      </w:r>
      <w:r>
        <w:rPr>
          <w:rFonts w:ascii="Calibri" w:hAnsi="Calibri" w:cs="Calibri"/>
          <w:lang w:val="en-AU"/>
        </w:rPr>
        <w:t xml:space="preserve"> from other jurisdictions, </w:t>
      </w:r>
      <w:r w:rsidR="00121627" w:rsidRPr="00722093">
        <w:rPr>
          <w:rFonts w:ascii="Calibri" w:hAnsi="Calibri" w:cs="Calibri"/>
          <w:lang w:val="en-AU"/>
        </w:rPr>
        <w:t>where localised risk assessment is essential</w:t>
      </w:r>
      <w:r>
        <w:rPr>
          <w:rFonts w:ascii="Calibri" w:hAnsi="Calibri" w:cs="Calibri"/>
          <w:lang w:val="en-AU"/>
        </w:rPr>
        <w:t>,</w:t>
      </w:r>
      <w:r w:rsidR="00121627" w:rsidRPr="00722093">
        <w:rPr>
          <w:rFonts w:ascii="Calibri" w:hAnsi="Calibri" w:cs="Calibri"/>
          <w:lang w:val="en-AU"/>
        </w:rPr>
        <w:t xml:space="preserve"> </w:t>
      </w:r>
      <w:r>
        <w:rPr>
          <w:rFonts w:ascii="Calibri" w:hAnsi="Calibri" w:cs="Calibri"/>
          <w:lang w:val="en-AU"/>
        </w:rPr>
        <w:t>requires consideration of the relevance and compatibility with the Australian regulatory framework.</w:t>
      </w:r>
      <w:r w:rsidR="00121627" w:rsidRPr="00722093">
        <w:rPr>
          <w:rFonts w:ascii="Calibri" w:hAnsi="Calibri" w:cs="Calibri"/>
          <w:lang w:val="en-AU"/>
        </w:rPr>
        <w:t xml:space="preserve"> </w:t>
      </w:r>
      <w:r>
        <w:rPr>
          <w:rFonts w:ascii="Calibri" w:hAnsi="Calibri" w:cs="Calibri"/>
        </w:rPr>
        <w:t>The department</w:t>
      </w:r>
      <w:r w:rsidRPr="00091793">
        <w:rPr>
          <w:rFonts w:ascii="Calibri" w:hAnsi="Calibri" w:cs="Calibri"/>
        </w:rPr>
        <w:t xml:space="preserve"> </w:t>
      </w:r>
      <w:r w:rsidR="00B8415E" w:rsidRPr="00091793">
        <w:rPr>
          <w:rFonts w:ascii="Calibri" w:hAnsi="Calibri" w:cs="Calibri"/>
        </w:rPr>
        <w:t xml:space="preserve">supports a balanced </w:t>
      </w:r>
      <w:r w:rsidR="008D79B1">
        <w:rPr>
          <w:rFonts w:ascii="Calibri" w:hAnsi="Calibri" w:cs="Calibri"/>
        </w:rPr>
        <w:t xml:space="preserve">and risk-based </w:t>
      </w:r>
      <w:r w:rsidR="00B8415E" w:rsidRPr="00091793">
        <w:rPr>
          <w:rFonts w:ascii="Calibri" w:hAnsi="Calibri" w:cs="Calibri"/>
        </w:rPr>
        <w:t>regulatory approach that fosters efficiency and innovation, preserves Australia’s high standards for health and environmental protection, and ensures that standards remain current, relevant, and responsive to national priorities.</w:t>
      </w:r>
      <w:r w:rsidR="00536167" w:rsidRPr="00091793">
        <w:rPr>
          <w:rFonts w:ascii="Calibri" w:hAnsi="Calibri" w:cs="Calibri"/>
        </w:rPr>
        <w:br w:type="page"/>
      </w:r>
    </w:p>
    <w:p w14:paraId="01959DD9" w14:textId="45270A79" w:rsidR="00CA0ECF" w:rsidRPr="00091793" w:rsidRDefault="00CA0ECF" w:rsidP="00CA0ECF">
      <w:pPr>
        <w:pStyle w:val="Heading1"/>
        <w:rPr>
          <w:rFonts w:ascii="Calibri" w:hAnsi="Calibri" w:cs="Calibri"/>
        </w:rPr>
      </w:pPr>
      <w:r w:rsidRPr="00091793">
        <w:rPr>
          <w:rFonts w:ascii="Calibri" w:hAnsi="Calibri" w:cs="Calibri"/>
        </w:rPr>
        <w:lastRenderedPageBreak/>
        <w:t>APPENDIX</w:t>
      </w:r>
    </w:p>
    <w:p w14:paraId="2FF343D3" w14:textId="6D976687" w:rsidR="00CA0ECF" w:rsidRPr="00091793" w:rsidRDefault="00CA0ECF" w:rsidP="00CA0ECF">
      <w:pPr>
        <w:pStyle w:val="Heading2"/>
        <w:rPr>
          <w:rFonts w:ascii="Calibri" w:hAnsi="Calibri" w:cs="Calibri"/>
        </w:rPr>
      </w:pPr>
      <w:r w:rsidRPr="00091793">
        <w:rPr>
          <w:rFonts w:ascii="Calibri" w:hAnsi="Calibri" w:cs="Calibri"/>
        </w:rPr>
        <w:t>Background</w:t>
      </w:r>
    </w:p>
    <w:p w14:paraId="0B6065A6" w14:textId="4D63324F" w:rsidR="00536167" w:rsidRPr="00091793" w:rsidRDefault="00960327" w:rsidP="00536167">
      <w:pPr>
        <w:rPr>
          <w:rFonts w:ascii="Calibri" w:hAnsi="Calibri" w:cs="Calibri"/>
        </w:rPr>
      </w:pPr>
      <w:r w:rsidRPr="00091793">
        <w:rPr>
          <w:rFonts w:ascii="Calibri" w:hAnsi="Calibri" w:cs="Calibri"/>
        </w:rPr>
        <w:t>AICIS is led by the Executive Director, who is an independent statutory office holder appointed by the Governor-General with specific powers and functions under the IC Act. The Executive Director is assisted by staff in the Australian Government Department of Health</w:t>
      </w:r>
      <w:r w:rsidR="00536167" w:rsidRPr="00091793">
        <w:rPr>
          <w:rFonts w:ascii="Calibri" w:hAnsi="Calibri" w:cs="Calibri"/>
        </w:rPr>
        <w:t>, Disability</w:t>
      </w:r>
      <w:r w:rsidRPr="00091793">
        <w:rPr>
          <w:rFonts w:ascii="Calibri" w:hAnsi="Calibri" w:cs="Calibri"/>
        </w:rPr>
        <w:t xml:space="preserve"> and Age</w:t>
      </w:r>
      <w:r w:rsidR="00536167" w:rsidRPr="00091793">
        <w:rPr>
          <w:rFonts w:ascii="Calibri" w:hAnsi="Calibri" w:cs="Calibri"/>
        </w:rPr>
        <w:t>ing</w:t>
      </w:r>
      <w:r w:rsidRPr="00091793">
        <w:rPr>
          <w:rFonts w:ascii="Calibri" w:hAnsi="Calibri" w:cs="Calibri"/>
        </w:rPr>
        <w:t>, and scientific staff from the Department of Climate Change, Energy, the Environment and Water (DCCEEW) who assess the environmental risks of industrial chemicals on behalf of AICIS.</w:t>
      </w:r>
    </w:p>
    <w:p w14:paraId="28C01E38" w14:textId="165443A8" w:rsidR="00CA0ECF" w:rsidRPr="00091793" w:rsidRDefault="00CA0ECF" w:rsidP="00536167">
      <w:pPr>
        <w:pStyle w:val="Heading2"/>
        <w:rPr>
          <w:rFonts w:ascii="Calibri" w:hAnsi="Calibri" w:cs="Calibri"/>
        </w:rPr>
      </w:pPr>
      <w:r w:rsidRPr="00091793">
        <w:rPr>
          <w:rFonts w:ascii="Calibri" w:hAnsi="Calibri" w:cs="Calibri"/>
        </w:rPr>
        <w:t xml:space="preserve">Registration </w:t>
      </w:r>
      <w:r w:rsidR="00536167" w:rsidRPr="00091793">
        <w:rPr>
          <w:rFonts w:ascii="Calibri" w:hAnsi="Calibri" w:cs="Calibri"/>
        </w:rPr>
        <w:t>f</w:t>
      </w:r>
      <w:r w:rsidRPr="00091793">
        <w:rPr>
          <w:rFonts w:ascii="Calibri" w:hAnsi="Calibri" w:cs="Calibri"/>
        </w:rPr>
        <w:t>ramework</w:t>
      </w:r>
    </w:p>
    <w:p w14:paraId="6D540503" w14:textId="39B44286" w:rsidR="00CA0ECF" w:rsidRPr="00091793" w:rsidRDefault="00CA0ECF" w:rsidP="00CA0ECF">
      <w:pPr>
        <w:spacing w:line="254" w:lineRule="auto"/>
        <w:rPr>
          <w:rFonts w:ascii="Calibri" w:hAnsi="Calibri" w:cs="Calibri"/>
        </w:rPr>
      </w:pPr>
      <w:r w:rsidRPr="00091793">
        <w:rPr>
          <w:rFonts w:ascii="Calibri" w:hAnsi="Calibri" w:cs="Calibri"/>
        </w:rPr>
        <w:t>Introducers (importers and manufacturers) of industrial chemicals into Australia must be registered on the AICIS Register of Industrial Chemical Introducers (Register) before introducing a chemical into Australia. To register, introducers pay a low, flat fee (all registrants) and an annual charge (levy) based on the value of relevant industrial chemicals introduced in the previous financial year. The revenue from registration funds post-market evaluations of industrial chemicals, compliance monitoring and management of contraventions of relevant laws, and provides scheme support and communication activities.</w:t>
      </w:r>
    </w:p>
    <w:p w14:paraId="4B51268C" w14:textId="46F7C2CC" w:rsidR="00CA0ECF" w:rsidRPr="00091793" w:rsidRDefault="00CA0ECF" w:rsidP="00CA0ECF">
      <w:pPr>
        <w:spacing w:line="254" w:lineRule="auto"/>
        <w:rPr>
          <w:rFonts w:ascii="Calibri" w:hAnsi="Calibri" w:cs="Calibri"/>
        </w:rPr>
      </w:pPr>
      <w:r w:rsidRPr="00091793">
        <w:rPr>
          <w:rFonts w:ascii="Calibri" w:hAnsi="Calibri" w:cs="Calibri"/>
        </w:rPr>
        <w:t>There are 8 levels of registration. In 2023</w:t>
      </w:r>
      <w:r w:rsidR="00536167" w:rsidRPr="00091793">
        <w:rPr>
          <w:rFonts w:ascii="Calibri" w:hAnsi="Calibri" w:cs="Calibri"/>
        </w:rPr>
        <w:t>-</w:t>
      </w:r>
      <w:r w:rsidRPr="00091793">
        <w:rPr>
          <w:rFonts w:ascii="Calibri" w:hAnsi="Calibri" w:cs="Calibri"/>
        </w:rPr>
        <w:t>24, 7,341 introducers were registered with AICIS compared to 7,323 in the previous financial year. A total of 1,347 introducers that registered in 2023</w:t>
      </w:r>
      <w:r w:rsidR="00536167" w:rsidRPr="00091793">
        <w:rPr>
          <w:rFonts w:ascii="Calibri" w:hAnsi="Calibri" w:cs="Calibri"/>
        </w:rPr>
        <w:t>-</w:t>
      </w:r>
      <w:r w:rsidRPr="00091793">
        <w:rPr>
          <w:rFonts w:ascii="Calibri" w:hAnsi="Calibri" w:cs="Calibri"/>
        </w:rPr>
        <w:t>24 were new registrants. The number of new registrants each year reflect</w:t>
      </w:r>
      <w:r w:rsidR="00536167" w:rsidRPr="00091793">
        <w:rPr>
          <w:rFonts w:ascii="Calibri" w:hAnsi="Calibri" w:cs="Calibri"/>
        </w:rPr>
        <w:t>s</w:t>
      </w:r>
      <w:r w:rsidRPr="00091793">
        <w:rPr>
          <w:rFonts w:ascii="Calibri" w:hAnsi="Calibri" w:cs="Calibri"/>
        </w:rPr>
        <w:t xml:space="preserve"> </w:t>
      </w:r>
      <w:r w:rsidR="00536167" w:rsidRPr="00091793">
        <w:rPr>
          <w:rFonts w:ascii="Calibri" w:hAnsi="Calibri" w:cs="Calibri"/>
        </w:rPr>
        <w:t xml:space="preserve">the dynamism of Australia’s chemical industry with </w:t>
      </w:r>
      <w:r w:rsidRPr="00091793">
        <w:rPr>
          <w:rFonts w:ascii="Calibri" w:hAnsi="Calibri" w:cs="Calibri"/>
        </w:rPr>
        <w:t xml:space="preserve">businesses seeking to commence introduction of industrial chemicals, </w:t>
      </w:r>
      <w:r w:rsidR="00536167" w:rsidRPr="00091793">
        <w:rPr>
          <w:rFonts w:ascii="Calibri" w:hAnsi="Calibri" w:cs="Calibri"/>
        </w:rPr>
        <w:t xml:space="preserve">as well as businesses </w:t>
      </w:r>
      <w:r w:rsidRPr="00091793">
        <w:rPr>
          <w:rFonts w:ascii="Calibri" w:hAnsi="Calibri" w:cs="Calibri"/>
        </w:rPr>
        <w:t>identified by AICIS compliance activit</w:t>
      </w:r>
      <w:r w:rsidR="00536167" w:rsidRPr="00091793">
        <w:rPr>
          <w:rFonts w:ascii="Calibri" w:hAnsi="Calibri" w:cs="Calibri"/>
        </w:rPr>
        <w:t>ies</w:t>
      </w:r>
      <w:r w:rsidRPr="00091793">
        <w:rPr>
          <w:rFonts w:ascii="Calibri" w:hAnsi="Calibri" w:cs="Calibri"/>
        </w:rPr>
        <w:t xml:space="preserve"> as needing to become registered.</w:t>
      </w:r>
    </w:p>
    <w:p w14:paraId="0340966A" w14:textId="0EFCDA3C" w:rsidR="00CA0ECF" w:rsidRPr="00091793" w:rsidRDefault="00CA0ECF" w:rsidP="00536167">
      <w:pPr>
        <w:pStyle w:val="Heading3"/>
        <w:rPr>
          <w:rFonts w:ascii="Calibri" w:hAnsi="Calibri" w:cs="Calibri"/>
        </w:rPr>
      </w:pPr>
      <w:r w:rsidRPr="00091793">
        <w:rPr>
          <w:rFonts w:ascii="Calibri" w:hAnsi="Calibri" w:cs="Calibri"/>
        </w:rPr>
        <w:t>Risk-</w:t>
      </w:r>
      <w:r w:rsidR="00536167" w:rsidRPr="00091793">
        <w:rPr>
          <w:rFonts w:ascii="Calibri" w:hAnsi="Calibri" w:cs="Calibri"/>
        </w:rPr>
        <w:t>p</w:t>
      </w:r>
      <w:r w:rsidRPr="00091793">
        <w:rPr>
          <w:rFonts w:ascii="Calibri" w:hAnsi="Calibri" w:cs="Calibri"/>
        </w:rPr>
        <w:t xml:space="preserve">roportionate </w:t>
      </w:r>
      <w:r w:rsidR="00536167" w:rsidRPr="00091793">
        <w:rPr>
          <w:rFonts w:ascii="Calibri" w:hAnsi="Calibri" w:cs="Calibri"/>
        </w:rPr>
        <w:t>i</w:t>
      </w:r>
      <w:r w:rsidRPr="00091793">
        <w:rPr>
          <w:rFonts w:ascii="Calibri" w:hAnsi="Calibri" w:cs="Calibri"/>
        </w:rPr>
        <w:t xml:space="preserve">ntroduction </w:t>
      </w:r>
      <w:r w:rsidR="00536167" w:rsidRPr="00091793">
        <w:rPr>
          <w:rFonts w:ascii="Calibri" w:hAnsi="Calibri" w:cs="Calibri"/>
        </w:rPr>
        <w:t>c</w:t>
      </w:r>
      <w:r w:rsidRPr="00091793">
        <w:rPr>
          <w:rFonts w:ascii="Calibri" w:hAnsi="Calibri" w:cs="Calibri"/>
        </w:rPr>
        <w:t>ategories</w:t>
      </w:r>
    </w:p>
    <w:p w14:paraId="5FD713E8" w14:textId="154CE706" w:rsidR="00CA0ECF" w:rsidRPr="00091793" w:rsidRDefault="00CA0ECF" w:rsidP="00CA0ECF">
      <w:pPr>
        <w:spacing w:line="254" w:lineRule="auto"/>
        <w:rPr>
          <w:rFonts w:ascii="Calibri" w:hAnsi="Calibri" w:cs="Calibri"/>
        </w:rPr>
      </w:pPr>
      <w:r w:rsidRPr="00091793">
        <w:rPr>
          <w:rFonts w:ascii="Calibri" w:hAnsi="Calibri" w:cs="Calibri"/>
        </w:rPr>
        <w:t>Introducers of industrial chemicals into Australia must also comply with the requirements of a category of introduction, which are based on the level of risk to human health and the environment from the introduced chemical. Industrial chemicals listed on the Australian Inventory of Industrial Chemicals (Inventory) can be introduced as ‘listed introductions’ by registered introducers.</w:t>
      </w:r>
    </w:p>
    <w:p w14:paraId="59239C59" w14:textId="1066C945" w:rsidR="00CA0ECF" w:rsidRPr="00091793" w:rsidRDefault="00CA0ECF" w:rsidP="00CA0ECF">
      <w:pPr>
        <w:spacing w:line="254" w:lineRule="auto"/>
        <w:rPr>
          <w:rFonts w:ascii="Calibri" w:hAnsi="Calibri" w:cs="Calibri"/>
        </w:rPr>
      </w:pPr>
      <w:r w:rsidRPr="00091793">
        <w:rPr>
          <w:rFonts w:ascii="Calibri" w:hAnsi="Calibri" w:cs="Calibri"/>
          <w:b/>
          <w:bCs/>
        </w:rPr>
        <w:t xml:space="preserve">Listed Introductions </w:t>
      </w:r>
      <w:r w:rsidRPr="00091793">
        <w:rPr>
          <w:rFonts w:ascii="Calibri" w:hAnsi="Calibri" w:cs="Calibri"/>
        </w:rPr>
        <w:t xml:space="preserve">are introductions of chemicals already listed on the Inventory, and must comply with any regulatory obligations and restrictions stipulated in the terms of listing. Terms of a listing may include a defined scope of assessment, conditions of introduction or use, specific information requirements (SIRs) or any other legal obligations. Chemicals may become listed once </w:t>
      </w:r>
      <w:r w:rsidR="00155FAE">
        <w:rPr>
          <w:rFonts w:ascii="Calibri" w:hAnsi="Calibri" w:cs="Calibri"/>
        </w:rPr>
        <w:t>5</w:t>
      </w:r>
      <w:r w:rsidR="00155FAE" w:rsidRPr="00091793">
        <w:rPr>
          <w:rFonts w:ascii="Calibri" w:hAnsi="Calibri" w:cs="Calibri"/>
        </w:rPr>
        <w:t xml:space="preserve"> </w:t>
      </w:r>
      <w:r w:rsidRPr="00091793">
        <w:rPr>
          <w:rFonts w:ascii="Calibri" w:hAnsi="Calibri" w:cs="Calibri"/>
        </w:rPr>
        <w:t>years has passed from the issu</w:t>
      </w:r>
      <w:r w:rsidR="005B3EDD">
        <w:rPr>
          <w:rFonts w:ascii="Calibri" w:hAnsi="Calibri" w:cs="Calibri"/>
        </w:rPr>
        <w:t>ing</w:t>
      </w:r>
      <w:r w:rsidRPr="00091793">
        <w:rPr>
          <w:rFonts w:ascii="Calibri" w:hAnsi="Calibri" w:cs="Calibri"/>
        </w:rPr>
        <w:t xml:space="preserve"> of an assessment certificate for that chemical, or upon application by an introducer. During 2023</w:t>
      </w:r>
      <w:r w:rsidR="00536167" w:rsidRPr="00091793">
        <w:rPr>
          <w:rFonts w:ascii="Calibri" w:hAnsi="Calibri" w:cs="Calibri"/>
        </w:rPr>
        <w:t>-</w:t>
      </w:r>
      <w:r w:rsidRPr="00091793">
        <w:rPr>
          <w:rFonts w:ascii="Calibri" w:hAnsi="Calibri" w:cs="Calibri"/>
        </w:rPr>
        <w:t>24, 99 industrial chemicals were added to the Inventory.</w:t>
      </w:r>
    </w:p>
    <w:p w14:paraId="4631F6D8" w14:textId="4BF85B5E" w:rsidR="00CA0ECF" w:rsidRPr="00091793" w:rsidRDefault="00CA0ECF" w:rsidP="00CA0ECF">
      <w:pPr>
        <w:spacing w:line="254" w:lineRule="auto"/>
        <w:rPr>
          <w:rFonts w:ascii="Calibri" w:hAnsi="Calibri" w:cs="Calibri"/>
        </w:rPr>
      </w:pPr>
      <w:r w:rsidRPr="00091793">
        <w:rPr>
          <w:rFonts w:ascii="Calibri" w:hAnsi="Calibri" w:cs="Calibri"/>
        </w:rPr>
        <w:lastRenderedPageBreak/>
        <w:t>Chemicals not listed on the Inventory are not available for industrial use in Australia unless their introduction is authorised under one of the following introduction categories: exempted, reported, assessed or commercial evaluation.</w:t>
      </w:r>
    </w:p>
    <w:p w14:paraId="05D7A79F" w14:textId="77777777" w:rsidR="00CA0ECF" w:rsidRPr="00091793" w:rsidRDefault="00CA0ECF" w:rsidP="00CA0ECF">
      <w:pPr>
        <w:spacing w:line="254" w:lineRule="auto"/>
        <w:rPr>
          <w:rFonts w:ascii="Calibri" w:hAnsi="Calibri" w:cs="Calibri"/>
        </w:rPr>
      </w:pPr>
      <w:r w:rsidRPr="00091793">
        <w:rPr>
          <w:rFonts w:ascii="Calibri" w:hAnsi="Calibri" w:cs="Calibri"/>
          <w:b/>
          <w:bCs/>
        </w:rPr>
        <w:t xml:space="preserve">Exempted Introductions </w:t>
      </w:r>
      <w:r w:rsidRPr="00091793">
        <w:rPr>
          <w:rFonts w:ascii="Calibri" w:hAnsi="Calibri" w:cs="Calibri"/>
        </w:rPr>
        <w:t>are considered to be ‘very low risk’ to human health and the environment according to criteria in the IC Rules and on the AICIS website. This includes chemicals that are imported and subsequently exported, chemicals used purely in research, and chemicals comparable to Listed Chemicals. This category encourages innovation by providing a no-cost, fast option to introduce very low indicative risk industrial chemicals. Introducers using this pathway maintain records and in prescribed circumstances submit a once-off post-introduction declaration (PID) after the industrial chemical’s introduction.</w:t>
      </w:r>
    </w:p>
    <w:p w14:paraId="3D46287F" w14:textId="77777777" w:rsidR="00CA0ECF" w:rsidRPr="00091793" w:rsidRDefault="00CA0ECF" w:rsidP="00CA0ECF">
      <w:pPr>
        <w:spacing w:line="254" w:lineRule="auto"/>
        <w:rPr>
          <w:rFonts w:ascii="Calibri" w:hAnsi="Calibri" w:cs="Calibri"/>
        </w:rPr>
      </w:pPr>
      <w:r w:rsidRPr="00091793">
        <w:rPr>
          <w:rFonts w:ascii="Calibri" w:hAnsi="Calibri" w:cs="Calibri"/>
          <w:b/>
          <w:bCs/>
        </w:rPr>
        <w:t xml:space="preserve">Reported Introductions </w:t>
      </w:r>
      <w:r w:rsidRPr="00091793">
        <w:rPr>
          <w:rFonts w:ascii="Calibri" w:hAnsi="Calibri" w:cs="Calibri"/>
        </w:rPr>
        <w:t>are considered to be ‘low risk’ to human health and the environment. Similar to Exempted Introductions, this category provides a no-cost option to introduce low risk chemicals. Introducers using this introduction pathway maintain records and provide a once-off pre-introduction report (PIR) prior to the industrial chemical’s introduction. Once a PIR is submitted, an introducer can commence importing or manufacturing their industrial chemical. Submitted PIRs undergo rapid, pre-screening to select reports for further analysis.</w:t>
      </w:r>
    </w:p>
    <w:p w14:paraId="478C70A5" w14:textId="5AB5154B" w:rsidR="00CA0ECF" w:rsidRPr="00091793" w:rsidRDefault="00CA0ECF" w:rsidP="00CA0ECF">
      <w:pPr>
        <w:spacing w:line="254" w:lineRule="auto"/>
        <w:rPr>
          <w:rFonts w:ascii="Calibri" w:hAnsi="Calibri" w:cs="Calibri"/>
        </w:rPr>
      </w:pPr>
      <w:r w:rsidRPr="00091793">
        <w:rPr>
          <w:rFonts w:ascii="Calibri" w:hAnsi="Calibri" w:cs="Calibri"/>
          <w:b/>
          <w:bCs/>
        </w:rPr>
        <w:t>Assessed Introductions</w:t>
      </w:r>
      <w:r w:rsidRPr="00091793">
        <w:rPr>
          <w:rFonts w:ascii="Calibri" w:hAnsi="Calibri" w:cs="Calibri"/>
        </w:rPr>
        <w:t xml:space="preserve"> are industrial chemical introductions that pose a medium to high risk to human health or the environment. If an introduction of an industrial chemical does not fall within the definition of an exempted or reported introduction and is not listed on the Inventory, it is generally an assessed introduction. These introductions mean that AICIS has assessed the chemical and granted an Assessment Certificate. Introducers in other categories may voluntarily request an Assessment Certificate.</w:t>
      </w:r>
    </w:p>
    <w:p w14:paraId="71CA41FB" w14:textId="52441024" w:rsidR="00CA0ECF" w:rsidRPr="00091793" w:rsidRDefault="00CA0ECF" w:rsidP="00CA0ECF">
      <w:pPr>
        <w:spacing w:line="254" w:lineRule="auto"/>
        <w:rPr>
          <w:rFonts w:ascii="Calibri" w:hAnsi="Calibri" w:cs="Calibri"/>
        </w:rPr>
      </w:pPr>
      <w:r w:rsidRPr="00091793">
        <w:rPr>
          <w:rFonts w:ascii="Calibri" w:hAnsi="Calibri" w:cs="Calibri"/>
        </w:rPr>
        <w:t xml:space="preserve">In addition to the </w:t>
      </w:r>
      <w:r w:rsidR="00E4213B">
        <w:rPr>
          <w:rFonts w:ascii="Calibri" w:hAnsi="Calibri" w:cs="Calibri"/>
        </w:rPr>
        <w:t>4</w:t>
      </w:r>
      <w:r w:rsidR="00E4213B" w:rsidRPr="00091793">
        <w:rPr>
          <w:rFonts w:ascii="Calibri" w:hAnsi="Calibri" w:cs="Calibri"/>
        </w:rPr>
        <w:t xml:space="preserve"> </w:t>
      </w:r>
      <w:r w:rsidRPr="00091793">
        <w:rPr>
          <w:rFonts w:ascii="Calibri" w:hAnsi="Calibri" w:cs="Calibri"/>
        </w:rPr>
        <w:t xml:space="preserve">introduction categories above, AICIS also supports a </w:t>
      </w:r>
      <w:r w:rsidRPr="00091793">
        <w:rPr>
          <w:rFonts w:ascii="Calibri" w:hAnsi="Calibri" w:cs="Calibri"/>
          <w:b/>
          <w:bCs/>
        </w:rPr>
        <w:t>Commercial Evaluation Authorisation</w:t>
      </w:r>
      <w:r w:rsidRPr="00091793">
        <w:rPr>
          <w:rFonts w:ascii="Calibri" w:hAnsi="Calibri" w:cs="Calibri"/>
        </w:rPr>
        <w:t xml:space="preserve"> option for commercial introductions. This pathway is a quick-turnaround, cost-effective way to introduce an industrial chemical. This option contains restrictions to allow businesses to meet immediate commercial needs while introducing chemicals whose commercial potential may not be known. AICIS must be satisfied that risks to human health or the environment can be managed.</w:t>
      </w:r>
    </w:p>
    <w:p w14:paraId="49537B2B" w14:textId="09C9041F" w:rsidR="10EC4329" w:rsidRPr="00091793" w:rsidRDefault="10EC4329" w:rsidP="007E6E71">
      <w:pPr>
        <w:spacing w:line="254" w:lineRule="auto"/>
        <w:rPr>
          <w:rFonts w:ascii="Calibri" w:hAnsi="Calibri" w:cs="Calibri"/>
        </w:rPr>
      </w:pPr>
    </w:p>
    <w:sectPr w:rsidR="10EC4329" w:rsidRPr="000917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692E" w14:textId="77777777" w:rsidR="00DD5EEC" w:rsidRDefault="00DD5EEC">
      <w:pPr>
        <w:spacing w:after="0" w:line="240" w:lineRule="auto"/>
      </w:pPr>
      <w:r>
        <w:separator/>
      </w:r>
    </w:p>
  </w:endnote>
  <w:endnote w:type="continuationSeparator" w:id="0">
    <w:p w14:paraId="6C512EB2" w14:textId="77777777" w:rsidR="00DD5EEC" w:rsidRDefault="00DD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9FBB" w14:textId="71A2525F" w:rsidR="009E2C9B" w:rsidRDefault="00BB7357">
    <w:pPr>
      <w:pStyle w:val="Footer"/>
    </w:pPr>
    <w:r>
      <w:rPr>
        <w:noProof/>
      </w:rPr>
      <mc:AlternateContent>
        <mc:Choice Requires="wps">
          <w:drawing>
            <wp:anchor distT="0" distB="0" distL="0" distR="0" simplePos="0" relativeHeight="251694592" behindDoc="0" locked="0" layoutInCell="1" allowOverlap="1" wp14:anchorId="7B3EEAD6" wp14:editId="32D23BB7">
              <wp:simplePos x="635" y="635"/>
              <wp:positionH relativeFrom="page">
                <wp:align>center</wp:align>
              </wp:positionH>
              <wp:positionV relativeFrom="page">
                <wp:align>bottom</wp:align>
              </wp:positionV>
              <wp:extent cx="551815" cy="407035"/>
              <wp:effectExtent l="0" t="0" r="635" b="0"/>
              <wp:wrapNone/>
              <wp:docPr id="17114356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797FEE2C" w14:textId="3BE11382"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EAD6" id="_x0000_t202" coordsize="21600,21600" o:spt="202" path="m,l,21600r21600,l21600,xe">
              <v:stroke joinstyle="miter"/>
              <v:path gradientshapeok="t" o:connecttype="rect"/>
            </v:shapetype>
            <v:shape id="Text Box 11" o:spid="_x0000_s1028" type="#_x0000_t202" alt="OFFICIAL" style="position:absolute;margin-left:0;margin-top:0;width:43.45pt;height:32.05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filled="f" stroked="f">
              <v:textbox style="mso-fit-shape-to-text:t" inset="0,0,0,15pt">
                <w:txbxContent>
                  <w:p w14:paraId="797FEE2C" w14:textId="3BE11382"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E291" w14:textId="1120461B" w:rsidR="2225502A" w:rsidRPr="00536167" w:rsidRDefault="00BB7357" w:rsidP="00536167">
    <w:pPr>
      <w:pStyle w:val="Footer"/>
      <w:jc w:val="right"/>
      <w:rPr>
        <w:rFonts w:ascii="Calibri" w:hAnsi="Calibri" w:cs="Calibri"/>
        <w:sz w:val="20"/>
        <w:szCs w:val="20"/>
      </w:rPr>
    </w:pPr>
    <w:r>
      <w:rPr>
        <w:rFonts w:ascii="Calibri" w:hAnsi="Calibri" w:cs="Calibri"/>
        <w:noProof/>
        <w:sz w:val="20"/>
        <w:szCs w:val="20"/>
      </w:rPr>
      <mc:AlternateContent>
        <mc:Choice Requires="wps">
          <w:drawing>
            <wp:anchor distT="0" distB="0" distL="0" distR="0" simplePos="0" relativeHeight="251695616" behindDoc="0" locked="0" layoutInCell="1" allowOverlap="1" wp14:anchorId="1E2E4377" wp14:editId="70A9F632">
              <wp:simplePos x="635" y="635"/>
              <wp:positionH relativeFrom="page">
                <wp:align>center</wp:align>
              </wp:positionH>
              <wp:positionV relativeFrom="page">
                <wp:align>bottom</wp:align>
              </wp:positionV>
              <wp:extent cx="551815" cy="407035"/>
              <wp:effectExtent l="0" t="0" r="635" b="0"/>
              <wp:wrapNone/>
              <wp:docPr id="181241180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7666FD3" w14:textId="0FDCE21F"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E4377"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2.05pt;z-index:25169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filled="f" stroked="f">
              <v:textbox style="mso-fit-shape-to-text:t" inset="0,0,0,15pt">
                <w:txbxContent>
                  <w:p w14:paraId="57666FD3" w14:textId="0FDCE21F"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v:textbox>
              <w10:wrap anchorx="page" anchory="page"/>
            </v:shape>
          </w:pict>
        </mc:Fallback>
      </mc:AlternateContent>
    </w:r>
    <w:sdt>
      <w:sdtPr>
        <w:rPr>
          <w:rFonts w:ascii="Calibri" w:hAnsi="Calibri" w:cs="Calibri"/>
          <w:sz w:val="20"/>
          <w:szCs w:val="20"/>
        </w:rPr>
        <w:id w:val="-1822042500"/>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r w:rsidR="00536167" w:rsidRPr="00536167">
              <w:rPr>
                <w:rFonts w:ascii="Calibri" w:hAnsi="Calibri" w:cs="Calibri"/>
                <w:sz w:val="20"/>
                <w:szCs w:val="20"/>
              </w:rPr>
              <w:t xml:space="preserve">Page </w:t>
            </w:r>
            <w:r w:rsidR="00536167" w:rsidRPr="00536167">
              <w:rPr>
                <w:rFonts w:ascii="Calibri" w:hAnsi="Calibri" w:cs="Calibri"/>
                <w:b/>
                <w:bCs/>
                <w:sz w:val="20"/>
                <w:szCs w:val="20"/>
              </w:rPr>
              <w:fldChar w:fldCharType="begin"/>
            </w:r>
            <w:r w:rsidR="00536167" w:rsidRPr="00536167">
              <w:rPr>
                <w:rFonts w:ascii="Calibri" w:hAnsi="Calibri" w:cs="Calibri"/>
                <w:b/>
                <w:bCs/>
                <w:sz w:val="20"/>
                <w:szCs w:val="20"/>
              </w:rPr>
              <w:instrText xml:space="preserve"> PAGE </w:instrText>
            </w:r>
            <w:r w:rsidR="00536167" w:rsidRPr="00536167">
              <w:rPr>
                <w:rFonts w:ascii="Calibri" w:hAnsi="Calibri" w:cs="Calibri"/>
                <w:b/>
                <w:bCs/>
                <w:sz w:val="20"/>
                <w:szCs w:val="20"/>
              </w:rPr>
              <w:fldChar w:fldCharType="separate"/>
            </w:r>
            <w:r w:rsidR="00536167" w:rsidRPr="00536167">
              <w:rPr>
                <w:rFonts w:ascii="Calibri" w:hAnsi="Calibri" w:cs="Calibri"/>
                <w:b/>
                <w:bCs/>
                <w:noProof/>
                <w:sz w:val="20"/>
                <w:szCs w:val="20"/>
              </w:rPr>
              <w:t>2</w:t>
            </w:r>
            <w:r w:rsidR="00536167" w:rsidRPr="00536167">
              <w:rPr>
                <w:rFonts w:ascii="Calibri" w:hAnsi="Calibri" w:cs="Calibri"/>
                <w:b/>
                <w:bCs/>
                <w:sz w:val="20"/>
                <w:szCs w:val="20"/>
              </w:rPr>
              <w:fldChar w:fldCharType="end"/>
            </w:r>
            <w:r w:rsidR="00536167" w:rsidRPr="00536167">
              <w:rPr>
                <w:rFonts w:ascii="Calibri" w:hAnsi="Calibri" w:cs="Calibri"/>
                <w:sz w:val="20"/>
                <w:szCs w:val="20"/>
              </w:rPr>
              <w:t xml:space="preserve"> of </w:t>
            </w:r>
            <w:r w:rsidR="00536167" w:rsidRPr="00536167">
              <w:rPr>
                <w:rFonts w:ascii="Calibri" w:hAnsi="Calibri" w:cs="Calibri"/>
                <w:b/>
                <w:bCs/>
                <w:sz w:val="20"/>
                <w:szCs w:val="20"/>
              </w:rPr>
              <w:fldChar w:fldCharType="begin"/>
            </w:r>
            <w:r w:rsidR="00536167" w:rsidRPr="00536167">
              <w:rPr>
                <w:rFonts w:ascii="Calibri" w:hAnsi="Calibri" w:cs="Calibri"/>
                <w:b/>
                <w:bCs/>
                <w:sz w:val="20"/>
                <w:szCs w:val="20"/>
              </w:rPr>
              <w:instrText xml:space="preserve"> NUMPAGES  </w:instrText>
            </w:r>
            <w:r w:rsidR="00536167" w:rsidRPr="00536167">
              <w:rPr>
                <w:rFonts w:ascii="Calibri" w:hAnsi="Calibri" w:cs="Calibri"/>
                <w:b/>
                <w:bCs/>
                <w:sz w:val="20"/>
                <w:szCs w:val="20"/>
              </w:rPr>
              <w:fldChar w:fldCharType="separate"/>
            </w:r>
            <w:r w:rsidR="00536167" w:rsidRPr="00536167">
              <w:rPr>
                <w:rFonts w:ascii="Calibri" w:hAnsi="Calibri" w:cs="Calibri"/>
                <w:b/>
                <w:bCs/>
                <w:noProof/>
                <w:sz w:val="20"/>
                <w:szCs w:val="20"/>
              </w:rPr>
              <w:t>2</w:t>
            </w:r>
            <w:r w:rsidR="00536167" w:rsidRPr="00536167">
              <w:rPr>
                <w:rFonts w:ascii="Calibri" w:hAnsi="Calibri" w:cs="Calibri"/>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7473" w14:textId="4560F9A4" w:rsidR="009E2C9B" w:rsidRDefault="00BB7357">
    <w:pPr>
      <w:pStyle w:val="Footer"/>
    </w:pPr>
    <w:r>
      <w:rPr>
        <w:noProof/>
      </w:rPr>
      <mc:AlternateContent>
        <mc:Choice Requires="wps">
          <w:drawing>
            <wp:anchor distT="0" distB="0" distL="0" distR="0" simplePos="0" relativeHeight="251693568" behindDoc="0" locked="0" layoutInCell="1" allowOverlap="1" wp14:anchorId="3455D561" wp14:editId="38F17047">
              <wp:simplePos x="635" y="635"/>
              <wp:positionH relativeFrom="page">
                <wp:align>center</wp:align>
              </wp:positionH>
              <wp:positionV relativeFrom="page">
                <wp:align>bottom</wp:align>
              </wp:positionV>
              <wp:extent cx="551815" cy="407035"/>
              <wp:effectExtent l="0" t="0" r="635" b="0"/>
              <wp:wrapNone/>
              <wp:docPr id="74516600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666558E8" w14:textId="5910BC68"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5D561" id="_x0000_t202" coordsize="21600,21600" o:spt="202" path="m,l,21600r21600,l21600,xe">
              <v:stroke joinstyle="miter"/>
              <v:path gradientshapeok="t" o:connecttype="rect"/>
            </v:shapetype>
            <v:shape id="Text Box 10" o:spid="_x0000_s1031" type="#_x0000_t202" alt="OFFICIAL" style="position:absolute;margin-left:0;margin-top:0;width:43.45pt;height:32.05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wpDgIAABwEAAAOAAAAZHJzL2Uyb0RvYy54bWysU8Fu2zAMvQ/YPwi6L7a7ZeuMOEXWIsOA&#10;oi2QDj0rshQbkEWBUmJnXz9KjpOt22nYRaZJ6pF8fFrcDJ1hB4W+BVvxYpZzpqyEurW7in9/Xr+7&#10;5swHYWthwKqKH5XnN8u3bxa9K9UVNGBqhYxArC97V/EmBFdmmZeN6oSfgVOWghqwE4F+cZfVKHpC&#10;70x2lecfsx6wdghSeU/euzHIlwlfayXDo9ZeBWYqTr2FdGI6t/HMlgtR7lC4ppWnNsQ/dNGJ1lLR&#10;M9SdCILtsf0DqmslggcdZhK6DLRupUoz0DRF/mqaTSOcSrMQOd6dafL/D1Y+HDbuCVkYvsBAC4yE&#10;9M6XnpxxnkFjF7/UKaM4UXg806aGwCQ55/PiuphzJin0If+Uv59HlOxy2aEPXxV0LBoVR9pKIksc&#10;7n0YU6eUWMvCujUmbcbY3xyEGT3ZpcNohWE7sLamRqbut1AfaSiEcd/eyXVLpe+FD08CacE0B4k2&#10;PNKhDfQVh5PFWQP442/+mE+8U5SzngRTcUuK5sx8s7SPqK3JwMnYJqP4nM9zitt9dwskw4JehJPJ&#10;JC8GM5kaoXshOa9iIQoJK6lcxbeTeRtG5dJzkGq1SkkkIyfCvd04GaEjXZHL5+FFoDsRHmhTDzCp&#10;SZSveB9z403vVvtA7KelRGpHIk+MkwTTWk/PJWr81/+UdXnUy58A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Wz8KQ4CAAAc&#10;BAAADgAAAAAAAAAAAAAAAAAuAgAAZHJzL2Uyb0RvYy54bWxQSwECLQAUAAYACAAAACEAn/g6cdsA&#10;AAADAQAADwAAAAAAAAAAAAAAAABoBAAAZHJzL2Rvd25yZXYueG1sUEsFBgAAAAAEAAQA8wAAAHAF&#10;AAAAAA==&#10;" filled="f" stroked="f">
              <v:textbox style="mso-fit-shape-to-text:t" inset="0,0,0,15pt">
                <w:txbxContent>
                  <w:p w14:paraId="666558E8" w14:textId="5910BC68" w:rsidR="00BB7357" w:rsidRPr="00BB7357" w:rsidRDefault="00BB7357" w:rsidP="00BB7357">
                    <w:pPr>
                      <w:spacing w:after="0"/>
                      <w:rPr>
                        <w:rFonts w:ascii="Calibri" w:eastAsia="Calibri" w:hAnsi="Calibri" w:cs="Calibri"/>
                        <w:noProof/>
                        <w:color w:val="FF0000"/>
                      </w:rPr>
                    </w:pPr>
                    <w:r w:rsidRPr="00BB735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BFD5" w14:textId="77777777" w:rsidR="00DD5EEC" w:rsidRDefault="00DD5EEC">
      <w:pPr>
        <w:spacing w:after="0" w:line="240" w:lineRule="auto"/>
      </w:pPr>
      <w:r>
        <w:separator/>
      </w:r>
    </w:p>
  </w:footnote>
  <w:footnote w:type="continuationSeparator" w:id="0">
    <w:p w14:paraId="01E210F5" w14:textId="77777777" w:rsidR="00DD5EEC" w:rsidRDefault="00DD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F50" w14:textId="5F36624A" w:rsidR="009E2C9B" w:rsidRDefault="000849B3">
    <w:pPr>
      <w:pStyle w:val="Header"/>
    </w:pPr>
    <w:r>
      <w:rPr>
        <w:noProof/>
      </w:rPr>
      <mc:AlternateContent>
        <mc:Choice Requires="wps">
          <w:drawing>
            <wp:anchor distT="0" distB="0" distL="0" distR="0" simplePos="0" relativeHeight="251697664" behindDoc="0" locked="0" layoutInCell="1" allowOverlap="1" wp14:anchorId="446595D0" wp14:editId="5177023D">
              <wp:simplePos x="635" y="635"/>
              <wp:positionH relativeFrom="page">
                <wp:align>center</wp:align>
              </wp:positionH>
              <wp:positionV relativeFrom="page">
                <wp:align>top</wp:align>
              </wp:positionV>
              <wp:extent cx="586105" cy="407035"/>
              <wp:effectExtent l="0" t="0" r="4445" b="12065"/>
              <wp:wrapNone/>
              <wp:docPr id="45782170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7035"/>
                      </a:xfrm>
                      <a:prstGeom prst="rect">
                        <a:avLst/>
                      </a:prstGeom>
                      <a:noFill/>
                      <a:ln>
                        <a:noFill/>
                      </a:ln>
                    </wps:spPr>
                    <wps:txbx>
                      <w:txbxContent>
                        <w:p w14:paraId="5EB544F2" w14:textId="6B22D738"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595D0" id="_x0000_t202" coordsize="21600,21600" o:spt="202" path="m,l,21600r21600,l21600,xe">
              <v:stroke joinstyle="miter"/>
              <v:path gradientshapeok="t" o:connecttype="rect"/>
            </v:shapetype>
            <v:shape id="Text Box 2" o:spid="_x0000_s1026" type="#_x0000_t202" alt=" OFFICIAL" style="position:absolute;margin-left:0;margin-top:0;width:46.15pt;height:32.05pt;z-index:251697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4ICgIAABUEAAAOAAAAZHJzL2Uyb0RvYy54bWysU8Fu2zAMvQ/YPwi6L7a7peuMOEXWIsOA&#10;oC2QDj0rshQbkERBUmJnXz9KtpOu22nYRaZI+pF8fFrc9lqRo3C+BVPRYpZTIgyHujX7iv54Xn+4&#10;ocQHZmqmwIiKnoSnt8v37xadLcUVNKBq4QiCGF92tqJNCLbMMs8boZmfgRUGgxKcZgGvbp/VjnWI&#10;rlV2lefXWQeutg648B6990OQLhO+lIKHRym9CERVFHsL6XTp3MUzWy5YuXfMNi0f22D/0IVmrcGi&#10;Z6h7Fhg5uPYPKN1yBx5kmHHQGUjZcpFmwGmK/M0024ZZkWZBcrw90+T/Hyx/OG7tkyOh/wo9LjAS&#10;0llfenTGeXrpdPxipwTjSOHpTJvoA+HonN9cF/mcEo6hT/nn/OM8omSXn63z4ZsATaJRUYdbSWSx&#10;48aHIXVKibUMrFul0maU+c2BmNGTXTqMVuh3/dj2DuoTTuNgWLS3fN1izQ3z4Yk53CwOgGoNj3hI&#10;BV1FYbQoacD9/Js/5iPhGKWkQ6VU1KCUKVHfDS4iiioZxZd8nuPNTe7dZJiDvgPUX4FPwfJkxryg&#10;JlM60C+o41UshCFmOJaraJjMuzBIFt8BF6tVSkL9WBY2Zmt5hI48RRKf+xfm7Mh0wBU9wCQjVr4h&#10;fMiNf3q7OgSkPW0jcjoQOVKN2kv7HN9JFPfre8q6vOblLwAAAP//AwBQSwMEFAAGAAgAAAAhACTG&#10;rLTaAAAAAwEAAA8AAABkcnMvZG93bnJldi54bWxMj8FOwzAQRO9I/IO1SNyo40IrCHGqCqmH3koL&#10;nLfxkgTidRS7bejXs3CBy0qjGc28LRaj79SRhtgGtmAmGSjiKriWawsvu9XNPaiYkB12gcnCF0VY&#10;lJcXBeYunPiZjttUKynhmKOFJqU+1zpWDXmMk9ATi/ceBo9J5FBrN+BJyn2np1k21x5bloUGe3pq&#10;qPrcHryFdrYMydDrevXx5k0w5816dt5Ye301Lh9BJRrTXxh+8AUdSmHahwO7qDoL8kj6veI9TG9B&#10;7S3M7wzostD/2ctvAAAA//8DAFBLAQItABQABgAIAAAAIQC2gziS/gAAAOEBAAATAAAAAAAAAAAA&#10;AAAAAAAAAABbQ29udGVudF9UeXBlc10ueG1sUEsBAi0AFAAGAAgAAAAhADj9If/WAAAAlAEAAAsA&#10;AAAAAAAAAAAAAAAALwEAAF9yZWxzLy5yZWxzUEsBAi0AFAAGAAgAAAAhALcdrggKAgAAFQQAAA4A&#10;AAAAAAAAAAAAAAAALgIAAGRycy9lMm9Eb2MueG1sUEsBAi0AFAAGAAgAAAAhACTGrLTaAAAAAwEA&#10;AA8AAAAAAAAAAAAAAAAAZAQAAGRycy9kb3ducmV2LnhtbFBLBQYAAAAABAAEAPMAAABrBQAAAAA=&#10;" filled="f" stroked="f">
              <v:textbox style="mso-fit-shape-to-text:t" inset="0,15pt,0,0">
                <w:txbxContent>
                  <w:p w14:paraId="5EB544F2" w14:textId="6B22D738"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1FD7" w14:textId="07D0BC5B" w:rsidR="00BB7357" w:rsidRDefault="000849B3">
    <w:pPr>
      <w:pStyle w:val="Header"/>
    </w:pPr>
    <w:r>
      <w:rPr>
        <w:noProof/>
      </w:rPr>
      <mc:AlternateContent>
        <mc:Choice Requires="wps">
          <w:drawing>
            <wp:anchor distT="0" distB="0" distL="0" distR="0" simplePos="0" relativeHeight="251698688" behindDoc="0" locked="0" layoutInCell="1" allowOverlap="1" wp14:anchorId="6DD69F9C" wp14:editId="60B8D939">
              <wp:simplePos x="914400" y="457200"/>
              <wp:positionH relativeFrom="page">
                <wp:align>center</wp:align>
              </wp:positionH>
              <wp:positionV relativeFrom="page">
                <wp:align>top</wp:align>
              </wp:positionV>
              <wp:extent cx="586105" cy="407035"/>
              <wp:effectExtent l="0" t="0" r="4445" b="12065"/>
              <wp:wrapNone/>
              <wp:docPr id="916198326"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7035"/>
                      </a:xfrm>
                      <a:prstGeom prst="rect">
                        <a:avLst/>
                      </a:prstGeom>
                      <a:noFill/>
                      <a:ln>
                        <a:noFill/>
                      </a:ln>
                    </wps:spPr>
                    <wps:txbx>
                      <w:txbxContent>
                        <w:p w14:paraId="2DD62DC8" w14:textId="0CA7183E"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69F9C" id="_x0000_t202" coordsize="21600,21600" o:spt="202" path="m,l,21600r21600,l21600,xe">
              <v:stroke joinstyle="miter"/>
              <v:path gradientshapeok="t" o:connecttype="rect"/>
            </v:shapetype>
            <v:shape id="Text Box 3" o:spid="_x0000_s1027" type="#_x0000_t202" alt=" OFFICIAL" style="position:absolute;margin-left:0;margin-top:0;width:46.15pt;height:32.05pt;z-index:251698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ugDAIAABwEAAAOAAAAZHJzL2Uyb0RvYy54bWysU8Fu2zAMvQ/YPwi6L3a6peuMOEXWIsOA&#10;oC2QDj0rshQbsERBYmJnXz9KjpOu22nYRaZI+pF8fJrf9qZlB+VDA7bk00nOmbISqsbuSv7jefXh&#10;hrOAwlaiBatKflSB3y7ev5t3rlBXUENbKc8IxIaicyWvEV2RZUHWyogwAacsBTV4I5CufpdVXnSE&#10;btrsKs+vsw585TxIFQJ574cgXyR8rZXER62DQtaWnHrDdPp0buOZLeai2Hnh6kae2hD/0IURjaWi&#10;Z6h7gYLtffMHlGmkhwAaJxJMBlo3UqUZaJpp/maaTS2cSrMQOcGdaQr/D1Y+HDbuyTPsv0JPC4yE&#10;dC4UgZxxnl57E7/UKaM4UXg806Z6ZJKcs5vraT7jTFLoU/45/ziLKNnlZ+cDflNgWDRK7mkriSxx&#10;WAccUseUWMvCqmnbtJnW/uYgzOjJLh1GC/ttz5rqVfdbqI40lIdh38HJVUOl1yLgk/C0YJqDRIuP&#10;dOgWupLDyeKsBv/zb/6YT7xTlLOOBFNyS4rmrP1uaR9RW8mYfslnOd386N6Oht2bOyAZTulFOJnM&#10;mIftaGoP5oXkvIyFKCSspHIlx9G8w0G59BykWi5TEsnICVzbjZMROtIVuXzuX4R3J8KRNvUAo5pE&#10;8Yb3ITf+Gdxyj8R+WkqkdiDyxDhJMK319Fyixl/fU9blUS9+AQAA//8DAFBLAwQUAAYACAAAACEA&#10;JMastNoAAAADAQAADwAAAGRycy9kb3ducmV2LnhtbEyPwU7DMBBE70j8g7VI3KjjQisIcaoKqYfe&#10;Sguct/GSBOJ1FLtt6NezcIHLSqMZzbwtFqPv1JGG2Aa2YCYZKOIquJZrCy+71c09qJiQHXaBycIX&#10;RViUlxcF5i6c+JmO21QrKeGYo4UmpT7XOlYNeYyT0BOL9x4Gj0nkUGs34EnKfaenWTbXHluWhQZ7&#10;emqo+twevIV2tgzJ0Ot69fHmTTDnzXp23lh7fTUuH0ElGtNfGH7wBR1KYdqHA7uoOgvySPq94j1M&#10;b0HtLczvDOiy0P/Zy28AAAD//wMAUEsBAi0AFAAGAAgAAAAhALaDOJL+AAAA4QEAABMAAAAAAAAA&#10;AAAAAAAAAAAAAFtDb250ZW50X1R5cGVzXS54bWxQSwECLQAUAAYACAAAACEAOP0h/9YAAACUAQAA&#10;CwAAAAAAAAAAAAAAAAAvAQAAX3JlbHMvLnJlbHNQSwECLQAUAAYACAAAACEAmShLoAwCAAAcBAAA&#10;DgAAAAAAAAAAAAAAAAAuAgAAZHJzL2Uyb0RvYy54bWxQSwECLQAUAAYACAAAACEAJMastNoAAAAD&#10;AQAADwAAAAAAAAAAAAAAAABmBAAAZHJzL2Rvd25yZXYueG1sUEsFBgAAAAAEAAQA8wAAAG0FAAAA&#10;AA==&#10;" filled="f" stroked="f">
              <v:textbox style="mso-fit-shape-to-text:t" inset="0,15pt,0,0">
                <w:txbxContent>
                  <w:p w14:paraId="2DD62DC8" w14:textId="0CA7183E"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140" w14:textId="736EE760" w:rsidR="009E2C9B" w:rsidRDefault="000849B3">
    <w:pPr>
      <w:pStyle w:val="Header"/>
    </w:pPr>
    <w:r>
      <w:rPr>
        <w:noProof/>
      </w:rPr>
      <mc:AlternateContent>
        <mc:Choice Requires="wps">
          <w:drawing>
            <wp:anchor distT="0" distB="0" distL="0" distR="0" simplePos="0" relativeHeight="251696640" behindDoc="0" locked="0" layoutInCell="1" allowOverlap="1" wp14:anchorId="00AF349B" wp14:editId="1094060C">
              <wp:simplePos x="635" y="635"/>
              <wp:positionH relativeFrom="page">
                <wp:align>center</wp:align>
              </wp:positionH>
              <wp:positionV relativeFrom="page">
                <wp:align>top</wp:align>
              </wp:positionV>
              <wp:extent cx="586105" cy="407035"/>
              <wp:effectExtent l="0" t="0" r="4445" b="12065"/>
              <wp:wrapNone/>
              <wp:docPr id="671237956"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7035"/>
                      </a:xfrm>
                      <a:prstGeom prst="rect">
                        <a:avLst/>
                      </a:prstGeom>
                      <a:noFill/>
                      <a:ln>
                        <a:noFill/>
                      </a:ln>
                    </wps:spPr>
                    <wps:txbx>
                      <w:txbxContent>
                        <w:p w14:paraId="7B87DB9F" w14:textId="26015268"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F349B" id="_x0000_t202" coordsize="21600,21600" o:spt="202" path="m,l,21600r21600,l21600,xe">
              <v:stroke joinstyle="miter"/>
              <v:path gradientshapeok="t" o:connecttype="rect"/>
            </v:shapetype>
            <v:shape id="Text Box 1" o:spid="_x0000_s1030" type="#_x0000_t202" alt=" OFFICIAL" style="position:absolute;margin-left:0;margin-top:0;width:46.15pt;height:32.05pt;z-index:251696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NrDQIAABwEAAAOAAAAZHJzL2Uyb0RvYy54bWysU8Fu2zAMvQ/YPwi6L3a6peuMOEXWIsOA&#10;oC2QDj0rshQbkEVBYmJnXz9KjpOu22nYRaZI+pF8fJrf9q1hB+VDA7bk00nOmbISqsbuSv7jefXh&#10;hrOAwlbCgFUlP6rAbxfv3807V6grqMFUyjMCsaHoXMlrRFdkWZC1akWYgFOWghp8K5CufpdVXnSE&#10;3prsKs+vsw585TxIFQJ574cgXyR8rZXER62DQmZKTr1hOn06t/HMFnNR7LxwdSNPbYh/6KIVjaWi&#10;Z6h7gYLtffMHVNtIDwE0TiS0GWjdSJVmoGmm+ZtpNrVwKs1C5AR3pin8P1j5cNi4J8+w/wo9LTAS&#10;0rlQBHLGeXrt2/ilThnFicLjmTbVI5PknN1cT/MZZ5JCn/LP+cdZRMkuPzsf8JuClkWj5J62ksgS&#10;h3XAIXVMibUsrBpj0maM/c1BmNGTXTqMFvbbnjUVFR+730J1pKE8DPsOTq4aKr0WAZ+EpwXTHCRa&#10;fKRDG+hKDieLsxr8z7/5Yz7xTlHOOhJMyS0pmjPz3dI+oraSMf2Sz3K6+dG9HQ27b++AZDilF+Fk&#10;MmMemtHUHtoXkvMyFqKQsJLKlRxH8w4H5dJzkGq5TEkkIydwbTdORuhIV+TyuX8R3p0IR9rUA4xq&#10;EsUb3ofc+Gdwyz0S+2kpkdqByBPjJMG01tNziRp/fU9Zl0e9+AUAAP//AwBQSwMEFAAGAAgAAAAh&#10;ACTGrLTaAAAAAwEAAA8AAABkcnMvZG93bnJldi54bWxMj8FOwzAQRO9I/IO1SNyo40IrCHGqCqmH&#10;3koLnLfxkgTidRS7bejXs3CBy0qjGc28LRaj79SRhtgGtmAmGSjiKriWawsvu9XNPaiYkB12gcnC&#10;F0VYlJcXBeYunPiZjttUKynhmKOFJqU+1zpWDXmMk9ATi/ceBo9J5FBrN+BJyn2np1k21x5bloUG&#10;e3pqqPrcHryFdrYMydDrevXx5k0w5816dt5Ye301Lh9BJRrTXxh+8AUdSmHahwO7qDoL8kj6veI9&#10;TG9B7S3M7wzostD/2ctvAAAA//8DAFBLAQItABQABgAIAAAAIQC2gziS/gAAAOEBAAATAAAAAAAA&#10;AAAAAAAAAAAAAABbQ29udGVudF9UeXBlc10ueG1sUEsBAi0AFAAGAAgAAAAhADj9If/WAAAAlAEA&#10;AAsAAAAAAAAAAAAAAAAALwEAAF9yZWxzLy5yZWxzUEsBAi0AFAAGAAgAAAAhAEBqM2sNAgAAHAQA&#10;AA4AAAAAAAAAAAAAAAAALgIAAGRycy9lMm9Eb2MueG1sUEsBAi0AFAAGAAgAAAAhACTGrLTaAAAA&#10;AwEAAA8AAAAAAAAAAAAAAAAAZwQAAGRycy9kb3ducmV2LnhtbFBLBQYAAAAABAAEAPMAAABuBQAA&#10;AAA=&#10;" filled="f" stroked="f">
              <v:textbox style="mso-fit-shape-to-text:t" inset="0,15pt,0,0">
                <w:txbxContent>
                  <w:p w14:paraId="7B87DB9F" w14:textId="26015268" w:rsidR="000849B3" w:rsidRPr="000849B3" w:rsidRDefault="000849B3" w:rsidP="000849B3">
                    <w:pPr>
                      <w:spacing w:after="0"/>
                      <w:rPr>
                        <w:rFonts w:ascii="Calibri" w:eastAsia="Calibri" w:hAnsi="Calibri" w:cs="Calibri"/>
                        <w:noProof/>
                        <w:color w:val="000000"/>
                      </w:rPr>
                    </w:pPr>
                    <w:r w:rsidRPr="000849B3">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FD9B"/>
    <w:multiLevelType w:val="hybridMultilevel"/>
    <w:tmpl w:val="FFFFFFFF"/>
    <w:lvl w:ilvl="0" w:tplc="7F1A7FEE">
      <w:start w:val="1"/>
      <w:numFmt w:val="bullet"/>
      <w:lvlText w:val=""/>
      <w:lvlJc w:val="left"/>
      <w:pPr>
        <w:ind w:left="720" w:hanging="360"/>
      </w:pPr>
      <w:rPr>
        <w:rFonts w:ascii="Symbol" w:hAnsi="Symbol" w:hint="default"/>
      </w:rPr>
    </w:lvl>
    <w:lvl w:ilvl="1" w:tplc="2E5E3F3E">
      <w:start w:val="1"/>
      <w:numFmt w:val="bullet"/>
      <w:lvlText w:val="o"/>
      <w:lvlJc w:val="left"/>
      <w:pPr>
        <w:ind w:left="1440" w:hanging="360"/>
      </w:pPr>
      <w:rPr>
        <w:rFonts w:ascii="Courier New" w:hAnsi="Courier New" w:hint="default"/>
      </w:rPr>
    </w:lvl>
    <w:lvl w:ilvl="2" w:tplc="BAE0D0BC">
      <w:start w:val="1"/>
      <w:numFmt w:val="bullet"/>
      <w:lvlText w:val=""/>
      <w:lvlJc w:val="left"/>
      <w:pPr>
        <w:ind w:left="2160" w:hanging="360"/>
      </w:pPr>
      <w:rPr>
        <w:rFonts w:ascii="Wingdings" w:hAnsi="Wingdings" w:hint="default"/>
      </w:rPr>
    </w:lvl>
    <w:lvl w:ilvl="3" w:tplc="5CFC8412">
      <w:start w:val="1"/>
      <w:numFmt w:val="bullet"/>
      <w:lvlText w:val=""/>
      <w:lvlJc w:val="left"/>
      <w:pPr>
        <w:ind w:left="2880" w:hanging="360"/>
      </w:pPr>
      <w:rPr>
        <w:rFonts w:ascii="Symbol" w:hAnsi="Symbol" w:hint="default"/>
      </w:rPr>
    </w:lvl>
    <w:lvl w:ilvl="4" w:tplc="4052ED82">
      <w:start w:val="1"/>
      <w:numFmt w:val="bullet"/>
      <w:lvlText w:val="o"/>
      <w:lvlJc w:val="left"/>
      <w:pPr>
        <w:ind w:left="3600" w:hanging="360"/>
      </w:pPr>
      <w:rPr>
        <w:rFonts w:ascii="Courier New" w:hAnsi="Courier New" w:hint="default"/>
      </w:rPr>
    </w:lvl>
    <w:lvl w:ilvl="5" w:tplc="3C6EC7A8">
      <w:start w:val="1"/>
      <w:numFmt w:val="bullet"/>
      <w:lvlText w:val=""/>
      <w:lvlJc w:val="left"/>
      <w:pPr>
        <w:ind w:left="4320" w:hanging="360"/>
      </w:pPr>
      <w:rPr>
        <w:rFonts w:ascii="Wingdings" w:hAnsi="Wingdings" w:hint="default"/>
      </w:rPr>
    </w:lvl>
    <w:lvl w:ilvl="6" w:tplc="1B2A8C84">
      <w:start w:val="1"/>
      <w:numFmt w:val="bullet"/>
      <w:lvlText w:val=""/>
      <w:lvlJc w:val="left"/>
      <w:pPr>
        <w:ind w:left="5040" w:hanging="360"/>
      </w:pPr>
      <w:rPr>
        <w:rFonts w:ascii="Symbol" w:hAnsi="Symbol" w:hint="default"/>
      </w:rPr>
    </w:lvl>
    <w:lvl w:ilvl="7" w:tplc="44FE10E0">
      <w:start w:val="1"/>
      <w:numFmt w:val="bullet"/>
      <w:lvlText w:val="o"/>
      <w:lvlJc w:val="left"/>
      <w:pPr>
        <w:ind w:left="5760" w:hanging="360"/>
      </w:pPr>
      <w:rPr>
        <w:rFonts w:ascii="Courier New" w:hAnsi="Courier New" w:hint="default"/>
      </w:rPr>
    </w:lvl>
    <w:lvl w:ilvl="8" w:tplc="C2441CEE">
      <w:start w:val="1"/>
      <w:numFmt w:val="bullet"/>
      <w:lvlText w:val=""/>
      <w:lvlJc w:val="left"/>
      <w:pPr>
        <w:ind w:left="6480" w:hanging="360"/>
      </w:pPr>
      <w:rPr>
        <w:rFonts w:ascii="Wingdings" w:hAnsi="Wingdings" w:hint="default"/>
      </w:rPr>
    </w:lvl>
  </w:abstractNum>
  <w:abstractNum w:abstractNumId="1" w15:restartNumberingAfterBreak="0">
    <w:nsid w:val="0C9D8378"/>
    <w:multiLevelType w:val="hybridMultilevel"/>
    <w:tmpl w:val="FFFFFFFF"/>
    <w:lvl w:ilvl="0" w:tplc="58F04D82">
      <w:start w:val="1"/>
      <w:numFmt w:val="bullet"/>
      <w:lvlText w:val=""/>
      <w:lvlJc w:val="left"/>
      <w:pPr>
        <w:ind w:left="720" w:hanging="360"/>
      </w:pPr>
      <w:rPr>
        <w:rFonts w:ascii="Symbol" w:hAnsi="Symbol" w:hint="default"/>
      </w:rPr>
    </w:lvl>
    <w:lvl w:ilvl="1" w:tplc="F3882E76">
      <w:start w:val="1"/>
      <w:numFmt w:val="bullet"/>
      <w:lvlText w:val="o"/>
      <w:lvlJc w:val="left"/>
      <w:pPr>
        <w:ind w:left="1440" w:hanging="360"/>
      </w:pPr>
      <w:rPr>
        <w:rFonts w:ascii="Courier New" w:hAnsi="Courier New" w:hint="default"/>
      </w:rPr>
    </w:lvl>
    <w:lvl w:ilvl="2" w:tplc="B6D237D4">
      <w:start w:val="1"/>
      <w:numFmt w:val="bullet"/>
      <w:lvlText w:val=""/>
      <w:lvlJc w:val="left"/>
      <w:pPr>
        <w:ind w:left="2160" w:hanging="360"/>
      </w:pPr>
      <w:rPr>
        <w:rFonts w:ascii="Wingdings" w:hAnsi="Wingdings" w:hint="default"/>
      </w:rPr>
    </w:lvl>
    <w:lvl w:ilvl="3" w:tplc="31643A42">
      <w:start w:val="1"/>
      <w:numFmt w:val="bullet"/>
      <w:lvlText w:val=""/>
      <w:lvlJc w:val="left"/>
      <w:pPr>
        <w:ind w:left="2880" w:hanging="360"/>
      </w:pPr>
      <w:rPr>
        <w:rFonts w:ascii="Symbol" w:hAnsi="Symbol" w:hint="default"/>
      </w:rPr>
    </w:lvl>
    <w:lvl w:ilvl="4" w:tplc="5EF0946A">
      <w:start w:val="1"/>
      <w:numFmt w:val="bullet"/>
      <w:lvlText w:val="o"/>
      <w:lvlJc w:val="left"/>
      <w:pPr>
        <w:ind w:left="3600" w:hanging="360"/>
      </w:pPr>
      <w:rPr>
        <w:rFonts w:ascii="Courier New" w:hAnsi="Courier New" w:hint="default"/>
      </w:rPr>
    </w:lvl>
    <w:lvl w:ilvl="5" w:tplc="363CFDFC">
      <w:start w:val="1"/>
      <w:numFmt w:val="bullet"/>
      <w:lvlText w:val=""/>
      <w:lvlJc w:val="left"/>
      <w:pPr>
        <w:ind w:left="4320" w:hanging="360"/>
      </w:pPr>
      <w:rPr>
        <w:rFonts w:ascii="Wingdings" w:hAnsi="Wingdings" w:hint="default"/>
      </w:rPr>
    </w:lvl>
    <w:lvl w:ilvl="6" w:tplc="2F94ADC4">
      <w:start w:val="1"/>
      <w:numFmt w:val="bullet"/>
      <w:lvlText w:val=""/>
      <w:lvlJc w:val="left"/>
      <w:pPr>
        <w:ind w:left="5040" w:hanging="360"/>
      </w:pPr>
      <w:rPr>
        <w:rFonts w:ascii="Symbol" w:hAnsi="Symbol" w:hint="default"/>
      </w:rPr>
    </w:lvl>
    <w:lvl w:ilvl="7" w:tplc="CE5E7926">
      <w:start w:val="1"/>
      <w:numFmt w:val="bullet"/>
      <w:lvlText w:val="o"/>
      <w:lvlJc w:val="left"/>
      <w:pPr>
        <w:ind w:left="5760" w:hanging="360"/>
      </w:pPr>
      <w:rPr>
        <w:rFonts w:ascii="Courier New" w:hAnsi="Courier New" w:hint="default"/>
      </w:rPr>
    </w:lvl>
    <w:lvl w:ilvl="8" w:tplc="12324B2A">
      <w:start w:val="1"/>
      <w:numFmt w:val="bullet"/>
      <w:lvlText w:val=""/>
      <w:lvlJc w:val="left"/>
      <w:pPr>
        <w:ind w:left="6480" w:hanging="360"/>
      </w:pPr>
      <w:rPr>
        <w:rFonts w:ascii="Wingdings" w:hAnsi="Wingdings" w:hint="default"/>
      </w:rPr>
    </w:lvl>
  </w:abstractNum>
  <w:abstractNum w:abstractNumId="2" w15:restartNumberingAfterBreak="0">
    <w:nsid w:val="0CE172FD"/>
    <w:multiLevelType w:val="hybridMultilevel"/>
    <w:tmpl w:val="FFFFFFFF"/>
    <w:lvl w:ilvl="0" w:tplc="0D8642BA">
      <w:start w:val="1"/>
      <w:numFmt w:val="decimal"/>
      <w:lvlText w:val="%1."/>
      <w:lvlJc w:val="left"/>
      <w:pPr>
        <w:ind w:left="720" w:hanging="360"/>
      </w:pPr>
    </w:lvl>
    <w:lvl w:ilvl="1" w:tplc="4CE68470">
      <w:start w:val="1"/>
      <w:numFmt w:val="lowerLetter"/>
      <w:lvlText w:val="%2."/>
      <w:lvlJc w:val="left"/>
      <w:pPr>
        <w:ind w:left="1440" w:hanging="360"/>
      </w:pPr>
    </w:lvl>
    <w:lvl w:ilvl="2" w:tplc="25D2552C">
      <w:start w:val="1"/>
      <w:numFmt w:val="lowerRoman"/>
      <w:lvlText w:val="%3."/>
      <w:lvlJc w:val="right"/>
      <w:pPr>
        <w:ind w:left="2160" w:hanging="180"/>
      </w:pPr>
    </w:lvl>
    <w:lvl w:ilvl="3" w:tplc="F814C7A6">
      <w:start w:val="1"/>
      <w:numFmt w:val="decimal"/>
      <w:lvlText w:val="%4."/>
      <w:lvlJc w:val="left"/>
      <w:pPr>
        <w:ind w:left="2880" w:hanging="360"/>
      </w:pPr>
    </w:lvl>
    <w:lvl w:ilvl="4" w:tplc="CBDE8B70">
      <w:start w:val="1"/>
      <w:numFmt w:val="lowerLetter"/>
      <w:lvlText w:val="%5."/>
      <w:lvlJc w:val="left"/>
      <w:pPr>
        <w:ind w:left="3600" w:hanging="360"/>
      </w:pPr>
    </w:lvl>
    <w:lvl w:ilvl="5" w:tplc="AEA8EFEE">
      <w:start w:val="1"/>
      <w:numFmt w:val="lowerRoman"/>
      <w:lvlText w:val="%6."/>
      <w:lvlJc w:val="right"/>
      <w:pPr>
        <w:ind w:left="4320" w:hanging="180"/>
      </w:pPr>
    </w:lvl>
    <w:lvl w:ilvl="6" w:tplc="18061ADA">
      <w:start w:val="1"/>
      <w:numFmt w:val="decimal"/>
      <w:lvlText w:val="%7."/>
      <w:lvlJc w:val="left"/>
      <w:pPr>
        <w:ind w:left="5040" w:hanging="360"/>
      </w:pPr>
    </w:lvl>
    <w:lvl w:ilvl="7" w:tplc="9C503012">
      <w:start w:val="1"/>
      <w:numFmt w:val="lowerLetter"/>
      <w:lvlText w:val="%8."/>
      <w:lvlJc w:val="left"/>
      <w:pPr>
        <w:ind w:left="5760" w:hanging="360"/>
      </w:pPr>
    </w:lvl>
    <w:lvl w:ilvl="8" w:tplc="6D048EAE">
      <w:start w:val="1"/>
      <w:numFmt w:val="lowerRoman"/>
      <w:lvlText w:val="%9."/>
      <w:lvlJc w:val="right"/>
      <w:pPr>
        <w:ind w:left="6480" w:hanging="180"/>
      </w:pPr>
    </w:lvl>
  </w:abstractNum>
  <w:abstractNum w:abstractNumId="3" w15:restartNumberingAfterBreak="0">
    <w:nsid w:val="0E959B36"/>
    <w:multiLevelType w:val="hybridMultilevel"/>
    <w:tmpl w:val="FFFFFFFF"/>
    <w:lvl w:ilvl="0" w:tplc="0D0AA7C4">
      <w:start w:val="1"/>
      <w:numFmt w:val="bullet"/>
      <w:lvlText w:val=""/>
      <w:lvlJc w:val="left"/>
      <w:pPr>
        <w:ind w:left="720" w:hanging="360"/>
      </w:pPr>
      <w:rPr>
        <w:rFonts w:ascii="Symbol" w:hAnsi="Symbol" w:hint="default"/>
      </w:rPr>
    </w:lvl>
    <w:lvl w:ilvl="1" w:tplc="99C490AE">
      <w:start w:val="1"/>
      <w:numFmt w:val="bullet"/>
      <w:lvlText w:val="o"/>
      <w:lvlJc w:val="left"/>
      <w:pPr>
        <w:ind w:left="1440" w:hanging="360"/>
      </w:pPr>
      <w:rPr>
        <w:rFonts w:ascii="Courier New" w:hAnsi="Courier New" w:hint="default"/>
      </w:rPr>
    </w:lvl>
    <w:lvl w:ilvl="2" w:tplc="EAD0DD64">
      <w:start w:val="1"/>
      <w:numFmt w:val="bullet"/>
      <w:lvlText w:val=""/>
      <w:lvlJc w:val="left"/>
      <w:pPr>
        <w:ind w:left="2160" w:hanging="360"/>
      </w:pPr>
      <w:rPr>
        <w:rFonts w:ascii="Wingdings" w:hAnsi="Wingdings" w:hint="default"/>
      </w:rPr>
    </w:lvl>
    <w:lvl w:ilvl="3" w:tplc="D4E840EA">
      <w:start w:val="1"/>
      <w:numFmt w:val="bullet"/>
      <w:lvlText w:val=""/>
      <w:lvlJc w:val="left"/>
      <w:pPr>
        <w:ind w:left="2880" w:hanging="360"/>
      </w:pPr>
      <w:rPr>
        <w:rFonts w:ascii="Symbol" w:hAnsi="Symbol" w:hint="default"/>
      </w:rPr>
    </w:lvl>
    <w:lvl w:ilvl="4" w:tplc="C3DED1DA">
      <w:start w:val="1"/>
      <w:numFmt w:val="bullet"/>
      <w:lvlText w:val="o"/>
      <w:lvlJc w:val="left"/>
      <w:pPr>
        <w:ind w:left="3600" w:hanging="360"/>
      </w:pPr>
      <w:rPr>
        <w:rFonts w:ascii="Courier New" w:hAnsi="Courier New" w:hint="default"/>
      </w:rPr>
    </w:lvl>
    <w:lvl w:ilvl="5" w:tplc="314CB2B2">
      <w:start w:val="1"/>
      <w:numFmt w:val="bullet"/>
      <w:lvlText w:val=""/>
      <w:lvlJc w:val="left"/>
      <w:pPr>
        <w:ind w:left="4320" w:hanging="360"/>
      </w:pPr>
      <w:rPr>
        <w:rFonts w:ascii="Wingdings" w:hAnsi="Wingdings" w:hint="default"/>
      </w:rPr>
    </w:lvl>
    <w:lvl w:ilvl="6" w:tplc="FD36ADD8">
      <w:start w:val="1"/>
      <w:numFmt w:val="bullet"/>
      <w:lvlText w:val=""/>
      <w:lvlJc w:val="left"/>
      <w:pPr>
        <w:ind w:left="5040" w:hanging="360"/>
      </w:pPr>
      <w:rPr>
        <w:rFonts w:ascii="Symbol" w:hAnsi="Symbol" w:hint="default"/>
      </w:rPr>
    </w:lvl>
    <w:lvl w:ilvl="7" w:tplc="AB8242E0">
      <w:start w:val="1"/>
      <w:numFmt w:val="bullet"/>
      <w:lvlText w:val="o"/>
      <w:lvlJc w:val="left"/>
      <w:pPr>
        <w:ind w:left="5760" w:hanging="360"/>
      </w:pPr>
      <w:rPr>
        <w:rFonts w:ascii="Courier New" w:hAnsi="Courier New" w:hint="default"/>
      </w:rPr>
    </w:lvl>
    <w:lvl w:ilvl="8" w:tplc="157EE368">
      <w:start w:val="1"/>
      <w:numFmt w:val="bullet"/>
      <w:lvlText w:val=""/>
      <w:lvlJc w:val="left"/>
      <w:pPr>
        <w:ind w:left="6480" w:hanging="360"/>
      </w:pPr>
      <w:rPr>
        <w:rFonts w:ascii="Wingdings" w:hAnsi="Wingdings" w:hint="default"/>
      </w:rPr>
    </w:lvl>
  </w:abstractNum>
  <w:abstractNum w:abstractNumId="4" w15:restartNumberingAfterBreak="0">
    <w:nsid w:val="1E64D7DD"/>
    <w:multiLevelType w:val="hybridMultilevel"/>
    <w:tmpl w:val="FFFFFFFF"/>
    <w:lvl w:ilvl="0" w:tplc="C644CD8A">
      <w:start w:val="1"/>
      <w:numFmt w:val="bullet"/>
      <w:lvlText w:val=""/>
      <w:lvlJc w:val="left"/>
      <w:pPr>
        <w:ind w:left="720" w:hanging="360"/>
      </w:pPr>
      <w:rPr>
        <w:rFonts w:ascii="Symbol" w:hAnsi="Symbol" w:hint="default"/>
      </w:rPr>
    </w:lvl>
    <w:lvl w:ilvl="1" w:tplc="C97878C4">
      <w:start w:val="1"/>
      <w:numFmt w:val="bullet"/>
      <w:lvlText w:val="o"/>
      <w:lvlJc w:val="left"/>
      <w:pPr>
        <w:ind w:left="1440" w:hanging="360"/>
      </w:pPr>
      <w:rPr>
        <w:rFonts w:ascii="Courier New" w:hAnsi="Courier New" w:hint="default"/>
      </w:rPr>
    </w:lvl>
    <w:lvl w:ilvl="2" w:tplc="7ECE2A7E">
      <w:start w:val="1"/>
      <w:numFmt w:val="bullet"/>
      <w:lvlText w:val=""/>
      <w:lvlJc w:val="left"/>
      <w:pPr>
        <w:ind w:left="2160" w:hanging="360"/>
      </w:pPr>
      <w:rPr>
        <w:rFonts w:ascii="Wingdings" w:hAnsi="Wingdings" w:hint="default"/>
      </w:rPr>
    </w:lvl>
    <w:lvl w:ilvl="3" w:tplc="9C3C3132">
      <w:start w:val="1"/>
      <w:numFmt w:val="bullet"/>
      <w:lvlText w:val=""/>
      <w:lvlJc w:val="left"/>
      <w:pPr>
        <w:ind w:left="2880" w:hanging="360"/>
      </w:pPr>
      <w:rPr>
        <w:rFonts w:ascii="Symbol" w:hAnsi="Symbol" w:hint="default"/>
      </w:rPr>
    </w:lvl>
    <w:lvl w:ilvl="4" w:tplc="ABD23C7E">
      <w:start w:val="1"/>
      <w:numFmt w:val="bullet"/>
      <w:lvlText w:val="o"/>
      <w:lvlJc w:val="left"/>
      <w:pPr>
        <w:ind w:left="3600" w:hanging="360"/>
      </w:pPr>
      <w:rPr>
        <w:rFonts w:ascii="Courier New" w:hAnsi="Courier New" w:hint="default"/>
      </w:rPr>
    </w:lvl>
    <w:lvl w:ilvl="5" w:tplc="1CCE507E">
      <w:start w:val="1"/>
      <w:numFmt w:val="bullet"/>
      <w:lvlText w:val=""/>
      <w:lvlJc w:val="left"/>
      <w:pPr>
        <w:ind w:left="4320" w:hanging="360"/>
      </w:pPr>
      <w:rPr>
        <w:rFonts w:ascii="Wingdings" w:hAnsi="Wingdings" w:hint="default"/>
      </w:rPr>
    </w:lvl>
    <w:lvl w:ilvl="6" w:tplc="660417BA">
      <w:start w:val="1"/>
      <w:numFmt w:val="bullet"/>
      <w:lvlText w:val=""/>
      <w:lvlJc w:val="left"/>
      <w:pPr>
        <w:ind w:left="5040" w:hanging="360"/>
      </w:pPr>
      <w:rPr>
        <w:rFonts w:ascii="Symbol" w:hAnsi="Symbol" w:hint="default"/>
      </w:rPr>
    </w:lvl>
    <w:lvl w:ilvl="7" w:tplc="8C7AA54E">
      <w:start w:val="1"/>
      <w:numFmt w:val="bullet"/>
      <w:lvlText w:val="o"/>
      <w:lvlJc w:val="left"/>
      <w:pPr>
        <w:ind w:left="5760" w:hanging="360"/>
      </w:pPr>
      <w:rPr>
        <w:rFonts w:ascii="Courier New" w:hAnsi="Courier New" w:hint="default"/>
      </w:rPr>
    </w:lvl>
    <w:lvl w:ilvl="8" w:tplc="496E7AD4">
      <w:start w:val="1"/>
      <w:numFmt w:val="bullet"/>
      <w:lvlText w:val=""/>
      <w:lvlJc w:val="left"/>
      <w:pPr>
        <w:ind w:left="6480" w:hanging="360"/>
      </w:pPr>
      <w:rPr>
        <w:rFonts w:ascii="Wingdings" w:hAnsi="Wingdings" w:hint="default"/>
      </w:rPr>
    </w:lvl>
  </w:abstractNum>
  <w:abstractNum w:abstractNumId="5" w15:restartNumberingAfterBreak="0">
    <w:nsid w:val="28B323F2"/>
    <w:multiLevelType w:val="hybridMultilevel"/>
    <w:tmpl w:val="FFFFFFFF"/>
    <w:lvl w:ilvl="0" w:tplc="19AEA3A6">
      <w:start w:val="1"/>
      <w:numFmt w:val="bullet"/>
      <w:lvlText w:val=""/>
      <w:lvlJc w:val="left"/>
      <w:pPr>
        <w:ind w:left="720" w:hanging="360"/>
      </w:pPr>
      <w:rPr>
        <w:rFonts w:ascii="Symbol" w:hAnsi="Symbol" w:hint="default"/>
      </w:rPr>
    </w:lvl>
    <w:lvl w:ilvl="1" w:tplc="AE8A5B02">
      <w:start w:val="1"/>
      <w:numFmt w:val="bullet"/>
      <w:lvlText w:val="o"/>
      <w:lvlJc w:val="left"/>
      <w:pPr>
        <w:ind w:left="1440" w:hanging="360"/>
      </w:pPr>
      <w:rPr>
        <w:rFonts w:ascii="Courier New" w:hAnsi="Courier New" w:hint="default"/>
      </w:rPr>
    </w:lvl>
    <w:lvl w:ilvl="2" w:tplc="C04E2A04">
      <w:start w:val="1"/>
      <w:numFmt w:val="bullet"/>
      <w:lvlText w:val=""/>
      <w:lvlJc w:val="left"/>
      <w:pPr>
        <w:ind w:left="2160" w:hanging="360"/>
      </w:pPr>
      <w:rPr>
        <w:rFonts w:ascii="Wingdings" w:hAnsi="Wingdings" w:hint="default"/>
      </w:rPr>
    </w:lvl>
    <w:lvl w:ilvl="3" w:tplc="216C6F34">
      <w:start w:val="1"/>
      <w:numFmt w:val="bullet"/>
      <w:lvlText w:val=""/>
      <w:lvlJc w:val="left"/>
      <w:pPr>
        <w:ind w:left="2880" w:hanging="360"/>
      </w:pPr>
      <w:rPr>
        <w:rFonts w:ascii="Symbol" w:hAnsi="Symbol" w:hint="default"/>
      </w:rPr>
    </w:lvl>
    <w:lvl w:ilvl="4" w:tplc="A69ADE40">
      <w:start w:val="1"/>
      <w:numFmt w:val="bullet"/>
      <w:lvlText w:val="o"/>
      <w:lvlJc w:val="left"/>
      <w:pPr>
        <w:ind w:left="3600" w:hanging="360"/>
      </w:pPr>
      <w:rPr>
        <w:rFonts w:ascii="Courier New" w:hAnsi="Courier New" w:hint="default"/>
      </w:rPr>
    </w:lvl>
    <w:lvl w:ilvl="5" w:tplc="DB9C7A0C">
      <w:start w:val="1"/>
      <w:numFmt w:val="bullet"/>
      <w:lvlText w:val=""/>
      <w:lvlJc w:val="left"/>
      <w:pPr>
        <w:ind w:left="4320" w:hanging="360"/>
      </w:pPr>
      <w:rPr>
        <w:rFonts w:ascii="Wingdings" w:hAnsi="Wingdings" w:hint="default"/>
      </w:rPr>
    </w:lvl>
    <w:lvl w:ilvl="6" w:tplc="A5C4BDBC">
      <w:start w:val="1"/>
      <w:numFmt w:val="bullet"/>
      <w:lvlText w:val=""/>
      <w:lvlJc w:val="left"/>
      <w:pPr>
        <w:ind w:left="5040" w:hanging="360"/>
      </w:pPr>
      <w:rPr>
        <w:rFonts w:ascii="Symbol" w:hAnsi="Symbol" w:hint="default"/>
      </w:rPr>
    </w:lvl>
    <w:lvl w:ilvl="7" w:tplc="8C7AB270">
      <w:start w:val="1"/>
      <w:numFmt w:val="bullet"/>
      <w:lvlText w:val="o"/>
      <w:lvlJc w:val="left"/>
      <w:pPr>
        <w:ind w:left="5760" w:hanging="360"/>
      </w:pPr>
      <w:rPr>
        <w:rFonts w:ascii="Courier New" w:hAnsi="Courier New" w:hint="default"/>
      </w:rPr>
    </w:lvl>
    <w:lvl w:ilvl="8" w:tplc="07C8E300">
      <w:start w:val="1"/>
      <w:numFmt w:val="bullet"/>
      <w:lvlText w:val=""/>
      <w:lvlJc w:val="left"/>
      <w:pPr>
        <w:ind w:left="6480" w:hanging="360"/>
      </w:pPr>
      <w:rPr>
        <w:rFonts w:ascii="Wingdings" w:hAnsi="Wingdings" w:hint="default"/>
      </w:rPr>
    </w:lvl>
  </w:abstractNum>
  <w:abstractNum w:abstractNumId="6" w15:restartNumberingAfterBreak="0">
    <w:nsid w:val="2F8A7B5C"/>
    <w:multiLevelType w:val="multilevel"/>
    <w:tmpl w:val="B3AE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75F9C8"/>
    <w:multiLevelType w:val="hybridMultilevel"/>
    <w:tmpl w:val="FFFFFFFF"/>
    <w:lvl w:ilvl="0" w:tplc="E3B057D4">
      <w:start w:val="1"/>
      <w:numFmt w:val="bullet"/>
      <w:lvlText w:val=""/>
      <w:lvlJc w:val="left"/>
      <w:pPr>
        <w:ind w:left="720" w:hanging="360"/>
      </w:pPr>
      <w:rPr>
        <w:rFonts w:ascii="Symbol" w:hAnsi="Symbol" w:hint="default"/>
      </w:rPr>
    </w:lvl>
    <w:lvl w:ilvl="1" w:tplc="F5160B28">
      <w:start w:val="1"/>
      <w:numFmt w:val="bullet"/>
      <w:lvlText w:val="o"/>
      <w:lvlJc w:val="left"/>
      <w:pPr>
        <w:ind w:left="1440" w:hanging="360"/>
      </w:pPr>
      <w:rPr>
        <w:rFonts w:ascii="Courier New" w:hAnsi="Courier New" w:hint="default"/>
      </w:rPr>
    </w:lvl>
    <w:lvl w:ilvl="2" w:tplc="3B8849B0">
      <w:start w:val="1"/>
      <w:numFmt w:val="bullet"/>
      <w:lvlText w:val=""/>
      <w:lvlJc w:val="left"/>
      <w:pPr>
        <w:ind w:left="2160" w:hanging="360"/>
      </w:pPr>
      <w:rPr>
        <w:rFonts w:ascii="Wingdings" w:hAnsi="Wingdings" w:hint="default"/>
      </w:rPr>
    </w:lvl>
    <w:lvl w:ilvl="3" w:tplc="4AA0522E">
      <w:start w:val="1"/>
      <w:numFmt w:val="bullet"/>
      <w:lvlText w:val=""/>
      <w:lvlJc w:val="left"/>
      <w:pPr>
        <w:ind w:left="2880" w:hanging="360"/>
      </w:pPr>
      <w:rPr>
        <w:rFonts w:ascii="Symbol" w:hAnsi="Symbol" w:hint="default"/>
      </w:rPr>
    </w:lvl>
    <w:lvl w:ilvl="4" w:tplc="027A778C">
      <w:start w:val="1"/>
      <w:numFmt w:val="bullet"/>
      <w:lvlText w:val="o"/>
      <w:lvlJc w:val="left"/>
      <w:pPr>
        <w:ind w:left="3600" w:hanging="360"/>
      </w:pPr>
      <w:rPr>
        <w:rFonts w:ascii="Courier New" w:hAnsi="Courier New" w:hint="default"/>
      </w:rPr>
    </w:lvl>
    <w:lvl w:ilvl="5" w:tplc="991C57CC">
      <w:start w:val="1"/>
      <w:numFmt w:val="bullet"/>
      <w:lvlText w:val=""/>
      <w:lvlJc w:val="left"/>
      <w:pPr>
        <w:ind w:left="4320" w:hanging="360"/>
      </w:pPr>
      <w:rPr>
        <w:rFonts w:ascii="Wingdings" w:hAnsi="Wingdings" w:hint="default"/>
      </w:rPr>
    </w:lvl>
    <w:lvl w:ilvl="6" w:tplc="A3FA4782">
      <w:start w:val="1"/>
      <w:numFmt w:val="bullet"/>
      <w:lvlText w:val=""/>
      <w:lvlJc w:val="left"/>
      <w:pPr>
        <w:ind w:left="5040" w:hanging="360"/>
      </w:pPr>
      <w:rPr>
        <w:rFonts w:ascii="Symbol" w:hAnsi="Symbol" w:hint="default"/>
      </w:rPr>
    </w:lvl>
    <w:lvl w:ilvl="7" w:tplc="B596C318">
      <w:start w:val="1"/>
      <w:numFmt w:val="bullet"/>
      <w:lvlText w:val="o"/>
      <w:lvlJc w:val="left"/>
      <w:pPr>
        <w:ind w:left="5760" w:hanging="360"/>
      </w:pPr>
      <w:rPr>
        <w:rFonts w:ascii="Courier New" w:hAnsi="Courier New" w:hint="default"/>
      </w:rPr>
    </w:lvl>
    <w:lvl w:ilvl="8" w:tplc="1F64C596">
      <w:start w:val="1"/>
      <w:numFmt w:val="bullet"/>
      <w:lvlText w:val=""/>
      <w:lvlJc w:val="left"/>
      <w:pPr>
        <w:ind w:left="6480" w:hanging="360"/>
      </w:pPr>
      <w:rPr>
        <w:rFonts w:ascii="Wingdings" w:hAnsi="Wingdings" w:hint="default"/>
      </w:rPr>
    </w:lvl>
  </w:abstractNum>
  <w:abstractNum w:abstractNumId="8" w15:restartNumberingAfterBreak="0">
    <w:nsid w:val="373F2AF5"/>
    <w:multiLevelType w:val="hybridMultilevel"/>
    <w:tmpl w:val="FFFFFFFF"/>
    <w:lvl w:ilvl="0" w:tplc="D090D3C6">
      <w:start w:val="1"/>
      <w:numFmt w:val="bullet"/>
      <w:lvlText w:val=""/>
      <w:lvlJc w:val="left"/>
      <w:pPr>
        <w:ind w:left="720" w:hanging="360"/>
      </w:pPr>
      <w:rPr>
        <w:rFonts w:ascii="Symbol" w:hAnsi="Symbol" w:hint="default"/>
      </w:rPr>
    </w:lvl>
    <w:lvl w:ilvl="1" w:tplc="CC02FE52">
      <w:start w:val="1"/>
      <w:numFmt w:val="bullet"/>
      <w:lvlText w:val="o"/>
      <w:lvlJc w:val="left"/>
      <w:pPr>
        <w:ind w:left="1440" w:hanging="360"/>
      </w:pPr>
      <w:rPr>
        <w:rFonts w:ascii="Courier New" w:hAnsi="Courier New" w:hint="default"/>
      </w:rPr>
    </w:lvl>
    <w:lvl w:ilvl="2" w:tplc="564059F4">
      <w:start w:val="1"/>
      <w:numFmt w:val="bullet"/>
      <w:lvlText w:val=""/>
      <w:lvlJc w:val="left"/>
      <w:pPr>
        <w:ind w:left="2160" w:hanging="360"/>
      </w:pPr>
      <w:rPr>
        <w:rFonts w:ascii="Wingdings" w:hAnsi="Wingdings" w:hint="default"/>
      </w:rPr>
    </w:lvl>
    <w:lvl w:ilvl="3" w:tplc="6AAA5FC6">
      <w:start w:val="1"/>
      <w:numFmt w:val="bullet"/>
      <w:lvlText w:val=""/>
      <w:lvlJc w:val="left"/>
      <w:pPr>
        <w:ind w:left="2880" w:hanging="360"/>
      </w:pPr>
      <w:rPr>
        <w:rFonts w:ascii="Symbol" w:hAnsi="Symbol" w:hint="default"/>
      </w:rPr>
    </w:lvl>
    <w:lvl w:ilvl="4" w:tplc="C11AB49A">
      <w:start w:val="1"/>
      <w:numFmt w:val="bullet"/>
      <w:lvlText w:val="o"/>
      <w:lvlJc w:val="left"/>
      <w:pPr>
        <w:ind w:left="3600" w:hanging="360"/>
      </w:pPr>
      <w:rPr>
        <w:rFonts w:ascii="Courier New" w:hAnsi="Courier New" w:hint="default"/>
      </w:rPr>
    </w:lvl>
    <w:lvl w:ilvl="5" w:tplc="1506F442">
      <w:start w:val="1"/>
      <w:numFmt w:val="bullet"/>
      <w:lvlText w:val=""/>
      <w:lvlJc w:val="left"/>
      <w:pPr>
        <w:ind w:left="4320" w:hanging="360"/>
      </w:pPr>
      <w:rPr>
        <w:rFonts w:ascii="Wingdings" w:hAnsi="Wingdings" w:hint="default"/>
      </w:rPr>
    </w:lvl>
    <w:lvl w:ilvl="6" w:tplc="16D2FBFA">
      <w:start w:val="1"/>
      <w:numFmt w:val="bullet"/>
      <w:lvlText w:val=""/>
      <w:lvlJc w:val="left"/>
      <w:pPr>
        <w:ind w:left="5040" w:hanging="360"/>
      </w:pPr>
      <w:rPr>
        <w:rFonts w:ascii="Symbol" w:hAnsi="Symbol" w:hint="default"/>
      </w:rPr>
    </w:lvl>
    <w:lvl w:ilvl="7" w:tplc="3196C81E">
      <w:start w:val="1"/>
      <w:numFmt w:val="bullet"/>
      <w:lvlText w:val="o"/>
      <w:lvlJc w:val="left"/>
      <w:pPr>
        <w:ind w:left="5760" w:hanging="360"/>
      </w:pPr>
      <w:rPr>
        <w:rFonts w:ascii="Courier New" w:hAnsi="Courier New" w:hint="default"/>
      </w:rPr>
    </w:lvl>
    <w:lvl w:ilvl="8" w:tplc="AB80D644">
      <w:start w:val="1"/>
      <w:numFmt w:val="bullet"/>
      <w:lvlText w:val=""/>
      <w:lvlJc w:val="left"/>
      <w:pPr>
        <w:ind w:left="6480" w:hanging="360"/>
      </w:pPr>
      <w:rPr>
        <w:rFonts w:ascii="Wingdings" w:hAnsi="Wingdings" w:hint="default"/>
      </w:rPr>
    </w:lvl>
  </w:abstractNum>
  <w:abstractNum w:abstractNumId="9" w15:restartNumberingAfterBreak="0">
    <w:nsid w:val="41A81CFA"/>
    <w:multiLevelType w:val="hybridMultilevel"/>
    <w:tmpl w:val="94AAE9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2E7EF98"/>
    <w:multiLevelType w:val="hybridMultilevel"/>
    <w:tmpl w:val="FFFFFFFF"/>
    <w:lvl w:ilvl="0" w:tplc="C90C6C6E">
      <w:start w:val="1"/>
      <w:numFmt w:val="bullet"/>
      <w:lvlText w:val=""/>
      <w:lvlJc w:val="left"/>
      <w:pPr>
        <w:ind w:left="720" w:hanging="360"/>
      </w:pPr>
      <w:rPr>
        <w:rFonts w:ascii="Symbol" w:hAnsi="Symbol" w:hint="default"/>
      </w:rPr>
    </w:lvl>
    <w:lvl w:ilvl="1" w:tplc="42226B9A">
      <w:start w:val="1"/>
      <w:numFmt w:val="bullet"/>
      <w:lvlText w:val="o"/>
      <w:lvlJc w:val="left"/>
      <w:pPr>
        <w:ind w:left="1440" w:hanging="360"/>
      </w:pPr>
      <w:rPr>
        <w:rFonts w:ascii="Courier New" w:hAnsi="Courier New" w:hint="default"/>
      </w:rPr>
    </w:lvl>
    <w:lvl w:ilvl="2" w:tplc="504A94C2">
      <w:start w:val="1"/>
      <w:numFmt w:val="bullet"/>
      <w:lvlText w:val=""/>
      <w:lvlJc w:val="left"/>
      <w:pPr>
        <w:ind w:left="2160" w:hanging="360"/>
      </w:pPr>
      <w:rPr>
        <w:rFonts w:ascii="Wingdings" w:hAnsi="Wingdings" w:hint="default"/>
      </w:rPr>
    </w:lvl>
    <w:lvl w:ilvl="3" w:tplc="84262BE0">
      <w:start w:val="1"/>
      <w:numFmt w:val="bullet"/>
      <w:lvlText w:val=""/>
      <w:lvlJc w:val="left"/>
      <w:pPr>
        <w:ind w:left="2880" w:hanging="360"/>
      </w:pPr>
      <w:rPr>
        <w:rFonts w:ascii="Symbol" w:hAnsi="Symbol" w:hint="default"/>
      </w:rPr>
    </w:lvl>
    <w:lvl w:ilvl="4" w:tplc="B95EDE14">
      <w:start w:val="1"/>
      <w:numFmt w:val="bullet"/>
      <w:lvlText w:val="o"/>
      <w:lvlJc w:val="left"/>
      <w:pPr>
        <w:ind w:left="3600" w:hanging="360"/>
      </w:pPr>
      <w:rPr>
        <w:rFonts w:ascii="Courier New" w:hAnsi="Courier New" w:hint="default"/>
      </w:rPr>
    </w:lvl>
    <w:lvl w:ilvl="5" w:tplc="2EEEDFF2">
      <w:start w:val="1"/>
      <w:numFmt w:val="bullet"/>
      <w:lvlText w:val=""/>
      <w:lvlJc w:val="left"/>
      <w:pPr>
        <w:ind w:left="4320" w:hanging="360"/>
      </w:pPr>
      <w:rPr>
        <w:rFonts w:ascii="Wingdings" w:hAnsi="Wingdings" w:hint="default"/>
      </w:rPr>
    </w:lvl>
    <w:lvl w:ilvl="6" w:tplc="0A4E94BE">
      <w:start w:val="1"/>
      <w:numFmt w:val="bullet"/>
      <w:lvlText w:val=""/>
      <w:lvlJc w:val="left"/>
      <w:pPr>
        <w:ind w:left="5040" w:hanging="360"/>
      </w:pPr>
      <w:rPr>
        <w:rFonts w:ascii="Symbol" w:hAnsi="Symbol" w:hint="default"/>
      </w:rPr>
    </w:lvl>
    <w:lvl w:ilvl="7" w:tplc="D9A2BA9A">
      <w:start w:val="1"/>
      <w:numFmt w:val="bullet"/>
      <w:lvlText w:val="o"/>
      <w:lvlJc w:val="left"/>
      <w:pPr>
        <w:ind w:left="5760" w:hanging="360"/>
      </w:pPr>
      <w:rPr>
        <w:rFonts w:ascii="Courier New" w:hAnsi="Courier New" w:hint="default"/>
      </w:rPr>
    </w:lvl>
    <w:lvl w:ilvl="8" w:tplc="56BA720E">
      <w:start w:val="1"/>
      <w:numFmt w:val="bullet"/>
      <w:lvlText w:val=""/>
      <w:lvlJc w:val="left"/>
      <w:pPr>
        <w:ind w:left="6480" w:hanging="360"/>
      </w:pPr>
      <w:rPr>
        <w:rFonts w:ascii="Wingdings" w:hAnsi="Wingdings" w:hint="default"/>
      </w:rPr>
    </w:lvl>
  </w:abstractNum>
  <w:abstractNum w:abstractNumId="11" w15:restartNumberingAfterBreak="0">
    <w:nsid w:val="4EA9CE2B"/>
    <w:multiLevelType w:val="hybridMultilevel"/>
    <w:tmpl w:val="6FF68B4A"/>
    <w:lvl w:ilvl="0" w:tplc="39365C12">
      <w:start w:val="1"/>
      <w:numFmt w:val="bullet"/>
      <w:lvlText w:val="-"/>
      <w:lvlJc w:val="left"/>
      <w:pPr>
        <w:ind w:left="720" w:hanging="360"/>
      </w:pPr>
      <w:rPr>
        <w:rFonts w:ascii="Aptos" w:hAnsi="Aptos" w:hint="default"/>
      </w:rPr>
    </w:lvl>
    <w:lvl w:ilvl="1" w:tplc="B1A24B68">
      <w:start w:val="1"/>
      <w:numFmt w:val="bullet"/>
      <w:lvlText w:val="o"/>
      <w:lvlJc w:val="left"/>
      <w:pPr>
        <w:ind w:left="1440" w:hanging="360"/>
      </w:pPr>
      <w:rPr>
        <w:rFonts w:ascii="Courier New" w:hAnsi="Courier New" w:hint="default"/>
      </w:rPr>
    </w:lvl>
    <w:lvl w:ilvl="2" w:tplc="3EEEA5D2">
      <w:start w:val="1"/>
      <w:numFmt w:val="bullet"/>
      <w:lvlText w:val=""/>
      <w:lvlJc w:val="left"/>
      <w:pPr>
        <w:ind w:left="2160" w:hanging="360"/>
      </w:pPr>
      <w:rPr>
        <w:rFonts w:ascii="Wingdings" w:hAnsi="Wingdings" w:hint="default"/>
      </w:rPr>
    </w:lvl>
    <w:lvl w:ilvl="3" w:tplc="E14839A6">
      <w:start w:val="1"/>
      <w:numFmt w:val="bullet"/>
      <w:lvlText w:val=""/>
      <w:lvlJc w:val="left"/>
      <w:pPr>
        <w:ind w:left="2880" w:hanging="360"/>
      </w:pPr>
      <w:rPr>
        <w:rFonts w:ascii="Symbol" w:hAnsi="Symbol" w:hint="default"/>
      </w:rPr>
    </w:lvl>
    <w:lvl w:ilvl="4" w:tplc="067C2818">
      <w:start w:val="1"/>
      <w:numFmt w:val="bullet"/>
      <w:lvlText w:val="o"/>
      <w:lvlJc w:val="left"/>
      <w:pPr>
        <w:ind w:left="3600" w:hanging="360"/>
      </w:pPr>
      <w:rPr>
        <w:rFonts w:ascii="Courier New" w:hAnsi="Courier New" w:hint="default"/>
      </w:rPr>
    </w:lvl>
    <w:lvl w:ilvl="5" w:tplc="A9AE1742">
      <w:start w:val="1"/>
      <w:numFmt w:val="bullet"/>
      <w:lvlText w:val=""/>
      <w:lvlJc w:val="left"/>
      <w:pPr>
        <w:ind w:left="4320" w:hanging="360"/>
      </w:pPr>
      <w:rPr>
        <w:rFonts w:ascii="Wingdings" w:hAnsi="Wingdings" w:hint="default"/>
      </w:rPr>
    </w:lvl>
    <w:lvl w:ilvl="6" w:tplc="A9AA9244">
      <w:start w:val="1"/>
      <w:numFmt w:val="bullet"/>
      <w:lvlText w:val=""/>
      <w:lvlJc w:val="left"/>
      <w:pPr>
        <w:ind w:left="5040" w:hanging="360"/>
      </w:pPr>
      <w:rPr>
        <w:rFonts w:ascii="Symbol" w:hAnsi="Symbol" w:hint="default"/>
      </w:rPr>
    </w:lvl>
    <w:lvl w:ilvl="7" w:tplc="D01AFB80">
      <w:start w:val="1"/>
      <w:numFmt w:val="bullet"/>
      <w:lvlText w:val="o"/>
      <w:lvlJc w:val="left"/>
      <w:pPr>
        <w:ind w:left="5760" w:hanging="360"/>
      </w:pPr>
      <w:rPr>
        <w:rFonts w:ascii="Courier New" w:hAnsi="Courier New" w:hint="default"/>
      </w:rPr>
    </w:lvl>
    <w:lvl w:ilvl="8" w:tplc="E0301864">
      <w:start w:val="1"/>
      <w:numFmt w:val="bullet"/>
      <w:lvlText w:val=""/>
      <w:lvlJc w:val="left"/>
      <w:pPr>
        <w:ind w:left="6480" w:hanging="360"/>
      </w:pPr>
      <w:rPr>
        <w:rFonts w:ascii="Wingdings" w:hAnsi="Wingdings" w:hint="default"/>
      </w:rPr>
    </w:lvl>
  </w:abstractNum>
  <w:abstractNum w:abstractNumId="12" w15:restartNumberingAfterBreak="0">
    <w:nsid w:val="521A2B9C"/>
    <w:multiLevelType w:val="hybridMultilevel"/>
    <w:tmpl w:val="FFFFFFFF"/>
    <w:lvl w:ilvl="0" w:tplc="13C60158">
      <w:start w:val="1"/>
      <w:numFmt w:val="bullet"/>
      <w:lvlText w:val=""/>
      <w:lvlJc w:val="left"/>
      <w:pPr>
        <w:ind w:left="720" w:hanging="360"/>
      </w:pPr>
      <w:rPr>
        <w:rFonts w:ascii="Symbol" w:hAnsi="Symbol" w:hint="default"/>
      </w:rPr>
    </w:lvl>
    <w:lvl w:ilvl="1" w:tplc="EFB0E674">
      <w:start w:val="1"/>
      <w:numFmt w:val="bullet"/>
      <w:lvlText w:val="o"/>
      <w:lvlJc w:val="left"/>
      <w:pPr>
        <w:ind w:left="1440" w:hanging="360"/>
      </w:pPr>
      <w:rPr>
        <w:rFonts w:ascii="Courier New" w:hAnsi="Courier New" w:hint="default"/>
      </w:rPr>
    </w:lvl>
    <w:lvl w:ilvl="2" w:tplc="86B2D0DE">
      <w:start w:val="1"/>
      <w:numFmt w:val="bullet"/>
      <w:lvlText w:val=""/>
      <w:lvlJc w:val="left"/>
      <w:pPr>
        <w:ind w:left="2160" w:hanging="360"/>
      </w:pPr>
      <w:rPr>
        <w:rFonts w:ascii="Wingdings" w:hAnsi="Wingdings" w:hint="default"/>
      </w:rPr>
    </w:lvl>
    <w:lvl w:ilvl="3" w:tplc="59FEC4B2">
      <w:start w:val="1"/>
      <w:numFmt w:val="bullet"/>
      <w:lvlText w:val=""/>
      <w:lvlJc w:val="left"/>
      <w:pPr>
        <w:ind w:left="2880" w:hanging="360"/>
      </w:pPr>
      <w:rPr>
        <w:rFonts w:ascii="Symbol" w:hAnsi="Symbol" w:hint="default"/>
      </w:rPr>
    </w:lvl>
    <w:lvl w:ilvl="4" w:tplc="66600962">
      <w:start w:val="1"/>
      <w:numFmt w:val="bullet"/>
      <w:lvlText w:val="o"/>
      <w:lvlJc w:val="left"/>
      <w:pPr>
        <w:ind w:left="3600" w:hanging="360"/>
      </w:pPr>
      <w:rPr>
        <w:rFonts w:ascii="Courier New" w:hAnsi="Courier New" w:hint="default"/>
      </w:rPr>
    </w:lvl>
    <w:lvl w:ilvl="5" w:tplc="48007666">
      <w:start w:val="1"/>
      <w:numFmt w:val="bullet"/>
      <w:lvlText w:val=""/>
      <w:lvlJc w:val="left"/>
      <w:pPr>
        <w:ind w:left="4320" w:hanging="360"/>
      </w:pPr>
      <w:rPr>
        <w:rFonts w:ascii="Wingdings" w:hAnsi="Wingdings" w:hint="default"/>
      </w:rPr>
    </w:lvl>
    <w:lvl w:ilvl="6" w:tplc="B9E2B702">
      <w:start w:val="1"/>
      <w:numFmt w:val="bullet"/>
      <w:lvlText w:val=""/>
      <w:lvlJc w:val="left"/>
      <w:pPr>
        <w:ind w:left="5040" w:hanging="360"/>
      </w:pPr>
      <w:rPr>
        <w:rFonts w:ascii="Symbol" w:hAnsi="Symbol" w:hint="default"/>
      </w:rPr>
    </w:lvl>
    <w:lvl w:ilvl="7" w:tplc="7EA64408">
      <w:start w:val="1"/>
      <w:numFmt w:val="bullet"/>
      <w:lvlText w:val="o"/>
      <w:lvlJc w:val="left"/>
      <w:pPr>
        <w:ind w:left="5760" w:hanging="360"/>
      </w:pPr>
      <w:rPr>
        <w:rFonts w:ascii="Courier New" w:hAnsi="Courier New" w:hint="default"/>
      </w:rPr>
    </w:lvl>
    <w:lvl w:ilvl="8" w:tplc="41105B6C">
      <w:start w:val="1"/>
      <w:numFmt w:val="bullet"/>
      <w:lvlText w:val=""/>
      <w:lvlJc w:val="left"/>
      <w:pPr>
        <w:ind w:left="6480" w:hanging="360"/>
      </w:pPr>
      <w:rPr>
        <w:rFonts w:ascii="Wingdings" w:hAnsi="Wingdings" w:hint="default"/>
      </w:rPr>
    </w:lvl>
  </w:abstractNum>
  <w:abstractNum w:abstractNumId="13" w15:restartNumberingAfterBreak="0">
    <w:nsid w:val="5A14AF3F"/>
    <w:multiLevelType w:val="hybridMultilevel"/>
    <w:tmpl w:val="FFFFFFFF"/>
    <w:lvl w:ilvl="0" w:tplc="69DA598C">
      <w:start w:val="1"/>
      <w:numFmt w:val="bullet"/>
      <w:lvlText w:val=""/>
      <w:lvlJc w:val="left"/>
      <w:pPr>
        <w:ind w:left="720" w:hanging="360"/>
      </w:pPr>
      <w:rPr>
        <w:rFonts w:ascii="Symbol" w:hAnsi="Symbol" w:hint="default"/>
      </w:rPr>
    </w:lvl>
    <w:lvl w:ilvl="1" w:tplc="E81E6C22">
      <w:start w:val="1"/>
      <w:numFmt w:val="bullet"/>
      <w:lvlText w:val="o"/>
      <w:lvlJc w:val="left"/>
      <w:pPr>
        <w:ind w:left="1440" w:hanging="360"/>
      </w:pPr>
      <w:rPr>
        <w:rFonts w:ascii="Courier New" w:hAnsi="Courier New" w:hint="default"/>
      </w:rPr>
    </w:lvl>
    <w:lvl w:ilvl="2" w:tplc="B726C87E">
      <w:start w:val="1"/>
      <w:numFmt w:val="bullet"/>
      <w:lvlText w:val=""/>
      <w:lvlJc w:val="left"/>
      <w:pPr>
        <w:ind w:left="2160" w:hanging="360"/>
      </w:pPr>
      <w:rPr>
        <w:rFonts w:ascii="Wingdings" w:hAnsi="Wingdings" w:hint="default"/>
      </w:rPr>
    </w:lvl>
    <w:lvl w:ilvl="3" w:tplc="2BEC416C">
      <w:start w:val="1"/>
      <w:numFmt w:val="bullet"/>
      <w:lvlText w:val=""/>
      <w:lvlJc w:val="left"/>
      <w:pPr>
        <w:ind w:left="2880" w:hanging="360"/>
      </w:pPr>
      <w:rPr>
        <w:rFonts w:ascii="Symbol" w:hAnsi="Symbol" w:hint="default"/>
      </w:rPr>
    </w:lvl>
    <w:lvl w:ilvl="4" w:tplc="508A579A">
      <w:start w:val="1"/>
      <w:numFmt w:val="bullet"/>
      <w:lvlText w:val="o"/>
      <w:lvlJc w:val="left"/>
      <w:pPr>
        <w:ind w:left="3600" w:hanging="360"/>
      </w:pPr>
      <w:rPr>
        <w:rFonts w:ascii="Courier New" w:hAnsi="Courier New" w:hint="default"/>
      </w:rPr>
    </w:lvl>
    <w:lvl w:ilvl="5" w:tplc="3E603586">
      <w:start w:val="1"/>
      <w:numFmt w:val="bullet"/>
      <w:lvlText w:val=""/>
      <w:lvlJc w:val="left"/>
      <w:pPr>
        <w:ind w:left="4320" w:hanging="360"/>
      </w:pPr>
      <w:rPr>
        <w:rFonts w:ascii="Wingdings" w:hAnsi="Wingdings" w:hint="default"/>
      </w:rPr>
    </w:lvl>
    <w:lvl w:ilvl="6" w:tplc="CB145B46">
      <w:start w:val="1"/>
      <w:numFmt w:val="bullet"/>
      <w:lvlText w:val=""/>
      <w:lvlJc w:val="left"/>
      <w:pPr>
        <w:ind w:left="5040" w:hanging="360"/>
      </w:pPr>
      <w:rPr>
        <w:rFonts w:ascii="Symbol" w:hAnsi="Symbol" w:hint="default"/>
      </w:rPr>
    </w:lvl>
    <w:lvl w:ilvl="7" w:tplc="FEA821F4">
      <w:start w:val="1"/>
      <w:numFmt w:val="bullet"/>
      <w:lvlText w:val="o"/>
      <w:lvlJc w:val="left"/>
      <w:pPr>
        <w:ind w:left="5760" w:hanging="360"/>
      </w:pPr>
      <w:rPr>
        <w:rFonts w:ascii="Courier New" w:hAnsi="Courier New" w:hint="default"/>
      </w:rPr>
    </w:lvl>
    <w:lvl w:ilvl="8" w:tplc="07A229F0">
      <w:start w:val="1"/>
      <w:numFmt w:val="bullet"/>
      <w:lvlText w:val=""/>
      <w:lvlJc w:val="left"/>
      <w:pPr>
        <w:ind w:left="6480" w:hanging="360"/>
      </w:pPr>
      <w:rPr>
        <w:rFonts w:ascii="Wingdings" w:hAnsi="Wingdings" w:hint="default"/>
      </w:rPr>
    </w:lvl>
  </w:abstractNum>
  <w:abstractNum w:abstractNumId="14" w15:restartNumberingAfterBreak="0">
    <w:nsid w:val="5C0F21DF"/>
    <w:multiLevelType w:val="hybridMultilevel"/>
    <w:tmpl w:val="2ECEDB1C"/>
    <w:lvl w:ilvl="0" w:tplc="757A22FC">
      <w:start w:val="1"/>
      <w:numFmt w:val="bullet"/>
      <w:lvlText w:val=""/>
      <w:lvlJc w:val="left"/>
      <w:pPr>
        <w:ind w:left="720" w:hanging="360"/>
      </w:pPr>
      <w:rPr>
        <w:rFonts w:ascii="Symbol" w:hAnsi="Symbol" w:hint="default"/>
      </w:rPr>
    </w:lvl>
    <w:lvl w:ilvl="1" w:tplc="63C4B428">
      <w:start w:val="1"/>
      <w:numFmt w:val="bullet"/>
      <w:lvlText w:val="o"/>
      <w:lvlJc w:val="left"/>
      <w:pPr>
        <w:ind w:left="1440" w:hanging="360"/>
      </w:pPr>
      <w:rPr>
        <w:rFonts w:ascii="Courier New" w:hAnsi="Courier New" w:hint="default"/>
      </w:rPr>
    </w:lvl>
    <w:lvl w:ilvl="2" w:tplc="1460F23A">
      <w:start w:val="1"/>
      <w:numFmt w:val="bullet"/>
      <w:lvlText w:val=""/>
      <w:lvlJc w:val="left"/>
      <w:pPr>
        <w:ind w:left="2160" w:hanging="360"/>
      </w:pPr>
      <w:rPr>
        <w:rFonts w:ascii="Wingdings" w:hAnsi="Wingdings" w:hint="default"/>
      </w:rPr>
    </w:lvl>
    <w:lvl w:ilvl="3" w:tplc="41F00CF2">
      <w:start w:val="1"/>
      <w:numFmt w:val="bullet"/>
      <w:lvlText w:val=""/>
      <w:lvlJc w:val="left"/>
      <w:pPr>
        <w:ind w:left="2880" w:hanging="360"/>
      </w:pPr>
      <w:rPr>
        <w:rFonts w:ascii="Symbol" w:hAnsi="Symbol" w:hint="default"/>
      </w:rPr>
    </w:lvl>
    <w:lvl w:ilvl="4" w:tplc="E716BCA0">
      <w:start w:val="1"/>
      <w:numFmt w:val="bullet"/>
      <w:lvlText w:val="o"/>
      <w:lvlJc w:val="left"/>
      <w:pPr>
        <w:ind w:left="3600" w:hanging="360"/>
      </w:pPr>
      <w:rPr>
        <w:rFonts w:ascii="Courier New" w:hAnsi="Courier New" w:hint="default"/>
      </w:rPr>
    </w:lvl>
    <w:lvl w:ilvl="5" w:tplc="D45C89A2">
      <w:start w:val="1"/>
      <w:numFmt w:val="bullet"/>
      <w:lvlText w:val=""/>
      <w:lvlJc w:val="left"/>
      <w:pPr>
        <w:ind w:left="4320" w:hanging="360"/>
      </w:pPr>
      <w:rPr>
        <w:rFonts w:ascii="Wingdings" w:hAnsi="Wingdings" w:hint="default"/>
      </w:rPr>
    </w:lvl>
    <w:lvl w:ilvl="6" w:tplc="867020C0">
      <w:start w:val="1"/>
      <w:numFmt w:val="bullet"/>
      <w:lvlText w:val=""/>
      <w:lvlJc w:val="left"/>
      <w:pPr>
        <w:ind w:left="5040" w:hanging="360"/>
      </w:pPr>
      <w:rPr>
        <w:rFonts w:ascii="Symbol" w:hAnsi="Symbol" w:hint="default"/>
      </w:rPr>
    </w:lvl>
    <w:lvl w:ilvl="7" w:tplc="E32246C8">
      <w:start w:val="1"/>
      <w:numFmt w:val="bullet"/>
      <w:lvlText w:val="o"/>
      <w:lvlJc w:val="left"/>
      <w:pPr>
        <w:ind w:left="5760" w:hanging="360"/>
      </w:pPr>
      <w:rPr>
        <w:rFonts w:ascii="Courier New" w:hAnsi="Courier New" w:hint="default"/>
      </w:rPr>
    </w:lvl>
    <w:lvl w:ilvl="8" w:tplc="C0FC09EC">
      <w:start w:val="1"/>
      <w:numFmt w:val="bullet"/>
      <w:lvlText w:val=""/>
      <w:lvlJc w:val="left"/>
      <w:pPr>
        <w:ind w:left="6480" w:hanging="360"/>
      </w:pPr>
      <w:rPr>
        <w:rFonts w:ascii="Wingdings" w:hAnsi="Wingdings" w:hint="default"/>
      </w:rPr>
    </w:lvl>
  </w:abstractNum>
  <w:abstractNum w:abstractNumId="15" w15:restartNumberingAfterBreak="0">
    <w:nsid w:val="6066009A"/>
    <w:multiLevelType w:val="hybridMultilevel"/>
    <w:tmpl w:val="639A83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F6D0734"/>
    <w:multiLevelType w:val="hybridMultilevel"/>
    <w:tmpl w:val="FFFFFFFF"/>
    <w:lvl w:ilvl="0" w:tplc="9D5A2336">
      <w:start w:val="1"/>
      <w:numFmt w:val="bullet"/>
      <w:lvlText w:val=""/>
      <w:lvlJc w:val="left"/>
      <w:pPr>
        <w:ind w:left="720" w:hanging="360"/>
      </w:pPr>
      <w:rPr>
        <w:rFonts w:ascii="Symbol" w:hAnsi="Symbol" w:hint="default"/>
      </w:rPr>
    </w:lvl>
    <w:lvl w:ilvl="1" w:tplc="38685996">
      <w:start w:val="1"/>
      <w:numFmt w:val="bullet"/>
      <w:lvlText w:val="o"/>
      <w:lvlJc w:val="left"/>
      <w:pPr>
        <w:ind w:left="1440" w:hanging="360"/>
      </w:pPr>
      <w:rPr>
        <w:rFonts w:ascii="Courier New" w:hAnsi="Courier New" w:hint="default"/>
      </w:rPr>
    </w:lvl>
    <w:lvl w:ilvl="2" w:tplc="5992CAA4">
      <w:start w:val="1"/>
      <w:numFmt w:val="bullet"/>
      <w:lvlText w:val=""/>
      <w:lvlJc w:val="left"/>
      <w:pPr>
        <w:ind w:left="2160" w:hanging="360"/>
      </w:pPr>
      <w:rPr>
        <w:rFonts w:ascii="Wingdings" w:hAnsi="Wingdings" w:hint="default"/>
      </w:rPr>
    </w:lvl>
    <w:lvl w:ilvl="3" w:tplc="962EFEA8">
      <w:start w:val="1"/>
      <w:numFmt w:val="bullet"/>
      <w:lvlText w:val=""/>
      <w:lvlJc w:val="left"/>
      <w:pPr>
        <w:ind w:left="2880" w:hanging="360"/>
      </w:pPr>
      <w:rPr>
        <w:rFonts w:ascii="Symbol" w:hAnsi="Symbol" w:hint="default"/>
      </w:rPr>
    </w:lvl>
    <w:lvl w:ilvl="4" w:tplc="3D16E186">
      <w:start w:val="1"/>
      <w:numFmt w:val="bullet"/>
      <w:lvlText w:val="o"/>
      <w:lvlJc w:val="left"/>
      <w:pPr>
        <w:ind w:left="3600" w:hanging="360"/>
      </w:pPr>
      <w:rPr>
        <w:rFonts w:ascii="Courier New" w:hAnsi="Courier New" w:hint="default"/>
      </w:rPr>
    </w:lvl>
    <w:lvl w:ilvl="5" w:tplc="83A6EC14">
      <w:start w:val="1"/>
      <w:numFmt w:val="bullet"/>
      <w:lvlText w:val=""/>
      <w:lvlJc w:val="left"/>
      <w:pPr>
        <w:ind w:left="4320" w:hanging="360"/>
      </w:pPr>
      <w:rPr>
        <w:rFonts w:ascii="Wingdings" w:hAnsi="Wingdings" w:hint="default"/>
      </w:rPr>
    </w:lvl>
    <w:lvl w:ilvl="6" w:tplc="4B56B0E8">
      <w:start w:val="1"/>
      <w:numFmt w:val="bullet"/>
      <w:lvlText w:val=""/>
      <w:lvlJc w:val="left"/>
      <w:pPr>
        <w:ind w:left="5040" w:hanging="360"/>
      </w:pPr>
      <w:rPr>
        <w:rFonts w:ascii="Symbol" w:hAnsi="Symbol" w:hint="default"/>
      </w:rPr>
    </w:lvl>
    <w:lvl w:ilvl="7" w:tplc="4538E01C">
      <w:start w:val="1"/>
      <w:numFmt w:val="bullet"/>
      <w:lvlText w:val="o"/>
      <w:lvlJc w:val="left"/>
      <w:pPr>
        <w:ind w:left="5760" w:hanging="360"/>
      </w:pPr>
      <w:rPr>
        <w:rFonts w:ascii="Courier New" w:hAnsi="Courier New" w:hint="default"/>
      </w:rPr>
    </w:lvl>
    <w:lvl w:ilvl="8" w:tplc="0DBEAA88">
      <w:start w:val="1"/>
      <w:numFmt w:val="bullet"/>
      <w:lvlText w:val=""/>
      <w:lvlJc w:val="left"/>
      <w:pPr>
        <w:ind w:left="6480" w:hanging="360"/>
      </w:pPr>
      <w:rPr>
        <w:rFonts w:ascii="Wingdings" w:hAnsi="Wingdings" w:hint="default"/>
      </w:rPr>
    </w:lvl>
  </w:abstractNum>
  <w:abstractNum w:abstractNumId="17" w15:restartNumberingAfterBreak="0">
    <w:nsid w:val="7DA50619"/>
    <w:multiLevelType w:val="hybridMultilevel"/>
    <w:tmpl w:val="FFFFFFFF"/>
    <w:lvl w:ilvl="0" w:tplc="D3AC1B40">
      <w:start w:val="1"/>
      <w:numFmt w:val="lowerLetter"/>
      <w:lvlText w:val="%1."/>
      <w:lvlJc w:val="left"/>
      <w:pPr>
        <w:ind w:left="720" w:hanging="360"/>
      </w:pPr>
    </w:lvl>
    <w:lvl w:ilvl="1" w:tplc="AB6A93F2">
      <w:start w:val="1"/>
      <w:numFmt w:val="lowerLetter"/>
      <w:lvlText w:val="%2."/>
      <w:lvlJc w:val="left"/>
      <w:pPr>
        <w:ind w:left="1440" w:hanging="360"/>
      </w:pPr>
    </w:lvl>
    <w:lvl w:ilvl="2" w:tplc="4F9EB048">
      <w:start w:val="1"/>
      <w:numFmt w:val="lowerRoman"/>
      <w:lvlText w:val="%3."/>
      <w:lvlJc w:val="right"/>
      <w:pPr>
        <w:ind w:left="2160" w:hanging="180"/>
      </w:pPr>
    </w:lvl>
    <w:lvl w:ilvl="3" w:tplc="62BAE974">
      <w:start w:val="1"/>
      <w:numFmt w:val="decimal"/>
      <w:lvlText w:val="%4."/>
      <w:lvlJc w:val="left"/>
      <w:pPr>
        <w:ind w:left="2880" w:hanging="360"/>
      </w:pPr>
    </w:lvl>
    <w:lvl w:ilvl="4" w:tplc="95D0EEC0">
      <w:start w:val="1"/>
      <w:numFmt w:val="lowerLetter"/>
      <w:lvlText w:val="%5."/>
      <w:lvlJc w:val="left"/>
      <w:pPr>
        <w:ind w:left="3600" w:hanging="360"/>
      </w:pPr>
    </w:lvl>
    <w:lvl w:ilvl="5" w:tplc="E0E40B52">
      <w:start w:val="1"/>
      <w:numFmt w:val="lowerRoman"/>
      <w:lvlText w:val="%6."/>
      <w:lvlJc w:val="right"/>
      <w:pPr>
        <w:ind w:left="4320" w:hanging="180"/>
      </w:pPr>
    </w:lvl>
    <w:lvl w:ilvl="6" w:tplc="CB1A4B6A">
      <w:start w:val="1"/>
      <w:numFmt w:val="decimal"/>
      <w:lvlText w:val="%7."/>
      <w:lvlJc w:val="left"/>
      <w:pPr>
        <w:ind w:left="5040" w:hanging="360"/>
      </w:pPr>
    </w:lvl>
    <w:lvl w:ilvl="7" w:tplc="A3848798">
      <w:start w:val="1"/>
      <w:numFmt w:val="lowerLetter"/>
      <w:lvlText w:val="%8."/>
      <w:lvlJc w:val="left"/>
      <w:pPr>
        <w:ind w:left="5760" w:hanging="360"/>
      </w:pPr>
    </w:lvl>
    <w:lvl w:ilvl="8" w:tplc="40C0682E">
      <w:start w:val="1"/>
      <w:numFmt w:val="lowerRoman"/>
      <w:lvlText w:val="%9."/>
      <w:lvlJc w:val="right"/>
      <w:pPr>
        <w:ind w:left="6480" w:hanging="180"/>
      </w:pPr>
    </w:lvl>
  </w:abstractNum>
  <w:abstractNum w:abstractNumId="18" w15:restartNumberingAfterBreak="0">
    <w:nsid w:val="7F745DDF"/>
    <w:multiLevelType w:val="multilevel"/>
    <w:tmpl w:val="124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754705">
    <w:abstractNumId w:val="14"/>
  </w:num>
  <w:num w:numId="2" w16cid:durableId="100030906">
    <w:abstractNumId w:val="11"/>
  </w:num>
  <w:num w:numId="3" w16cid:durableId="910652097">
    <w:abstractNumId w:val="5"/>
  </w:num>
  <w:num w:numId="4" w16cid:durableId="1199927944">
    <w:abstractNumId w:val="7"/>
  </w:num>
  <w:num w:numId="5" w16cid:durableId="452871326">
    <w:abstractNumId w:val="12"/>
  </w:num>
  <w:num w:numId="6" w16cid:durableId="1917863520">
    <w:abstractNumId w:val="3"/>
  </w:num>
  <w:num w:numId="7" w16cid:durableId="716515655">
    <w:abstractNumId w:val="1"/>
  </w:num>
  <w:num w:numId="8" w16cid:durableId="1206404124">
    <w:abstractNumId w:val="16"/>
  </w:num>
  <w:num w:numId="9" w16cid:durableId="1701272146">
    <w:abstractNumId w:val="0"/>
  </w:num>
  <w:num w:numId="10" w16cid:durableId="757404881">
    <w:abstractNumId w:val="13"/>
  </w:num>
  <w:num w:numId="11" w16cid:durableId="1646011440">
    <w:abstractNumId w:val="4"/>
  </w:num>
  <w:num w:numId="12" w16cid:durableId="1146781181">
    <w:abstractNumId w:val="8"/>
  </w:num>
  <w:num w:numId="13" w16cid:durableId="1417089017">
    <w:abstractNumId w:val="10"/>
  </w:num>
  <w:num w:numId="14" w16cid:durableId="1549220160">
    <w:abstractNumId w:val="2"/>
  </w:num>
  <w:num w:numId="15" w16cid:durableId="1410612221">
    <w:abstractNumId w:val="17"/>
  </w:num>
  <w:num w:numId="16" w16cid:durableId="1174994959">
    <w:abstractNumId w:val="6"/>
  </w:num>
  <w:num w:numId="17" w16cid:durableId="380062216">
    <w:abstractNumId w:val="15"/>
  </w:num>
  <w:num w:numId="18" w16cid:durableId="850219337">
    <w:abstractNumId w:val="18"/>
  </w:num>
  <w:num w:numId="19" w16cid:durableId="1031489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9972FF"/>
    <w:rsid w:val="0000334F"/>
    <w:rsid w:val="000142D8"/>
    <w:rsid w:val="00016DA4"/>
    <w:rsid w:val="0002114F"/>
    <w:rsid w:val="0006446B"/>
    <w:rsid w:val="00065DC9"/>
    <w:rsid w:val="00080755"/>
    <w:rsid w:val="000849B3"/>
    <w:rsid w:val="00090621"/>
    <w:rsid w:val="00091793"/>
    <w:rsid w:val="000A1D5C"/>
    <w:rsid w:val="000A29CD"/>
    <w:rsid w:val="000B5DBE"/>
    <w:rsid w:val="000B733C"/>
    <w:rsid w:val="000D102C"/>
    <w:rsid w:val="000E6DA1"/>
    <w:rsid w:val="000F048C"/>
    <w:rsid w:val="000F6A60"/>
    <w:rsid w:val="000F7372"/>
    <w:rsid w:val="000F7472"/>
    <w:rsid w:val="001012B0"/>
    <w:rsid w:val="0010368D"/>
    <w:rsid w:val="00103F2F"/>
    <w:rsid w:val="00106E9F"/>
    <w:rsid w:val="00116514"/>
    <w:rsid w:val="00117F9F"/>
    <w:rsid w:val="00121433"/>
    <w:rsid w:val="00121627"/>
    <w:rsid w:val="001233A6"/>
    <w:rsid w:val="001262E0"/>
    <w:rsid w:val="00131FD6"/>
    <w:rsid w:val="00155FAE"/>
    <w:rsid w:val="00156AF4"/>
    <w:rsid w:val="00163CCD"/>
    <w:rsid w:val="00166DD2"/>
    <w:rsid w:val="00174EE0"/>
    <w:rsid w:val="00190EBE"/>
    <w:rsid w:val="00196936"/>
    <w:rsid w:val="001A0B49"/>
    <w:rsid w:val="001B5AF9"/>
    <w:rsid w:val="001D34C7"/>
    <w:rsid w:val="001D60F6"/>
    <w:rsid w:val="001E1B09"/>
    <w:rsid w:val="001F78AD"/>
    <w:rsid w:val="002039FD"/>
    <w:rsid w:val="00203A5D"/>
    <w:rsid w:val="00210940"/>
    <w:rsid w:val="002175D3"/>
    <w:rsid w:val="00226F87"/>
    <w:rsid w:val="0023115C"/>
    <w:rsid w:val="002342C1"/>
    <w:rsid w:val="002455EA"/>
    <w:rsid w:val="002544F8"/>
    <w:rsid w:val="0027043B"/>
    <w:rsid w:val="00270472"/>
    <w:rsid w:val="0027180C"/>
    <w:rsid w:val="002763FE"/>
    <w:rsid w:val="0027640E"/>
    <w:rsid w:val="00291F0F"/>
    <w:rsid w:val="002A2FC2"/>
    <w:rsid w:val="002B0069"/>
    <w:rsid w:val="002B3DA5"/>
    <w:rsid w:val="002D20AA"/>
    <w:rsid w:val="002D4276"/>
    <w:rsid w:val="002E2445"/>
    <w:rsid w:val="002E3072"/>
    <w:rsid w:val="002E449A"/>
    <w:rsid w:val="002F1363"/>
    <w:rsid w:val="0031509C"/>
    <w:rsid w:val="0031719E"/>
    <w:rsid w:val="00340D75"/>
    <w:rsid w:val="00347AF3"/>
    <w:rsid w:val="00354BC7"/>
    <w:rsid w:val="00360847"/>
    <w:rsid w:val="00367654"/>
    <w:rsid w:val="00381ACA"/>
    <w:rsid w:val="00384387"/>
    <w:rsid w:val="00384FA0"/>
    <w:rsid w:val="00385809"/>
    <w:rsid w:val="003A622A"/>
    <w:rsid w:val="003A7AD3"/>
    <w:rsid w:val="003B743E"/>
    <w:rsid w:val="003B7A8D"/>
    <w:rsid w:val="003C72C1"/>
    <w:rsid w:val="003D5126"/>
    <w:rsid w:val="003D7EA3"/>
    <w:rsid w:val="003E30BF"/>
    <w:rsid w:val="003E35D5"/>
    <w:rsid w:val="003F17E3"/>
    <w:rsid w:val="003F68D2"/>
    <w:rsid w:val="004054FD"/>
    <w:rsid w:val="00412B36"/>
    <w:rsid w:val="004133BA"/>
    <w:rsid w:val="0042042C"/>
    <w:rsid w:val="00420A1D"/>
    <w:rsid w:val="00421C8E"/>
    <w:rsid w:val="004220BC"/>
    <w:rsid w:val="00431DF9"/>
    <w:rsid w:val="0046D40F"/>
    <w:rsid w:val="00472406"/>
    <w:rsid w:val="00493C41"/>
    <w:rsid w:val="00493E83"/>
    <w:rsid w:val="004A25EB"/>
    <w:rsid w:val="004A5315"/>
    <w:rsid w:val="004C3A1A"/>
    <w:rsid w:val="004C53BF"/>
    <w:rsid w:val="004D6766"/>
    <w:rsid w:val="004E415B"/>
    <w:rsid w:val="00522423"/>
    <w:rsid w:val="00535E37"/>
    <w:rsid w:val="00536167"/>
    <w:rsid w:val="00543EF0"/>
    <w:rsid w:val="00556A13"/>
    <w:rsid w:val="005703A2"/>
    <w:rsid w:val="00572E7C"/>
    <w:rsid w:val="0057373D"/>
    <w:rsid w:val="00582666"/>
    <w:rsid w:val="005864D0"/>
    <w:rsid w:val="00594B4E"/>
    <w:rsid w:val="005A7210"/>
    <w:rsid w:val="005A7A2E"/>
    <w:rsid w:val="005B3EDD"/>
    <w:rsid w:val="005B4780"/>
    <w:rsid w:val="005B679E"/>
    <w:rsid w:val="005C5FC3"/>
    <w:rsid w:val="005D24BA"/>
    <w:rsid w:val="005D74A6"/>
    <w:rsid w:val="005E2AA8"/>
    <w:rsid w:val="005F03C6"/>
    <w:rsid w:val="006153BF"/>
    <w:rsid w:val="00620A8F"/>
    <w:rsid w:val="00627157"/>
    <w:rsid w:val="0063419A"/>
    <w:rsid w:val="006371DC"/>
    <w:rsid w:val="006427CC"/>
    <w:rsid w:val="0066499E"/>
    <w:rsid w:val="00670B90"/>
    <w:rsid w:val="00685D25"/>
    <w:rsid w:val="0068605E"/>
    <w:rsid w:val="006A0A17"/>
    <w:rsid w:val="006A1150"/>
    <w:rsid w:val="006A78B2"/>
    <w:rsid w:val="006B12DE"/>
    <w:rsid w:val="006B6F22"/>
    <w:rsid w:val="006C2E36"/>
    <w:rsid w:val="006D18DA"/>
    <w:rsid w:val="006D2A06"/>
    <w:rsid w:val="006D49D3"/>
    <w:rsid w:val="006E4256"/>
    <w:rsid w:val="006E8052"/>
    <w:rsid w:val="00702E44"/>
    <w:rsid w:val="0072060B"/>
    <w:rsid w:val="00722093"/>
    <w:rsid w:val="00730714"/>
    <w:rsid w:val="00733013"/>
    <w:rsid w:val="00736FEC"/>
    <w:rsid w:val="007546D6"/>
    <w:rsid w:val="007548FE"/>
    <w:rsid w:val="00762CC0"/>
    <w:rsid w:val="007647D5"/>
    <w:rsid w:val="0077365C"/>
    <w:rsid w:val="0077560F"/>
    <w:rsid w:val="007759AB"/>
    <w:rsid w:val="00775F3F"/>
    <w:rsid w:val="00780768"/>
    <w:rsid w:val="00795DEF"/>
    <w:rsid w:val="007A66B4"/>
    <w:rsid w:val="007B4492"/>
    <w:rsid w:val="007B6EC7"/>
    <w:rsid w:val="007B7DB2"/>
    <w:rsid w:val="007E3485"/>
    <w:rsid w:val="007E3C86"/>
    <w:rsid w:val="007E430D"/>
    <w:rsid w:val="007E5FAF"/>
    <w:rsid w:val="007E6E71"/>
    <w:rsid w:val="007F4A4B"/>
    <w:rsid w:val="00805B3C"/>
    <w:rsid w:val="008115A4"/>
    <w:rsid w:val="008218F9"/>
    <w:rsid w:val="00825391"/>
    <w:rsid w:val="00834A2F"/>
    <w:rsid w:val="008419D1"/>
    <w:rsid w:val="00845333"/>
    <w:rsid w:val="008546CC"/>
    <w:rsid w:val="00873878"/>
    <w:rsid w:val="00881907"/>
    <w:rsid w:val="00884811"/>
    <w:rsid w:val="008859F9"/>
    <w:rsid w:val="00890B5F"/>
    <w:rsid w:val="008A1B91"/>
    <w:rsid w:val="008A5CB6"/>
    <w:rsid w:val="008B0E54"/>
    <w:rsid w:val="008B520B"/>
    <w:rsid w:val="008B59BA"/>
    <w:rsid w:val="008D3DA9"/>
    <w:rsid w:val="008D79B1"/>
    <w:rsid w:val="008E437D"/>
    <w:rsid w:val="008E6951"/>
    <w:rsid w:val="008E7D93"/>
    <w:rsid w:val="008F1A04"/>
    <w:rsid w:val="008F6DB7"/>
    <w:rsid w:val="0090111D"/>
    <w:rsid w:val="009031F2"/>
    <w:rsid w:val="00904B12"/>
    <w:rsid w:val="0090761E"/>
    <w:rsid w:val="00911FE2"/>
    <w:rsid w:val="00924402"/>
    <w:rsid w:val="00931A1F"/>
    <w:rsid w:val="00931FE5"/>
    <w:rsid w:val="00953812"/>
    <w:rsid w:val="00960327"/>
    <w:rsid w:val="009759B0"/>
    <w:rsid w:val="00987807"/>
    <w:rsid w:val="00992C00"/>
    <w:rsid w:val="009A1890"/>
    <w:rsid w:val="009A381F"/>
    <w:rsid w:val="009B35E4"/>
    <w:rsid w:val="009C4A2F"/>
    <w:rsid w:val="009C636F"/>
    <w:rsid w:val="009D0CAD"/>
    <w:rsid w:val="009D299D"/>
    <w:rsid w:val="009D7FE9"/>
    <w:rsid w:val="009E164E"/>
    <w:rsid w:val="009E2C9B"/>
    <w:rsid w:val="009E78A9"/>
    <w:rsid w:val="00A14ACD"/>
    <w:rsid w:val="00A21964"/>
    <w:rsid w:val="00A21E75"/>
    <w:rsid w:val="00A21FAC"/>
    <w:rsid w:val="00A26D50"/>
    <w:rsid w:val="00A3592A"/>
    <w:rsid w:val="00A36531"/>
    <w:rsid w:val="00A44737"/>
    <w:rsid w:val="00A5732E"/>
    <w:rsid w:val="00A669EC"/>
    <w:rsid w:val="00A6711F"/>
    <w:rsid w:val="00A75BE1"/>
    <w:rsid w:val="00A76363"/>
    <w:rsid w:val="00AA179F"/>
    <w:rsid w:val="00AA653D"/>
    <w:rsid w:val="00AB2C4C"/>
    <w:rsid w:val="00AC6F64"/>
    <w:rsid w:val="00AF5052"/>
    <w:rsid w:val="00AF6DE6"/>
    <w:rsid w:val="00B12A1A"/>
    <w:rsid w:val="00B15D0A"/>
    <w:rsid w:val="00B16752"/>
    <w:rsid w:val="00B22FDB"/>
    <w:rsid w:val="00B26628"/>
    <w:rsid w:val="00B33B8D"/>
    <w:rsid w:val="00B40E7A"/>
    <w:rsid w:val="00B522A9"/>
    <w:rsid w:val="00B61A67"/>
    <w:rsid w:val="00B8415E"/>
    <w:rsid w:val="00B94453"/>
    <w:rsid w:val="00B97A31"/>
    <w:rsid w:val="00B97FC8"/>
    <w:rsid w:val="00BA205A"/>
    <w:rsid w:val="00BA68E6"/>
    <w:rsid w:val="00BB7357"/>
    <w:rsid w:val="00BC0BAA"/>
    <w:rsid w:val="00BD0638"/>
    <w:rsid w:val="00BD401A"/>
    <w:rsid w:val="00BE3205"/>
    <w:rsid w:val="00BE52FB"/>
    <w:rsid w:val="00C00919"/>
    <w:rsid w:val="00C01B3F"/>
    <w:rsid w:val="00C13CFC"/>
    <w:rsid w:val="00C2312D"/>
    <w:rsid w:val="00C24122"/>
    <w:rsid w:val="00C33FBE"/>
    <w:rsid w:val="00C44D06"/>
    <w:rsid w:val="00C451B4"/>
    <w:rsid w:val="00C92C07"/>
    <w:rsid w:val="00C93A0A"/>
    <w:rsid w:val="00C941CB"/>
    <w:rsid w:val="00C95793"/>
    <w:rsid w:val="00C9D593"/>
    <w:rsid w:val="00CA0ECF"/>
    <w:rsid w:val="00CB4134"/>
    <w:rsid w:val="00CC19F7"/>
    <w:rsid w:val="00CC755A"/>
    <w:rsid w:val="00CE1416"/>
    <w:rsid w:val="00CF2C03"/>
    <w:rsid w:val="00D1750A"/>
    <w:rsid w:val="00D25C26"/>
    <w:rsid w:val="00D32DEE"/>
    <w:rsid w:val="00D3461D"/>
    <w:rsid w:val="00D50783"/>
    <w:rsid w:val="00D50B31"/>
    <w:rsid w:val="00D575DC"/>
    <w:rsid w:val="00D65168"/>
    <w:rsid w:val="00D805AA"/>
    <w:rsid w:val="00D833C5"/>
    <w:rsid w:val="00D94EFF"/>
    <w:rsid w:val="00DA1799"/>
    <w:rsid w:val="00DB6095"/>
    <w:rsid w:val="00DC32BA"/>
    <w:rsid w:val="00DC605E"/>
    <w:rsid w:val="00DD2C64"/>
    <w:rsid w:val="00DD5EEC"/>
    <w:rsid w:val="00DE76A9"/>
    <w:rsid w:val="00DF2211"/>
    <w:rsid w:val="00DF6A8C"/>
    <w:rsid w:val="00E0C468"/>
    <w:rsid w:val="00E17FD4"/>
    <w:rsid w:val="00E26394"/>
    <w:rsid w:val="00E4213B"/>
    <w:rsid w:val="00E424A5"/>
    <w:rsid w:val="00E42AA0"/>
    <w:rsid w:val="00E42FB3"/>
    <w:rsid w:val="00E45536"/>
    <w:rsid w:val="00E60F48"/>
    <w:rsid w:val="00E61A03"/>
    <w:rsid w:val="00E723BA"/>
    <w:rsid w:val="00E84ECA"/>
    <w:rsid w:val="00E9081B"/>
    <w:rsid w:val="00E92016"/>
    <w:rsid w:val="00E96F48"/>
    <w:rsid w:val="00EB6251"/>
    <w:rsid w:val="00EB7979"/>
    <w:rsid w:val="00ED19AC"/>
    <w:rsid w:val="00ED548E"/>
    <w:rsid w:val="00EE0F89"/>
    <w:rsid w:val="00EF6AF7"/>
    <w:rsid w:val="00F1134F"/>
    <w:rsid w:val="00F13F94"/>
    <w:rsid w:val="00F34660"/>
    <w:rsid w:val="00F45140"/>
    <w:rsid w:val="00F62B94"/>
    <w:rsid w:val="00F74F86"/>
    <w:rsid w:val="00F7765D"/>
    <w:rsid w:val="00FA198C"/>
    <w:rsid w:val="00FA313D"/>
    <w:rsid w:val="00FB0FE5"/>
    <w:rsid w:val="00FB4509"/>
    <w:rsid w:val="00FC6B25"/>
    <w:rsid w:val="00FD5645"/>
    <w:rsid w:val="00FE07BE"/>
    <w:rsid w:val="00FE32F3"/>
    <w:rsid w:val="00FF2E30"/>
    <w:rsid w:val="0135A460"/>
    <w:rsid w:val="01B812D6"/>
    <w:rsid w:val="01DE3CE2"/>
    <w:rsid w:val="01EA3418"/>
    <w:rsid w:val="02117007"/>
    <w:rsid w:val="025E095A"/>
    <w:rsid w:val="02CAC64E"/>
    <w:rsid w:val="02DBDCC3"/>
    <w:rsid w:val="02EDB386"/>
    <w:rsid w:val="0387C909"/>
    <w:rsid w:val="03986948"/>
    <w:rsid w:val="03B8FBC0"/>
    <w:rsid w:val="04E3098D"/>
    <w:rsid w:val="05467974"/>
    <w:rsid w:val="0597E2BC"/>
    <w:rsid w:val="05A06CFD"/>
    <w:rsid w:val="05F5E135"/>
    <w:rsid w:val="064B8580"/>
    <w:rsid w:val="0671702C"/>
    <w:rsid w:val="07202022"/>
    <w:rsid w:val="07AA4477"/>
    <w:rsid w:val="07CB36F5"/>
    <w:rsid w:val="07D5CA23"/>
    <w:rsid w:val="07FFB0A9"/>
    <w:rsid w:val="081EAAEE"/>
    <w:rsid w:val="090E051B"/>
    <w:rsid w:val="0941574F"/>
    <w:rsid w:val="095126C2"/>
    <w:rsid w:val="09851DAD"/>
    <w:rsid w:val="0A7E971C"/>
    <w:rsid w:val="0A99F5EF"/>
    <w:rsid w:val="0AA7956F"/>
    <w:rsid w:val="0AFA6AE2"/>
    <w:rsid w:val="0B482523"/>
    <w:rsid w:val="0BB2B2C4"/>
    <w:rsid w:val="0BD2C09F"/>
    <w:rsid w:val="0CC38EE1"/>
    <w:rsid w:val="0CF9B944"/>
    <w:rsid w:val="0D5627E8"/>
    <w:rsid w:val="0DD8F383"/>
    <w:rsid w:val="0E037423"/>
    <w:rsid w:val="0E9B016F"/>
    <w:rsid w:val="0F098F07"/>
    <w:rsid w:val="0F4487AF"/>
    <w:rsid w:val="0F8693AC"/>
    <w:rsid w:val="0FF28F4C"/>
    <w:rsid w:val="10026B5F"/>
    <w:rsid w:val="10AA16C0"/>
    <w:rsid w:val="10EC4329"/>
    <w:rsid w:val="10FF19C1"/>
    <w:rsid w:val="1196EBA5"/>
    <w:rsid w:val="124DA169"/>
    <w:rsid w:val="12C1EB05"/>
    <w:rsid w:val="1336B3A4"/>
    <w:rsid w:val="136A3081"/>
    <w:rsid w:val="137844A7"/>
    <w:rsid w:val="13A616BC"/>
    <w:rsid w:val="14281C01"/>
    <w:rsid w:val="144D52D5"/>
    <w:rsid w:val="1478A5B8"/>
    <w:rsid w:val="1481FC80"/>
    <w:rsid w:val="14CABF46"/>
    <w:rsid w:val="1535CB69"/>
    <w:rsid w:val="1553741A"/>
    <w:rsid w:val="159F74A7"/>
    <w:rsid w:val="171F1B8E"/>
    <w:rsid w:val="17DD4031"/>
    <w:rsid w:val="1840D77D"/>
    <w:rsid w:val="1893262F"/>
    <w:rsid w:val="18BAEF1B"/>
    <w:rsid w:val="18C8FEDD"/>
    <w:rsid w:val="18DFE624"/>
    <w:rsid w:val="191088C0"/>
    <w:rsid w:val="191D0DFD"/>
    <w:rsid w:val="196E14FE"/>
    <w:rsid w:val="199A4FEB"/>
    <w:rsid w:val="19E4F908"/>
    <w:rsid w:val="1A08DB3B"/>
    <w:rsid w:val="1A31243A"/>
    <w:rsid w:val="1A75C550"/>
    <w:rsid w:val="1ABA7992"/>
    <w:rsid w:val="1AC5D719"/>
    <w:rsid w:val="1AD4DAFC"/>
    <w:rsid w:val="1AED14F3"/>
    <w:rsid w:val="1AF40426"/>
    <w:rsid w:val="1B7A5784"/>
    <w:rsid w:val="1B863FA9"/>
    <w:rsid w:val="1BD97DD8"/>
    <w:rsid w:val="1C783B83"/>
    <w:rsid w:val="1D044012"/>
    <w:rsid w:val="1D16543F"/>
    <w:rsid w:val="1D39259F"/>
    <w:rsid w:val="1DD0263D"/>
    <w:rsid w:val="1DD43890"/>
    <w:rsid w:val="1DE1EEBC"/>
    <w:rsid w:val="1E0CD617"/>
    <w:rsid w:val="1E4B346F"/>
    <w:rsid w:val="1E8E6A0B"/>
    <w:rsid w:val="1E983B35"/>
    <w:rsid w:val="1FA9A500"/>
    <w:rsid w:val="20810FC8"/>
    <w:rsid w:val="20876430"/>
    <w:rsid w:val="20B1E056"/>
    <w:rsid w:val="21124C35"/>
    <w:rsid w:val="211C8CB4"/>
    <w:rsid w:val="2187EC27"/>
    <w:rsid w:val="219A679A"/>
    <w:rsid w:val="21C368CD"/>
    <w:rsid w:val="21E0C0F8"/>
    <w:rsid w:val="2225502A"/>
    <w:rsid w:val="22573B84"/>
    <w:rsid w:val="2276913F"/>
    <w:rsid w:val="22F190EE"/>
    <w:rsid w:val="23FAB1FB"/>
    <w:rsid w:val="243E4BFA"/>
    <w:rsid w:val="243F7B4E"/>
    <w:rsid w:val="24530FC9"/>
    <w:rsid w:val="24D90D57"/>
    <w:rsid w:val="25712665"/>
    <w:rsid w:val="25A5ACCD"/>
    <w:rsid w:val="25E54611"/>
    <w:rsid w:val="25F052AD"/>
    <w:rsid w:val="26476D5E"/>
    <w:rsid w:val="269CA7DC"/>
    <w:rsid w:val="26B8B67E"/>
    <w:rsid w:val="26D1EC14"/>
    <w:rsid w:val="26EA2EE8"/>
    <w:rsid w:val="26F7FCFD"/>
    <w:rsid w:val="27626A22"/>
    <w:rsid w:val="2770E280"/>
    <w:rsid w:val="277A063E"/>
    <w:rsid w:val="2810F3CD"/>
    <w:rsid w:val="283D2315"/>
    <w:rsid w:val="2840E33B"/>
    <w:rsid w:val="284C09EE"/>
    <w:rsid w:val="28851614"/>
    <w:rsid w:val="288EB78E"/>
    <w:rsid w:val="28CB0348"/>
    <w:rsid w:val="2939CE7F"/>
    <w:rsid w:val="2989A618"/>
    <w:rsid w:val="298BC1C2"/>
    <w:rsid w:val="29EA6D54"/>
    <w:rsid w:val="2A04CD44"/>
    <w:rsid w:val="2A2C17AD"/>
    <w:rsid w:val="2A637D43"/>
    <w:rsid w:val="2AAE29B1"/>
    <w:rsid w:val="2AAF4E5B"/>
    <w:rsid w:val="2AE24EFC"/>
    <w:rsid w:val="2B7B695E"/>
    <w:rsid w:val="2B9D796C"/>
    <w:rsid w:val="2C174374"/>
    <w:rsid w:val="2C4F9FC8"/>
    <w:rsid w:val="2CB8C63D"/>
    <w:rsid w:val="2CDD7DB1"/>
    <w:rsid w:val="2D007C2B"/>
    <w:rsid w:val="2D21212B"/>
    <w:rsid w:val="2D3AE910"/>
    <w:rsid w:val="2DCA2093"/>
    <w:rsid w:val="2DE7282E"/>
    <w:rsid w:val="2DFD3FF5"/>
    <w:rsid w:val="2F67D1B5"/>
    <w:rsid w:val="2FF4C14C"/>
    <w:rsid w:val="301153EE"/>
    <w:rsid w:val="3019BEA2"/>
    <w:rsid w:val="303A11BE"/>
    <w:rsid w:val="30DE80F5"/>
    <w:rsid w:val="3168D131"/>
    <w:rsid w:val="32136651"/>
    <w:rsid w:val="322BFEB6"/>
    <w:rsid w:val="322C46E6"/>
    <w:rsid w:val="326A8F96"/>
    <w:rsid w:val="32B0C723"/>
    <w:rsid w:val="32C0E3FF"/>
    <w:rsid w:val="33507421"/>
    <w:rsid w:val="33ABC3DE"/>
    <w:rsid w:val="33F8D211"/>
    <w:rsid w:val="34311865"/>
    <w:rsid w:val="34B46073"/>
    <w:rsid w:val="35E08F9E"/>
    <w:rsid w:val="35EDF6AA"/>
    <w:rsid w:val="36CF8B49"/>
    <w:rsid w:val="37224959"/>
    <w:rsid w:val="37350735"/>
    <w:rsid w:val="37BBCD28"/>
    <w:rsid w:val="37C6FF3F"/>
    <w:rsid w:val="37D8FE2E"/>
    <w:rsid w:val="380E0DE4"/>
    <w:rsid w:val="38221AA9"/>
    <w:rsid w:val="38262FE2"/>
    <w:rsid w:val="386E9C4D"/>
    <w:rsid w:val="38714F84"/>
    <w:rsid w:val="389BE769"/>
    <w:rsid w:val="3920544C"/>
    <w:rsid w:val="394516A2"/>
    <w:rsid w:val="39B6302A"/>
    <w:rsid w:val="39E24C49"/>
    <w:rsid w:val="39F2A557"/>
    <w:rsid w:val="3A143FB1"/>
    <w:rsid w:val="3A476D2F"/>
    <w:rsid w:val="3B674F58"/>
    <w:rsid w:val="3B7D849B"/>
    <w:rsid w:val="3B8D6F0F"/>
    <w:rsid w:val="3C13AFB7"/>
    <w:rsid w:val="3C254DE8"/>
    <w:rsid w:val="3CA0BF0F"/>
    <w:rsid w:val="3CB61B7F"/>
    <w:rsid w:val="3CDC03A2"/>
    <w:rsid w:val="3CF2884C"/>
    <w:rsid w:val="3D116CCD"/>
    <w:rsid w:val="3D19745E"/>
    <w:rsid w:val="3D20F14B"/>
    <w:rsid w:val="3D4BBFDE"/>
    <w:rsid w:val="3D708B19"/>
    <w:rsid w:val="3DFE9296"/>
    <w:rsid w:val="3E20C4D2"/>
    <w:rsid w:val="3E2AB103"/>
    <w:rsid w:val="3E565A95"/>
    <w:rsid w:val="3E98657F"/>
    <w:rsid w:val="3EB544A6"/>
    <w:rsid w:val="3ECFDAC7"/>
    <w:rsid w:val="3EFAE319"/>
    <w:rsid w:val="3F1D415E"/>
    <w:rsid w:val="3F554471"/>
    <w:rsid w:val="3F739873"/>
    <w:rsid w:val="3FD4C24F"/>
    <w:rsid w:val="400BBAF5"/>
    <w:rsid w:val="405947C2"/>
    <w:rsid w:val="409E3B03"/>
    <w:rsid w:val="4134B1B1"/>
    <w:rsid w:val="414975EC"/>
    <w:rsid w:val="417A7E12"/>
    <w:rsid w:val="41BB1FD4"/>
    <w:rsid w:val="41C6F188"/>
    <w:rsid w:val="41D53019"/>
    <w:rsid w:val="436A57D3"/>
    <w:rsid w:val="43987FA4"/>
    <w:rsid w:val="43CDA94A"/>
    <w:rsid w:val="43D0DBF9"/>
    <w:rsid w:val="43EEEF4D"/>
    <w:rsid w:val="43F1C060"/>
    <w:rsid w:val="4403148D"/>
    <w:rsid w:val="445E3F10"/>
    <w:rsid w:val="44E33181"/>
    <w:rsid w:val="44F8DF42"/>
    <w:rsid w:val="4517798B"/>
    <w:rsid w:val="453B91B4"/>
    <w:rsid w:val="4576202D"/>
    <w:rsid w:val="45F9F353"/>
    <w:rsid w:val="46C6FFD3"/>
    <w:rsid w:val="479F11E7"/>
    <w:rsid w:val="47A6359E"/>
    <w:rsid w:val="47C867FA"/>
    <w:rsid w:val="48023665"/>
    <w:rsid w:val="4837F74A"/>
    <w:rsid w:val="4849F8BB"/>
    <w:rsid w:val="492B0F9E"/>
    <w:rsid w:val="495FD8BA"/>
    <w:rsid w:val="49B47ACC"/>
    <w:rsid w:val="49E7126B"/>
    <w:rsid w:val="4AE4E85E"/>
    <w:rsid w:val="4AE8B5F5"/>
    <w:rsid w:val="4B78708D"/>
    <w:rsid w:val="4BC0A2E7"/>
    <w:rsid w:val="4C027AAF"/>
    <w:rsid w:val="4C5F2842"/>
    <w:rsid w:val="4C985088"/>
    <w:rsid w:val="4CC5E655"/>
    <w:rsid w:val="4CEE4D59"/>
    <w:rsid w:val="4D002AA2"/>
    <w:rsid w:val="4D62B7D7"/>
    <w:rsid w:val="4D7237F2"/>
    <w:rsid w:val="4DF36B7F"/>
    <w:rsid w:val="4E4BF305"/>
    <w:rsid w:val="4E67ACF8"/>
    <w:rsid w:val="4E9AD375"/>
    <w:rsid w:val="4EAF14B3"/>
    <w:rsid w:val="4EE7B109"/>
    <w:rsid w:val="4EF5B7DA"/>
    <w:rsid w:val="4F4B0AD8"/>
    <w:rsid w:val="4F51E02F"/>
    <w:rsid w:val="4F8968E8"/>
    <w:rsid w:val="4FE8BB21"/>
    <w:rsid w:val="503308CB"/>
    <w:rsid w:val="50A7A674"/>
    <w:rsid w:val="50E888E1"/>
    <w:rsid w:val="50FF35B6"/>
    <w:rsid w:val="516C860C"/>
    <w:rsid w:val="52455818"/>
    <w:rsid w:val="52526605"/>
    <w:rsid w:val="5268F61B"/>
    <w:rsid w:val="527EDAC8"/>
    <w:rsid w:val="52CA0BF3"/>
    <w:rsid w:val="53122C0C"/>
    <w:rsid w:val="532DA0A5"/>
    <w:rsid w:val="53499F96"/>
    <w:rsid w:val="53504AC1"/>
    <w:rsid w:val="53AEC3FE"/>
    <w:rsid w:val="547AD9CE"/>
    <w:rsid w:val="54D2AC59"/>
    <w:rsid w:val="54EBF6F0"/>
    <w:rsid w:val="5500688D"/>
    <w:rsid w:val="5512401B"/>
    <w:rsid w:val="557D5F64"/>
    <w:rsid w:val="55B4274C"/>
    <w:rsid w:val="5630EAF7"/>
    <w:rsid w:val="56A189DE"/>
    <w:rsid w:val="56D28847"/>
    <w:rsid w:val="56F518DF"/>
    <w:rsid w:val="570798C9"/>
    <w:rsid w:val="57A563BF"/>
    <w:rsid w:val="57B95FBF"/>
    <w:rsid w:val="5863C352"/>
    <w:rsid w:val="58D76B53"/>
    <w:rsid w:val="5A6F3A4C"/>
    <w:rsid w:val="5A95D0DE"/>
    <w:rsid w:val="5A9AB087"/>
    <w:rsid w:val="5A9B3334"/>
    <w:rsid w:val="5B499E39"/>
    <w:rsid w:val="5B7095B7"/>
    <w:rsid w:val="5BA3BC6C"/>
    <w:rsid w:val="5BAFE054"/>
    <w:rsid w:val="5C9E1850"/>
    <w:rsid w:val="5CB46E62"/>
    <w:rsid w:val="5CBD1351"/>
    <w:rsid w:val="5D5D02C0"/>
    <w:rsid w:val="5D619B9B"/>
    <w:rsid w:val="5D8D755D"/>
    <w:rsid w:val="5E79CD08"/>
    <w:rsid w:val="5EC8784C"/>
    <w:rsid w:val="5F23EDB7"/>
    <w:rsid w:val="6001BFB7"/>
    <w:rsid w:val="6035EABB"/>
    <w:rsid w:val="604FF6AC"/>
    <w:rsid w:val="60AA9678"/>
    <w:rsid w:val="611ED1BA"/>
    <w:rsid w:val="617BB181"/>
    <w:rsid w:val="61ABC925"/>
    <w:rsid w:val="62017298"/>
    <w:rsid w:val="631D2614"/>
    <w:rsid w:val="63496CA1"/>
    <w:rsid w:val="6377C4D5"/>
    <w:rsid w:val="641B2476"/>
    <w:rsid w:val="646C3FFC"/>
    <w:rsid w:val="646D506E"/>
    <w:rsid w:val="64F8A789"/>
    <w:rsid w:val="656E0DBE"/>
    <w:rsid w:val="65813007"/>
    <w:rsid w:val="658EF718"/>
    <w:rsid w:val="66C397ED"/>
    <w:rsid w:val="66F2AF19"/>
    <w:rsid w:val="670BDB1F"/>
    <w:rsid w:val="6771CE63"/>
    <w:rsid w:val="6784351C"/>
    <w:rsid w:val="679972FF"/>
    <w:rsid w:val="67D94AFD"/>
    <w:rsid w:val="67F1E0C9"/>
    <w:rsid w:val="68139B1F"/>
    <w:rsid w:val="68793D63"/>
    <w:rsid w:val="698AA9D2"/>
    <w:rsid w:val="69A183E6"/>
    <w:rsid w:val="69B32B9E"/>
    <w:rsid w:val="69DB74AE"/>
    <w:rsid w:val="6A1211CE"/>
    <w:rsid w:val="6A49892B"/>
    <w:rsid w:val="6A9DEB53"/>
    <w:rsid w:val="6AB1E0D7"/>
    <w:rsid w:val="6B1956E1"/>
    <w:rsid w:val="6B33586A"/>
    <w:rsid w:val="6B5E0B92"/>
    <w:rsid w:val="6BD8FF53"/>
    <w:rsid w:val="6C3602D5"/>
    <w:rsid w:val="6C77E6D3"/>
    <w:rsid w:val="6CC1F4ED"/>
    <w:rsid w:val="6CE7BE5D"/>
    <w:rsid w:val="6CFE11DC"/>
    <w:rsid w:val="6D302E65"/>
    <w:rsid w:val="6D6323AC"/>
    <w:rsid w:val="6DA531A1"/>
    <w:rsid w:val="6E2E2B70"/>
    <w:rsid w:val="6E4A571C"/>
    <w:rsid w:val="6FDD2E00"/>
    <w:rsid w:val="70ABA6FC"/>
    <w:rsid w:val="70F45E73"/>
    <w:rsid w:val="71316E94"/>
    <w:rsid w:val="71D36405"/>
    <w:rsid w:val="71F19D48"/>
    <w:rsid w:val="71F9253D"/>
    <w:rsid w:val="720F2E6B"/>
    <w:rsid w:val="722072EF"/>
    <w:rsid w:val="72278B6D"/>
    <w:rsid w:val="72507AE5"/>
    <w:rsid w:val="72FF57B0"/>
    <w:rsid w:val="73B2070C"/>
    <w:rsid w:val="73BF3FAB"/>
    <w:rsid w:val="7435A069"/>
    <w:rsid w:val="746F22DB"/>
    <w:rsid w:val="74B9190D"/>
    <w:rsid w:val="752694A6"/>
    <w:rsid w:val="75542E40"/>
    <w:rsid w:val="758B3FB8"/>
    <w:rsid w:val="75D98317"/>
    <w:rsid w:val="76324E17"/>
    <w:rsid w:val="76432322"/>
    <w:rsid w:val="7662F777"/>
    <w:rsid w:val="7740FDCE"/>
    <w:rsid w:val="77E141D3"/>
    <w:rsid w:val="77E37E46"/>
    <w:rsid w:val="77E90588"/>
    <w:rsid w:val="781B4A99"/>
    <w:rsid w:val="784A9A17"/>
    <w:rsid w:val="78C16F93"/>
    <w:rsid w:val="78E136E5"/>
    <w:rsid w:val="792A9752"/>
    <w:rsid w:val="7942544B"/>
    <w:rsid w:val="79F64EEC"/>
    <w:rsid w:val="7A2CAC51"/>
    <w:rsid w:val="7AADF39A"/>
    <w:rsid w:val="7AC239BE"/>
    <w:rsid w:val="7ACB20FF"/>
    <w:rsid w:val="7B802D2B"/>
    <w:rsid w:val="7BDDB6E5"/>
    <w:rsid w:val="7C10EC85"/>
    <w:rsid w:val="7C569711"/>
    <w:rsid w:val="7C7B5680"/>
    <w:rsid w:val="7C84E8C3"/>
    <w:rsid w:val="7C88DCBA"/>
    <w:rsid w:val="7D42A865"/>
    <w:rsid w:val="7D55CBF5"/>
    <w:rsid w:val="7E0B3E30"/>
    <w:rsid w:val="7E50F32D"/>
    <w:rsid w:val="7E852C85"/>
    <w:rsid w:val="7ED263FD"/>
    <w:rsid w:val="7F1EF6D4"/>
    <w:rsid w:val="7FD6B747"/>
    <w:rsid w:val="7FFCE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2FF"/>
  <w15:chartTrackingRefBased/>
  <w15:docId w15:val="{1A4F1540-4DA8-49D5-95DA-1D7AAC16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17A7E12"/>
    <w:pPr>
      <w:ind w:left="720"/>
      <w:contextualSpacing/>
    </w:pPr>
  </w:style>
  <w:style w:type="character" w:styleId="Hyperlink">
    <w:name w:val="Hyperlink"/>
    <w:basedOn w:val="DefaultParagraphFont"/>
    <w:uiPriority w:val="99"/>
    <w:unhideWhenUsed/>
    <w:rsid w:val="283D2315"/>
    <w:rPr>
      <w:color w:val="467886"/>
      <w:u w:val="single"/>
    </w:rPr>
  </w:style>
  <w:style w:type="character" w:styleId="Strong">
    <w:name w:val="Strong"/>
    <w:basedOn w:val="DefaultParagraphFont"/>
    <w:uiPriority w:val="22"/>
    <w:qFormat/>
    <w:rsid w:val="1DD43890"/>
    <w:rPr>
      <w:b/>
      <w:bCs/>
    </w:rPr>
  </w:style>
  <w:style w:type="paragraph" w:styleId="Header">
    <w:name w:val="header"/>
    <w:basedOn w:val="Normal"/>
    <w:uiPriority w:val="99"/>
    <w:unhideWhenUsed/>
    <w:rsid w:val="2225502A"/>
    <w:pPr>
      <w:tabs>
        <w:tab w:val="center" w:pos="4680"/>
        <w:tab w:val="right" w:pos="9360"/>
      </w:tabs>
      <w:spacing w:after="0" w:line="240" w:lineRule="auto"/>
    </w:pPr>
  </w:style>
  <w:style w:type="paragraph" w:styleId="Footer">
    <w:name w:val="footer"/>
    <w:basedOn w:val="Normal"/>
    <w:link w:val="FooterChar"/>
    <w:uiPriority w:val="99"/>
    <w:unhideWhenUsed/>
    <w:rsid w:val="2225502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3A5D"/>
    <w:rPr>
      <w:b/>
      <w:bCs/>
    </w:rPr>
  </w:style>
  <w:style w:type="character" w:customStyle="1" w:styleId="CommentSubjectChar">
    <w:name w:val="Comment Subject Char"/>
    <w:basedOn w:val="CommentTextChar"/>
    <w:link w:val="CommentSubject"/>
    <w:uiPriority w:val="99"/>
    <w:semiHidden/>
    <w:rsid w:val="00203A5D"/>
    <w:rPr>
      <w:b/>
      <w:bCs/>
      <w:sz w:val="20"/>
      <w:szCs w:val="20"/>
    </w:rPr>
  </w:style>
  <w:style w:type="paragraph" w:styleId="Revision">
    <w:name w:val="Revision"/>
    <w:hidden/>
    <w:uiPriority w:val="99"/>
    <w:semiHidden/>
    <w:rsid w:val="00016DA4"/>
    <w:pPr>
      <w:spacing w:after="0" w:line="240" w:lineRule="auto"/>
    </w:pPr>
  </w:style>
  <w:style w:type="paragraph" w:styleId="FootnoteText">
    <w:name w:val="footnote text"/>
    <w:basedOn w:val="Normal"/>
    <w:link w:val="FootnoteTextChar"/>
    <w:uiPriority w:val="99"/>
    <w:semiHidden/>
    <w:unhideWhenUsed/>
    <w:rsid w:val="00CF2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C03"/>
    <w:rPr>
      <w:sz w:val="20"/>
      <w:szCs w:val="20"/>
    </w:rPr>
  </w:style>
  <w:style w:type="character" w:styleId="FootnoteReference">
    <w:name w:val="footnote reference"/>
    <w:basedOn w:val="DefaultParagraphFont"/>
    <w:uiPriority w:val="99"/>
    <w:semiHidden/>
    <w:unhideWhenUsed/>
    <w:rsid w:val="00CF2C03"/>
    <w:rPr>
      <w:vertAlign w:val="superscript"/>
    </w:rPr>
  </w:style>
  <w:style w:type="character" w:customStyle="1" w:styleId="FooterChar">
    <w:name w:val="Footer Char"/>
    <w:basedOn w:val="DefaultParagraphFont"/>
    <w:link w:val="Footer"/>
    <w:uiPriority w:val="99"/>
    <w:rsid w:val="00536167"/>
  </w:style>
  <w:style w:type="paragraph" w:styleId="NormalWeb">
    <w:name w:val="Normal (Web)"/>
    <w:basedOn w:val="Normal"/>
    <w:uiPriority w:val="99"/>
    <w:semiHidden/>
    <w:unhideWhenUsed/>
    <w:rsid w:val="00B94453"/>
    <w:pPr>
      <w:spacing w:before="100" w:beforeAutospacing="1" w:after="100" w:afterAutospacing="1" w:line="240" w:lineRule="auto"/>
    </w:pPr>
    <w:rPr>
      <w:rFonts w:ascii="Times New Roman" w:eastAsia="Times New Roman" w:hAnsi="Times New Roman" w:cs="Times New Roman"/>
      <w:lang w:val="en-AU" w:eastAsia="en-AU"/>
    </w:rPr>
  </w:style>
  <w:style w:type="paragraph" w:styleId="BodyText">
    <w:name w:val="Body Text"/>
    <w:basedOn w:val="Normal"/>
    <w:link w:val="BodyTextChar"/>
    <w:uiPriority w:val="99"/>
    <w:semiHidden/>
    <w:unhideWhenUsed/>
    <w:rsid w:val="00F34660"/>
    <w:pPr>
      <w:spacing w:after="120"/>
    </w:pPr>
  </w:style>
  <w:style w:type="character" w:customStyle="1" w:styleId="BodyTextChar">
    <w:name w:val="Body Text Char"/>
    <w:basedOn w:val="DefaultParagraphFont"/>
    <w:link w:val="BodyText"/>
    <w:uiPriority w:val="99"/>
    <w:semiHidden/>
    <w:rsid w:val="00F3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527">
      <w:bodyDiv w:val="1"/>
      <w:marLeft w:val="0"/>
      <w:marRight w:val="0"/>
      <w:marTop w:val="0"/>
      <w:marBottom w:val="0"/>
      <w:divBdr>
        <w:top w:val="none" w:sz="0" w:space="0" w:color="auto"/>
        <w:left w:val="none" w:sz="0" w:space="0" w:color="auto"/>
        <w:bottom w:val="none" w:sz="0" w:space="0" w:color="auto"/>
        <w:right w:val="none" w:sz="0" w:space="0" w:color="auto"/>
      </w:divBdr>
    </w:div>
    <w:div w:id="16977710">
      <w:bodyDiv w:val="1"/>
      <w:marLeft w:val="0"/>
      <w:marRight w:val="0"/>
      <w:marTop w:val="0"/>
      <w:marBottom w:val="0"/>
      <w:divBdr>
        <w:top w:val="none" w:sz="0" w:space="0" w:color="auto"/>
        <w:left w:val="none" w:sz="0" w:space="0" w:color="auto"/>
        <w:bottom w:val="none" w:sz="0" w:space="0" w:color="auto"/>
        <w:right w:val="none" w:sz="0" w:space="0" w:color="auto"/>
      </w:divBdr>
    </w:div>
    <w:div w:id="58482258">
      <w:bodyDiv w:val="1"/>
      <w:marLeft w:val="0"/>
      <w:marRight w:val="0"/>
      <w:marTop w:val="0"/>
      <w:marBottom w:val="0"/>
      <w:divBdr>
        <w:top w:val="none" w:sz="0" w:space="0" w:color="auto"/>
        <w:left w:val="none" w:sz="0" w:space="0" w:color="auto"/>
        <w:bottom w:val="none" w:sz="0" w:space="0" w:color="auto"/>
        <w:right w:val="none" w:sz="0" w:space="0" w:color="auto"/>
      </w:divBdr>
      <w:divsChild>
        <w:div w:id="542182121">
          <w:marLeft w:val="0"/>
          <w:marRight w:val="0"/>
          <w:marTop w:val="0"/>
          <w:marBottom w:val="0"/>
          <w:divBdr>
            <w:top w:val="none" w:sz="0" w:space="0" w:color="auto"/>
            <w:left w:val="none" w:sz="0" w:space="0" w:color="auto"/>
            <w:bottom w:val="none" w:sz="0" w:space="0" w:color="auto"/>
            <w:right w:val="none" w:sz="0" w:space="0" w:color="auto"/>
          </w:divBdr>
        </w:div>
        <w:div w:id="283659942">
          <w:marLeft w:val="0"/>
          <w:marRight w:val="0"/>
          <w:marTop w:val="0"/>
          <w:marBottom w:val="0"/>
          <w:divBdr>
            <w:top w:val="none" w:sz="0" w:space="0" w:color="auto"/>
            <w:left w:val="none" w:sz="0" w:space="0" w:color="auto"/>
            <w:bottom w:val="none" w:sz="0" w:space="0" w:color="auto"/>
            <w:right w:val="none" w:sz="0" w:space="0" w:color="auto"/>
          </w:divBdr>
        </w:div>
        <w:div w:id="1468204032">
          <w:marLeft w:val="0"/>
          <w:marRight w:val="0"/>
          <w:marTop w:val="0"/>
          <w:marBottom w:val="0"/>
          <w:divBdr>
            <w:top w:val="none" w:sz="0" w:space="0" w:color="auto"/>
            <w:left w:val="none" w:sz="0" w:space="0" w:color="auto"/>
            <w:bottom w:val="none" w:sz="0" w:space="0" w:color="auto"/>
            <w:right w:val="none" w:sz="0" w:space="0" w:color="auto"/>
          </w:divBdr>
        </w:div>
      </w:divsChild>
    </w:div>
    <w:div w:id="153643821">
      <w:bodyDiv w:val="1"/>
      <w:marLeft w:val="0"/>
      <w:marRight w:val="0"/>
      <w:marTop w:val="0"/>
      <w:marBottom w:val="0"/>
      <w:divBdr>
        <w:top w:val="none" w:sz="0" w:space="0" w:color="auto"/>
        <w:left w:val="none" w:sz="0" w:space="0" w:color="auto"/>
        <w:bottom w:val="none" w:sz="0" w:space="0" w:color="auto"/>
        <w:right w:val="none" w:sz="0" w:space="0" w:color="auto"/>
      </w:divBdr>
    </w:div>
    <w:div w:id="229199363">
      <w:bodyDiv w:val="1"/>
      <w:marLeft w:val="0"/>
      <w:marRight w:val="0"/>
      <w:marTop w:val="0"/>
      <w:marBottom w:val="0"/>
      <w:divBdr>
        <w:top w:val="none" w:sz="0" w:space="0" w:color="auto"/>
        <w:left w:val="none" w:sz="0" w:space="0" w:color="auto"/>
        <w:bottom w:val="none" w:sz="0" w:space="0" w:color="auto"/>
        <w:right w:val="none" w:sz="0" w:space="0" w:color="auto"/>
      </w:divBdr>
    </w:div>
    <w:div w:id="235671951">
      <w:bodyDiv w:val="1"/>
      <w:marLeft w:val="0"/>
      <w:marRight w:val="0"/>
      <w:marTop w:val="0"/>
      <w:marBottom w:val="0"/>
      <w:divBdr>
        <w:top w:val="none" w:sz="0" w:space="0" w:color="auto"/>
        <w:left w:val="none" w:sz="0" w:space="0" w:color="auto"/>
        <w:bottom w:val="none" w:sz="0" w:space="0" w:color="auto"/>
        <w:right w:val="none" w:sz="0" w:space="0" w:color="auto"/>
      </w:divBdr>
    </w:div>
    <w:div w:id="305864642">
      <w:bodyDiv w:val="1"/>
      <w:marLeft w:val="0"/>
      <w:marRight w:val="0"/>
      <w:marTop w:val="0"/>
      <w:marBottom w:val="0"/>
      <w:divBdr>
        <w:top w:val="none" w:sz="0" w:space="0" w:color="auto"/>
        <w:left w:val="none" w:sz="0" w:space="0" w:color="auto"/>
        <w:bottom w:val="none" w:sz="0" w:space="0" w:color="auto"/>
        <w:right w:val="none" w:sz="0" w:space="0" w:color="auto"/>
      </w:divBdr>
    </w:div>
    <w:div w:id="356741713">
      <w:bodyDiv w:val="1"/>
      <w:marLeft w:val="0"/>
      <w:marRight w:val="0"/>
      <w:marTop w:val="0"/>
      <w:marBottom w:val="0"/>
      <w:divBdr>
        <w:top w:val="none" w:sz="0" w:space="0" w:color="auto"/>
        <w:left w:val="none" w:sz="0" w:space="0" w:color="auto"/>
        <w:bottom w:val="none" w:sz="0" w:space="0" w:color="auto"/>
        <w:right w:val="none" w:sz="0" w:space="0" w:color="auto"/>
      </w:divBdr>
    </w:div>
    <w:div w:id="396055689">
      <w:bodyDiv w:val="1"/>
      <w:marLeft w:val="0"/>
      <w:marRight w:val="0"/>
      <w:marTop w:val="0"/>
      <w:marBottom w:val="0"/>
      <w:divBdr>
        <w:top w:val="none" w:sz="0" w:space="0" w:color="auto"/>
        <w:left w:val="none" w:sz="0" w:space="0" w:color="auto"/>
        <w:bottom w:val="none" w:sz="0" w:space="0" w:color="auto"/>
        <w:right w:val="none" w:sz="0" w:space="0" w:color="auto"/>
      </w:divBdr>
    </w:div>
    <w:div w:id="431557245">
      <w:bodyDiv w:val="1"/>
      <w:marLeft w:val="0"/>
      <w:marRight w:val="0"/>
      <w:marTop w:val="0"/>
      <w:marBottom w:val="0"/>
      <w:divBdr>
        <w:top w:val="none" w:sz="0" w:space="0" w:color="auto"/>
        <w:left w:val="none" w:sz="0" w:space="0" w:color="auto"/>
        <w:bottom w:val="none" w:sz="0" w:space="0" w:color="auto"/>
        <w:right w:val="none" w:sz="0" w:space="0" w:color="auto"/>
      </w:divBdr>
    </w:div>
    <w:div w:id="468059047">
      <w:bodyDiv w:val="1"/>
      <w:marLeft w:val="0"/>
      <w:marRight w:val="0"/>
      <w:marTop w:val="0"/>
      <w:marBottom w:val="0"/>
      <w:divBdr>
        <w:top w:val="none" w:sz="0" w:space="0" w:color="auto"/>
        <w:left w:val="none" w:sz="0" w:space="0" w:color="auto"/>
        <w:bottom w:val="none" w:sz="0" w:space="0" w:color="auto"/>
        <w:right w:val="none" w:sz="0" w:space="0" w:color="auto"/>
      </w:divBdr>
    </w:div>
    <w:div w:id="505053069">
      <w:bodyDiv w:val="1"/>
      <w:marLeft w:val="0"/>
      <w:marRight w:val="0"/>
      <w:marTop w:val="0"/>
      <w:marBottom w:val="0"/>
      <w:divBdr>
        <w:top w:val="none" w:sz="0" w:space="0" w:color="auto"/>
        <w:left w:val="none" w:sz="0" w:space="0" w:color="auto"/>
        <w:bottom w:val="none" w:sz="0" w:space="0" w:color="auto"/>
        <w:right w:val="none" w:sz="0" w:space="0" w:color="auto"/>
      </w:divBdr>
    </w:div>
    <w:div w:id="505755164">
      <w:bodyDiv w:val="1"/>
      <w:marLeft w:val="0"/>
      <w:marRight w:val="0"/>
      <w:marTop w:val="0"/>
      <w:marBottom w:val="0"/>
      <w:divBdr>
        <w:top w:val="none" w:sz="0" w:space="0" w:color="auto"/>
        <w:left w:val="none" w:sz="0" w:space="0" w:color="auto"/>
        <w:bottom w:val="none" w:sz="0" w:space="0" w:color="auto"/>
        <w:right w:val="none" w:sz="0" w:space="0" w:color="auto"/>
      </w:divBdr>
    </w:div>
    <w:div w:id="596408895">
      <w:bodyDiv w:val="1"/>
      <w:marLeft w:val="0"/>
      <w:marRight w:val="0"/>
      <w:marTop w:val="0"/>
      <w:marBottom w:val="0"/>
      <w:divBdr>
        <w:top w:val="none" w:sz="0" w:space="0" w:color="auto"/>
        <w:left w:val="none" w:sz="0" w:space="0" w:color="auto"/>
        <w:bottom w:val="none" w:sz="0" w:space="0" w:color="auto"/>
        <w:right w:val="none" w:sz="0" w:space="0" w:color="auto"/>
      </w:divBdr>
    </w:div>
    <w:div w:id="623117112">
      <w:bodyDiv w:val="1"/>
      <w:marLeft w:val="0"/>
      <w:marRight w:val="0"/>
      <w:marTop w:val="0"/>
      <w:marBottom w:val="0"/>
      <w:divBdr>
        <w:top w:val="none" w:sz="0" w:space="0" w:color="auto"/>
        <w:left w:val="none" w:sz="0" w:space="0" w:color="auto"/>
        <w:bottom w:val="none" w:sz="0" w:space="0" w:color="auto"/>
        <w:right w:val="none" w:sz="0" w:space="0" w:color="auto"/>
      </w:divBdr>
      <w:divsChild>
        <w:div w:id="2064984214">
          <w:marLeft w:val="0"/>
          <w:marRight w:val="0"/>
          <w:marTop w:val="0"/>
          <w:marBottom w:val="0"/>
          <w:divBdr>
            <w:top w:val="none" w:sz="0" w:space="0" w:color="auto"/>
            <w:left w:val="none" w:sz="0" w:space="0" w:color="auto"/>
            <w:bottom w:val="none" w:sz="0" w:space="0" w:color="auto"/>
            <w:right w:val="none" w:sz="0" w:space="0" w:color="auto"/>
          </w:divBdr>
        </w:div>
      </w:divsChild>
    </w:div>
    <w:div w:id="647444002">
      <w:bodyDiv w:val="1"/>
      <w:marLeft w:val="0"/>
      <w:marRight w:val="0"/>
      <w:marTop w:val="0"/>
      <w:marBottom w:val="0"/>
      <w:divBdr>
        <w:top w:val="none" w:sz="0" w:space="0" w:color="auto"/>
        <w:left w:val="none" w:sz="0" w:space="0" w:color="auto"/>
        <w:bottom w:val="none" w:sz="0" w:space="0" w:color="auto"/>
        <w:right w:val="none" w:sz="0" w:space="0" w:color="auto"/>
      </w:divBdr>
    </w:div>
    <w:div w:id="651836465">
      <w:bodyDiv w:val="1"/>
      <w:marLeft w:val="0"/>
      <w:marRight w:val="0"/>
      <w:marTop w:val="0"/>
      <w:marBottom w:val="0"/>
      <w:divBdr>
        <w:top w:val="none" w:sz="0" w:space="0" w:color="auto"/>
        <w:left w:val="none" w:sz="0" w:space="0" w:color="auto"/>
        <w:bottom w:val="none" w:sz="0" w:space="0" w:color="auto"/>
        <w:right w:val="none" w:sz="0" w:space="0" w:color="auto"/>
      </w:divBdr>
    </w:div>
    <w:div w:id="655494276">
      <w:bodyDiv w:val="1"/>
      <w:marLeft w:val="0"/>
      <w:marRight w:val="0"/>
      <w:marTop w:val="0"/>
      <w:marBottom w:val="0"/>
      <w:divBdr>
        <w:top w:val="none" w:sz="0" w:space="0" w:color="auto"/>
        <w:left w:val="none" w:sz="0" w:space="0" w:color="auto"/>
        <w:bottom w:val="none" w:sz="0" w:space="0" w:color="auto"/>
        <w:right w:val="none" w:sz="0" w:space="0" w:color="auto"/>
      </w:divBdr>
    </w:div>
    <w:div w:id="687948496">
      <w:bodyDiv w:val="1"/>
      <w:marLeft w:val="0"/>
      <w:marRight w:val="0"/>
      <w:marTop w:val="0"/>
      <w:marBottom w:val="0"/>
      <w:divBdr>
        <w:top w:val="none" w:sz="0" w:space="0" w:color="auto"/>
        <w:left w:val="none" w:sz="0" w:space="0" w:color="auto"/>
        <w:bottom w:val="none" w:sz="0" w:space="0" w:color="auto"/>
        <w:right w:val="none" w:sz="0" w:space="0" w:color="auto"/>
      </w:divBdr>
    </w:div>
    <w:div w:id="714743811">
      <w:bodyDiv w:val="1"/>
      <w:marLeft w:val="0"/>
      <w:marRight w:val="0"/>
      <w:marTop w:val="0"/>
      <w:marBottom w:val="0"/>
      <w:divBdr>
        <w:top w:val="none" w:sz="0" w:space="0" w:color="auto"/>
        <w:left w:val="none" w:sz="0" w:space="0" w:color="auto"/>
        <w:bottom w:val="none" w:sz="0" w:space="0" w:color="auto"/>
        <w:right w:val="none" w:sz="0" w:space="0" w:color="auto"/>
      </w:divBdr>
    </w:div>
    <w:div w:id="759570585">
      <w:bodyDiv w:val="1"/>
      <w:marLeft w:val="0"/>
      <w:marRight w:val="0"/>
      <w:marTop w:val="0"/>
      <w:marBottom w:val="0"/>
      <w:divBdr>
        <w:top w:val="none" w:sz="0" w:space="0" w:color="auto"/>
        <w:left w:val="none" w:sz="0" w:space="0" w:color="auto"/>
        <w:bottom w:val="none" w:sz="0" w:space="0" w:color="auto"/>
        <w:right w:val="none" w:sz="0" w:space="0" w:color="auto"/>
      </w:divBdr>
      <w:divsChild>
        <w:div w:id="16736766">
          <w:marLeft w:val="0"/>
          <w:marRight w:val="0"/>
          <w:marTop w:val="0"/>
          <w:marBottom w:val="0"/>
          <w:divBdr>
            <w:top w:val="none" w:sz="0" w:space="0" w:color="auto"/>
            <w:left w:val="none" w:sz="0" w:space="0" w:color="auto"/>
            <w:bottom w:val="none" w:sz="0" w:space="0" w:color="auto"/>
            <w:right w:val="none" w:sz="0" w:space="0" w:color="auto"/>
          </w:divBdr>
        </w:div>
        <w:div w:id="31467391">
          <w:marLeft w:val="0"/>
          <w:marRight w:val="0"/>
          <w:marTop w:val="0"/>
          <w:marBottom w:val="0"/>
          <w:divBdr>
            <w:top w:val="none" w:sz="0" w:space="0" w:color="auto"/>
            <w:left w:val="none" w:sz="0" w:space="0" w:color="auto"/>
            <w:bottom w:val="none" w:sz="0" w:space="0" w:color="auto"/>
            <w:right w:val="none" w:sz="0" w:space="0" w:color="auto"/>
          </w:divBdr>
        </w:div>
        <w:div w:id="873738538">
          <w:marLeft w:val="0"/>
          <w:marRight w:val="0"/>
          <w:marTop w:val="0"/>
          <w:marBottom w:val="0"/>
          <w:divBdr>
            <w:top w:val="none" w:sz="0" w:space="0" w:color="auto"/>
            <w:left w:val="none" w:sz="0" w:space="0" w:color="auto"/>
            <w:bottom w:val="none" w:sz="0" w:space="0" w:color="auto"/>
            <w:right w:val="none" w:sz="0" w:space="0" w:color="auto"/>
          </w:divBdr>
        </w:div>
      </w:divsChild>
    </w:div>
    <w:div w:id="890771230">
      <w:bodyDiv w:val="1"/>
      <w:marLeft w:val="0"/>
      <w:marRight w:val="0"/>
      <w:marTop w:val="0"/>
      <w:marBottom w:val="0"/>
      <w:divBdr>
        <w:top w:val="none" w:sz="0" w:space="0" w:color="auto"/>
        <w:left w:val="none" w:sz="0" w:space="0" w:color="auto"/>
        <w:bottom w:val="none" w:sz="0" w:space="0" w:color="auto"/>
        <w:right w:val="none" w:sz="0" w:space="0" w:color="auto"/>
      </w:divBdr>
    </w:div>
    <w:div w:id="1121263566">
      <w:bodyDiv w:val="1"/>
      <w:marLeft w:val="0"/>
      <w:marRight w:val="0"/>
      <w:marTop w:val="0"/>
      <w:marBottom w:val="0"/>
      <w:divBdr>
        <w:top w:val="none" w:sz="0" w:space="0" w:color="auto"/>
        <w:left w:val="none" w:sz="0" w:space="0" w:color="auto"/>
        <w:bottom w:val="none" w:sz="0" w:space="0" w:color="auto"/>
        <w:right w:val="none" w:sz="0" w:space="0" w:color="auto"/>
      </w:divBdr>
    </w:div>
    <w:div w:id="1248686304">
      <w:bodyDiv w:val="1"/>
      <w:marLeft w:val="0"/>
      <w:marRight w:val="0"/>
      <w:marTop w:val="0"/>
      <w:marBottom w:val="0"/>
      <w:divBdr>
        <w:top w:val="none" w:sz="0" w:space="0" w:color="auto"/>
        <w:left w:val="none" w:sz="0" w:space="0" w:color="auto"/>
        <w:bottom w:val="none" w:sz="0" w:space="0" w:color="auto"/>
        <w:right w:val="none" w:sz="0" w:space="0" w:color="auto"/>
      </w:divBdr>
    </w:div>
    <w:div w:id="1258638732">
      <w:bodyDiv w:val="1"/>
      <w:marLeft w:val="0"/>
      <w:marRight w:val="0"/>
      <w:marTop w:val="0"/>
      <w:marBottom w:val="0"/>
      <w:divBdr>
        <w:top w:val="none" w:sz="0" w:space="0" w:color="auto"/>
        <w:left w:val="none" w:sz="0" w:space="0" w:color="auto"/>
        <w:bottom w:val="none" w:sz="0" w:space="0" w:color="auto"/>
        <w:right w:val="none" w:sz="0" w:space="0" w:color="auto"/>
      </w:divBdr>
    </w:div>
    <w:div w:id="1292635704">
      <w:bodyDiv w:val="1"/>
      <w:marLeft w:val="0"/>
      <w:marRight w:val="0"/>
      <w:marTop w:val="0"/>
      <w:marBottom w:val="0"/>
      <w:divBdr>
        <w:top w:val="none" w:sz="0" w:space="0" w:color="auto"/>
        <w:left w:val="none" w:sz="0" w:space="0" w:color="auto"/>
        <w:bottom w:val="none" w:sz="0" w:space="0" w:color="auto"/>
        <w:right w:val="none" w:sz="0" w:space="0" w:color="auto"/>
      </w:divBdr>
    </w:div>
    <w:div w:id="1417244797">
      <w:bodyDiv w:val="1"/>
      <w:marLeft w:val="0"/>
      <w:marRight w:val="0"/>
      <w:marTop w:val="0"/>
      <w:marBottom w:val="0"/>
      <w:divBdr>
        <w:top w:val="none" w:sz="0" w:space="0" w:color="auto"/>
        <w:left w:val="none" w:sz="0" w:space="0" w:color="auto"/>
        <w:bottom w:val="none" w:sz="0" w:space="0" w:color="auto"/>
        <w:right w:val="none" w:sz="0" w:space="0" w:color="auto"/>
      </w:divBdr>
    </w:div>
    <w:div w:id="1426612875">
      <w:bodyDiv w:val="1"/>
      <w:marLeft w:val="0"/>
      <w:marRight w:val="0"/>
      <w:marTop w:val="0"/>
      <w:marBottom w:val="0"/>
      <w:divBdr>
        <w:top w:val="none" w:sz="0" w:space="0" w:color="auto"/>
        <w:left w:val="none" w:sz="0" w:space="0" w:color="auto"/>
        <w:bottom w:val="none" w:sz="0" w:space="0" w:color="auto"/>
        <w:right w:val="none" w:sz="0" w:space="0" w:color="auto"/>
      </w:divBdr>
    </w:div>
    <w:div w:id="1496648633">
      <w:bodyDiv w:val="1"/>
      <w:marLeft w:val="0"/>
      <w:marRight w:val="0"/>
      <w:marTop w:val="0"/>
      <w:marBottom w:val="0"/>
      <w:divBdr>
        <w:top w:val="none" w:sz="0" w:space="0" w:color="auto"/>
        <w:left w:val="none" w:sz="0" w:space="0" w:color="auto"/>
        <w:bottom w:val="none" w:sz="0" w:space="0" w:color="auto"/>
        <w:right w:val="none" w:sz="0" w:space="0" w:color="auto"/>
      </w:divBdr>
      <w:divsChild>
        <w:div w:id="1176920892">
          <w:marLeft w:val="0"/>
          <w:marRight w:val="0"/>
          <w:marTop w:val="0"/>
          <w:marBottom w:val="0"/>
          <w:divBdr>
            <w:top w:val="none" w:sz="0" w:space="0" w:color="auto"/>
            <w:left w:val="none" w:sz="0" w:space="0" w:color="auto"/>
            <w:bottom w:val="none" w:sz="0" w:space="0" w:color="auto"/>
            <w:right w:val="none" w:sz="0" w:space="0" w:color="auto"/>
          </w:divBdr>
        </w:div>
        <w:div w:id="322323056">
          <w:marLeft w:val="0"/>
          <w:marRight w:val="0"/>
          <w:marTop w:val="0"/>
          <w:marBottom w:val="0"/>
          <w:divBdr>
            <w:top w:val="none" w:sz="0" w:space="0" w:color="auto"/>
            <w:left w:val="none" w:sz="0" w:space="0" w:color="auto"/>
            <w:bottom w:val="none" w:sz="0" w:space="0" w:color="auto"/>
            <w:right w:val="none" w:sz="0" w:space="0" w:color="auto"/>
          </w:divBdr>
        </w:div>
        <w:div w:id="1296986132">
          <w:marLeft w:val="0"/>
          <w:marRight w:val="0"/>
          <w:marTop w:val="0"/>
          <w:marBottom w:val="0"/>
          <w:divBdr>
            <w:top w:val="none" w:sz="0" w:space="0" w:color="auto"/>
            <w:left w:val="none" w:sz="0" w:space="0" w:color="auto"/>
            <w:bottom w:val="none" w:sz="0" w:space="0" w:color="auto"/>
            <w:right w:val="none" w:sz="0" w:space="0" w:color="auto"/>
          </w:divBdr>
        </w:div>
        <w:div w:id="1590696447">
          <w:marLeft w:val="0"/>
          <w:marRight w:val="0"/>
          <w:marTop w:val="0"/>
          <w:marBottom w:val="0"/>
          <w:divBdr>
            <w:top w:val="none" w:sz="0" w:space="0" w:color="auto"/>
            <w:left w:val="none" w:sz="0" w:space="0" w:color="auto"/>
            <w:bottom w:val="none" w:sz="0" w:space="0" w:color="auto"/>
            <w:right w:val="none" w:sz="0" w:space="0" w:color="auto"/>
          </w:divBdr>
        </w:div>
      </w:divsChild>
    </w:div>
    <w:div w:id="1626040210">
      <w:bodyDiv w:val="1"/>
      <w:marLeft w:val="0"/>
      <w:marRight w:val="0"/>
      <w:marTop w:val="0"/>
      <w:marBottom w:val="0"/>
      <w:divBdr>
        <w:top w:val="none" w:sz="0" w:space="0" w:color="auto"/>
        <w:left w:val="none" w:sz="0" w:space="0" w:color="auto"/>
        <w:bottom w:val="none" w:sz="0" w:space="0" w:color="auto"/>
        <w:right w:val="none" w:sz="0" w:space="0" w:color="auto"/>
      </w:divBdr>
      <w:divsChild>
        <w:div w:id="1905025629">
          <w:marLeft w:val="0"/>
          <w:marRight w:val="0"/>
          <w:marTop w:val="0"/>
          <w:marBottom w:val="0"/>
          <w:divBdr>
            <w:top w:val="none" w:sz="0" w:space="0" w:color="auto"/>
            <w:left w:val="none" w:sz="0" w:space="0" w:color="auto"/>
            <w:bottom w:val="none" w:sz="0" w:space="0" w:color="auto"/>
            <w:right w:val="none" w:sz="0" w:space="0" w:color="auto"/>
          </w:divBdr>
        </w:div>
        <w:div w:id="1043092012">
          <w:marLeft w:val="0"/>
          <w:marRight w:val="0"/>
          <w:marTop w:val="0"/>
          <w:marBottom w:val="0"/>
          <w:divBdr>
            <w:top w:val="none" w:sz="0" w:space="0" w:color="auto"/>
            <w:left w:val="none" w:sz="0" w:space="0" w:color="auto"/>
            <w:bottom w:val="none" w:sz="0" w:space="0" w:color="auto"/>
            <w:right w:val="none" w:sz="0" w:space="0" w:color="auto"/>
          </w:divBdr>
        </w:div>
        <w:div w:id="224607266">
          <w:marLeft w:val="0"/>
          <w:marRight w:val="0"/>
          <w:marTop w:val="0"/>
          <w:marBottom w:val="0"/>
          <w:divBdr>
            <w:top w:val="none" w:sz="0" w:space="0" w:color="auto"/>
            <w:left w:val="none" w:sz="0" w:space="0" w:color="auto"/>
            <w:bottom w:val="none" w:sz="0" w:space="0" w:color="auto"/>
            <w:right w:val="none" w:sz="0" w:space="0" w:color="auto"/>
          </w:divBdr>
        </w:div>
        <w:div w:id="171064964">
          <w:marLeft w:val="0"/>
          <w:marRight w:val="0"/>
          <w:marTop w:val="0"/>
          <w:marBottom w:val="0"/>
          <w:divBdr>
            <w:top w:val="none" w:sz="0" w:space="0" w:color="auto"/>
            <w:left w:val="none" w:sz="0" w:space="0" w:color="auto"/>
            <w:bottom w:val="none" w:sz="0" w:space="0" w:color="auto"/>
            <w:right w:val="none" w:sz="0" w:space="0" w:color="auto"/>
          </w:divBdr>
        </w:div>
      </w:divsChild>
    </w:div>
    <w:div w:id="1634560000">
      <w:bodyDiv w:val="1"/>
      <w:marLeft w:val="0"/>
      <w:marRight w:val="0"/>
      <w:marTop w:val="0"/>
      <w:marBottom w:val="0"/>
      <w:divBdr>
        <w:top w:val="none" w:sz="0" w:space="0" w:color="auto"/>
        <w:left w:val="none" w:sz="0" w:space="0" w:color="auto"/>
        <w:bottom w:val="none" w:sz="0" w:space="0" w:color="auto"/>
        <w:right w:val="none" w:sz="0" w:space="0" w:color="auto"/>
      </w:divBdr>
    </w:div>
    <w:div w:id="1638728184">
      <w:bodyDiv w:val="1"/>
      <w:marLeft w:val="0"/>
      <w:marRight w:val="0"/>
      <w:marTop w:val="0"/>
      <w:marBottom w:val="0"/>
      <w:divBdr>
        <w:top w:val="none" w:sz="0" w:space="0" w:color="auto"/>
        <w:left w:val="none" w:sz="0" w:space="0" w:color="auto"/>
        <w:bottom w:val="none" w:sz="0" w:space="0" w:color="auto"/>
        <w:right w:val="none" w:sz="0" w:space="0" w:color="auto"/>
      </w:divBdr>
    </w:div>
    <w:div w:id="1733190685">
      <w:bodyDiv w:val="1"/>
      <w:marLeft w:val="0"/>
      <w:marRight w:val="0"/>
      <w:marTop w:val="0"/>
      <w:marBottom w:val="0"/>
      <w:divBdr>
        <w:top w:val="none" w:sz="0" w:space="0" w:color="auto"/>
        <w:left w:val="none" w:sz="0" w:space="0" w:color="auto"/>
        <w:bottom w:val="none" w:sz="0" w:space="0" w:color="auto"/>
        <w:right w:val="none" w:sz="0" w:space="0" w:color="auto"/>
      </w:divBdr>
    </w:div>
    <w:div w:id="1734424651">
      <w:bodyDiv w:val="1"/>
      <w:marLeft w:val="0"/>
      <w:marRight w:val="0"/>
      <w:marTop w:val="0"/>
      <w:marBottom w:val="0"/>
      <w:divBdr>
        <w:top w:val="none" w:sz="0" w:space="0" w:color="auto"/>
        <w:left w:val="none" w:sz="0" w:space="0" w:color="auto"/>
        <w:bottom w:val="none" w:sz="0" w:space="0" w:color="auto"/>
        <w:right w:val="none" w:sz="0" w:space="0" w:color="auto"/>
      </w:divBdr>
    </w:div>
    <w:div w:id="1738354041">
      <w:bodyDiv w:val="1"/>
      <w:marLeft w:val="0"/>
      <w:marRight w:val="0"/>
      <w:marTop w:val="0"/>
      <w:marBottom w:val="0"/>
      <w:divBdr>
        <w:top w:val="none" w:sz="0" w:space="0" w:color="auto"/>
        <w:left w:val="none" w:sz="0" w:space="0" w:color="auto"/>
        <w:bottom w:val="none" w:sz="0" w:space="0" w:color="auto"/>
        <w:right w:val="none" w:sz="0" w:space="0" w:color="auto"/>
      </w:divBdr>
    </w:div>
    <w:div w:id="1750614867">
      <w:bodyDiv w:val="1"/>
      <w:marLeft w:val="0"/>
      <w:marRight w:val="0"/>
      <w:marTop w:val="0"/>
      <w:marBottom w:val="0"/>
      <w:divBdr>
        <w:top w:val="none" w:sz="0" w:space="0" w:color="auto"/>
        <w:left w:val="none" w:sz="0" w:space="0" w:color="auto"/>
        <w:bottom w:val="none" w:sz="0" w:space="0" w:color="auto"/>
        <w:right w:val="none" w:sz="0" w:space="0" w:color="auto"/>
      </w:divBdr>
    </w:div>
    <w:div w:id="1788307301">
      <w:bodyDiv w:val="1"/>
      <w:marLeft w:val="0"/>
      <w:marRight w:val="0"/>
      <w:marTop w:val="0"/>
      <w:marBottom w:val="0"/>
      <w:divBdr>
        <w:top w:val="none" w:sz="0" w:space="0" w:color="auto"/>
        <w:left w:val="none" w:sz="0" w:space="0" w:color="auto"/>
        <w:bottom w:val="none" w:sz="0" w:space="0" w:color="auto"/>
        <w:right w:val="none" w:sz="0" w:space="0" w:color="auto"/>
      </w:divBdr>
      <w:divsChild>
        <w:div w:id="264315983">
          <w:marLeft w:val="0"/>
          <w:marRight w:val="0"/>
          <w:marTop w:val="0"/>
          <w:marBottom w:val="0"/>
          <w:divBdr>
            <w:top w:val="none" w:sz="0" w:space="0" w:color="auto"/>
            <w:left w:val="none" w:sz="0" w:space="0" w:color="auto"/>
            <w:bottom w:val="none" w:sz="0" w:space="0" w:color="auto"/>
            <w:right w:val="none" w:sz="0" w:space="0" w:color="auto"/>
          </w:divBdr>
        </w:div>
        <w:div w:id="1947301669">
          <w:marLeft w:val="0"/>
          <w:marRight w:val="0"/>
          <w:marTop w:val="0"/>
          <w:marBottom w:val="0"/>
          <w:divBdr>
            <w:top w:val="none" w:sz="0" w:space="0" w:color="auto"/>
            <w:left w:val="none" w:sz="0" w:space="0" w:color="auto"/>
            <w:bottom w:val="none" w:sz="0" w:space="0" w:color="auto"/>
            <w:right w:val="none" w:sz="0" w:space="0" w:color="auto"/>
          </w:divBdr>
        </w:div>
        <w:div w:id="1856184585">
          <w:marLeft w:val="0"/>
          <w:marRight w:val="0"/>
          <w:marTop w:val="0"/>
          <w:marBottom w:val="0"/>
          <w:divBdr>
            <w:top w:val="none" w:sz="0" w:space="0" w:color="auto"/>
            <w:left w:val="none" w:sz="0" w:space="0" w:color="auto"/>
            <w:bottom w:val="none" w:sz="0" w:space="0" w:color="auto"/>
            <w:right w:val="none" w:sz="0" w:space="0" w:color="auto"/>
          </w:divBdr>
        </w:div>
      </w:divsChild>
    </w:div>
    <w:div w:id="1808694677">
      <w:bodyDiv w:val="1"/>
      <w:marLeft w:val="0"/>
      <w:marRight w:val="0"/>
      <w:marTop w:val="0"/>
      <w:marBottom w:val="0"/>
      <w:divBdr>
        <w:top w:val="none" w:sz="0" w:space="0" w:color="auto"/>
        <w:left w:val="none" w:sz="0" w:space="0" w:color="auto"/>
        <w:bottom w:val="none" w:sz="0" w:space="0" w:color="auto"/>
        <w:right w:val="none" w:sz="0" w:space="0" w:color="auto"/>
      </w:divBdr>
    </w:div>
    <w:div w:id="1917858348">
      <w:bodyDiv w:val="1"/>
      <w:marLeft w:val="0"/>
      <w:marRight w:val="0"/>
      <w:marTop w:val="0"/>
      <w:marBottom w:val="0"/>
      <w:divBdr>
        <w:top w:val="none" w:sz="0" w:space="0" w:color="auto"/>
        <w:left w:val="none" w:sz="0" w:space="0" w:color="auto"/>
        <w:bottom w:val="none" w:sz="0" w:space="0" w:color="auto"/>
        <w:right w:val="none" w:sz="0" w:space="0" w:color="auto"/>
      </w:divBdr>
    </w:div>
    <w:div w:id="1934119412">
      <w:bodyDiv w:val="1"/>
      <w:marLeft w:val="0"/>
      <w:marRight w:val="0"/>
      <w:marTop w:val="0"/>
      <w:marBottom w:val="0"/>
      <w:divBdr>
        <w:top w:val="none" w:sz="0" w:space="0" w:color="auto"/>
        <w:left w:val="none" w:sz="0" w:space="0" w:color="auto"/>
        <w:bottom w:val="none" w:sz="0" w:space="0" w:color="auto"/>
        <w:right w:val="none" w:sz="0" w:space="0" w:color="auto"/>
      </w:divBdr>
    </w:div>
    <w:div w:id="1937132939">
      <w:bodyDiv w:val="1"/>
      <w:marLeft w:val="0"/>
      <w:marRight w:val="0"/>
      <w:marTop w:val="0"/>
      <w:marBottom w:val="0"/>
      <w:divBdr>
        <w:top w:val="none" w:sz="0" w:space="0" w:color="auto"/>
        <w:left w:val="none" w:sz="0" w:space="0" w:color="auto"/>
        <w:bottom w:val="none" w:sz="0" w:space="0" w:color="auto"/>
        <w:right w:val="none" w:sz="0" w:space="0" w:color="auto"/>
      </w:divBdr>
    </w:div>
    <w:div w:id="1954946018">
      <w:bodyDiv w:val="1"/>
      <w:marLeft w:val="0"/>
      <w:marRight w:val="0"/>
      <w:marTop w:val="0"/>
      <w:marBottom w:val="0"/>
      <w:divBdr>
        <w:top w:val="none" w:sz="0" w:space="0" w:color="auto"/>
        <w:left w:val="none" w:sz="0" w:space="0" w:color="auto"/>
        <w:bottom w:val="none" w:sz="0" w:space="0" w:color="auto"/>
        <w:right w:val="none" w:sz="0" w:space="0" w:color="auto"/>
      </w:divBdr>
    </w:div>
    <w:div w:id="2040814741">
      <w:bodyDiv w:val="1"/>
      <w:marLeft w:val="0"/>
      <w:marRight w:val="0"/>
      <w:marTop w:val="0"/>
      <w:marBottom w:val="0"/>
      <w:divBdr>
        <w:top w:val="none" w:sz="0" w:space="0" w:color="auto"/>
        <w:left w:val="none" w:sz="0" w:space="0" w:color="auto"/>
        <w:bottom w:val="none" w:sz="0" w:space="0" w:color="auto"/>
        <w:right w:val="none" w:sz="0" w:space="0" w:color="auto"/>
      </w:divBdr>
    </w:div>
    <w:div w:id="2050572199">
      <w:bodyDiv w:val="1"/>
      <w:marLeft w:val="0"/>
      <w:marRight w:val="0"/>
      <w:marTop w:val="0"/>
      <w:marBottom w:val="0"/>
      <w:divBdr>
        <w:top w:val="none" w:sz="0" w:space="0" w:color="auto"/>
        <w:left w:val="none" w:sz="0" w:space="0" w:color="auto"/>
        <w:bottom w:val="none" w:sz="0" w:space="0" w:color="auto"/>
        <w:right w:val="none" w:sz="0" w:space="0" w:color="auto"/>
      </w:divBdr>
      <w:divsChild>
        <w:div w:id="1079327474">
          <w:marLeft w:val="0"/>
          <w:marRight w:val="0"/>
          <w:marTop w:val="0"/>
          <w:marBottom w:val="0"/>
          <w:divBdr>
            <w:top w:val="none" w:sz="0" w:space="0" w:color="auto"/>
            <w:left w:val="none" w:sz="0" w:space="0" w:color="auto"/>
            <w:bottom w:val="none" w:sz="0" w:space="0" w:color="auto"/>
            <w:right w:val="none" w:sz="0" w:space="0" w:color="auto"/>
          </w:divBdr>
        </w:div>
      </w:divsChild>
    </w:div>
    <w:div w:id="2058311230">
      <w:bodyDiv w:val="1"/>
      <w:marLeft w:val="0"/>
      <w:marRight w:val="0"/>
      <w:marTop w:val="0"/>
      <w:marBottom w:val="0"/>
      <w:divBdr>
        <w:top w:val="none" w:sz="0" w:space="0" w:color="auto"/>
        <w:left w:val="none" w:sz="0" w:space="0" w:color="auto"/>
        <w:bottom w:val="none" w:sz="0" w:space="0" w:color="auto"/>
        <w:right w:val="none" w:sz="0" w:space="0" w:color="auto"/>
      </w:divBdr>
    </w:div>
    <w:div w:id="2108966667">
      <w:bodyDiv w:val="1"/>
      <w:marLeft w:val="0"/>
      <w:marRight w:val="0"/>
      <w:marTop w:val="0"/>
      <w:marBottom w:val="0"/>
      <w:divBdr>
        <w:top w:val="none" w:sz="0" w:space="0" w:color="auto"/>
        <w:left w:val="none" w:sz="0" w:space="0" w:color="auto"/>
        <w:bottom w:val="none" w:sz="0" w:space="0" w:color="auto"/>
        <w:right w:val="none" w:sz="0" w:space="0" w:color="auto"/>
      </w:divBdr>
    </w:div>
    <w:div w:id="2128347387">
      <w:bodyDiv w:val="1"/>
      <w:marLeft w:val="0"/>
      <w:marRight w:val="0"/>
      <w:marTop w:val="0"/>
      <w:marBottom w:val="0"/>
      <w:divBdr>
        <w:top w:val="none" w:sz="0" w:space="0" w:color="auto"/>
        <w:left w:val="none" w:sz="0" w:space="0" w:color="auto"/>
        <w:bottom w:val="none" w:sz="0" w:space="0" w:color="auto"/>
        <w:right w:val="none" w:sz="0" w:space="0" w:color="auto"/>
      </w:divBdr>
    </w:div>
    <w:div w:id="2135712509">
      <w:bodyDiv w:val="1"/>
      <w:marLeft w:val="0"/>
      <w:marRight w:val="0"/>
      <w:marTop w:val="0"/>
      <w:marBottom w:val="0"/>
      <w:divBdr>
        <w:top w:val="none" w:sz="0" w:space="0" w:color="auto"/>
        <w:left w:val="none" w:sz="0" w:space="0" w:color="auto"/>
        <w:bottom w:val="none" w:sz="0" w:space="0" w:color="auto"/>
        <w:right w:val="none" w:sz="0" w:space="0" w:color="auto"/>
      </w:divBdr>
    </w:div>
    <w:div w:id="2139637992">
      <w:bodyDiv w:val="1"/>
      <w:marLeft w:val="0"/>
      <w:marRight w:val="0"/>
      <w:marTop w:val="0"/>
      <w:marBottom w:val="0"/>
      <w:divBdr>
        <w:top w:val="none" w:sz="0" w:space="0" w:color="auto"/>
        <w:left w:val="none" w:sz="0" w:space="0" w:color="auto"/>
        <w:bottom w:val="none" w:sz="0" w:space="0" w:color="auto"/>
        <w:right w:val="none" w:sz="0" w:space="0" w:color="auto"/>
      </w:divBdr>
      <w:divsChild>
        <w:div w:id="233007886">
          <w:marLeft w:val="0"/>
          <w:marRight w:val="0"/>
          <w:marTop w:val="0"/>
          <w:marBottom w:val="0"/>
          <w:divBdr>
            <w:top w:val="none" w:sz="0" w:space="0" w:color="auto"/>
            <w:left w:val="none" w:sz="0" w:space="0" w:color="auto"/>
            <w:bottom w:val="none" w:sz="0" w:space="0" w:color="auto"/>
            <w:right w:val="none" w:sz="0" w:space="0" w:color="auto"/>
          </w:divBdr>
        </w:div>
        <w:div w:id="480467485">
          <w:marLeft w:val="0"/>
          <w:marRight w:val="0"/>
          <w:marTop w:val="0"/>
          <w:marBottom w:val="0"/>
          <w:divBdr>
            <w:top w:val="none" w:sz="0" w:space="0" w:color="auto"/>
            <w:left w:val="none" w:sz="0" w:space="0" w:color="auto"/>
            <w:bottom w:val="none" w:sz="0" w:space="0" w:color="auto"/>
            <w:right w:val="none" w:sz="0" w:space="0" w:color="auto"/>
          </w:divBdr>
        </w:div>
        <w:div w:id="49526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121 - Department of Health Disability and Ageing - National Competition Policy analysis - Commissioned study</vt:lpstr>
    </vt:vector>
  </TitlesOfParts>
  <Company>Department of Health Disability and Ageing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121 - Department of Health Disability and Ageing - National Competition Policy analysis - Commissioned study</dc:title>
  <dc:subject/>
  <dc:creator>Department of Health Disability and Ageing </dc:creator>
  <cp:keywords/>
  <dc:description/>
  <cp:lastModifiedBy>Chris Alston</cp:lastModifiedBy>
  <cp:revision>5</cp:revision>
  <cp:lastPrinted>2025-09-22T23:37:00Z</cp:lastPrinted>
  <dcterms:created xsi:type="dcterms:W3CDTF">2025-09-05T05:31:00Z</dcterms:created>
  <dcterms:modified xsi:type="dcterms:W3CDTF">2025-09-22T23:38:00Z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28024744,1b49ce06,369c13b6</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lassificationContentMarkingFooterShapeIds">
    <vt:lpwstr>2c6a54b0,66026f82,6c073599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2025-09-05T00:00:36Z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03abed31-39eb-4207-bfc9-ae20677e8c36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f7467c1a-e0ed-413c-a72b-aac8e8e94f41_Enabled">
    <vt:lpwstr>true</vt:lpwstr>
  </property>
  <property fmtid="{D5CDD505-2E9C-101B-9397-08002B2CF9AE}" pid="17" name="MSIP_Label_f7467c1a-e0ed-413c-a72b-aac8e8e94f41_SetDate">
    <vt:lpwstr>2025-09-05T05:30:18Z</vt:lpwstr>
  </property>
  <property fmtid="{D5CDD505-2E9C-101B-9397-08002B2CF9AE}" pid="18" name="MSIP_Label_f7467c1a-e0ed-413c-a72b-aac8e8e94f41_Method">
    <vt:lpwstr>Privileged</vt:lpwstr>
  </property>
  <property fmtid="{D5CDD505-2E9C-101B-9397-08002B2CF9AE}" pid="19" name="MSIP_Label_f7467c1a-e0ed-413c-a72b-aac8e8e94f41_Name">
    <vt:lpwstr>OFFICIAL</vt:lpwstr>
  </property>
  <property fmtid="{D5CDD505-2E9C-101B-9397-08002B2CF9AE}" pid="20" name="MSIP_Label_f7467c1a-e0ed-413c-a72b-aac8e8e94f41_SiteId">
    <vt:lpwstr>29f9330b-c0fe-4244-830e-ba9f275d6c34</vt:lpwstr>
  </property>
  <property fmtid="{D5CDD505-2E9C-101B-9397-08002B2CF9AE}" pid="21" name="MSIP_Label_f7467c1a-e0ed-413c-a72b-aac8e8e94f41_ActionId">
    <vt:lpwstr>574564cc-de43-48b9-88c8-c961f83cce9a</vt:lpwstr>
  </property>
  <property fmtid="{D5CDD505-2E9C-101B-9397-08002B2CF9AE}" pid="22" name="MSIP_Label_f7467c1a-e0ed-413c-a72b-aac8e8e94f41_ContentBits">
    <vt:lpwstr>1</vt:lpwstr>
  </property>
  <property fmtid="{D5CDD505-2E9C-101B-9397-08002B2CF9AE}" pid="23" name="MSIP_Label_f7467c1a-e0ed-413c-a72b-aac8e8e94f41_Tag">
    <vt:lpwstr>10, 0, 1, 1</vt:lpwstr>
  </property>
</Properties>
</file>