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ECB9D" w14:textId="718552BB" w:rsidR="00524B0D" w:rsidRPr="003E1135" w:rsidRDefault="00E350FA" w:rsidP="00E350FA">
      <w:pPr>
        <w:tabs>
          <w:tab w:val="right" w:pos="9026"/>
        </w:tabs>
        <w:snapToGrid w:val="0"/>
        <w:spacing w:after="120" w:line="240" w:lineRule="auto"/>
        <w:jc w:val="right"/>
        <w:rPr>
          <w:rFonts w:ascii="Arial" w:hAnsi="Arial" w:cs="Arial"/>
          <w:b/>
          <w:bCs/>
          <w:color w:val="5FC1C5"/>
          <w:sz w:val="20"/>
          <w:szCs w:val="20"/>
        </w:rPr>
      </w:pPr>
      <w:r w:rsidRPr="00524B0D">
        <w:rPr>
          <w:rFonts w:ascii="Arial" w:hAnsi="Arial" w:cs="Arial"/>
          <w:noProof/>
          <w:sz w:val="22"/>
          <w:szCs w:val="22"/>
        </w:rPr>
        <w:drawing>
          <wp:anchor distT="0" distB="0" distL="114300" distR="114300" simplePos="0" relativeHeight="251659264" behindDoc="0" locked="0" layoutInCell="1" allowOverlap="1" wp14:anchorId="22C3C56C" wp14:editId="5F736CF4">
            <wp:simplePos x="0" y="0"/>
            <wp:positionH relativeFrom="margin">
              <wp:posOffset>0</wp:posOffset>
            </wp:positionH>
            <wp:positionV relativeFrom="paragraph">
              <wp:posOffset>-312810</wp:posOffset>
            </wp:positionV>
            <wp:extent cx="1230913" cy="1121228"/>
            <wp:effectExtent l="0" t="0" r="762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0913" cy="112122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22"/>
          <w:szCs w:val="22"/>
        </w:rPr>
        <w:tab/>
      </w:r>
      <w:r w:rsidRPr="003E1135">
        <w:rPr>
          <w:rFonts w:ascii="Arial" w:hAnsi="Arial" w:cs="Arial"/>
          <w:b/>
          <w:bCs/>
          <w:color w:val="5FC1C5"/>
          <w:sz w:val="20"/>
          <w:szCs w:val="20"/>
        </w:rPr>
        <w:t>Community Mental Health Australia</w:t>
      </w:r>
    </w:p>
    <w:p w14:paraId="4F00A69C" w14:textId="5F484910" w:rsidR="00E350FA" w:rsidRPr="003E1135" w:rsidRDefault="00E350FA" w:rsidP="00E350FA">
      <w:pPr>
        <w:tabs>
          <w:tab w:val="right" w:pos="9026"/>
        </w:tabs>
        <w:snapToGrid w:val="0"/>
        <w:spacing w:after="0" w:line="240" w:lineRule="auto"/>
        <w:jc w:val="right"/>
        <w:rPr>
          <w:rFonts w:ascii="Arial" w:hAnsi="Arial" w:cs="Arial"/>
          <w:sz w:val="20"/>
          <w:szCs w:val="20"/>
        </w:rPr>
      </w:pPr>
      <w:r w:rsidRPr="003E1135">
        <w:rPr>
          <w:rFonts w:ascii="Arial" w:hAnsi="Arial" w:cs="Arial"/>
          <w:sz w:val="20"/>
          <w:szCs w:val="20"/>
        </w:rPr>
        <w:t>PO Box 668 Rozelle NSW 2039</w:t>
      </w:r>
    </w:p>
    <w:p w14:paraId="57ACFE76" w14:textId="24D8C452" w:rsidR="00E350FA" w:rsidRPr="003E1135" w:rsidRDefault="0035500F" w:rsidP="00E350FA">
      <w:pPr>
        <w:tabs>
          <w:tab w:val="right" w:pos="9026"/>
        </w:tabs>
        <w:snapToGrid w:val="0"/>
        <w:spacing w:after="120" w:line="240" w:lineRule="auto"/>
        <w:jc w:val="right"/>
        <w:rPr>
          <w:rFonts w:ascii="Arial" w:hAnsi="Arial" w:cs="Arial"/>
          <w:sz w:val="20"/>
          <w:szCs w:val="20"/>
        </w:rPr>
      </w:pPr>
      <w:r w:rsidRPr="003E1135">
        <w:rPr>
          <w:rFonts w:ascii="Arial" w:hAnsi="Arial" w:cs="Arial"/>
          <w:sz w:val="20"/>
          <w:szCs w:val="20"/>
        </w:rPr>
        <w:t xml:space="preserve">Email </w:t>
      </w:r>
      <w:r w:rsidR="004106EF">
        <w:rPr>
          <w:rFonts w:ascii="Arial" w:hAnsi="Arial" w:cs="Arial"/>
          <w:sz w:val="20"/>
          <w:szCs w:val="20"/>
        </w:rPr>
        <w:t>ceo</w:t>
      </w:r>
      <w:r w:rsidRPr="003E1135">
        <w:rPr>
          <w:rFonts w:ascii="Arial" w:hAnsi="Arial" w:cs="Arial"/>
          <w:sz w:val="20"/>
          <w:szCs w:val="20"/>
        </w:rPr>
        <w:t>@</w:t>
      </w:r>
      <w:r w:rsidR="00E350FA" w:rsidRPr="003E1135">
        <w:rPr>
          <w:rFonts w:ascii="Arial" w:hAnsi="Arial" w:cs="Arial"/>
          <w:sz w:val="20"/>
          <w:szCs w:val="20"/>
        </w:rPr>
        <w:t>cmha.org.au</w:t>
      </w:r>
    </w:p>
    <w:p w14:paraId="34F7B57D" w14:textId="77777777" w:rsidR="00E350FA" w:rsidRPr="00524B0D" w:rsidRDefault="00E350FA" w:rsidP="00E350FA">
      <w:pPr>
        <w:tabs>
          <w:tab w:val="right" w:pos="9026"/>
        </w:tabs>
        <w:snapToGrid w:val="0"/>
        <w:spacing w:after="120" w:line="240" w:lineRule="auto"/>
        <w:rPr>
          <w:rFonts w:ascii="Arial" w:hAnsi="Arial" w:cs="Arial"/>
          <w:sz w:val="22"/>
          <w:szCs w:val="22"/>
        </w:rPr>
      </w:pPr>
    </w:p>
    <w:p w14:paraId="23954D04" w14:textId="77777777" w:rsidR="00524B0D" w:rsidRDefault="00524B0D" w:rsidP="00E350FA">
      <w:pPr>
        <w:snapToGrid w:val="0"/>
        <w:spacing w:after="120" w:line="240" w:lineRule="auto"/>
        <w:rPr>
          <w:rFonts w:ascii="Arial" w:hAnsi="Arial" w:cs="Arial"/>
          <w:sz w:val="22"/>
          <w:szCs w:val="22"/>
        </w:rPr>
      </w:pPr>
    </w:p>
    <w:p w14:paraId="1077D3D9" w14:textId="77777777" w:rsidR="00CB1890" w:rsidRDefault="00CB1890" w:rsidP="00E350FA">
      <w:pPr>
        <w:snapToGrid w:val="0"/>
        <w:spacing w:after="120" w:line="240" w:lineRule="auto"/>
        <w:rPr>
          <w:rFonts w:ascii="Arial" w:hAnsi="Arial" w:cs="Arial"/>
          <w:sz w:val="22"/>
          <w:szCs w:val="22"/>
        </w:rPr>
      </w:pPr>
    </w:p>
    <w:p w14:paraId="7B24859D" w14:textId="77777777" w:rsidR="001B71CB" w:rsidRDefault="001B71CB" w:rsidP="00E350FA">
      <w:pPr>
        <w:snapToGrid w:val="0"/>
        <w:spacing w:after="120" w:line="240" w:lineRule="auto"/>
        <w:rPr>
          <w:rFonts w:ascii="Arial" w:hAnsi="Arial" w:cs="Arial"/>
          <w:sz w:val="22"/>
          <w:szCs w:val="22"/>
        </w:rPr>
      </w:pPr>
    </w:p>
    <w:p w14:paraId="52768852" w14:textId="28CE55B3" w:rsidR="004C2116" w:rsidRPr="004C2116" w:rsidRDefault="004C2116" w:rsidP="004C2116">
      <w:pPr>
        <w:snapToGrid w:val="0"/>
        <w:spacing w:after="120" w:line="240" w:lineRule="auto"/>
        <w:rPr>
          <w:rFonts w:ascii="Arial" w:hAnsi="Arial" w:cs="Arial"/>
          <w:b/>
          <w:bCs/>
          <w:color w:val="5FC1C5"/>
        </w:rPr>
      </w:pPr>
      <w:r w:rsidRPr="004C2116">
        <w:rPr>
          <w:rFonts w:ascii="Arial" w:hAnsi="Arial" w:cs="Arial"/>
          <w:b/>
          <w:bCs/>
          <w:color w:val="5FC1C5"/>
        </w:rPr>
        <w:t>Submission to the Productivity Commission: Response to the Interim Report on the National Mental Health and Suicide Prevention Agreement Review</w:t>
      </w:r>
    </w:p>
    <w:p w14:paraId="5041C2DD" w14:textId="77777777" w:rsidR="001B71CB" w:rsidRPr="004C2116" w:rsidRDefault="001B71CB" w:rsidP="004C2116">
      <w:pPr>
        <w:snapToGrid w:val="0"/>
        <w:spacing w:after="120" w:line="240" w:lineRule="auto"/>
        <w:rPr>
          <w:rFonts w:ascii="Arial" w:hAnsi="Arial" w:cs="Arial"/>
          <w:sz w:val="20"/>
          <w:szCs w:val="20"/>
        </w:rPr>
      </w:pPr>
    </w:p>
    <w:p w14:paraId="60C95E29" w14:textId="2AF0444C" w:rsidR="004C2116" w:rsidRPr="001B71CB" w:rsidRDefault="004106EF" w:rsidP="004C2116">
      <w:pPr>
        <w:snapToGrid w:val="0"/>
        <w:spacing w:after="120" w:line="240" w:lineRule="auto"/>
        <w:rPr>
          <w:rFonts w:ascii="Arial" w:hAnsi="Arial" w:cs="Arial"/>
          <w:sz w:val="22"/>
          <w:szCs w:val="22"/>
        </w:rPr>
      </w:pPr>
      <w:r>
        <w:rPr>
          <w:rFonts w:ascii="Arial" w:hAnsi="Arial" w:cs="Arial"/>
          <w:sz w:val="22"/>
          <w:szCs w:val="22"/>
        </w:rPr>
        <w:t>4</w:t>
      </w:r>
      <w:r w:rsidRPr="0067377B">
        <w:rPr>
          <w:rFonts w:ascii="Arial" w:hAnsi="Arial" w:cs="Arial"/>
          <w:sz w:val="22"/>
          <w:szCs w:val="22"/>
          <w:vertAlign w:val="superscript"/>
        </w:rPr>
        <w:t>th</w:t>
      </w:r>
      <w:r>
        <w:rPr>
          <w:rFonts w:ascii="Arial" w:hAnsi="Arial" w:cs="Arial"/>
          <w:sz w:val="22"/>
          <w:szCs w:val="22"/>
        </w:rPr>
        <w:t xml:space="preserve"> </w:t>
      </w:r>
      <w:r w:rsidR="00143418">
        <w:rPr>
          <w:rFonts w:ascii="Arial" w:hAnsi="Arial" w:cs="Arial"/>
          <w:sz w:val="22"/>
          <w:szCs w:val="22"/>
        </w:rPr>
        <w:t>Aug</w:t>
      </w:r>
      <w:r w:rsidR="004C2116" w:rsidRPr="001B71CB">
        <w:rPr>
          <w:rFonts w:ascii="Arial" w:hAnsi="Arial" w:cs="Arial"/>
          <w:sz w:val="22"/>
          <w:szCs w:val="22"/>
        </w:rPr>
        <w:t xml:space="preserve"> 2025</w:t>
      </w:r>
    </w:p>
    <w:p w14:paraId="11CD5DB9" w14:textId="77777777" w:rsidR="004C2116" w:rsidRDefault="004C2116" w:rsidP="004C2116">
      <w:pPr>
        <w:snapToGrid w:val="0"/>
        <w:spacing w:after="120" w:line="240" w:lineRule="auto"/>
        <w:rPr>
          <w:rFonts w:ascii="Arial" w:hAnsi="Arial" w:cs="Arial"/>
          <w:sz w:val="22"/>
          <w:szCs w:val="22"/>
        </w:rPr>
      </w:pPr>
    </w:p>
    <w:p w14:paraId="0E914C51" w14:textId="77777777" w:rsidR="004C2116" w:rsidRPr="00EF73D6" w:rsidRDefault="004C2116" w:rsidP="004C2116">
      <w:pPr>
        <w:snapToGrid w:val="0"/>
        <w:spacing w:after="120" w:line="240" w:lineRule="auto"/>
        <w:rPr>
          <w:rFonts w:ascii="Arial" w:hAnsi="Arial" w:cs="Arial"/>
          <w:b/>
          <w:bCs/>
          <w:color w:val="5FC1C5"/>
        </w:rPr>
      </w:pPr>
      <w:r w:rsidRPr="00EF73D6">
        <w:rPr>
          <w:rFonts w:ascii="Arial" w:hAnsi="Arial" w:cs="Arial"/>
          <w:b/>
          <w:bCs/>
          <w:color w:val="5FC1C5"/>
        </w:rPr>
        <w:t>Introduction</w:t>
      </w:r>
    </w:p>
    <w:p w14:paraId="77296530" w14:textId="2B21BA83" w:rsidR="004C2116" w:rsidRPr="001B71CB" w:rsidRDefault="004C2116" w:rsidP="0016257E">
      <w:pPr>
        <w:snapToGrid w:val="0"/>
        <w:spacing w:after="120" w:line="360" w:lineRule="auto"/>
        <w:rPr>
          <w:rFonts w:ascii="Arial" w:hAnsi="Arial" w:cs="Arial"/>
          <w:sz w:val="22"/>
          <w:szCs w:val="22"/>
        </w:rPr>
      </w:pPr>
      <w:r w:rsidRPr="001B71CB">
        <w:rPr>
          <w:rFonts w:ascii="Arial" w:hAnsi="Arial" w:cs="Arial"/>
          <w:sz w:val="22"/>
          <w:szCs w:val="22"/>
        </w:rPr>
        <w:t xml:space="preserve">Community Mental Health Australia (CMHA) welcomes the opportunity to respond to the Productivity Commission’s Interim Report on the National Mental Health and Suicide Prevention Agreement (the Agreement). As the national peak body representing the community-managed psychosocial mental health sector, we advocate for a strong, community-led, person-centred, </w:t>
      </w:r>
      <w:r w:rsidR="001669A7">
        <w:rPr>
          <w:rFonts w:ascii="Arial" w:hAnsi="Arial" w:cs="Arial"/>
          <w:sz w:val="22"/>
          <w:szCs w:val="22"/>
        </w:rPr>
        <w:t xml:space="preserve">rights and </w:t>
      </w:r>
      <w:proofErr w:type="gramStart"/>
      <w:r w:rsidR="001669A7">
        <w:rPr>
          <w:rFonts w:ascii="Arial" w:hAnsi="Arial" w:cs="Arial"/>
          <w:sz w:val="22"/>
          <w:szCs w:val="22"/>
        </w:rPr>
        <w:t>relation</w:t>
      </w:r>
      <w:r w:rsidR="00143418">
        <w:rPr>
          <w:rFonts w:ascii="Arial" w:hAnsi="Arial" w:cs="Arial"/>
          <w:sz w:val="22"/>
          <w:szCs w:val="22"/>
        </w:rPr>
        <w:t>ally</w:t>
      </w:r>
      <w:r w:rsidR="001669A7">
        <w:rPr>
          <w:rFonts w:ascii="Arial" w:hAnsi="Arial" w:cs="Arial"/>
          <w:sz w:val="22"/>
          <w:szCs w:val="22"/>
        </w:rPr>
        <w:t>-based</w:t>
      </w:r>
      <w:proofErr w:type="gramEnd"/>
      <w:r w:rsidRPr="001B71CB">
        <w:rPr>
          <w:rFonts w:ascii="Arial" w:hAnsi="Arial" w:cs="Arial"/>
          <w:sz w:val="22"/>
          <w:szCs w:val="22"/>
        </w:rPr>
        <w:t xml:space="preserve"> system that enables people to live contributing lives in the community.</w:t>
      </w:r>
      <w:r w:rsidR="001669A7">
        <w:rPr>
          <w:rFonts w:ascii="Arial" w:hAnsi="Arial" w:cs="Arial"/>
          <w:sz w:val="22"/>
          <w:szCs w:val="22"/>
        </w:rPr>
        <w:t xml:space="preserve"> CMHA is ambitious for change where human rights are at the heart of the mental health system.</w:t>
      </w:r>
    </w:p>
    <w:p w14:paraId="68379D54" w14:textId="47FCF141" w:rsidR="004C2116" w:rsidRDefault="004C2116" w:rsidP="0016257E">
      <w:pPr>
        <w:snapToGrid w:val="0"/>
        <w:spacing w:after="120" w:line="360" w:lineRule="auto"/>
        <w:rPr>
          <w:rFonts w:ascii="Arial" w:hAnsi="Arial" w:cs="Arial"/>
          <w:sz w:val="22"/>
          <w:szCs w:val="22"/>
        </w:rPr>
      </w:pPr>
      <w:r w:rsidRPr="001B71CB">
        <w:rPr>
          <w:rFonts w:ascii="Arial" w:hAnsi="Arial" w:cs="Arial"/>
          <w:sz w:val="22"/>
          <w:szCs w:val="22"/>
        </w:rPr>
        <w:t xml:space="preserve">We commend the Commission’s extensive engagement with people with lived and living experience, </w:t>
      </w:r>
      <w:r w:rsidR="001669A7">
        <w:rPr>
          <w:rFonts w:ascii="Arial" w:hAnsi="Arial" w:cs="Arial"/>
          <w:sz w:val="22"/>
          <w:szCs w:val="22"/>
        </w:rPr>
        <w:t>families, carers and kin</w:t>
      </w:r>
      <w:r w:rsidRPr="001B71CB">
        <w:rPr>
          <w:rFonts w:ascii="Arial" w:hAnsi="Arial" w:cs="Arial"/>
          <w:sz w:val="22"/>
          <w:szCs w:val="22"/>
        </w:rPr>
        <w:t xml:space="preserve">, peer workers, community-managed services, and the broader sector. The reflections shared through the review echo what our member organisations have been voicing for many years: that the system remains fragmented, underfunded, </w:t>
      </w:r>
      <w:r w:rsidR="001669A7">
        <w:rPr>
          <w:rFonts w:ascii="Arial" w:hAnsi="Arial" w:cs="Arial"/>
          <w:sz w:val="22"/>
          <w:szCs w:val="22"/>
        </w:rPr>
        <w:t xml:space="preserve">over medicalised </w:t>
      </w:r>
      <w:r w:rsidRPr="001B71CB">
        <w:rPr>
          <w:rFonts w:ascii="Arial" w:hAnsi="Arial" w:cs="Arial"/>
          <w:sz w:val="22"/>
          <w:szCs w:val="22"/>
        </w:rPr>
        <w:t>and in many cases inaccessible.</w:t>
      </w:r>
    </w:p>
    <w:p w14:paraId="2BF3B174" w14:textId="77777777" w:rsidR="003D525E" w:rsidRDefault="003D525E" w:rsidP="004C2116">
      <w:pPr>
        <w:snapToGrid w:val="0"/>
        <w:spacing w:after="120" w:line="240" w:lineRule="auto"/>
        <w:rPr>
          <w:rFonts w:ascii="Arial" w:hAnsi="Arial" w:cs="Arial"/>
          <w:sz w:val="22"/>
          <w:szCs w:val="22"/>
          <w:highlight w:val="yellow"/>
        </w:rPr>
      </w:pPr>
    </w:p>
    <w:p w14:paraId="5F484F49" w14:textId="13AB8001" w:rsidR="005359C3" w:rsidRPr="00EF73D6" w:rsidRDefault="005359C3" w:rsidP="004C2116">
      <w:pPr>
        <w:snapToGrid w:val="0"/>
        <w:spacing w:after="120" w:line="240" w:lineRule="auto"/>
        <w:rPr>
          <w:rFonts w:ascii="Arial" w:hAnsi="Arial" w:cs="Arial"/>
          <w:b/>
          <w:bCs/>
          <w:color w:val="5FC1C5"/>
        </w:rPr>
      </w:pPr>
      <w:r w:rsidRPr="00EF73D6">
        <w:rPr>
          <w:rFonts w:ascii="Arial" w:hAnsi="Arial" w:cs="Arial"/>
          <w:b/>
          <w:bCs/>
          <w:color w:val="5FC1C5"/>
        </w:rPr>
        <w:t>Context Matters</w:t>
      </w:r>
    </w:p>
    <w:p w14:paraId="659A98A4" w14:textId="77777777" w:rsidR="00433390" w:rsidRDefault="00B32443" w:rsidP="004C2116">
      <w:pPr>
        <w:snapToGrid w:val="0"/>
        <w:spacing w:after="120" w:line="240" w:lineRule="auto"/>
        <w:rPr>
          <w:rFonts w:ascii="Arial" w:hAnsi="Arial" w:cs="Arial"/>
          <w:sz w:val="22"/>
          <w:szCs w:val="22"/>
        </w:rPr>
      </w:pPr>
      <w:r>
        <w:rPr>
          <w:rFonts w:ascii="Arial" w:hAnsi="Arial" w:cs="Arial"/>
          <w:sz w:val="22"/>
          <w:szCs w:val="22"/>
        </w:rPr>
        <w:t xml:space="preserve">CMHA’s submission is framed within </w:t>
      </w:r>
      <w:r w:rsidR="00433390">
        <w:rPr>
          <w:rFonts w:ascii="Arial" w:hAnsi="Arial" w:cs="Arial"/>
          <w:sz w:val="22"/>
          <w:szCs w:val="22"/>
        </w:rPr>
        <w:t>the context of:</w:t>
      </w:r>
    </w:p>
    <w:p w14:paraId="51EDDB8A" w14:textId="5A3460CA" w:rsidR="00696D14" w:rsidRPr="008348B3" w:rsidRDefault="00B5022C" w:rsidP="00524E7E">
      <w:pPr>
        <w:pStyle w:val="ListParagraph"/>
        <w:numPr>
          <w:ilvl w:val="0"/>
          <w:numId w:val="16"/>
        </w:numPr>
        <w:snapToGrid w:val="0"/>
        <w:spacing w:before="240" w:after="120" w:line="360" w:lineRule="auto"/>
        <w:rPr>
          <w:rFonts w:ascii="Arial" w:hAnsi="Arial" w:cs="Arial"/>
          <w:sz w:val="22"/>
          <w:szCs w:val="22"/>
        </w:rPr>
      </w:pPr>
      <w:r w:rsidRPr="008348B3">
        <w:rPr>
          <w:rFonts w:ascii="Arial" w:hAnsi="Arial" w:cs="Arial"/>
          <w:sz w:val="22"/>
          <w:szCs w:val="22"/>
        </w:rPr>
        <w:t xml:space="preserve">Successive </w:t>
      </w:r>
      <w:r w:rsidR="00022F10" w:rsidRPr="008348B3">
        <w:rPr>
          <w:rFonts w:ascii="Arial" w:hAnsi="Arial" w:cs="Arial"/>
          <w:sz w:val="22"/>
          <w:szCs w:val="22"/>
        </w:rPr>
        <w:t>failed attempts by</w:t>
      </w:r>
      <w:r w:rsidR="00433390" w:rsidRPr="008348B3">
        <w:rPr>
          <w:rFonts w:ascii="Arial" w:hAnsi="Arial" w:cs="Arial"/>
          <w:sz w:val="22"/>
          <w:szCs w:val="22"/>
        </w:rPr>
        <w:t xml:space="preserve"> both Commonwealth and </w:t>
      </w:r>
      <w:r w:rsidR="00DC249F">
        <w:rPr>
          <w:rFonts w:ascii="Arial" w:hAnsi="Arial" w:cs="Arial"/>
          <w:sz w:val="22"/>
          <w:szCs w:val="22"/>
        </w:rPr>
        <w:t>the S</w:t>
      </w:r>
      <w:r w:rsidR="00433390" w:rsidRPr="008348B3">
        <w:rPr>
          <w:rFonts w:ascii="Arial" w:hAnsi="Arial" w:cs="Arial"/>
          <w:sz w:val="22"/>
          <w:szCs w:val="22"/>
        </w:rPr>
        <w:t>tate/</w:t>
      </w:r>
      <w:r w:rsidR="00DC249F">
        <w:rPr>
          <w:rFonts w:ascii="Arial" w:hAnsi="Arial" w:cs="Arial"/>
          <w:sz w:val="22"/>
          <w:szCs w:val="22"/>
        </w:rPr>
        <w:t>T</w:t>
      </w:r>
      <w:r w:rsidR="00433390" w:rsidRPr="008348B3">
        <w:rPr>
          <w:rFonts w:ascii="Arial" w:hAnsi="Arial" w:cs="Arial"/>
          <w:sz w:val="22"/>
          <w:szCs w:val="22"/>
        </w:rPr>
        <w:t>erritory governments to reform the mental health system</w:t>
      </w:r>
    </w:p>
    <w:p w14:paraId="7269EF93" w14:textId="29728F8D" w:rsidR="00A27253" w:rsidRPr="008348B3" w:rsidRDefault="00A27253" w:rsidP="00524E7E">
      <w:pPr>
        <w:pStyle w:val="ListParagraph"/>
        <w:numPr>
          <w:ilvl w:val="0"/>
          <w:numId w:val="16"/>
        </w:numPr>
        <w:snapToGrid w:val="0"/>
        <w:spacing w:before="240" w:after="120" w:line="360" w:lineRule="auto"/>
        <w:rPr>
          <w:rFonts w:ascii="Arial" w:hAnsi="Arial" w:cs="Arial"/>
          <w:sz w:val="22"/>
          <w:szCs w:val="22"/>
        </w:rPr>
      </w:pPr>
      <w:r w:rsidRPr="008348B3">
        <w:rPr>
          <w:rFonts w:ascii="Arial" w:hAnsi="Arial" w:cs="Arial"/>
          <w:sz w:val="22"/>
          <w:szCs w:val="22"/>
        </w:rPr>
        <w:t xml:space="preserve">Lack of accountability </w:t>
      </w:r>
      <w:r w:rsidR="00B40FBA" w:rsidRPr="008348B3">
        <w:rPr>
          <w:rFonts w:ascii="Arial" w:hAnsi="Arial" w:cs="Arial"/>
          <w:sz w:val="22"/>
          <w:szCs w:val="22"/>
        </w:rPr>
        <w:t xml:space="preserve">structures to measure and learn from these </w:t>
      </w:r>
      <w:r w:rsidR="00A21EBB">
        <w:rPr>
          <w:rFonts w:ascii="Arial" w:hAnsi="Arial" w:cs="Arial"/>
          <w:sz w:val="22"/>
          <w:szCs w:val="22"/>
        </w:rPr>
        <w:t xml:space="preserve">repeated </w:t>
      </w:r>
      <w:r w:rsidR="00B40FBA" w:rsidRPr="008348B3">
        <w:rPr>
          <w:rFonts w:ascii="Arial" w:hAnsi="Arial" w:cs="Arial"/>
          <w:sz w:val="22"/>
          <w:szCs w:val="22"/>
        </w:rPr>
        <w:t>failures, including the current National Mental Health and Suicide Prevention Agreement (the Agreement)</w:t>
      </w:r>
    </w:p>
    <w:p w14:paraId="1371E9D0" w14:textId="04BA89FD" w:rsidR="001669A7" w:rsidRPr="008348B3" w:rsidRDefault="00696D14" w:rsidP="00524E7E">
      <w:pPr>
        <w:pStyle w:val="ListParagraph"/>
        <w:numPr>
          <w:ilvl w:val="0"/>
          <w:numId w:val="16"/>
        </w:numPr>
        <w:snapToGrid w:val="0"/>
        <w:spacing w:before="240" w:after="120" w:line="360" w:lineRule="auto"/>
        <w:rPr>
          <w:rFonts w:ascii="Arial" w:hAnsi="Arial" w:cs="Arial"/>
          <w:sz w:val="22"/>
          <w:szCs w:val="22"/>
        </w:rPr>
      </w:pPr>
      <w:r w:rsidRPr="008348B3">
        <w:rPr>
          <w:rFonts w:ascii="Arial" w:hAnsi="Arial" w:cs="Arial"/>
          <w:sz w:val="22"/>
          <w:szCs w:val="22"/>
        </w:rPr>
        <w:t xml:space="preserve">An </w:t>
      </w:r>
      <w:r w:rsidR="007E767D">
        <w:rPr>
          <w:rFonts w:ascii="Arial" w:hAnsi="Arial" w:cs="Arial"/>
          <w:sz w:val="22"/>
          <w:szCs w:val="22"/>
        </w:rPr>
        <w:t>un</w:t>
      </w:r>
      <w:r w:rsidR="009F4EFA">
        <w:rPr>
          <w:rFonts w:ascii="Arial" w:hAnsi="Arial" w:cs="Arial"/>
          <w:sz w:val="22"/>
          <w:szCs w:val="22"/>
        </w:rPr>
        <w:t>apologetically entrenched</w:t>
      </w:r>
      <w:r w:rsidR="00C271D9" w:rsidRPr="008348B3">
        <w:rPr>
          <w:rFonts w:ascii="Arial" w:hAnsi="Arial" w:cs="Arial"/>
          <w:sz w:val="22"/>
          <w:szCs w:val="22"/>
        </w:rPr>
        <w:t xml:space="preserve"> </w:t>
      </w:r>
      <w:r w:rsidRPr="008348B3">
        <w:rPr>
          <w:rFonts w:ascii="Arial" w:hAnsi="Arial" w:cs="Arial"/>
          <w:sz w:val="22"/>
          <w:szCs w:val="22"/>
        </w:rPr>
        <w:t xml:space="preserve">rights-breaching </w:t>
      </w:r>
      <w:r w:rsidR="00C271D9" w:rsidRPr="008348B3">
        <w:rPr>
          <w:rFonts w:ascii="Arial" w:hAnsi="Arial" w:cs="Arial"/>
          <w:sz w:val="22"/>
          <w:szCs w:val="22"/>
        </w:rPr>
        <w:t xml:space="preserve">mental health </w:t>
      </w:r>
      <w:r w:rsidRPr="008348B3">
        <w:rPr>
          <w:rFonts w:ascii="Arial" w:hAnsi="Arial" w:cs="Arial"/>
          <w:sz w:val="22"/>
          <w:szCs w:val="22"/>
        </w:rPr>
        <w:t xml:space="preserve">system </w:t>
      </w:r>
    </w:p>
    <w:p w14:paraId="257381B9" w14:textId="067E4417" w:rsidR="00022F10" w:rsidRPr="008348B3" w:rsidRDefault="00022F10" w:rsidP="00524E7E">
      <w:pPr>
        <w:pStyle w:val="ListParagraph"/>
        <w:numPr>
          <w:ilvl w:val="0"/>
          <w:numId w:val="16"/>
        </w:numPr>
        <w:snapToGrid w:val="0"/>
        <w:spacing w:before="240" w:after="120" w:line="360" w:lineRule="auto"/>
        <w:rPr>
          <w:rFonts w:ascii="Arial" w:hAnsi="Arial" w:cs="Arial"/>
          <w:sz w:val="22"/>
          <w:szCs w:val="22"/>
        </w:rPr>
      </w:pPr>
      <w:r w:rsidRPr="008348B3">
        <w:rPr>
          <w:rFonts w:ascii="Arial" w:hAnsi="Arial" w:cs="Arial"/>
          <w:sz w:val="22"/>
          <w:szCs w:val="22"/>
        </w:rPr>
        <w:t>The establishment of</w:t>
      </w:r>
      <w:r w:rsidR="00FD0E42" w:rsidRPr="008348B3">
        <w:rPr>
          <w:rFonts w:ascii="Arial" w:hAnsi="Arial" w:cs="Arial"/>
          <w:sz w:val="22"/>
          <w:szCs w:val="22"/>
        </w:rPr>
        <w:t xml:space="preserve"> consumer, family/carer and Aboriginal and Torres Strait Islander lived experience peaks</w:t>
      </w:r>
    </w:p>
    <w:p w14:paraId="784C240F" w14:textId="6391F70A" w:rsidR="00FD0E42" w:rsidRDefault="00B371AB" w:rsidP="00524E7E">
      <w:pPr>
        <w:pStyle w:val="ListParagraph"/>
        <w:numPr>
          <w:ilvl w:val="0"/>
          <w:numId w:val="16"/>
        </w:numPr>
        <w:snapToGrid w:val="0"/>
        <w:spacing w:before="240" w:after="120" w:line="360" w:lineRule="auto"/>
        <w:rPr>
          <w:rFonts w:ascii="Arial" w:hAnsi="Arial" w:cs="Arial"/>
          <w:sz w:val="22"/>
          <w:szCs w:val="22"/>
        </w:rPr>
      </w:pPr>
      <w:r>
        <w:rPr>
          <w:rFonts w:ascii="Arial" w:hAnsi="Arial" w:cs="Arial"/>
          <w:sz w:val="22"/>
          <w:szCs w:val="22"/>
        </w:rPr>
        <w:lastRenderedPageBreak/>
        <w:t xml:space="preserve">Administrative Arrangement Orders </w:t>
      </w:r>
      <w:r w:rsidR="00BD2238">
        <w:rPr>
          <w:rFonts w:ascii="Arial" w:hAnsi="Arial" w:cs="Arial"/>
          <w:sz w:val="22"/>
          <w:szCs w:val="22"/>
        </w:rPr>
        <w:t>made in May 2025 providing</w:t>
      </w:r>
      <w:r w:rsidR="00FD0E42" w:rsidRPr="008348B3">
        <w:rPr>
          <w:rFonts w:ascii="Arial" w:hAnsi="Arial" w:cs="Arial"/>
          <w:sz w:val="22"/>
          <w:szCs w:val="22"/>
        </w:rPr>
        <w:t xml:space="preserve"> portfolio alignment with Health, Disability and the NDIS</w:t>
      </w:r>
      <w:r w:rsidR="00BD2238">
        <w:rPr>
          <w:rFonts w:ascii="Arial" w:hAnsi="Arial" w:cs="Arial"/>
          <w:sz w:val="22"/>
          <w:szCs w:val="22"/>
        </w:rPr>
        <w:t>,</w:t>
      </w:r>
      <w:r w:rsidR="00FD0E42" w:rsidRPr="008348B3">
        <w:rPr>
          <w:rFonts w:ascii="Arial" w:hAnsi="Arial" w:cs="Arial"/>
          <w:sz w:val="22"/>
          <w:szCs w:val="22"/>
        </w:rPr>
        <w:t xml:space="preserve"> eliminating previous structural barriers to reform</w:t>
      </w:r>
    </w:p>
    <w:p w14:paraId="73C135DF" w14:textId="6BC31DD9" w:rsidR="006D4BB4" w:rsidRPr="008348B3" w:rsidRDefault="006D4BB4" w:rsidP="00524E7E">
      <w:pPr>
        <w:pStyle w:val="ListParagraph"/>
        <w:numPr>
          <w:ilvl w:val="0"/>
          <w:numId w:val="16"/>
        </w:numPr>
        <w:snapToGrid w:val="0"/>
        <w:spacing w:before="240" w:after="120" w:line="360" w:lineRule="auto"/>
        <w:rPr>
          <w:rFonts w:ascii="Arial" w:hAnsi="Arial" w:cs="Arial"/>
          <w:sz w:val="22"/>
          <w:szCs w:val="22"/>
        </w:rPr>
      </w:pPr>
      <w:r>
        <w:rPr>
          <w:rFonts w:ascii="Arial" w:hAnsi="Arial" w:cs="Arial"/>
          <w:sz w:val="22"/>
          <w:szCs w:val="22"/>
        </w:rPr>
        <w:t xml:space="preserve">International calls from the </w:t>
      </w:r>
      <w:r w:rsidR="00C97B3B">
        <w:rPr>
          <w:rFonts w:ascii="Arial" w:hAnsi="Arial" w:cs="Arial"/>
          <w:sz w:val="22"/>
          <w:szCs w:val="22"/>
        </w:rPr>
        <w:t xml:space="preserve">United Nations </w:t>
      </w:r>
      <w:r w:rsidR="005B3E53">
        <w:rPr>
          <w:rFonts w:ascii="Arial" w:hAnsi="Arial" w:cs="Arial"/>
          <w:sz w:val="22"/>
          <w:szCs w:val="22"/>
        </w:rPr>
        <w:t xml:space="preserve">Human Rights </w:t>
      </w:r>
      <w:r w:rsidR="00C97B3B">
        <w:rPr>
          <w:rFonts w:ascii="Arial" w:hAnsi="Arial" w:cs="Arial"/>
          <w:sz w:val="22"/>
          <w:szCs w:val="22"/>
        </w:rPr>
        <w:t xml:space="preserve">Office of the High </w:t>
      </w:r>
      <w:r w:rsidR="005B3E53">
        <w:rPr>
          <w:rFonts w:ascii="Arial" w:hAnsi="Arial" w:cs="Arial"/>
          <w:sz w:val="22"/>
          <w:szCs w:val="22"/>
        </w:rPr>
        <w:t>Commissioner</w:t>
      </w:r>
      <w:r w:rsidR="00122C5C">
        <w:rPr>
          <w:rFonts w:ascii="Arial" w:hAnsi="Arial" w:cs="Arial"/>
          <w:sz w:val="22"/>
          <w:szCs w:val="22"/>
        </w:rPr>
        <w:t xml:space="preserve"> and the World Health Organisation for an urgent paradigm shift </w:t>
      </w:r>
      <w:r w:rsidR="00C0219B">
        <w:rPr>
          <w:rFonts w:ascii="Arial" w:hAnsi="Arial" w:cs="Arial"/>
          <w:sz w:val="22"/>
          <w:szCs w:val="22"/>
        </w:rPr>
        <w:t xml:space="preserve">from </w:t>
      </w:r>
      <w:proofErr w:type="gramStart"/>
      <w:r w:rsidR="00C0219B">
        <w:rPr>
          <w:rFonts w:ascii="Arial" w:hAnsi="Arial" w:cs="Arial"/>
          <w:sz w:val="22"/>
          <w:szCs w:val="22"/>
        </w:rPr>
        <w:t>medically-based</w:t>
      </w:r>
      <w:proofErr w:type="gramEnd"/>
      <w:r w:rsidR="00C0219B">
        <w:rPr>
          <w:rFonts w:ascii="Arial" w:hAnsi="Arial" w:cs="Arial"/>
          <w:sz w:val="22"/>
          <w:szCs w:val="22"/>
        </w:rPr>
        <w:t xml:space="preserve"> mental health systems to rights-based mental health systems</w:t>
      </w:r>
      <w:r w:rsidR="00065989">
        <w:rPr>
          <w:rStyle w:val="FootnoteReference"/>
          <w:rFonts w:ascii="Arial" w:hAnsi="Arial" w:cs="Arial"/>
          <w:sz w:val="22"/>
          <w:szCs w:val="22"/>
        </w:rPr>
        <w:footnoteReference w:id="1"/>
      </w:r>
      <w:r w:rsidR="00050C7B">
        <w:rPr>
          <w:rStyle w:val="FootnoteReference"/>
          <w:rFonts w:ascii="Arial" w:hAnsi="Arial" w:cs="Arial"/>
          <w:sz w:val="22"/>
          <w:szCs w:val="22"/>
        </w:rPr>
        <w:footnoteReference w:id="2"/>
      </w:r>
    </w:p>
    <w:p w14:paraId="1833173C" w14:textId="77777777" w:rsidR="00696D14" w:rsidRDefault="00696D14" w:rsidP="00524E7E">
      <w:pPr>
        <w:snapToGrid w:val="0"/>
        <w:spacing w:before="240" w:after="120" w:line="240" w:lineRule="auto"/>
        <w:rPr>
          <w:rFonts w:ascii="Arial" w:hAnsi="Arial" w:cs="Arial"/>
          <w:sz w:val="22"/>
          <w:szCs w:val="22"/>
        </w:rPr>
      </w:pPr>
    </w:p>
    <w:p w14:paraId="4048F584" w14:textId="77777777" w:rsidR="00C26F1E" w:rsidRDefault="00175562" w:rsidP="0016257E">
      <w:pPr>
        <w:snapToGrid w:val="0"/>
        <w:spacing w:after="120" w:line="360" w:lineRule="auto"/>
        <w:rPr>
          <w:rFonts w:ascii="Arial" w:hAnsi="Arial" w:cs="Arial"/>
          <w:sz w:val="22"/>
          <w:szCs w:val="22"/>
        </w:rPr>
      </w:pPr>
      <w:proofErr w:type="gramStart"/>
      <w:r>
        <w:rPr>
          <w:rFonts w:ascii="Arial" w:hAnsi="Arial" w:cs="Arial"/>
          <w:sz w:val="22"/>
          <w:szCs w:val="22"/>
        </w:rPr>
        <w:t xml:space="preserve">CMHA </w:t>
      </w:r>
      <w:r w:rsidR="00314C40">
        <w:rPr>
          <w:rFonts w:ascii="Arial" w:hAnsi="Arial" w:cs="Arial"/>
          <w:sz w:val="22"/>
          <w:szCs w:val="22"/>
        </w:rPr>
        <w:t xml:space="preserve"> </w:t>
      </w:r>
      <w:r>
        <w:rPr>
          <w:rFonts w:ascii="Arial" w:hAnsi="Arial" w:cs="Arial"/>
          <w:sz w:val="22"/>
          <w:szCs w:val="22"/>
        </w:rPr>
        <w:t>strongly</w:t>
      </w:r>
      <w:proofErr w:type="gramEnd"/>
      <w:r>
        <w:rPr>
          <w:rFonts w:ascii="Arial" w:hAnsi="Arial" w:cs="Arial"/>
          <w:sz w:val="22"/>
          <w:szCs w:val="22"/>
        </w:rPr>
        <w:t xml:space="preserve"> believes the Productivity Commission’s </w:t>
      </w:r>
      <w:r w:rsidR="007F4FC0">
        <w:rPr>
          <w:rFonts w:ascii="Arial" w:hAnsi="Arial" w:cs="Arial"/>
          <w:sz w:val="22"/>
          <w:szCs w:val="22"/>
        </w:rPr>
        <w:t>F</w:t>
      </w:r>
      <w:r>
        <w:rPr>
          <w:rFonts w:ascii="Arial" w:hAnsi="Arial" w:cs="Arial"/>
          <w:sz w:val="22"/>
          <w:szCs w:val="22"/>
        </w:rPr>
        <w:t xml:space="preserve">inal </w:t>
      </w:r>
      <w:r w:rsidR="00C7795A">
        <w:rPr>
          <w:rFonts w:ascii="Arial" w:hAnsi="Arial" w:cs="Arial"/>
          <w:sz w:val="22"/>
          <w:szCs w:val="22"/>
        </w:rPr>
        <w:t>R</w:t>
      </w:r>
      <w:r>
        <w:rPr>
          <w:rFonts w:ascii="Arial" w:hAnsi="Arial" w:cs="Arial"/>
          <w:sz w:val="22"/>
          <w:szCs w:val="22"/>
        </w:rPr>
        <w:t>eport must strengthen</w:t>
      </w:r>
      <w:r w:rsidR="0064502A">
        <w:rPr>
          <w:rFonts w:ascii="Arial" w:hAnsi="Arial" w:cs="Arial"/>
          <w:sz w:val="22"/>
          <w:szCs w:val="22"/>
        </w:rPr>
        <w:t xml:space="preserve"> its Interim Report</w:t>
      </w:r>
      <w:r>
        <w:rPr>
          <w:rFonts w:ascii="Arial" w:hAnsi="Arial" w:cs="Arial"/>
          <w:sz w:val="22"/>
          <w:szCs w:val="22"/>
        </w:rPr>
        <w:t xml:space="preserve"> recommendations to </w:t>
      </w:r>
      <w:r w:rsidR="00C26F1E">
        <w:rPr>
          <w:rFonts w:ascii="Arial" w:hAnsi="Arial" w:cs="Arial"/>
          <w:sz w:val="22"/>
          <w:szCs w:val="22"/>
        </w:rPr>
        <w:t>address</w:t>
      </w:r>
      <w:r>
        <w:rPr>
          <w:rFonts w:ascii="Arial" w:hAnsi="Arial" w:cs="Arial"/>
          <w:sz w:val="22"/>
          <w:szCs w:val="22"/>
        </w:rPr>
        <w:t xml:space="preserve"> the gap between the normative objective language of system transformation and the recommendations to implement transformation</w:t>
      </w:r>
      <w:r w:rsidR="00E06EA2">
        <w:rPr>
          <w:rFonts w:ascii="Arial" w:hAnsi="Arial" w:cs="Arial"/>
          <w:sz w:val="22"/>
          <w:szCs w:val="22"/>
        </w:rPr>
        <w:t xml:space="preserve">, particularly </w:t>
      </w:r>
      <w:r w:rsidR="00B534AB">
        <w:rPr>
          <w:rFonts w:ascii="Arial" w:hAnsi="Arial" w:cs="Arial"/>
          <w:sz w:val="22"/>
          <w:szCs w:val="22"/>
        </w:rPr>
        <w:t>to</w:t>
      </w:r>
      <w:r w:rsidR="00881B16">
        <w:rPr>
          <w:rFonts w:ascii="Arial" w:hAnsi="Arial" w:cs="Arial"/>
          <w:sz w:val="22"/>
          <w:szCs w:val="22"/>
        </w:rPr>
        <w:t xml:space="preserve"> </w:t>
      </w:r>
      <w:r w:rsidR="009941C4">
        <w:rPr>
          <w:rFonts w:ascii="Arial" w:hAnsi="Arial" w:cs="Arial"/>
          <w:sz w:val="22"/>
          <w:szCs w:val="22"/>
        </w:rPr>
        <w:t>align</w:t>
      </w:r>
      <w:r w:rsidR="00C74B93">
        <w:rPr>
          <w:rFonts w:ascii="Arial" w:hAnsi="Arial" w:cs="Arial"/>
          <w:sz w:val="22"/>
          <w:szCs w:val="22"/>
        </w:rPr>
        <w:t xml:space="preserve"> health</w:t>
      </w:r>
      <w:r w:rsidR="0067377B">
        <w:rPr>
          <w:rFonts w:ascii="Arial" w:hAnsi="Arial" w:cs="Arial"/>
          <w:sz w:val="22"/>
          <w:szCs w:val="22"/>
        </w:rPr>
        <w:t xml:space="preserve"> policy</w:t>
      </w:r>
      <w:r w:rsidR="009941C4">
        <w:rPr>
          <w:rFonts w:ascii="Arial" w:hAnsi="Arial" w:cs="Arial"/>
          <w:sz w:val="22"/>
          <w:szCs w:val="22"/>
        </w:rPr>
        <w:t xml:space="preserve"> with</w:t>
      </w:r>
      <w:r w:rsidR="00881B16">
        <w:rPr>
          <w:rFonts w:ascii="Arial" w:hAnsi="Arial" w:cs="Arial"/>
          <w:sz w:val="22"/>
          <w:szCs w:val="22"/>
        </w:rPr>
        <w:t xml:space="preserve"> Australia’s </w:t>
      </w:r>
      <w:r w:rsidR="00C74B93">
        <w:rPr>
          <w:rFonts w:ascii="Arial" w:hAnsi="Arial" w:cs="Arial"/>
          <w:sz w:val="22"/>
          <w:szCs w:val="22"/>
        </w:rPr>
        <w:t>obligations under the United Nations Convention on the Rights of Persons with Disabilities</w:t>
      </w:r>
      <w:r w:rsidR="00314C40">
        <w:rPr>
          <w:rFonts w:ascii="Arial" w:hAnsi="Arial" w:cs="Arial"/>
          <w:sz w:val="22"/>
          <w:szCs w:val="22"/>
        </w:rPr>
        <w:t>.</w:t>
      </w:r>
      <w:r w:rsidR="00185D7C">
        <w:rPr>
          <w:rFonts w:ascii="Arial" w:hAnsi="Arial" w:cs="Arial"/>
          <w:sz w:val="22"/>
          <w:szCs w:val="22"/>
        </w:rPr>
        <w:t xml:space="preserve"> </w:t>
      </w:r>
    </w:p>
    <w:p w14:paraId="3DEE5ABA" w14:textId="39C7C7CE" w:rsidR="00B333B8" w:rsidRDefault="00185D7C" w:rsidP="0016257E">
      <w:pPr>
        <w:snapToGrid w:val="0"/>
        <w:spacing w:after="120" w:line="360" w:lineRule="auto"/>
        <w:rPr>
          <w:rFonts w:ascii="Arial" w:hAnsi="Arial" w:cs="Arial"/>
          <w:sz w:val="22"/>
          <w:szCs w:val="22"/>
        </w:rPr>
      </w:pPr>
      <w:r>
        <w:rPr>
          <w:rFonts w:ascii="Arial" w:hAnsi="Arial" w:cs="Arial"/>
          <w:sz w:val="22"/>
          <w:szCs w:val="22"/>
        </w:rPr>
        <w:t xml:space="preserve">This will require significant </w:t>
      </w:r>
      <w:r w:rsidR="00C26F1E">
        <w:rPr>
          <w:rFonts w:ascii="Arial" w:hAnsi="Arial" w:cs="Arial"/>
          <w:sz w:val="22"/>
          <w:szCs w:val="22"/>
        </w:rPr>
        <w:t>policy thought and</w:t>
      </w:r>
      <w:r w:rsidR="00D664E7">
        <w:rPr>
          <w:rFonts w:ascii="Arial" w:hAnsi="Arial" w:cs="Arial"/>
          <w:sz w:val="22"/>
          <w:szCs w:val="22"/>
        </w:rPr>
        <w:t xml:space="preserve"> </w:t>
      </w:r>
      <w:r w:rsidR="00F01FF3">
        <w:rPr>
          <w:rFonts w:ascii="Arial" w:hAnsi="Arial" w:cs="Arial"/>
          <w:sz w:val="22"/>
          <w:szCs w:val="22"/>
        </w:rPr>
        <w:t>focus</w:t>
      </w:r>
      <w:r w:rsidR="00D664E7">
        <w:rPr>
          <w:rFonts w:ascii="Arial" w:hAnsi="Arial" w:cs="Arial"/>
          <w:sz w:val="22"/>
          <w:szCs w:val="22"/>
        </w:rPr>
        <w:t xml:space="preserve"> on</w:t>
      </w:r>
      <w:r>
        <w:rPr>
          <w:rFonts w:ascii="Arial" w:hAnsi="Arial" w:cs="Arial"/>
          <w:sz w:val="22"/>
          <w:szCs w:val="22"/>
        </w:rPr>
        <w:t xml:space="preserve"> system transformation</w:t>
      </w:r>
      <w:r w:rsidR="00D664E7">
        <w:rPr>
          <w:rFonts w:ascii="Arial" w:hAnsi="Arial" w:cs="Arial"/>
          <w:sz w:val="22"/>
          <w:szCs w:val="22"/>
        </w:rPr>
        <w:t xml:space="preserve">, not just theory of change </w:t>
      </w:r>
      <w:r w:rsidR="004E19B6">
        <w:rPr>
          <w:rFonts w:ascii="Arial" w:hAnsi="Arial" w:cs="Arial"/>
          <w:sz w:val="22"/>
          <w:szCs w:val="22"/>
        </w:rPr>
        <w:t xml:space="preserve">processes which </w:t>
      </w:r>
      <w:r w:rsidR="00F01FF3">
        <w:rPr>
          <w:rFonts w:ascii="Arial" w:hAnsi="Arial" w:cs="Arial"/>
          <w:sz w:val="22"/>
          <w:szCs w:val="22"/>
        </w:rPr>
        <w:t xml:space="preserve">will not fully address the </w:t>
      </w:r>
      <w:r w:rsidR="00E37E3B">
        <w:rPr>
          <w:rFonts w:ascii="Arial" w:hAnsi="Arial" w:cs="Arial"/>
          <w:sz w:val="22"/>
          <w:szCs w:val="22"/>
        </w:rPr>
        <w:t>complexity of the structural and cultural c</w:t>
      </w:r>
      <w:r w:rsidR="003802DC">
        <w:rPr>
          <w:rFonts w:ascii="Arial" w:hAnsi="Arial" w:cs="Arial"/>
          <w:sz w:val="22"/>
          <w:szCs w:val="22"/>
        </w:rPr>
        <w:t>haracteristics of the system preventing genuine transformation.</w:t>
      </w:r>
      <w:r w:rsidR="004E19B6">
        <w:rPr>
          <w:rFonts w:ascii="Arial" w:hAnsi="Arial" w:cs="Arial"/>
          <w:sz w:val="22"/>
          <w:szCs w:val="22"/>
        </w:rPr>
        <w:t xml:space="preserve"> </w:t>
      </w:r>
    </w:p>
    <w:p w14:paraId="5CFB4AC9" w14:textId="2F2A2988" w:rsidR="003D525E" w:rsidRPr="00371157" w:rsidRDefault="00AE0A93" w:rsidP="00371157">
      <w:pPr>
        <w:snapToGrid w:val="0"/>
        <w:spacing w:after="120" w:line="240" w:lineRule="auto"/>
        <w:rPr>
          <w:rFonts w:ascii="Arial" w:hAnsi="Arial" w:cs="Arial"/>
          <w:b/>
          <w:bCs/>
          <w:color w:val="5FC1C5"/>
        </w:rPr>
      </w:pPr>
      <w:r w:rsidRPr="00371157">
        <w:rPr>
          <w:rFonts w:ascii="Arial" w:hAnsi="Arial" w:cs="Arial"/>
          <w:b/>
          <w:bCs/>
          <w:color w:val="5FC1C5"/>
        </w:rPr>
        <w:t>CMHA Supports:</w:t>
      </w:r>
    </w:p>
    <w:p w14:paraId="219C70B3" w14:textId="419B5CA9" w:rsidR="00F84802" w:rsidRPr="00C26F1E" w:rsidRDefault="00AE0A93" w:rsidP="00C26F1E">
      <w:pPr>
        <w:snapToGrid w:val="0"/>
        <w:spacing w:after="120" w:line="240" w:lineRule="auto"/>
        <w:rPr>
          <w:rFonts w:ascii="Arial" w:hAnsi="Arial" w:cs="Arial"/>
          <w:b/>
          <w:bCs/>
          <w:color w:val="5FC1C5"/>
        </w:rPr>
      </w:pPr>
      <w:r w:rsidRPr="00C26F1E">
        <w:rPr>
          <w:rFonts w:ascii="Arial" w:hAnsi="Arial" w:cs="Arial"/>
          <w:b/>
          <w:bCs/>
          <w:color w:val="5FC1C5"/>
        </w:rPr>
        <w:t>A</w:t>
      </w:r>
      <w:r w:rsidR="004C2116" w:rsidRPr="00C26F1E">
        <w:rPr>
          <w:rFonts w:ascii="Arial" w:hAnsi="Arial" w:cs="Arial"/>
          <w:b/>
          <w:bCs/>
          <w:color w:val="5FC1C5"/>
        </w:rPr>
        <w:t xml:space="preserve"> New National Agreement</w:t>
      </w:r>
      <w:r w:rsidR="00032DB4" w:rsidRPr="00C26F1E">
        <w:rPr>
          <w:rFonts w:ascii="Arial" w:hAnsi="Arial" w:cs="Arial"/>
          <w:b/>
          <w:bCs/>
          <w:color w:val="5FC1C5"/>
        </w:rPr>
        <w:t xml:space="preserve"> – </w:t>
      </w:r>
      <w:r w:rsidR="00F84802" w:rsidRPr="00C26F1E">
        <w:rPr>
          <w:rFonts w:ascii="Arial" w:hAnsi="Arial" w:cs="Arial"/>
          <w:b/>
          <w:bCs/>
          <w:color w:val="5FC1C5"/>
        </w:rPr>
        <w:t>but not at the cost of urgent action to invest in psychosocial supports in the current Agreement</w:t>
      </w:r>
    </w:p>
    <w:p w14:paraId="01526140" w14:textId="5CB06927" w:rsidR="00E40AC4" w:rsidRDefault="004C2116" w:rsidP="0016257E">
      <w:pPr>
        <w:snapToGrid w:val="0"/>
        <w:spacing w:after="120" w:line="360" w:lineRule="auto"/>
        <w:rPr>
          <w:rFonts w:ascii="Arial" w:hAnsi="Arial" w:cs="Arial"/>
          <w:sz w:val="22"/>
          <w:szCs w:val="22"/>
        </w:rPr>
      </w:pPr>
      <w:r w:rsidRPr="001B71CB">
        <w:rPr>
          <w:rFonts w:ascii="Arial" w:hAnsi="Arial" w:cs="Arial"/>
          <w:sz w:val="22"/>
          <w:szCs w:val="22"/>
        </w:rPr>
        <w:t>CMHA strongly supports the Commission’s recommendation to develop a new, co-designed National Mental Health and Suicide Prevention Agreement. The current Agreement, while well-intentioned, has not delivered meaningful reform or addressed the entrenched service gaps affecting the most vulnerable in our communities.</w:t>
      </w:r>
    </w:p>
    <w:p w14:paraId="4D096BE8" w14:textId="641EE56E" w:rsidR="004C2116" w:rsidRDefault="00E40AC4" w:rsidP="0016257E">
      <w:pPr>
        <w:snapToGrid w:val="0"/>
        <w:spacing w:after="120" w:line="360" w:lineRule="auto"/>
        <w:rPr>
          <w:rFonts w:ascii="Arial" w:hAnsi="Arial" w:cs="Arial"/>
          <w:sz w:val="22"/>
          <w:szCs w:val="22"/>
        </w:rPr>
      </w:pPr>
      <w:r w:rsidRPr="00941F54">
        <w:rPr>
          <w:rFonts w:ascii="Arial" w:hAnsi="Arial" w:cs="Arial"/>
          <w:sz w:val="22"/>
          <w:szCs w:val="22"/>
        </w:rPr>
        <w:t xml:space="preserve">However, designing a new agreement must not delay action. Governments should begin implementing critical reforms now </w:t>
      </w:r>
      <w:r w:rsidR="002D7C68">
        <w:rPr>
          <w:rFonts w:ascii="Arial" w:hAnsi="Arial" w:cs="Arial"/>
          <w:sz w:val="22"/>
          <w:szCs w:val="22"/>
        </w:rPr>
        <w:t>-</w:t>
      </w:r>
      <w:r w:rsidRPr="00941F54">
        <w:rPr>
          <w:rFonts w:ascii="Arial" w:hAnsi="Arial" w:cs="Arial"/>
          <w:sz w:val="22"/>
          <w:szCs w:val="22"/>
        </w:rPr>
        <w:t xml:space="preserve"> using the extension period to test, refine, and evaluate scalable models - rather than pausing for a wholesale reset. This includes addressing urgent issues such as psychosocial supports, peer workforce development, and outcomes measurement.</w:t>
      </w:r>
    </w:p>
    <w:p w14:paraId="7D7D8955" w14:textId="77777777" w:rsidR="004C2116" w:rsidRPr="00371157" w:rsidRDefault="004C2116" w:rsidP="004C2116">
      <w:pPr>
        <w:snapToGrid w:val="0"/>
        <w:spacing w:after="120" w:line="240" w:lineRule="auto"/>
        <w:rPr>
          <w:rFonts w:ascii="Arial" w:hAnsi="Arial" w:cs="Arial"/>
          <w:b/>
          <w:bCs/>
          <w:color w:val="5FC1C5"/>
        </w:rPr>
      </w:pPr>
      <w:r w:rsidRPr="00371157">
        <w:rPr>
          <w:rFonts w:ascii="Arial" w:hAnsi="Arial" w:cs="Arial"/>
          <w:b/>
          <w:bCs/>
          <w:color w:val="5FC1C5"/>
        </w:rPr>
        <w:t>A new Agreement must:</w:t>
      </w:r>
    </w:p>
    <w:p w14:paraId="2EB21978" w14:textId="61287A8A" w:rsidR="004C2116" w:rsidRPr="001B71CB" w:rsidRDefault="004C2116" w:rsidP="0016257E">
      <w:pPr>
        <w:pStyle w:val="ListParagraph"/>
        <w:numPr>
          <w:ilvl w:val="0"/>
          <w:numId w:val="6"/>
        </w:numPr>
        <w:snapToGrid w:val="0"/>
        <w:spacing w:after="120" w:line="360" w:lineRule="auto"/>
        <w:rPr>
          <w:rFonts w:ascii="Arial" w:hAnsi="Arial" w:cs="Arial"/>
          <w:sz w:val="22"/>
          <w:szCs w:val="22"/>
        </w:rPr>
      </w:pPr>
      <w:r w:rsidRPr="001B71CB">
        <w:rPr>
          <w:rFonts w:ascii="Arial" w:hAnsi="Arial" w:cs="Arial"/>
          <w:sz w:val="22"/>
          <w:szCs w:val="22"/>
        </w:rPr>
        <w:t xml:space="preserve">Be built upon genuine co-design with people with lived and living experience, </w:t>
      </w:r>
      <w:r w:rsidR="00786B5A">
        <w:rPr>
          <w:rFonts w:ascii="Arial" w:hAnsi="Arial" w:cs="Arial"/>
          <w:sz w:val="22"/>
          <w:szCs w:val="22"/>
        </w:rPr>
        <w:t>families</w:t>
      </w:r>
      <w:r w:rsidRPr="001B71CB">
        <w:rPr>
          <w:rFonts w:ascii="Arial" w:hAnsi="Arial" w:cs="Arial"/>
          <w:sz w:val="22"/>
          <w:szCs w:val="22"/>
        </w:rPr>
        <w:t>,</w:t>
      </w:r>
      <w:r w:rsidR="00786B5A">
        <w:rPr>
          <w:rFonts w:ascii="Arial" w:hAnsi="Arial" w:cs="Arial"/>
          <w:sz w:val="22"/>
          <w:szCs w:val="22"/>
        </w:rPr>
        <w:t xml:space="preserve"> carers and kin,</w:t>
      </w:r>
      <w:r w:rsidRPr="001B71CB">
        <w:rPr>
          <w:rFonts w:ascii="Arial" w:hAnsi="Arial" w:cs="Arial"/>
          <w:sz w:val="22"/>
          <w:szCs w:val="22"/>
        </w:rPr>
        <w:t xml:space="preserve"> and the community-managed sector.</w:t>
      </w:r>
    </w:p>
    <w:p w14:paraId="532E790B" w14:textId="105492F1" w:rsidR="004C2116" w:rsidRPr="001B71CB" w:rsidRDefault="004C2116" w:rsidP="0016257E">
      <w:pPr>
        <w:pStyle w:val="ListParagraph"/>
        <w:numPr>
          <w:ilvl w:val="0"/>
          <w:numId w:val="6"/>
        </w:numPr>
        <w:snapToGrid w:val="0"/>
        <w:spacing w:after="120" w:line="360" w:lineRule="auto"/>
        <w:rPr>
          <w:rFonts w:ascii="Arial" w:hAnsi="Arial" w:cs="Arial"/>
          <w:sz w:val="22"/>
          <w:szCs w:val="22"/>
        </w:rPr>
      </w:pPr>
      <w:r w:rsidRPr="001B71CB">
        <w:rPr>
          <w:rFonts w:ascii="Arial" w:hAnsi="Arial" w:cs="Arial"/>
          <w:sz w:val="22"/>
          <w:szCs w:val="22"/>
        </w:rPr>
        <w:t>Provide clear, measurable outcomes linked to long-term strategic objectives</w:t>
      </w:r>
      <w:r w:rsidR="00E252E7">
        <w:rPr>
          <w:rFonts w:ascii="Arial" w:hAnsi="Arial" w:cs="Arial"/>
          <w:sz w:val="22"/>
          <w:szCs w:val="22"/>
        </w:rPr>
        <w:t xml:space="preserve"> </w:t>
      </w:r>
      <w:r w:rsidR="004F5B9B">
        <w:rPr>
          <w:rFonts w:ascii="Arial" w:hAnsi="Arial" w:cs="Arial"/>
          <w:sz w:val="22"/>
          <w:szCs w:val="22"/>
        </w:rPr>
        <w:t>–</w:t>
      </w:r>
      <w:r w:rsidR="00E252E7">
        <w:rPr>
          <w:rFonts w:ascii="Arial" w:hAnsi="Arial" w:cs="Arial"/>
          <w:sz w:val="22"/>
          <w:szCs w:val="22"/>
        </w:rPr>
        <w:t xml:space="preserve"> </w:t>
      </w:r>
      <w:r w:rsidR="004F5B9B">
        <w:rPr>
          <w:rFonts w:ascii="Arial" w:hAnsi="Arial" w:cs="Arial"/>
          <w:sz w:val="22"/>
          <w:szCs w:val="22"/>
        </w:rPr>
        <w:t xml:space="preserve">supported by </w:t>
      </w:r>
      <w:r w:rsidR="004F5B9B" w:rsidRPr="00941F54">
        <w:rPr>
          <w:rFonts w:ascii="Arial" w:hAnsi="Arial" w:cs="Arial"/>
          <w:sz w:val="22"/>
          <w:szCs w:val="22"/>
        </w:rPr>
        <w:t>robust evaluation methods and sustainable resourcing for impact measurement.</w:t>
      </w:r>
    </w:p>
    <w:p w14:paraId="7CAFAC47" w14:textId="4D4F5BE4" w:rsidR="004C2116" w:rsidRDefault="004C2116" w:rsidP="0016257E">
      <w:pPr>
        <w:pStyle w:val="ListParagraph"/>
        <w:numPr>
          <w:ilvl w:val="0"/>
          <w:numId w:val="6"/>
        </w:numPr>
        <w:snapToGrid w:val="0"/>
        <w:spacing w:after="120" w:line="360" w:lineRule="auto"/>
        <w:rPr>
          <w:rFonts w:ascii="Arial" w:hAnsi="Arial" w:cs="Arial"/>
          <w:sz w:val="22"/>
          <w:szCs w:val="22"/>
        </w:rPr>
      </w:pPr>
      <w:r w:rsidRPr="001B71CB">
        <w:rPr>
          <w:rFonts w:ascii="Arial" w:hAnsi="Arial" w:cs="Arial"/>
          <w:sz w:val="22"/>
          <w:szCs w:val="22"/>
        </w:rPr>
        <w:lastRenderedPageBreak/>
        <w:t>Include strong accountability mechanisms with transparent reporting overseen by an independent</w:t>
      </w:r>
      <w:r w:rsidR="00786B5A">
        <w:rPr>
          <w:rFonts w:ascii="Arial" w:hAnsi="Arial" w:cs="Arial"/>
          <w:sz w:val="22"/>
          <w:szCs w:val="22"/>
        </w:rPr>
        <w:t xml:space="preserve"> </w:t>
      </w:r>
      <w:r w:rsidRPr="001B71CB">
        <w:rPr>
          <w:rFonts w:ascii="Arial" w:hAnsi="Arial" w:cs="Arial"/>
          <w:sz w:val="22"/>
          <w:szCs w:val="22"/>
        </w:rPr>
        <w:t>body</w:t>
      </w:r>
      <w:r w:rsidR="00786B5A">
        <w:rPr>
          <w:rFonts w:ascii="Arial" w:hAnsi="Arial" w:cs="Arial"/>
          <w:sz w:val="22"/>
          <w:szCs w:val="22"/>
        </w:rPr>
        <w:t xml:space="preserve"> with own-motion functions</w:t>
      </w:r>
      <w:r w:rsidRPr="001B71CB">
        <w:rPr>
          <w:rFonts w:ascii="Arial" w:hAnsi="Arial" w:cs="Arial"/>
          <w:sz w:val="22"/>
          <w:szCs w:val="22"/>
        </w:rPr>
        <w:t>, such as a reinvigorated National Mental Health Commission.</w:t>
      </w:r>
    </w:p>
    <w:p w14:paraId="782F1830" w14:textId="0BAD6374" w:rsidR="00E252E7" w:rsidRPr="00941F54" w:rsidRDefault="00E252E7" w:rsidP="0016257E">
      <w:pPr>
        <w:pStyle w:val="ListParagraph"/>
        <w:numPr>
          <w:ilvl w:val="0"/>
          <w:numId w:val="6"/>
        </w:numPr>
        <w:snapToGrid w:val="0"/>
        <w:spacing w:after="120" w:line="360" w:lineRule="auto"/>
        <w:rPr>
          <w:rFonts w:ascii="Arial" w:hAnsi="Arial" w:cs="Arial"/>
          <w:sz w:val="22"/>
          <w:szCs w:val="22"/>
        </w:rPr>
      </w:pPr>
      <w:r w:rsidRPr="00941F54">
        <w:rPr>
          <w:rFonts w:ascii="Arial" w:hAnsi="Arial" w:cs="Arial"/>
          <w:sz w:val="22"/>
          <w:szCs w:val="22"/>
        </w:rPr>
        <w:t>Embed implementation support and system transformation capability-building initiatives across all levels of the sector - including dedicated investment in community-managed services and peak bodies to lead reform on the ground.</w:t>
      </w:r>
    </w:p>
    <w:p w14:paraId="6764211D" w14:textId="3A53DF8D" w:rsidR="00E252E7" w:rsidRDefault="00E252E7" w:rsidP="0016257E">
      <w:pPr>
        <w:pStyle w:val="ListParagraph"/>
        <w:numPr>
          <w:ilvl w:val="0"/>
          <w:numId w:val="6"/>
        </w:numPr>
        <w:snapToGrid w:val="0"/>
        <w:spacing w:after="120" w:line="360" w:lineRule="auto"/>
        <w:rPr>
          <w:rFonts w:ascii="Arial" w:hAnsi="Arial" w:cs="Arial"/>
          <w:sz w:val="22"/>
          <w:szCs w:val="22"/>
        </w:rPr>
      </w:pPr>
      <w:r w:rsidRPr="00941F54">
        <w:rPr>
          <w:rFonts w:ascii="Arial" w:hAnsi="Arial" w:cs="Arial"/>
          <w:sz w:val="22"/>
          <w:szCs w:val="22"/>
        </w:rPr>
        <w:t>Recognise that community-led innovation requires sustained, flexible funding - not short-term pilot grants or compliance-heavy commissioning.</w:t>
      </w:r>
    </w:p>
    <w:p w14:paraId="301D245E" w14:textId="7B71DF28" w:rsidR="002A5DCA" w:rsidRPr="00BC760A" w:rsidRDefault="002A5DCA" w:rsidP="0016257E">
      <w:pPr>
        <w:pStyle w:val="ListParagraph"/>
        <w:numPr>
          <w:ilvl w:val="0"/>
          <w:numId w:val="6"/>
        </w:numPr>
        <w:snapToGrid w:val="0"/>
        <w:spacing w:after="120" w:line="360" w:lineRule="auto"/>
        <w:rPr>
          <w:rFonts w:ascii="Arial" w:hAnsi="Arial" w:cs="Arial"/>
          <w:b/>
          <w:bCs/>
          <w:i/>
          <w:iCs/>
          <w:sz w:val="22"/>
          <w:szCs w:val="22"/>
        </w:rPr>
      </w:pPr>
      <w:r>
        <w:rPr>
          <w:rFonts w:ascii="Arial" w:hAnsi="Arial" w:cs="Arial"/>
          <w:sz w:val="22"/>
          <w:szCs w:val="22"/>
        </w:rPr>
        <w:t xml:space="preserve">CMHA supports the </w:t>
      </w:r>
      <w:r w:rsidR="00641310">
        <w:rPr>
          <w:rFonts w:ascii="Arial" w:hAnsi="Arial" w:cs="Arial"/>
          <w:sz w:val="22"/>
          <w:szCs w:val="22"/>
        </w:rPr>
        <w:t xml:space="preserve">extension of the current </w:t>
      </w:r>
      <w:r w:rsidR="00D50883">
        <w:rPr>
          <w:rFonts w:ascii="Arial" w:hAnsi="Arial" w:cs="Arial"/>
          <w:sz w:val="22"/>
          <w:szCs w:val="22"/>
        </w:rPr>
        <w:t>A</w:t>
      </w:r>
      <w:r w:rsidR="00641310">
        <w:rPr>
          <w:rFonts w:ascii="Arial" w:hAnsi="Arial" w:cs="Arial"/>
          <w:sz w:val="22"/>
          <w:szCs w:val="22"/>
        </w:rPr>
        <w:t xml:space="preserve">greement </w:t>
      </w:r>
      <w:r w:rsidR="00EC2F2C" w:rsidRPr="000862F8">
        <w:rPr>
          <w:rFonts w:ascii="Arial" w:hAnsi="Arial" w:cs="Arial"/>
          <w:b/>
          <w:bCs/>
          <w:i/>
          <w:iCs/>
          <w:sz w:val="22"/>
          <w:szCs w:val="22"/>
        </w:rPr>
        <w:t>only if</w:t>
      </w:r>
      <w:r w:rsidR="000862F8">
        <w:rPr>
          <w:rFonts w:ascii="Arial" w:hAnsi="Arial" w:cs="Arial"/>
          <w:sz w:val="22"/>
          <w:szCs w:val="22"/>
        </w:rPr>
        <w:t xml:space="preserve"> urgent action is taken </w:t>
      </w:r>
      <w:r w:rsidR="00D50883">
        <w:rPr>
          <w:rFonts w:ascii="Arial" w:hAnsi="Arial" w:cs="Arial"/>
          <w:sz w:val="22"/>
          <w:szCs w:val="22"/>
        </w:rPr>
        <w:t>to invest in psychosocial supports in this Agreement</w:t>
      </w:r>
      <w:r w:rsidR="00C315DB">
        <w:rPr>
          <w:rFonts w:ascii="Arial" w:hAnsi="Arial" w:cs="Arial"/>
          <w:sz w:val="22"/>
          <w:szCs w:val="22"/>
        </w:rPr>
        <w:t xml:space="preserve">, </w:t>
      </w:r>
      <w:r w:rsidR="00D50883" w:rsidRPr="00D50883">
        <w:rPr>
          <w:rFonts w:ascii="Arial" w:hAnsi="Arial" w:cs="Arial"/>
          <w:b/>
          <w:bCs/>
          <w:i/>
          <w:iCs/>
          <w:sz w:val="22"/>
          <w:szCs w:val="22"/>
        </w:rPr>
        <w:t>and</w:t>
      </w:r>
      <w:r w:rsidR="00D50883">
        <w:rPr>
          <w:rFonts w:ascii="Arial" w:hAnsi="Arial" w:cs="Arial"/>
          <w:sz w:val="22"/>
          <w:szCs w:val="22"/>
        </w:rPr>
        <w:t xml:space="preserve"> the</w:t>
      </w:r>
      <w:r w:rsidR="009166B4">
        <w:rPr>
          <w:rFonts w:ascii="Arial" w:hAnsi="Arial" w:cs="Arial"/>
          <w:sz w:val="22"/>
          <w:szCs w:val="22"/>
        </w:rPr>
        <w:t xml:space="preserve"> N</w:t>
      </w:r>
      <w:r w:rsidR="00D50883">
        <w:rPr>
          <w:rFonts w:ascii="Arial" w:hAnsi="Arial" w:cs="Arial"/>
          <w:sz w:val="22"/>
          <w:szCs w:val="22"/>
        </w:rPr>
        <w:t>ational Mental Health Commission is given independent statutory powers</w:t>
      </w:r>
      <w:r w:rsidR="00E03E98">
        <w:rPr>
          <w:rFonts w:ascii="Arial" w:hAnsi="Arial" w:cs="Arial"/>
          <w:sz w:val="22"/>
          <w:szCs w:val="22"/>
        </w:rPr>
        <w:t xml:space="preserve"> and co-produces </w:t>
      </w:r>
      <w:r w:rsidR="003120B5">
        <w:rPr>
          <w:rFonts w:ascii="Arial" w:hAnsi="Arial" w:cs="Arial"/>
          <w:sz w:val="22"/>
          <w:szCs w:val="22"/>
        </w:rPr>
        <w:t xml:space="preserve">with the Lived Experience peaks </w:t>
      </w:r>
      <w:r w:rsidR="00E03E98">
        <w:rPr>
          <w:rFonts w:ascii="Arial" w:hAnsi="Arial" w:cs="Arial"/>
          <w:sz w:val="22"/>
          <w:szCs w:val="22"/>
        </w:rPr>
        <w:t xml:space="preserve">appropriate reporting mechanisms in the current and future Agreements to </w:t>
      </w:r>
      <w:r w:rsidR="003120B5">
        <w:rPr>
          <w:rFonts w:ascii="Arial" w:hAnsi="Arial" w:cs="Arial"/>
          <w:sz w:val="22"/>
          <w:szCs w:val="22"/>
        </w:rPr>
        <w:t xml:space="preserve">keep governments accountable, </w:t>
      </w:r>
      <w:r w:rsidR="003120B5" w:rsidRPr="003120B5">
        <w:rPr>
          <w:rFonts w:ascii="Arial" w:hAnsi="Arial" w:cs="Arial"/>
          <w:b/>
          <w:bCs/>
          <w:i/>
          <w:iCs/>
          <w:sz w:val="22"/>
          <w:szCs w:val="22"/>
        </w:rPr>
        <w:t>and</w:t>
      </w:r>
      <w:r w:rsidR="003120B5">
        <w:rPr>
          <w:rFonts w:ascii="Arial" w:hAnsi="Arial" w:cs="Arial"/>
          <w:sz w:val="22"/>
          <w:szCs w:val="22"/>
        </w:rPr>
        <w:t xml:space="preserve"> </w:t>
      </w:r>
      <w:r w:rsidR="00F6551C">
        <w:rPr>
          <w:rFonts w:ascii="Arial" w:hAnsi="Arial" w:cs="Arial"/>
          <w:sz w:val="22"/>
          <w:szCs w:val="22"/>
        </w:rPr>
        <w:t xml:space="preserve">the extension period includes </w:t>
      </w:r>
      <w:r w:rsidR="003F060C">
        <w:rPr>
          <w:rFonts w:ascii="Arial" w:hAnsi="Arial" w:cs="Arial"/>
          <w:sz w:val="22"/>
          <w:szCs w:val="22"/>
        </w:rPr>
        <w:t>consultative structures co-</w:t>
      </w:r>
      <w:r w:rsidR="00D312DF">
        <w:rPr>
          <w:rFonts w:ascii="Arial" w:hAnsi="Arial" w:cs="Arial"/>
          <w:sz w:val="22"/>
          <w:szCs w:val="22"/>
        </w:rPr>
        <w:t>chaired</w:t>
      </w:r>
      <w:r w:rsidR="003F060C">
        <w:rPr>
          <w:rFonts w:ascii="Arial" w:hAnsi="Arial" w:cs="Arial"/>
          <w:sz w:val="22"/>
          <w:szCs w:val="22"/>
        </w:rPr>
        <w:t xml:space="preserve"> by the Lived Experience peak</w:t>
      </w:r>
      <w:r w:rsidR="00D312DF">
        <w:rPr>
          <w:rFonts w:ascii="Arial" w:hAnsi="Arial" w:cs="Arial"/>
          <w:sz w:val="22"/>
          <w:szCs w:val="22"/>
        </w:rPr>
        <w:t>s</w:t>
      </w:r>
      <w:r w:rsidR="005528ED">
        <w:rPr>
          <w:rFonts w:ascii="Arial" w:hAnsi="Arial" w:cs="Arial"/>
          <w:sz w:val="22"/>
          <w:szCs w:val="22"/>
        </w:rPr>
        <w:t xml:space="preserve"> that includes the psychosocial community managed sector</w:t>
      </w:r>
      <w:r w:rsidR="00D312DF">
        <w:rPr>
          <w:rFonts w:ascii="Arial" w:hAnsi="Arial" w:cs="Arial"/>
          <w:sz w:val="22"/>
          <w:szCs w:val="22"/>
        </w:rPr>
        <w:t xml:space="preserve"> to negotiate the next agreement</w:t>
      </w:r>
    </w:p>
    <w:p w14:paraId="3B390ECE" w14:textId="77777777" w:rsidR="00BC760A" w:rsidRPr="00941F54" w:rsidRDefault="00BC760A" w:rsidP="00BC760A">
      <w:pPr>
        <w:pStyle w:val="ListParagraph"/>
        <w:snapToGrid w:val="0"/>
        <w:spacing w:after="120" w:line="240" w:lineRule="auto"/>
        <w:rPr>
          <w:rFonts w:ascii="Arial" w:hAnsi="Arial" w:cs="Arial"/>
          <w:b/>
          <w:bCs/>
          <w:i/>
          <w:iCs/>
          <w:sz w:val="22"/>
          <w:szCs w:val="22"/>
        </w:rPr>
      </w:pPr>
    </w:p>
    <w:p w14:paraId="32280901" w14:textId="16DBA0AE" w:rsidR="00032DB4" w:rsidRPr="00371157" w:rsidRDefault="00BC760A" w:rsidP="00032DB4">
      <w:pPr>
        <w:snapToGrid w:val="0"/>
        <w:spacing w:after="120" w:line="240" w:lineRule="auto"/>
        <w:rPr>
          <w:rFonts w:ascii="Arial" w:hAnsi="Arial" w:cs="Arial"/>
          <w:b/>
          <w:bCs/>
          <w:color w:val="5FC1C5"/>
        </w:rPr>
      </w:pPr>
      <w:r w:rsidRPr="00371157">
        <w:rPr>
          <w:rFonts w:ascii="Arial" w:hAnsi="Arial" w:cs="Arial"/>
          <w:b/>
          <w:bCs/>
          <w:color w:val="5FC1C5"/>
        </w:rPr>
        <w:t>A</w:t>
      </w:r>
      <w:r w:rsidR="00032DB4" w:rsidRPr="00371157">
        <w:rPr>
          <w:rFonts w:ascii="Arial" w:hAnsi="Arial" w:cs="Arial"/>
          <w:b/>
          <w:bCs/>
          <w:color w:val="5FC1C5"/>
        </w:rPr>
        <w:t xml:space="preserve"> New Strategy – but not at the cost of urgent action to invest in psychosocial supports</w:t>
      </w:r>
      <w:r w:rsidR="00F84802" w:rsidRPr="00371157">
        <w:rPr>
          <w:rFonts w:ascii="Arial" w:hAnsi="Arial" w:cs="Arial"/>
          <w:b/>
          <w:bCs/>
          <w:color w:val="5FC1C5"/>
        </w:rPr>
        <w:t xml:space="preserve"> in this current Agreement</w:t>
      </w:r>
    </w:p>
    <w:p w14:paraId="6D0CC8C5" w14:textId="3B8434AF" w:rsidR="002D7C68" w:rsidRPr="00941F54" w:rsidRDefault="005528ED" w:rsidP="0016257E">
      <w:pPr>
        <w:pStyle w:val="NormalWeb"/>
        <w:spacing w:line="360" w:lineRule="auto"/>
        <w:rPr>
          <w:rFonts w:ascii="Arial" w:eastAsiaTheme="minorHAnsi" w:hAnsi="Arial" w:cs="Arial"/>
          <w:kern w:val="2"/>
          <w:sz w:val="22"/>
          <w:szCs w:val="22"/>
          <w:lang w:val="en-AU" w:eastAsia="en-US"/>
          <w14:ligatures w14:val="standardContextual"/>
        </w:rPr>
      </w:pPr>
      <w:r>
        <w:rPr>
          <w:rFonts w:ascii="Arial" w:eastAsiaTheme="minorHAnsi" w:hAnsi="Arial" w:cs="Arial"/>
          <w:kern w:val="2"/>
          <w:sz w:val="22"/>
          <w:szCs w:val="22"/>
          <w:lang w:val="en-AU" w:eastAsia="en-US"/>
          <w14:ligatures w14:val="standardContextual"/>
        </w:rPr>
        <w:t>CMHA</w:t>
      </w:r>
      <w:r w:rsidR="002D7C68">
        <w:rPr>
          <w:rFonts w:ascii="Arial" w:eastAsiaTheme="minorHAnsi" w:hAnsi="Arial" w:cs="Arial"/>
          <w:kern w:val="2"/>
          <w:sz w:val="22"/>
          <w:szCs w:val="22"/>
          <w:lang w:val="en-AU" w:eastAsia="en-US"/>
          <w14:ligatures w14:val="standardContextual"/>
        </w:rPr>
        <w:t xml:space="preserve"> welcome</w:t>
      </w:r>
      <w:r>
        <w:rPr>
          <w:rFonts w:ascii="Arial" w:eastAsiaTheme="minorHAnsi" w:hAnsi="Arial" w:cs="Arial"/>
          <w:kern w:val="2"/>
          <w:sz w:val="22"/>
          <w:szCs w:val="22"/>
          <w:lang w:val="en-AU" w:eastAsia="en-US"/>
          <w14:ligatures w14:val="standardContextual"/>
        </w:rPr>
        <w:t>s</w:t>
      </w:r>
      <w:r w:rsidR="002D7C68" w:rsidRPr="00941F54">
        <w:rPr>
          <w:rFonts w:ascii="Arial" w:eastAsiaTheme="minorHAnsi" w:hAnsi="Arial" w:cs="Arial"/>
          <w:kern w:val="2"/>
          <w:sz w:val="22"/>
          <w:szCs w:val="22"/>
          <w:lang w:val="en-AU" w:eastAsia="en-US"/>
          <w14:ligatures w14:val="standardContextual"/>
        </w:rPr>
        <w:t xml:space="preserve"> the development of a renewed National Mental Health and Suicide Prevention Strategy, underpinned by a new Agreement. However, as with the Agreement itself, this must not come at the cost of immediate action on the most pressing and harmful service gaps </w:t>
      </w:r>
      <w:r w:rsidR="002D7C68">
        <w:rPr>
          <w:rFonts w:ascii="Arial" w:eastAsiaTheme="minorHAnsi" w:hAnsi="Arial" w:cs="Arial"/>
          <w:kern w:val="2"/>
          <w:sz w:val="22"/>
          <w:szCs w:val="22"/>
          <w:lang w:val="en-AU" w:eastAsia="en-US"/>
          <w14:ligatures w14:val="standardContextual"/>
        </w:rPr>
        <w:t>-</w:t>
      </w:r>
      <w:r w:rsidR="002D7C68" w:rsidRPr="00941F54">
        <w:rPr>
          <w:rFonts w:ascii="Arial" w:eastAsiaTheme="minorHAnsi" w:hAnsi="Arial" w:cs="Arial"/>
          <w:kern w:val="2"/>
          <w:sz w:val="22"/>
          <w:szCs w:val="22"/>
          <w:lang w:val="en-AU" w:eastAsia="en-US"/>
          <w14:ligatures w14:val="standardContextual"/>
        </w:rPr>
        <w:t xml:space="preserve"> particularly the lack of adequate psychosocial supports for the 500,000+ Australians ineligible for the NDIS.</w:t>
      </w:r>
    </w:p>
    <w:p w14:paraId="1E7F1FC2" w14:textId="2BA4583A" w:rsidR="002D7C68" w:rsidRPr="00941F54" w:rsidRDefault="002D7C68" w:rsidP="0016257E">
      <w:pPr>
        <w:pStyle w:val="NormalWeb"/>
        <w:spacing w:line="360" w:lineRule="auto"/>
        <w:rPr>
          <w:rFonts w:ascii="Arial" w:eastAsiaTheme="minorHAnsi" w:hAnsi="Arial" w:cs="Arial"/>
          <w:kern w:val="2"/>
          <w:sz w:val="22"/>
          <w:szCs w:val="22"/>
          <w:lang w:val="en-AU" w:eastAsia="en-US"/>
          <w14:ligatures w14:val="standardContextual"/>
        </w:rPr>
      </w:pPr>
      <w:r w:rsidRPr="00941F54">
        <w:rPr>
          <w:rFonts w:ascii="Arial" w:eastAsiaTheme="minorHAnsi" w:hAnsi="Arial" w:cs="Arial"/>
          <w:kern w:val="2"/>
          <w:sz w:val="22"/>
          <w:szCs w:val="22"/>
          <w:lang w:val="en-AU" w:eastAsia="en-US"/>
          <w14:ligatures w14:val="standardContextual"/>
        </w:rPr>
        <w:t>We echo the Commission’s call to urgently resolve funding and commissioning arrangements for psychosocial supports outside the NDIS</w:t>
      </w:r>
      <w:r>
        <w:rPr>
          <w:rFonts w:ascii="Arial" w:eastAsiaTheme="minorHAnsi" w:hAnsi="Arial" w:cs="Arial"/>
          <w:kern w:val="2"/>
          <w:sz w:val="22"/>
          <w:szCs w:val="22"/>
          <w:lang w:val="en-AU" w:eastAsia="en-US"/>
          <w14:ligatures w14:val="standardContextual"/>
        </w:rPr>
        <w:t xml:space="preserve">. </w:t>
      </w:r>
      <w:proofErr w:type="gramStart"/>
      <w:r>
        <w:rPr>
          <w:rFonts w:ascii="Arial" w:eastAsiaTheme="minorHAnsi" w:hAnsi="Arial" w:cs="Arial"/>
          <w:kern w:val="2"/>
          <w:sz w:val="22"/>
          <w:szCs w:val="22"/>
          <w:lang w:val="en-AU" w:eastAsia="en-US"/>
          <w14:ligatures w14:val="standardContextual"/>
        </w:rPr>
        <w:t>In particular, we</w:t>
      </w:r>
      <w:proofErr w:type="gramEnd"/>
      <w:r>
        <w:rPr>
          <w:rFonts w:ascii="Arial" w:eastAsiaTheme="minorHAnsi" w:hAnsi="Arial" w:cs="Arial"/>
          <w:kern w:val="2"/>
          <w:sz w:val="22"/>
          <w:szCs w:val="22"/>
          <w:lang w:val="en-AU" w:eastAsia="en-US"/>
          <w14:ligatures w14:val="standardContextual"/>
        </w:rPr>
        <w:t xml:space="preserve"> stress </w:t>
      </w:r>
      <w:r w:rsidRPr="00941F54">
        <w:rPr>
          <w:rFonts w:ascii="Arial" w:eastAsiaTheme="minorHAnsi" w:hAnsi="Arial" w:cs="Arial"/>
          <w:kern w:val="2"/>
          <w:sz w:val="22"/>
          <w:szCs w:val="22"/>
          <w:lang w:val="en-AU" w:eastAsia="en-US"/>
          <w14:ligatures w14:val="standardContextual"/>
        </w:rPr>
        <w:t>that:</w:t>
      </w:r>
    </w:p>
    <w:p w14:paraId="0DF2286D" w14:textId="77777777" w:rsidR="002D7C68" w:rsidRPr="00941F54" w:rsidRDefault="002D7C68" w:rsidP="0016257E">
      <w:pPr>
        <w:pStyle w:val="NormalWeb"/>
        <w:numPr>
          <w:ilvl w:val="0"/>
          <w:numId w:val="13"/>
        </w:numPr>
        <w:spacing w:line="360" w:lineRule="auto"/>
        <w:rPr>
          <w:rFonts w:ascii="Arial" w:eastAsiaTheme="minorHAnsi" w:hAnsi="Arial" w:cs="Arial"/>
          <w:kern w:val="2"/>
          <w:sz w:val="22"/>
          <w:szCs w:val="22"/>
          <w:lang w:val="en-AU" w:eastAsia="en-US"/>
          <w14:ligatures w14:val="standardContextual"/>
        </w:rPr>
      </w:pPr>
      <w:r w:rsidRPr="00941F54">
        <w:rPr>
          <w:rFonts w:ascii="Arial" w:eastAsiaTheme="minorHAnsi" w:hAnsi="Arial" w:cs="Arial"/>
          <w:kern w:val="2"/>
          <w:sz w:val="22"/>
          <w:szCs w:val="22"/>
          <w:lang w:val="en-AU" w:eastAsia="en-US"/>
          <w14:ligatures w14:val="standardContextual"/>
        </w:rPr>
        <w:t>Investment must begin now, during the extension phase, rather than waiting for a new strategy to be negotiated.</w:t>
      </w:r>
    </w:p>
    <w:p w14:paraId="1E0593FF" w14:textId="77777777" w:rsidR="002D7C68" w:rsidRPr="00941F54" w:rsidRDefault="002D7C68" w:rsidP="0016257E">
      <w:pPr>
        <w:pStyle w:val="NormalWeb"/>
        <w:numPr>
          <w:ilvl w:val="0"/>
          <w:numId w:val="13"/>
        </w:numPr>
        <w:spacing w:line="360" w:lineRule="auto"/>
        <w:rPr>
          <w:rFonts w:ascii="Arial" w:eastAsiaTheme="minorHAnsi" w:hAnsi="Arial" w:cs="Arial"/>
          <w:kern w:val="2"/>
          <w:sz w:val="22"/>
          <w:szCs w:val="22"/>
          <w:lang w:val="en-AU" w:eastAsia="en-US"/>
          <w14:ligatures w14:val="standardContextual"/>
        </w:rPr>
      </w:pPr>
      <w:r w:rsidRPr="00941F54">
        <w:rPr>
          <w:rFonts w:ascii="Arial" w:eastAsiaTheme="minorHAnsi" w:hAnsi="Arial" w:cs="Arial"/>
          <w:kern w:val="2"/>
          <w:sz w:val="22"/>
          <w:szCs w:val="22"/>
          <w:lang w:val="en-AU" w:eastAsia="en-US"/>
          <w14:ligatures w14:val="standardContextual"/>
        </w:rPr>
        <w:t>Implementation of the previously agreed Psychosocial Supports Schedule must be fast-tracked, with clear milestones, transparent oversight, and reporting.</w:t>
      </w:r>
    </w:p>
    <w:p w14:paraId="570B7288" w14:textId="77777777" w:rsidR="002D7C68" w:rsidRPr="00941F54" w:rsidRDefault="002D7C68" w:rsidP="0016257E">
      <w:pPr>
        <w:pStyle w:val="NormalWeb"/>
        <w:numPr>
          <w:ilvl w:val="0"/>
          <w:numId w:val="13"/>
        </w:numPr>
        <w:spacing w:line="360" w:lineRule="auto"/>
        <w:rPr>
          <w:rFonts w:ascii="Arial" w:eastAsiaTheme="minorHAnsi" w:hAnsi="Arial" w:cs="Arial"/>
          <w:kern w:val="2"/>
          <w:sz w:val="22"/>
          <w:szCs w:val="22"/>
          <w:lang w:val="en-AU" w:eastAsia="en-US"/>
          <w14:ligatures w14:val="standardContextual"/>
        </w:rPr>
      </w:pPr>
      <w:r w:rsidRPr="00941F54">
        <w:rPr>
          <w:rFonts w:ascii="Arial" w:eastAsiaTheme="minorHAnsi" w:hAnsi="Arial" w:cs="Arial"/>
          <w:kern w:val="2"/>
          <w:sz w:val="22"/>
          <w:szCs w:val="22"/>
          <w:lang w:val="en-AU" w:eastAsia="en-US"/>
          <w14:ligatures w14:val="standardContextual"/>
        </w:rPr>
        <w:t>A nationally consistent approach to psychosocial support funding and commissioning is essential, with shared responsibility across all levels of government.</w:t>
      </w:r>
    </w:p>
    <w:p w14:paraId="6D359D86" w14:textId="50C1A513" w:rsidR="002D7C68" w:rsidRPr="00941F54" w:rsidRDefault="002D7C68" w:rsidP="0016257E">
      <w:pPr>
        <w:pStyle w:val="NormalWeb"/>
        <w:numPr>
          <w:ilvl w:val="0"/>
          <w:numId w:val="13"/>
        </w:numPr>
        <w:spacing w:line="360" w:lineRule="auto"/>
        <w:rPr>
          <w:rFonts w:ascii="Arial" w:eastAsiaTheme="minorHAnsi" w:hAnsi="Arial" w:cs="Arial"/>
          <w:kern w:val="2"/>
          <w:sz w:val="22"/>
          <w:szCs w:val="22"/>
          <w:lang w:val="en-AU" w:eastAsia="en-US"/>
          <w14:ligatures w14:val="standardContextual"/>
        </w:rPr>
      </w:pPr>
      <w:r w:rsidRPr="00941F54">
        <w:rPr>
          <w:rFonts w:ascii="Arial" w:eastAsiaTheme="minorHAnsi" w:hAnsi="Arial" w:cs="Arial"/>
          <w:kern w:val="2"/>
          <w:sz w:val="22"/>
          <w:szCs w:val="22"/>
          <w:lang w:val="en-AU" w:eastAsia="en-US"/>
          <w14:ligatures w14:val="standardContextual"/>
        </w:rPr>
        <w:t xml:space="preserve">Outcome measurement strategies for psychosocial supports should reflect what matters to people with lived experience </w:t>
      </w:r>
      <w:r>
        <w:rPr>
          <w:rFonts w:ascii="Arial" w:eastAsiaTheme="minorHAnsi" w:hAnsi="Arial" w:cs="Arial"/>
          <w:kern w:val="2"/>
          <w:sz w:val="22"/>
          <w:szCs w:val="22"/>
          <w:lang w:val="en-AU" w:eastAsia="en-US"/>
          <w14:ligatures w14:val="standardContextual"/>
        </w:rPr>
        <w:t>-</w:t>
      </w:r>
      <w:r w:rsidRPr="00941F54">
        <w:rPr>
          <w:rFonts w:ascii="Arial" w:eastAsiaTheme="minorHAnsi" w:hAnsi="Arial" w:cs="Arial"/>
          <w:kern w:val="2"/>
          <w:sz w:val="22"/>
          <w:szCs w:val="22"/>
          <w:lang w:val="en-AU" w:eastAsia="en-US"/>
          <w14:ligatures w14:val="standardContextual"/>
        </w:rPr>
        <w:t xml:space="preserve"> including social inclusion, participation, recovery, and quality of life </w:t>
      </w:r>
      <w:r>
        <w:rPr>
          <w:rFonts w:ascii="Arial" w:eastAsiaTheme="minorHAnsi" w:hAnsi="Arial" w:cs="Arial"/>
          <w:kern w:val="2"/>
          <w:sz w:val="22"/>
          <w:szCs w:val="22"/>
          <w:lang w:val="en-AU" w:eastAsia="en-US"/>
          <w14:ligatures w14:val="standardContextual"/>
        </w:rPr>
        <w:t>-</w:t>
      </w:r>
      <w:r w:rsidRPr="00941F54">
        <w:rPr>
          <w:rFonts w:ascii="Arial" w:eastAsiaTheme="minorHAnsi" w:hAnsi="Arial" w:cs="Arial"/>
          <w:kern w:val="2"/>
          <w:sz w:val="22"/>
          <w:szCs w:val="22"/>
          <w:lang w:val="en-AU" w:eastAsia="en-US"/>
          <w14:ligatures w14:val="standardContextual"/>
        </w:rPr>
        <w:t xml:space="preserve"> not just clinical improvements or activity-based metrics.</w:t>
      </w:r>
    </w:p>
    <w:p w14:paraId="3CE920E1" w14:textId="77777777" w:rsidR="002D7C68" w:rsidRPr="00941F54" w:rsidRDefault="002D7C68" w:rsidP="00524E7E">
      <w:pPr>
        <w:pStyle w:val="NormalWeb"/>
        <w:numPr>
          <w:ilvl w:val="0"/>
          <w:numId w:val="13"/>
        </w:numPr>
        <w:spacing w:line="360" w:lineRule="auto"/>
        <w:rPr>
          <w:rFonts w:ascii="Arial" w:eastAsiaTheme="minorHAnsi" w:hAnsi="Arial" w:cs="Arial"/>
          <w:kern w:val="2"/>
          <w:sz w:val="22"/>
          <w:szCs w:val="22"/>
          <w:lang w:val="en-AU" w:eastAsia="en-US"/>
          <w14:ligatures w14:val="standardContextual"/>
        </w:rPr>
      </w:pPr>
      <w:r w:rsidRPr="00941F54">
        <w:rPr>
          <w:rFonts w:ascii="Arial" w:eastAsiaTheme="minorHAnsi" w:hAnsi="Arial" w:cs="Arial"/>
          <w:kern w:val="2"/>
          <w:sz w:val="22"/>
          <w:szCs w:val="22"/>
          <w:lang w:val="en-AU" w:eastAsia="en-US"/>
          <w14:ligatures w14:val="standardContextual"/>
        </w:rPr>
        <w:lastRenderedPageBreak/>
        <w:t>Capacity-building support is urgently needed so that community-managed providers can collect and use meaningful outcomes data, without creating excessive burden.</w:t>
      </w:r>
    </w:p>
    <w:p w14:paraId="569F33AD" w14:textId="77777777" w:rsidR="002D7C68" w:rsidRPr="00941F54" w:rsidRDefault="002D7C68" w:rsidP="00524E7E">
      <w:pPr>
        <w:pStyle w:val="NormalWeb"/>
        <w:numPr>
          <w:ilvl w:val="0"/>
          <w:numId w:val="13"/>
        </w:numPr>
        <w:spacing w:line="360" w:lineRule="auto"/>
        <w:rPr>
          <w:rFonts w:ascii="Arial" w:eastAsiaTheme="minorHAnsi" w:hAnsi="Arial" w:cs="Arial"/>
          <w:kern w:val="2"/>
          <w:sz w:val="22"/>
          <w:szCs w:val="22"/>
          <w:lang w:val="en-AU" w:eastAsia="en-US"/>
          <w14:ligatures w14:val="standardContextual"/>
        </w:rPr>
      </w:pPr>
      <w:r w:rsidRPr="00941F54">
        <w:rPr>
          <w:rFonts w:ascii="Arial" w:eastAsiaTheme="minorHAnsi" w:hAnsi="Arial" w:cs="Arial"/>
          <w:kern w:val="2"/>
          <w:sz w:val="22"/>
          <w:szCs w:val="22"/>
          <w:lang w:val="en-AU" w:eastAsia="en-US"/>
          <w14:ligatures w14:val="standardContextual"/>
        </w:rPr>
        <w:t>Adequate, sustainable funding must be allocated to peak bodies, including CMHA and its members, to lead sector-wide readiness efforts, support smaller organisations, and strengthen evaluation and advocacy capabilities.</w:t>
      </w:r>
    </w:p>
    <w:p w14:paraId="348E48D1" w14:textId="497F0AF2" w:rsidR="002D7C68" w:rsidRPr="00941F54" w:rsidRDefault="002D7C68" w:rsidP="00524E7E">
      <w:pPr>
        <w:pStyle w:val="NormalWeb"/>
        <w:spacing w:line="360" w:lineRule="auto"/>
        <w:rPr>
          <w:rFonts w:ascii="Arial" w:eastAsiaTheme="minorHAnsi" w:hAnsi="Arial" w:cs="Arial"/>
          <w:kern w:val="2"/>
          <w:sz w:val="22"/>
          <w:szCs w:val="22"/>
          <w:lang w:val="en-AU" w:eastAsia="en-US"/>
          <w14:ligatures w14:val="standardContextual"/>
        </w:rPr>
      </w:pPr>
      <w:r w:rsidRPr="00941F54">
        <w:rPr>
          <w:rFonts w:ascii="Arial" w:eastAsiaTheme="minorHAnsi" w:hAnsi="Arial" w:cs="Arial"/>
          <w:kern w:val="2"/>
          <w:sz w:val="22"/>
          <w:szCs w:val="22"/>
          <w:lang w:val="en-AU" w:eastAsia="en-US"/>
          <w14:ligatures w14:val="standardContextual"/>
        </w:rPr>
        <w:t xml:space="preserve">A renewed strategy is vital, but its credibility will </w:t>
      </w:r>
      <w:r w:rsidR="004F5B9B">
        <w:rPr>
          <w:rFonts w:ascii="Arial" w:eastAsiaTheme="minorHAnsi" w:hAnsi="Arial" w:cs="Arial"/>
          <w:kern w:val="2"/>
          <w:sz w:val="22"/>
          <w:szCs w:val="22"/>
          <w:lang w:val="en-AU" w:eastAsia="en-US"/>
          <w14:ligatures w14:val="standardContextual"/>
        </w:rPr>
        <w:t>be dependent</w:t>
      </w:r>
      <w:r w:rsidRPr="00941F54">
        <w:rPr>
          <w:rFonts w:ascii="Arial" w:eastAsiaTheme="minorHAnsi" w:hAnsi="Arial" w:cs="Arial"/>
          <w:kern w:val="2"/>
          <w:sz w:val="22"/>
          <w:szCs w:val="22"/>
          <w:lang w:val="en-AU" w:eastAsia="en-US"/>
          <w14:ligatures w14:val="standardContextual"/>
        </w:rPr>
        <w:t xml:space="preserve"> on the extent to which governments begin demonstrating action during the current extension period </w:t>
      </w:r>
      <w:r>
        <w:rPr>
          <w:rFonts w:ascii="Arial" w:eastAsiaTheme="minorHAnsi" w:hAnsi="Arial" w:cs="Arial"/>
          <w:kern w:val="2"/>
          <w:sz w:val="22"/>
          <w:szCs w:val="22"/>
          <w:lang w:val="en-AU" w:eastAsia="en-US"/>
          <w14:ligatures w14:val="standardContextual"/>
        </w:rPr>
        <w:t>-</w:t>
      </w:r>
      <w:r w:rsidRPr="00941F54">
        <w:rPr>
          <w:rFonts w:ascii="Arial" w:eastAsiaTheme="minorHAnsi" w:hAnsi="Arial" w:cs="Arial"/>
          <w:kern w:val="2"/>
          <w:sz w:val="22"/>
          <w:szCs w:val="22"/>
          <w:lang w:val="en-AU" w:eastAsia="en-US"/>
          <w14:ligatures w14:val="standardContextual"/>
        </w:rPr>
        <w:t xml:space="preserve"> particularly for cohorts who have already been left behind for far too long.</w:t>
      </w:r>
    </w:p>
    <w:p w14:paraId="629FF777" w14:textId="71B398AC" w:rsidR="004C2116" w:rsidRPr="00371157" w:rsidRDefault="004C2116" w:rsidP="00371157">
      <w:pPr>
        <w:snapToGrid w:val="0"/>
        <w:spacing w:after="120" w:line="240" w:lineRule="auto"/>
        <w:rPr>
          <w:rFonts w:ascii="Arial" w:hAnsi="Arial" w:cs="Arial"/>
          <w:b/>
          <w:bCs/>
          <w:color w:val="5FC1C5"/>
        </w:rPr>
      </w:pPr>
      <w:r w:rsidRPr="00371157">
        <w:rPr>
          <w:rFonts w:ascii="Arial" w:hAnsi="Arial" w:cs="Arial"/>
          <w:b/>
          <w:bCs/>
          <w:color w:val="5FC1C5"/>
        </w:rPr>
        <w:t>Urgent Action on Psychosocial Supports</w:t>
      </w:r>
    </w:p>
    <w:p w14:paraId="2DE58233" w14:textId="77777777" w:rsidR="004C2116" w:rsidRPr="001B71CB" w:rsidRDefault="004C2116" w:rsidP="00524E7E">
      <w:pPr>
        <w:snapToGrid w:val="0"/>
        <w:spacing w:after="120" w:line="360" w:lineRule="auto"/>
        <w:rPr>
          <w:rFonts w:ascii="Arial" w:hAnsi="Arial" w:cs="Arial"/>
          <w:sz w:val="22"/>
          <w:szCs w:val="22"/>
        </w:rPr>
      </w:pPr>
      <w:r w:rsidRPr="001B71CB">
        <w:rPr>
          <w:rFonts w:ascii="Arial" w:hAnsi="Arial" w:cs="Arial"/>
          <w:sz w:val="22"/>
          <w:szCs w:val="22"/>
        </w:rPr>
        <w:t>We strongly endorse the Commission’s call for immediate resolution of funding and commissioning arrangements for psychosocial supports outside the NDIS. Approximately 500,000 people are left unsupported because they do not meet NDIS eligibility criteria, despite significant psychosocial disability needs.</w:t>
      </w:r>
    </w:p>
    <w:p w14:paraId="70434FCC" w14:textId="5BCE08F5" w:rsidR="004C2116" w:rsidRPr="001B71CB" w:rsidRDefault="004C2116" w:rsidP="00524E7E">
      <w:pPr>
        <w:snapToGrid w:val="0"/>
        <w:spacing w:after="120" w:line="360" w:lineRule="auto"/>
        <w:rPr>
          <w:rFonts w:ascii="Arial" w:hAnsi="Arial" w:cs="Arial"/>
          <w:sz w:val="22"/>
          <w:szCs w:val="22"/>
        </w:rPr>
      </w:pPr>
      <w:r w:rsidRPr="001B71CB">
        <w:rPr>
          <w:rFonts w:ascii="Arial" w:hAnsi="Arial" w:cs="Arial"/>
          <w:sz w:val="22"/>
          <w:szCs w:val="22"/>
        </w:rPr>
        <w:t>Community-managed mental health services play a vital role in delivering these supports, yet they have been systematically underfunded following the introduction of the NDIS</w:t>
      </w:r>
      <w:r w:rsidR="008C0022">
        <w:rPr>
          <w:rFonts w:ascii="Arial" w:hAnsi="Arial" w:cs="Arial"/>
          <w:sz w:val="22"/>
          <w:szCs w:val="22"/>
        </w:rPr>
        <w:t xml:space="preserve">, </w:t>
      </w:r>
      <w:r w:rsidR="008C0022">
        <w:t>which diverted resources without ensuring continuity of care for those not eligible</w:t>
      </w:r>
      <w:r w:rsidRPr="001B71CB">
        <w:rPr>
          <w:rFonts w:ascii="Arial" w:hAnsi="Arial" w:cs="Arial"/>
          <w:sz w:val="22"/>
          <w:szCs w:val="22"/>
        </w:rPr>
        <w:t>. We call for:</w:t>
      </w:r>
    </w:p>
    <w:p w14:paraId="37DC0A36" w14:textId="77777777" w:rsidR="004C2116" w:rsidRPr="001B71CB" w:rsidRDefault="004C2116" w:rsidP="00524E7E">
      <w:pPr>
        <w:pStyle w:val="ListParagraph"/>
        <w:numPr>
          <w:ilvl w:val="0"/>
          <w:numId w:val="7"/>
        </w:numPr>
        <w:snapToGrid w:val="0"/>
        <w:spacing w:after="120" w:line="360" w:lineRule="auto"/>
        <w:rPr>
          <w:rFonts w:ascii="Arial" w:hAnsi="Arial" w:cs="Arial"/>
          <w:sz w:val="22"/>
          <w:szCs w:val="22"/>
        </w:rPr>
      </w:pPr>
      <w:r w:rsidRPr="001B71CB">
        <w:rPr>
          <w:rFonts w:ascii="Arial" w:hAnsi="Arial" w:cs="Arial"/>
          <w:sz w:val="22"/>
          <w:szCs w:val="22"/>
        </w:rPr>
        <w:t>Immediate investment to restore and expand psychosocial support services.</w:t>
      </w:r>
    </w:p>
    <w:p w14:paraId="50DCB5BD" w14:textId="77777777" w:rsidR="004C2116" w:rsidRPr="001B71CB" w:rsidRDefault="004C2116" w:rsidP="00524E7E">
      <w:pPr>
        <w:pStyle w:val="ListParagraph"/>
        <w:numPr>
          <w:ilvl w:val="0"/>
          <w:numId w:val="7"/>
        </w:numPr>
        <w:snapToGrid w:val="0"/>
        <w:spacing w:after="120" w:line="360" w:lineRule="auto"/>
        <w:rPr>
          <w:rFonts w:ascii="Arial" w:hAnsi="Arial" w:cs="Arial"/>
          <w:sz w:val="22"/>
          <w:szCs w:val="22"/>
        </w:rPr>
      </w:pPr>
      <w:r w:rsidRPr="001B71CB">
        <w:rPr>
          <w:rFonts w:ascii="Arial" w:hAnsi="Arial" w:cs="Arial"/>
          <w:sz w:val="22"/>
          <w:szCs w:val="22"/>
        </w:rPr>
        <w:t>A nationally consistent approach to psychosocial support funding and commissioning, with shared responsibility across all levels of government.</w:t>
      </w:r>
    </w:p>
    <w:p w14:paraId="0FECB4A6" w14:textId="15CD0EF1" w:rsidR="004C2116" w:rsidRDefault="004C2116" w:rsidP="00524E7E">
      <w:pPr>
        <w:pStyle w:val="ListParagraph"/>
        <w:numPr>
          <w:ilvl w:val="0"/>
          <w:numId w:val="7"/>
        </w:numPr>
        <w:snapToGrid w:val="0"/>
        <w:spacing w:after="120" w:line="360" w:lineRule="auto"/>
        <w:rPr>
          <w:rFonts w:ascii="Arial" w:hAnsi="Arial" w:cs="Arial"/>
          <w:sz w:val="22"/>
          <w:szCs w:val="22"/>
        </w:rPr>
      </w:pPr>
      <w:r w:rsidRPr="001B71CB">
        <w:rPr>
          <w:rFonts w:ascii="Arial" w:hAnsi="Arial" w:cs="Arial"/>
          <w:sz w:val="22"/>
          <w:szCs w:val="22"/>
        </w:rPr>
        <w:t xml:space="preserve">A commitment to fully address unmet need by 2030, </w:t>
      </w:r>
      <w:r w:rsidR="00015F4E">
        <w:rPr>
          <w:rFonts w:ascii="Arial" w:hAnsi="Arial" w:cs="Arial"/>
          <w:sz w:val="22"/>
          <w:szCs w:val="22"/>
        </w:rPr>
        <w:t>supported by</w:t>
      </w:r>
      <w:r w:rsidR="00015F4E" w:rsidRPr="001B71CB">
        <w:rPr>
          <w:rFonts w:ascii="Arial" w:hAnsi="Arial" w:cs="Arial"/>
          <w:sz w:val="22"/>
          <w:szCs w:val="22"/>
        </w:rPr>
        <w:t xml:space="preserve"> </w:t>
      </w:r>
      <w:r w:rsidRPr="001B71CB">
        <w:rPr>
          <w:rFonts w:ascii="Arial" w:hAnsi="Arial" w:cs="Arial"/>
          <w:sz w:val="22"/>
          <w:szCs w:val="22"/>
        </w:rPr>
        <w:t>clear milestones and accountability</w:t>
      </w:r>
      <w:r w:rsidR="00015F4E">
        <w:rPr>
          <w:rFonts w:ascii="Arial" w:hAnsi="Arial" w:cs="Arial"/>
          <w:sz w:val="22"/>
          <w:szCs w:val="22"/>
        </w:rPr>
        <w:t xml:space="preserve"> mechanisms</w:t>
      </w:r>
      <w:r w:rsidRPr="001B71CB">
        <w:rPr>
          <w:rFonts w:ascii="Arial" w:hAnsi="Arial" w:cs="Arial"/>
          <w:sz w:val="22"/>
          <w:szCs w:val="22"/>
        </w:rPr>
        <w:t>.</w:t>
      </w:r>
    </w:p>
    <w:p w14:paraId="09201A01" w14:textId="35018BC3" w:rsidR="006056C7" w:rsidRPr="00F81ADC" w:rsidRDefault="00015F4E" w:rsidP="00F81ADC">
      <w:pPr>
        <w:pStyle w:val="ListParagraph"/>
        <w:numPr>
          <w:ilvl w:val="0"/>
          <w:numId w:val="7"/>
        </w:numPr>
        <w:snapToGrid w:val="0"/>
        <w:spacing w:after="120" w:line="360" w:lineRule="auto"/>
        <w:rPr>
          <w:rFonts w:ascii="Arial" w:hAnsi="Arial" w:cs="Arial"/>
          <w:sz w:val="22"/>
          <w:szCs w:val="22"/>
        </w:rPr>
      </w:pPr>
      <w:r w:rsidRPr="00941F54">
        <w:rPr>
          <w:rFonts w:ascii="Arial" w:hAnsi="Arial" w:cs="Arial"/>
          <w:sz w:val="22"/>
          <w:szCs w:val="22"/>
        </w:rPr>
        <w:t xml:space="preserve">Urgent action to fast-track delivery of the outstanding psychosocial supports schedule, as required under the current Agreement and referenced in the HPA report. </w:t>
      </w:r>
    </w:p>
    <w:p w14:paraId="0A9F6D05" w14:textId="588F3639" w:rsidR="00015F4E" w:rsidRPr="00941F54" w:rsidRDefault="00015F4E" w:rsidP="00524E7E">
      <w:pPr>
        <w:pStyle w:val="ListParagraph"/>
        <w:numPr>
          <w:ilvl w:val="0"/>
          <w:numId w:val="7"/>
        </w:numPr>
        <w:snapToGrid w:val="0"/>
        <w:spacing w:after="120" w:line="360" w:lineRule="auto"/>
        <w:rPr>
          <w:rFonts w:ascii="Arial" w:hAnsi="Arial" w:cs="Arial"/>
          <w:sz w:val="22"/>
          <w:szCs w:val="22"/>
        </w:rPr>
      </w:pPr>
      <w:r w:rsidRPr="00941F54">
        <w:rPr>
          <w:rFonts w:ascii="Arial" w:hAnsi="Arial" w:cs="Arial"/>
          <w:sz w:val="22"/>
          <w:szCs w:val="22"/>
        </w:rPr>
        <w:t>The new Agreement must prioritise this issue appropriately, recognising the significant risk of harm and poor outcomes faced by people with unmet psychosocial support needs. Funding alone is not sufficient</w:t>
      </w:r>
      <w:r w:rsidRPr="000234FE">
        <w:rPr>
          <w:rFonts w:ascii="Arial" w:hAnsi="Arial" w:cs="Arial"/>
          <w:sz w:val="22"/>
          <w:szCs w:val="22"/>
        </w:rPr>
        <w:t>. I</w:t>
      </w:r>
      <w:r w:rsidRPr="00941F54">
        <w:rPr>
          <w:rFonts w:ascii="Arial" w:hAnsi="Arial" w:cs="Arial"/>
          <w:sz w:val="22"/>
          <w:szCs w:val="22"/>
        </w:rPr>
        <w:t>t must be accompanied by:</w:t>
      </w:r>
    </w:p>
    <w:p w14:paraId="21260759" w14:textId="77777777" w:rsidR="00015F4E" w:rsidRPr="00941F54" w:rsidRDefault="00015F4E" w:rsidP="00524E7E">
      <w:pPr>
        <w:pStyle w:val="NormalWeb"/>
        <w:numPr>
          <w:ilvl w:val="0"/>
          <w:numId w:val="11"/>
        </w:numPr>
        <w:spacing w:line="360" w:lineRule="auto"/>
        <w:rPr>
          <w:rFonts w:ascii="Arial" w:eastAsiaTheme="minorHAnsi" w:hAnsi="Arial" w:cs="Arial"/>
          <w:kern w:val="2"/>
          <w:sz w:val="22"/>
          <w:szCs w:val="22"/>
          <w:lang w:val="en-AU" w:eastAsia="en-US"/>
          <w14:ligatures w14:val="standardContextual"/>
        </w:rPr>
      </w:pPr>
      <w:r w:rsidRPr="00941F54">
        <w:rPr>
          <w:rFonts w:ascii="Arial" w:eastAsiaTheme="minorHAnsi" w:hAnsi="Arial" w:cs="Arial"/>
          <w:kern w:val="2"/>
          <w:sz w:val="22"/>
          <w:szCs w:val="22"/>
          <w:lang w:val="en-AU" w:eastAsia="en-US"/>
          <w14:ligatures w14:val="standardContextual"/>
        </w:rPr>
        <w:t>Dedicated outcome measurement strategies that go beyond service volumes, focusing on indicators such as social inclusion, recovery, participation, and quality of life.</w:t>
      </w:r>
    </w:p>
    <w:p w14:paraId="4AF4B374" w14:textId="24D17CF1" w:rsidR="00015F4E" w:rsidRPr="00941F54" w:rsidRDefault="00015F4E" w:rsidP="00524E7E">
      <w:pPr>
        <w:pStyle w:val="NormalWeb"/>
        <w:numPr>
          <w:ilvl w:val="0"/>
          <w:numId w:val="11"/>
        </w:numPr>
        <w:spacing w:line="360" w:lineRule="auto"/>
        <w:rPr>
          <w:rFonts w:ascii="Arial" w:eastAsiaTheme="minorHAnsi" w:hAnsi="Arial" w:cs="Arial"/>
          <w:kern w:val="2"/>
          <w:sz w:val="22"/>
          <w:szCs w:val="22"/>
          <w:lang w:val="en-AU" w:eastAsia="en-US"/>
          <w14:ligatures w14:val="standardContextual"/>
        </w:rPr>
      </w:pPr>
      <w:r w:rsidRPr="00941F54">
        <w:rPr>
          <w:rFonts w:ascii="Arial" w:eastAsiaTheme="minorHAnsi" w:hAnsi="Arial" w:cs="Arial"/>
          <w:kern w:val="2"/>
          <w:sz w:val="22"/>
          <w:szCs w:val="22"/>
          <w:lang w:val="en-AU" w:eastAsia="en-US"/>
          <w14:ligatures w14:val="standardContextual"/>
        </w:rPr>
        <w:t xml:space="preserve">Capacity building across the community-managed sector to support consistent data collection, outcomes reporting, and evaluation readiness </w:t>
      </w:r>
      <w:r w:rsidR="004F5B9B">
        <w:rPr>
          <w:rFonts w:ascii="Arial" w:eastAsiaTheme="minorHAnsi" w:hAnsi="Arial" w:cs="Arial"/>
          <w:kern w:val="2"/>
          <w:sz w:val="22"/>
          <w:szCs w:val="22"/>
          <w:lang w:val="en-AU" w:eastAsia="en-US"/>
          <w14:ligatures w14:val="standardContextual"/>
        </w:rPr>
        <w:t>-</w:t>
      </w:r>
      <w:r w:rsidRPr="00941F54">
        <w:rPr>
          <w:rFonts w:ascii="Arial" w:eastAsiaTheme="minorHAnsi" w:hAnsi="Arial" w:cs="Arial"/>
          <w:kern w:val="2"/>
          <w:sz w:val="22"/>
          <w:szCs w:val="22"/>
          <w:lang w:val="en-AU" w:eastAsia="en-US"/>
          <w14:ligatures w14:val="standardContextual"/>
        </w:rPr>
        <w:t xml:space="preserve"> particularly for services working with complex and marginalised populations.</w:t>
      </w:r>
    </w:p>
    <w:p w14:paraId="289545FB" w14:textId="77777777" w:rsidR="00015F4E" w:rsidRPr="00941F54" w:rsidRDefault="00015F4E" w:rsidP="00524E7E">
      <w:pPr>
        <w:pStyle w:val="NormalWeb"/>
        <w:numPr>
          <w:ilvl w:val="0"/>
          <w:numId w:val="11"/>
        </w:numPr>
        <w:spacing w:line="360" w:lineRule="auto"/>
        <w:rPr>
          <w:rFonts w:ascii="Arial" w:eastAsiaTheme="minorHAnsi" w:hAnsi="Arial" w:cs="Arial"/>
          <w:kern w:val="2"/>
          <w:sz w:val="22"/>
          <w:szCs w:val="22"/>
          <w:lang w:val="en-AU" w:eastAsia="en-US"/>
          <w14:ligatures w14:val="standardContextual"/>
        </w:rPr>
      </w:pPr>
      <w:r w:rsidRPr="00941F54">
        <w:rPr>
          <w:rFonts w:ascii="Arial" w:eastAsiaTheme="minorHAnsi" w:hAnsi="Arial" w:cs="Arial"/>
          <w:kern w:val="2"/>
          <w:sz w:val="22"/>
          <w:szCs w:val="22"/>
          <w:lang w:val="en-AU" w:eastAsia="en-US"/>
          <w14:ligatures w14:val="standardContextual"/>
        </w:rPr>
        <w:lastRenderedPageBreak/>
        <w:t>Sustainable investment in sector-wide infrastructure, including peak bodies, to provide technical assistance, support continuous improvement, and build shared outcome frameworks across jurisdictions.</w:t>
      </w:r>
    </w:p>
    <w:p w14:paraId="01AA63B0" w14:textId="35743DC0" w:rsidR="00015F4E" w:rsidRPr="00941F54" w:rsidRDefault="00015F4E" w:rsidP="00524E7E">
      <w:pPr>
        <w:pStyle w:val="NormalWeb"/>
        <w:numPr>
          <w:ilvl w:val="0"/>
          <w:numId w:val="11"/>
        </w:numPr>
        <w:spacing w:line="360" w:lineRule="auto"/>
        <w:rPr>
          <w:rFonts w:ascii="Arial" w:eastAsiaTheme="minorHAnsi" w:hAnsi="Arial" w:cs="Arial"/>
          <w:kern w:val="2"/>
          <w:sz w:val="22"/>
          <w:szCs w:val="22"/>
          <w:lang w:val="en-AU" w:eastAsia="en-US"/>
          <w14:ligatures w14:val="standardContextual"/>
        </w:rPr>
      </w:pPr>
      <w:r w:rsidRPr="00941F54">
        <w:rPr>
          <w:rFonts w:ascii="Arial" w:eastAsiaTheme="minorHAnsi" w:hAnsi="Arial" w:cs="Arial"/>
          <w:kern w:val="2"/>
          <w:sz w:val="22"/>
          <w:szCs w:val="22"/>
          <w:lang w:val="en-AU" w:eastAsia="en-US"/>
          <w14:ligatures w14:val="standardContextual"/>
        </w:rPr>
        <w:t xml:space="preserve">Explicit recognition of psychosocial supports as a central part of a whole-of-system mental health architecture </w:t>
      </w:r>
      <w:r>
        <w:rPr>
          <w:rFonts w:ascii="Arial" w:eastAsiaTheme="minorHAnsi" w:hAnsi="Arial" w:cs="Arial"/>
          <w:kern w:val="2"/>
          <w:sz w:val="22"/>
          <w:szCs w:val="22"/>
          <w:lang w:val="en-AU" w:eastAsia="en-US"/>
          <w14:ligatures w14:val="standardContextual"/>
        </w:rPr>
        <w:t>-</w:t>
      </w:r>
      <w:r w:rsidRPr="00941F54">
        <w:rPr>
          <w:rFonts w:ascii="Arial" w:eastAsiaTheme="minorHAnsi" w:hAnsi="Arial" w:cs="Arial"/>
          <w:kern w:val="2"/>
          <w:sz w:val="22"/>
          <w:szCs w:val="22"/>
          <w:lang w:val="en-AU" w:eastAsia="en-US"/>
          <w14:ligatures w14:val="standardContextual"/>
        </w:rPr>
        <w:t xml:space="preserve"> not merely </w:t>
      </w:r>
      <w:r w:rsidR="004F5B9B">
        <w:rPr>
          <w:rFonts w:ascii="Arial" w:eastAsiaTheme="minorHAnsi" w:hAnsi="Arial" w:cs="Arial"/>
          <w:kern w:val="2"/>
          <w:sz w:val="22"/>
          <w:szCs w:val="22"/>
          <w:lang w:val="en-AU" w:eastAsia="en-US"/>
          <w14:ligatures w14:val="standardContextual"/>
        </w:rPr>
        <w:t xml:space="preserve">as </w:t>
      </w:r>
      <w:proofErr w:type="gramStart"/>
      <w:r w:rsidRPr="00941F54">
        <w:rPr>
          <w:rFonts w:ascii="Arial" w:eastAsiaTheme="minorHAnsi" w:hAnsi="Arial" w:cs="Arial"/>
          <w:kern w:val="2"/>
          <w:sz w:val="22"/>
          <w:szCs w:val="22"/>
          <w:lang w:val="en-AU" w:eastAsia="en-US"/>
          <w14:ligatures w14:val="standardContextual"/>
        </w:rPr>
        <w:t>an</w:t>
      </w:r>
      <w:proofErr w:type="gramEnd"/>
      <w:r w:rsidRPr="00941F54">
        <w:rPr>
          <w:rFonts w:ascii="Arial" w:eastAsiaTheme="minorHAnsi" w:hAnsi="Arial" w:cs="Arial"/>
          <w:kern w:val="2"/>
          <w:sz w:val="22"/>
          <w:szCs w:val="22"/>
          <w:lang w:val="en-AU" w:eastAsia="en-US"/>
          <w14:ligatures w14:val="standardContextual"/>
        </w:rPr>
        <w:t xml:space="preserve"> NDIS afterthought.</w:t>
      </w:r>
    </w:p>
    <w:p w14:paraId="3E239F59" w14:textId="77777777" w:rsidR="0067377B" w:rsidRDefault="0067377B" w:rsidP="004C2116">
      <w:pPr>
        <w:snapToGrid w:val="0"/>
        <w:spacing w:after="120" w:line="240" w:lineRule="auto"/>
        <w:rPr>
          <w:rFonts w:ascii="Arial" w:hAnsi="Arial" w:cs="Arial"/>
          <w:sz w:val="22"/>
          <w:szCs w:val="22"/>
        </w:rPr>
      </w:pPr>
    </w:p>
    <w:p w14:paraId="2FD1946F" w14:textId="77777777" w:rsidR="0067377B" w:rsidRDefault="0067377B" w:rsidP="00524E7E">
      <w:pPr>
        <w:snapToGrid w:val="0"/>
        <w:spacing w:after="120" w:line="360" w:lineRule="auto"/>
        <w:rPr>
          <w:rFonts w:ascii="Arial" w:hAnsi="Arial" w:cs="Arial"/>
          <w:sz w:val="22"/>
          <w:szCs w:val="22"/>
        </w:rPr>
      </w:pPr>
      <w:r w:rsidRPr="009E79BC">
        <w:rPr>
          <w:rFonts w:ascii="Arial" w:hAnsi="Arial" w:cs="Arial"/>
          <w:sz w:val="22"/>
          <w:szCs w:val="22"/>
        </w:rPr>
        <w:t xml:space="preserve">CMHA strongly supports the report’s emphasis on shifting to an outcomes-based approach and recognises that this requires substantial investment in data infrastructure, evaluation, and measurement capability. To avoid repeating the </w:t>
      </w:r>
      <w:r w:rsidRPr="003D525E">
        <w:rPr>
          <w:rFonts w:ascii="Arial" w:hAnsi="Arial" w:cs="Arial"/>
          <w:sz w:val="22"/>
          <w:szCs w:val="22"/>
        </w:rPr>
        <w:t>limitations</w:t>
      </w:r>
      <w:r w:rsidRPr="009E79BC">
        <w:rPr>
          <w:rFonts w:ascii="Arial" w:hAnsi="Arial" w:cs="Arial"/>
          <w:sz w:val="22"/>
          <w:szCs w:val="22"/>
        </w:rPr>
        <w:t xml:space="preserve"> of the current Agreement, the next phase must be underpinned by a well-funded strategy that defines what success looks like, supports timely and fit-for-purpose data, and embeds independent monitoring and accountability mechanisms across jurisdictions.</w:t>
      </w:r>
    </w:p>
    <w:p w14:paraId="16383AC5" w14:textId="77777777" w:rsidR="0067377B" w:rsidRPr="009E79BC" w:rsidRDefault="0067377B" w:rsidP="00524E7E">
      <w:pPr>
        <w:snapToGrid w:val="0"/>
        <w:spacing w:after="120" w:line="360" w:lineRule="auto"/>
        <w:rPr>
          <w:rFonts w:ascii="Arial" w:hAnsi="Arial" w:cs="Arial"/>
          <w:sz w:val="22"/>
          <w:szCs w:val="22"/>
        </w:rPr>
      </w:pPr>
      <w:r w:rsidRPr="009E79BC">
        <w:rPr>
          <w:rFonts w:ascii="Arial" w:hAnsi="Arial" w:cs="Arial"/>
          <w:sz w:val="22"/>
          <w:szCs w:val="22"/>
        </w:rPr>
        <w:t xml:space="preserve">At the same time, this reform must be grounded in the realities of service delivery. Community-managed organisations, particularly those working with complex and marginalised populations, need dedicated support to build outcomes capability </w:t>
      </w:r>
      <w:r>
        <w:rPr>
          <w:rFonts w:ascii="Arial" w:hAnsi="Arial" w:cs="Arial"/>
          <w:sz w:val="22"/>
          <w:szCs w:val="22"/>
        </w:rPr>
        <w:t>-</w:t>
      </w:r>
      <w:r w:rsidRPr="009E79BC">
        <w:rPr>
          <w:rFonts w:ascii="Arial" w:hAnsi="Arial" w:cs="Arial"/>
          <w:sz w:val="22"/>
          <w:szCs w:val="22"/>
        </w:rPr>
        <w:t xml:space="preserve"> including training, tools, and resourcing for data collection and use. Without</w:t>
      </w:r>
      <w:r>
        <w:rPr>
          <w:rFonts w:ascii="Arial" w:hAnsi="Arial" w:cs="Arial"/>
          <w:sz w:val="22"/>
          <w:szCs w:val="22"/>
        </w:rPr>
        <w:t xml:space="preserve"> adequate</w:t>
      </w:r>
      <w:r w:rsidRPr="009E79BC">
        <w:rPr>
          <w:rFonts w:ascii="Arial" w:hAnsi="Arial" w:cs="Arial"/>
          <w:sz w:val="22"/>
          <w:szCs w:val="22"/>
        </w:rPr>
        <w:t xml:space="preserve"> investment at this level, outcomes-based approaches risk being tokenistic or burdensome. The ability to measure, interpret, and act on data must be distributed across the system, not concentrated in government or academia.</w:t>
      </w:r>
    </w:p>
    <w:p w14:paraId="513CB17E" w14:textId="3B66B022" w:rsidR="00DC249F" w:rsidRDefault="00DC249F" w:rsidP="00524E7E">
      <w:pPr>
        <w:snapToGrid w:val="0"/>
        <w:spacing w:after="120" w:line="360" w:lineRule="auto"/>
        <w:rPr>
          <w:rFonts w:ascii="Arial" w:hAnsi="Arial" w:cs="Arial"/>
          <w:sz w:val="22"/>
          <w:szCs w:val="22"/>
        </w:rPr>
      </w:pPr>
      <w:r>
        <w:rPr>
          <w:rFonts w:ascii="Arial" w:hAnsi="Arial" w:cs="Arial"/>
          <w:sz w:val="22"/>
          <w:szCs w:val="22"/>
        </w:rPr>
        <w:t xml:space="preserve">CMHA also believes the next Agreement should address the required reform of state and territory mental health commissions, who were established to provide accountability, transparency, and rebalance systems towards community managed psychosocial supports, but have </w:t>
      </w:r>
      <w:r w:rsidR="00A10B52">
        <w:rPr>
          <w:rFonts w:ascii="Arial" w:hAnsi="Arial" w:cs="Arial"/>
          <w:sz w:val="22"/>
          <w:szCs w:val="22"/>
        </w:rPr>
        <w:t xml:space="preserve">largely </w:t>
      </w:r>
      <w:r>
        <w:rPr>
          <w:rFonts w:ascii="Arial" w:hAnsi="Arial" w:cs="Arial"/>
          <w:sz w:val="22"/>
          <w:szCs w:val="22"/>
        </w:rPr>
        <w:t xml:space="preserve">resorted to </w:t>
      </w:r>
      <w:r w:rsidR="00A10B52">
        <w:rPr>
          <w:rFonts w:ascii="Arial" w:hAnsi="Arial" w:cs="Arial"/>
          <w:sz w:val="22"/>
          <w:szCs w:val="22"/>
        </w:rPr>
        <w:t>isomorphic</w:t>
      </w:r>
      <w:r>
        <w:rPr>
          <w:rFonts w:ascii="Arial" w:hAnsi="Arial" w:cs="Arial"/>
          <w:sz w:val="22"/>
          <w:szCs w:val="22"/>
        </w:rPr>
        <w:t xml:space="preserve"> </w:t>
      </w:r>
      <w:r w:rsidR="008008B2">
        <w:rPr>
          <w:rFonts w:ascii="Arial" w:hAnsi="Arial" w:cs="Arial"/>
          <w:sz w:val="22"/>
          <w:szCs w:val="22"/>
        </w:rPr>
        <w:t>m</w:t>
      </w:r>
      <w:r>
        <w:rPr>
          <w:rFonts w:ascii="Arial" w:hAnsi="Arial" w:cs="Arial"/>
          <w:sz w:val="22"/>
          <w:szCs w:val="22"/>
        </w:rPr>
        <w:t xml:space="preserve">imicry instead at a state and territory level. </w:t>
      </w:r>
    </w:p>
    <w:p w14:paraId="26F0CDD7" w14:textId="77777777" w:rsidR="0067377B" w:rsidRDefault="0067377B" w:rsidP="00524E7E">
      <w:pPr>
        <w:snapToGrid w:val="0"/>
        <w:spacing w:after="120" w:line="360" w:lineRule="auto"/>
        <w:rPr>
          <w:rFonts w:ascii="Arial" w:hAnsi="Arial" w:cs="Arial"/>
          <w:sz w:val="22"/>
          <w:szCs w:val="22"/>
        </w:rPr>
      </w:pPr>
    </w:p>
    <w:p w14:paraId="1AB0D633" w14:textId="77777777" w:rsidR="004C2116" w:rsidRPr="00371157" w:rsidRDefault="004C2116" w:rsidP="00371157">
      <w:pPr>
        <w:snapToGrid w:val="0"/>
        <w:spacing w:after="120" w:line="240" w:lineRule="auto"/>
        <w:rPr>
          <w:rFonts w:ascii="Arial" w:hAnsi="Arial" w:cs="Arial"/>
          <w:b/>
          <w:bCs/>
          <w:color w:val="5FC1C5"/>
        </w:rPr>
      </w:pPr>
      <w:r w:rsidRPr="00371157">
        <w:rPr>
          <w:rFonts w:ascii="Arial" w:hAnsi="Arial" w:cs="Arial"/>
          <w:b/>
          <w:bCs/>
          <w:color w:val="5FC1C5"/>
        </w:rPr>
        <w:t>Embedding Lived and Living Experience</w:t>
      </w:r>
    </w:p>
    <w:p w14:paraId="0D16261E" w14:textId="77777777" w:rsidR="004C2116" w:rsidRDefault="004C2116" w:rsidP="00524E7E">
      <w:pPr>
        <w:snapToGrid w:val="0"/>
        <w:spacing w:after="120" w:line="360" w:lineRule="auto"/>
        <w:rPr>
          <w:rFonts w:ascii="Arial" w:hAnsi="Arial" w:cs="Arial"/>
          <w:sz w:val="22"/>
          <w:szCs w:val="22"/>
        </w:rPr>
      </w:pPr>
      <w:r w:rsidRPr="001B71CB">
        <w:rPr>
          <w:rFonts w:ascii="Arial" w:hAnsi="Arial" w:cs="Arial"/>
          <w:sz w:val="22"/>
          <w:szCs w:val="22"/>
        </w:rPr>
        <w:t>CMHA welcomes the recommendation to embed lived and living experience throughout system design, governance, and delivery. However, this must move beyond tokenistic inclusion. Genuine involvement means enabling leadership roles, ensuring people with lived experience have decision-making power, and resourcing peer workforces appropriately.</w:t>
      </w:r>
    </w:p>
    <w:p w14:paraId="45BE9A9E" w14:textId="1A9D6C22" w:rsidR="00C30C17" w:rsidRDefault="00C30C17" w:rsidP="00524E7E">
      <w:pPr>
        <w:snapToGrid w:val="0"/>
        <w:spacing w:after="120" w:line="360" w:lineRule="auto"/>
        <w:rPr>
          <w:rFonts w:ascii="Arial" w:hAnsi="Arial" w:cs="Arial"/>
          <w:sz w:val="22"/>
          <w:szCs w:val="22"/>
        </w:rPr>
      </w:pPr>
      <w:r w:rsidRPr="00053F34">
        <w:rPr>
          <w:rFonts w:ascii="Arial" w:hAnsi="Arial" w:cs="Arial"/>
          <w:sz w:val="22"/>
          <w:szCs w:val="22"/>
        </w:rPr>
        <w:t>This work must be underpinned by the extensive evidence base on effective co-design approaches - including the documented risks of harm, retraumatisation, and unintended consequences when co-design is poorly implemented or inadequately supported. Embedding lived experience should not be treated as a procedural box-tick, but as a critical lever for system reform that requires care, resourcing, and sustained commitment.</w:t>
      </w:r>
    </w:p>
    <w:p w14:paraId="58570114" w14:textId="372259B0" w:rsidR="007A5157" w:rsidRDefault="007A5157" w:rsidP="00524E7E">
      <w:pPr>
        <w:snapToGrid w:val="0"/>
        <w:spacing w:after="120" w:line="360" w:lineRule="auto"/>
        <w:rPr>
          <w:rFonts w:ascii="Arial" w:hAnsi="Arial" w:cs="Arial"/>
          <w:sz w:val="22"/>
          <w:szCs w:val="22"/>
        </w:rPr>
      </w:pPr>
      <w:r>
        <w:rPr>
          <w:rFonts w:ascii="Arial" w:hAnsi="Arial" w:cs="Arial"/>
          <w:sz w:val="22"/>
          <w:szCs w:val="22"/>
        </w:rPr>
        <w:lastRenderedPageBreak/>
        <w:t>We recommend:</w:t>
      </w:r>
    </w:p>
    <w:p w14:paraId="6542F7D1" w14:textId="0B34E6A9" w:rsidR="007A5157" w:rsidRPr="00053F34" w:rsidRDefault="007A5157" w:rsidP="00524E7E">
      <w:pPr>
        <w:pStyle w:val="NormalWeb"/>
        <w:numPr>
          <w:ilvl w:val="0"/>
          <w:numId w:val="11"/>
        </w:numPr>
        <w:spacing w:line="360" w:lineRule="auto"/>
        <w:rPr>
          <w:rFonts w:ascii="Arial" w:eastAsiaTheme="minorHAnsi" w:hAnsi="Arial" w:cs="Arial"/>
          <w:kern w:val="2"/>
          <w:sz w:val="22"/>
          <w:szCs w:val="22"/>
          <w:lang w:val="en-AU" w:eastAsia="en-US"/>
          <w14:ligatures w14:val="standardContextual"/>
        </w:rPr>
      </w:pPr>
      <w:r w:rsidRPr="00053F34">
        <w:rPr>
          <w:rFonts w:ascii="Arial" w:eastAsiaTheme="minorHAnsi" w:hAnsi="Arial" w:cs="Arial"/>
          <w:kern w:val="2"/>
          <w:sz w:val="22"/>
          <w:szCs w:val="22"/>
          <w:lang w:val="en-AU" w:eastAsia="en-US"/>
          <w14:ligatures w14:val="standardContextual"/>
        </w:rPr>
        <w:t xml:space="preserve">Embedding governance requirements that ensure people with </w:t>
      </w:r>
      <w:r w:rsidR="00AD522E">
        <w:rPr>
          <w:rFonts w:ascii="Arial" w:eastAsiaTheme="minorHAnsi" w:hAnsi="Arial" w:cs="Arial"/>
          <w:kern w:val="2"/>
          <w:sz w:val="22"/>
          <w:szCs w:val="22"/>
          <w:lang w:val="en-AU" w:eastAsia="en-US"/>
          <w14:ligatures w14:val="standardContextual"/>
        </w:rPr>
        <w:t>L</w:t>
      </w:r>
      <w:r w:rsidRPr="00053F34">
        <w:rPr>
          <w:rFonts w:ascii="Arial" w:eastAsiaTheme="minorHAnsi" w:hAnsi="Arial" w:cs="Arial"/>
          <w:kern w:val="2"/>
          <w:sz w:val="22"/>
          <w:szCs w:val="22"/>
          <w:lang w:val="en-AU" w:eastAsia="en-US"/>
          <w14:ligatures w14:val="standardContextual"/>
        </w:rPr>
        <w:t xml:space="preserve">ived </w:t>
      </w:r>
      <w:r w:rsidR="00AD522E">
        <w:rPr>
          <w:rFonts w:ascii="Arial" w:eastAsiaTheme="minorHAnsi" w:hAnsi="Arial" w:cs="Arial"/>
          <w:kern w:val="2"/>
          <w:sz w:val="22"/>
          <w:szCs w:val="22"/>
          <w:lang w:val="en-AU" w:eastAsia="en-US"/>
          <w14:ligatures w14:val="standardContextual"/>
        </w:rPr>
        <w:t>E</w:t>
      </w:r>
      <w:r w:rsidRPr="00053F34">
        <w:rPr>
          <w:rFonts w:ascii="Arial" w:eastAsiaTheme="minorHAnsi" w:hAnsi="Arial" w:cs="Arial"/>
          <w:kern w:val="2"/>
          <w:sz w:val="22"/>
          <w:szCs w:val="22"/>
          <w:lang w:val="en-AU" w:eastAsia="en-US"/>
          <w14:ligatures w14:val="standardContextual"/>
        </w:rPr>
        <w:t>xperience</w:t>
      </w:r>
      <w:r w:rsidR="00AD522E">
        <w:rPr>
          <w:rFonts w:ascii="Arial" w:eastAsiaTheme="minorHAnsi" w:hAnsi="Arial" w:cs="Arial"/>
          <w:kern w:val="2"/>
          <w:sz w:val="22"/>
          <w:szCs w:val="22"/>
          <w:lang w:val="en-AU" w:eastAsia="en-US"/>
          <w14:ligatures w14:val="standardContextual"/>
        </w:rPr>
        <w:t xml:space="preserve"> expertise</w:t>
      </w:r>
      <w:r w:rsidRPr="00053F34">
        <w:rPr>
          <w:rFonts w:ascii="Arial" w:eastAsiaTheme="minorHAnsi" w:hAnsi="Arial" w:cs="Arial"/>
          <w:kern w:val="2"/>
          <w:sz w:val="22"/>
          <w:szCs w:val="22"/>
          <w:lang w:val="en-AU" w:eastAsia="en-US"/>
          <w14:ligatures w14:val="standardContextual"/>
        </w:rPr>
        <w:t xml:space="preserve"> hold decision-making power, not just advisory roles</w:t>
      </w:r>
      <w:r w:rsidR="00AD522E">
        <w:rPr>
          <w:rFonts w:ascii="Arial" w:eastAsiaTheme="minorHAnsi" w:hAnsi="Arial" w:cs="Arial"/>
          <w:kern w:val="2"/>
          <w:sz w:val="22"/>
          <w:szCs w:val="22"/>
          <w:lang w:val="en-AU" w:eastAsia="en-US"/>
          <w14:ligatures w14:val="standardContextual"/>
        </w:rPr>
        <w:t>, such as Chief Consumer and Chief Family/Carer/Kin roles wherever Chief Clinic</w:t>
      </w:r>
      <w:r w:rsidR="007B381B">
        <w:rPr>
          <w:rFonts w:ascii="Arial" w:eastAsiaTheme="minorHAnsi" w:hAnsi="Arial" w:cs="Arial"/>
          <w:kern w:val="2"/>
          <w:sz w:val="22"/>
          <w:szCs w:val="22"/>
          <w:lang w:val="en-AU" w:eastAsia="en-US"/>
          <w14:ligatures w14:val="standardContextual"/>
        </w:rPr>
        <w:t>al</w:t>
      </w:r>
      <w:r w:rsidR="00AD522E">
        <w:rPr>
          <w:rFonts w:ascii="Arial" w:eastAsiaTheme="minorHAnsi" w:hAnsi="Arial" w:cs="Arial"/>
          <w:kern w:val="2"/>
          <w:sz w:val="22"/>
          <w:szCs w:val="22"/>
          <w:lang w:val="en-AU" w:eastAsia="en-US"/>
          <w14:ligatures w14:val="standardContextual"/>
        </w:rPr>
        <w:t xml:space="preserve"> roles exist</w:t>
      </w:r>
    </w:p>
    <w:p w14:paraId="00BD7E78" w14:textId="49277B75" w:rsidR="007A5157" w:rsidRPr="00053F34" w:rsidRDefault="007A5157" w:rsidP="00524E7E">
      <w:pPr>
        <w:pStyle w:val="NormalWeb"/>
        <w:numPr>
          <w:ilvl w:val="0"/>
          <w:numId w:val="11"/>
        </w:numPr>
        <w:spacing w:line="360" w:lineRule="auto"/>
        <w:rPr>
          <w:rFonts w:ascii="Arial" w:eastAsiaTheme="minorHAnsi" w:hAnsi="Arial" w:cs="Arial"/>
          <w:kern w:val="2"/>
          <w:sz w:val="22"/>
          <w:szCs w:val="22"/>
          <w:lang w:val="en-AU" w:eastAsia="en-US"/>
          <w14:ligatures w14:val="standardContextual"/>
        </w:rPr>
      </w:pPr>
      <w:r w:rsidRPr="00053F34">
        <w:rPr>
          <w:rFonts w:ascii="Arial" w:eastAsiaTheme="minorHAnsi" w:hAnsi="Arial" w:cs="Arial"/>
          <w:kern w:val="2"/>
          <w:sz w:val="22"/>
          <w:szCs w:val="22"/>
          <w:lang w:val="en-AU" w:eastAsia="en-US"/>
          <w14:ligatures w14:val="standardContextual"/>
        </w:rPr>
        <w:t xml:space="preserve">Resourcing the </w:t>
      </w:r>
      <w:r w:rsidR="00053F34">
        <w:rPr>
          <w:rFonts w:ascii="Arial" w:eastAsiaTheme="minorHAnsi" w:hAnsi="Arial" w:cs="Arial"/>
          <w:kern w:val="2"/>
          <w:sz w:val="22"/>
          <w:szCs w:val="22"/>
          <w:lang w:val="en-AU" w:eastAsia="en-US"/>
          <w14:ligatures w14:val="standardContextual"/>
        </w:rPr>
        <w:t>Lived Experience</w:t>
      </w:r>
      <w:r w:rsidRPr="00053F34">
        <w:rPr>
          <w:rFonts w:ascii="Arial" w:eastAsiaTheme="minorHAnsi" w:hAnsi="Arial" w:cs="Arial"/>
          <w:kern w:val="2"/>
          <w:sz w:val="22"/>
          <w:szCs w:val="22"/>
          <w:lang w:val="en-AU" w:eastAsia="en-US"/>
          <w14:ligatures w14:val="standardContextual"/>
        </w:rPr>
        <w:t xml:space="preserve"> workforce</w:t>
      </w:r>
      <w:r w:rsidR="00053F34">
        <w:rPr>
          <w:rFonts w:ascii="Arial" w:eastAsiaTheme="minorHAnsi" w:hAnsi="Arial" w:cs="Arial"/>
          <w:kern w:val="2"/>
          <w:sz w:val="22"/>
          <w:szCs w:val="22"/>
          <w:lang w:val="en-AU" w:eastAsia="en-US"/>
          <w14:ligatures w14:val="standardContextual"/>
        </w:rPr>
        <w:t>s</w:t>
      </w:r>
      <w:r w:rsidRPr="00053F34">
        <w:rPr>
          <w:rFonts w:ascii="Arial" w:eastAsiaTheme="minorHAnsi" w:hAnsi="Arial" w:cs="Arial"/>
          <w:kern w:val="2"/>
          <w:sz w:val="22"/>
          <w:szCs w:val="22"/>
          <w:lang w:val="en-AU" w:eastAsia="en-US"/>
          <w14:ligatures w14:val="standardContextual"/>
        </w:rPr>
        <w:t xml:space="preserve"> across all service types, avoiding tokenistic, siloed, or casualised positions.</w:t>
      </w:r>
    </w:p>
    <w:p w14:paraId="00A97CA4" w14:textId="72F1BE17" w:rsidR="007A5157" w:rsidRDefault="00B7131C" w:rsidP="00524E7E">
      <w:pPr>
        <w:pStyle w:val="NormalWeb"/>
        <w:numPr>
          <w:ilvl w:val="0"/>
          <w:numId w:val="11"/>
        </w:numPr>
        <w:spacing w:line="360" w:lineRule="auto"/>
        <w:rPr>
          <w:rFonts w:ascii="Arial" w:eastAsiaTheme="minorHAnsi" w:hAnsi="Arial" w:cs="Arial"/>
          <w:kern w:val="2"/>
          <w:sz w:val="22"/>
          <w:szCs w:val="22"/>
          <w:lang w:val="en-AU" w:eastAsia="en-US"/>
          <w14:ligatures w14:val="standardContextual"/>
        </w:rPr>
      </w:pPr>
      <w:r>
        <w:rPr>
          <w:rFonts w:ascii="Arial" w:eastAsiaTheme="minorHAnsi" w:hAnsi="Arial" w:cs="Arial"/>
          <w:kern w:val="2"/>
          <w:sz w:val="22"/>
          <w:szCs w:val="22"/>
          <w:lang w:val="en-AU" w:eastAsia="en-US"/>
          <w14:ligatures w14:val="standardContextual"/>
        </w:rPr>
        <w:t xml:space="preserve">Prioritising investment in the </w:t>
      </w:r>
      <w:r w:rsidR="00AF3C23">
        <w:rPr>
          <w:rFonts w:ascii="Arial" w:eastAsiaTheme="minorHAnsi" w:hAnsi="Arial" w:cs="Arial"/>
          <w:kern w:val="2"/>
          <w:sz w:val="22"/>
          <w:szCs w:val="22"/>
          <w:lang w:val="en-AU" w:eastAsia="en-US"/>
          <w14:ligatures w14:val="standardContextual"/>
        </w:rPr>
        <w:t>expansion of the Lived Experience workforces</w:t>
      </w:r>
    </w:p>
    <w:p w14:paraId="5FE6EE85" w14:textId="77777777" w:rsidR="00A10B52" w:rsidRDefault="008C2A23" w:rsidP="00524E7E">
      <w:pPr>
        <w:snapToGrid w:val="0"/>
        <w:spacing w:after="120" w:line="360" w:lineRule="auto"/>
        <w:rPr>
          <w:rFonts w:ascii="Arial" w:hAnsi="Arial" w:cs="Arial"/>
          <w:sz w:val="22"/>
          <w:szCs w:val="22"/>
        </w:rPr>
      </w:pPr>
      <w:r>
        <w:rPr>
          <w:rFonts w:ascii="Arial" w:hAnsi="Arial" w:cs="Arial"/>
          <w:sz w:val="22"/>
          <w:szCs w:val="22"/>
        </w:rPr>
        <w:t xml:space="preserve">Giving additional weight to Lived Experience Peak body submissions to counter the </w:t>
      </w:r>
      <w:r w:rsidR="006D730D">
        <w:rPr>
          <w:rFonts w:ascii="Arial" w:hAnsi="Arial" w:cs="Arial"/>
          <w:sz w:val="22"/>
          <w:szCs w:val="22"/>
        </w:rPr>
        <w:t>overwhelming weight of service provider submissions.</w:t>
      </w:r>
    </w:p>
    <w:p w14:paraId="774C7F26" w14:textId="6D7FEE54" w:rsidR="004C2116" w:rsidRPr="00A10B52" w:rsidRDefault="004C2116" w:rsidP="00524E7E">
      <w:pPr>
        <w:snapToGrid w:val="0"/>
        <w:spacing w:after="120" w:line="360" w:lineRule="auto"/>
        <w:rPr>
          <w:rFonts w:ascii="Arial" w:hAnsi="Arial" w:cs="Arial"/>
          <w:b/>
          <w:bCs/>
          <w:color w:val="5FC1C5"/>
        </w:rPr>
      </w:pPr>
      <w:r w:rsidRPr="00A10B52">
        <w:rPr>
          <w:rFonts w:ascii="Arial" w:hAnsi="Arial" w:cs="Arial"/>
          <w:b/>
          <w:bCs/>
          <w:color w:val="5FC1C5"/>
        </w:rPr>
        <w:t>Addressing Workforce Challenges</w:t>
      </w:r>
    </w:p>
    <w:p w14:paraId="66D1858F" w14:textId="3B561817" w:rsidR="00905FBA" w:rsidRDefault="00905FBA" w:rsidP="00524E7E">
      <w:pPr>
        <w:snapToGrid w:val="0"/>
        <w:spacing w:after="120" w:line="360" w:lineRule="auto"/>
        <w:rPr>
          <w:rFonts w:ascii="Arial" w:hAnsi="Arial" w:cs="Arial"/>
          <w:sz w:val="22"/>
          <w:szCs w:val="22"/>
        </w:rPr>
      </w:pPr>
      <w:r>
        <w:rPr>
          <w:rFonts w:ascii="Arial" w:hAnsi="Arial" w:cs="Arial"/>
          <w:sz w:val="22"/>
          <w:szCs w:val="22"/>
        </w:rPr>
        <w:t>The National M</w:t>
      </w:r>
      <w:r w:rsidR="007B381B">
        <w:rPr>
          <w:rFonts w:ascii="Arial" w:hAnsi="Arial" w:cs="Arial"/>
          <w:sz w:val="22"/>
          <w:szCs w:val="22"/>
        </w:rPr>
        <w:t xml:space="preserve">ental </w:t>
      </w:r>
      <w:r>
        <w:rPr>
          <w:rFonts w:ascii="Arial" w:hAnsi="Arial" w:cs="Arial"/>
          <w:sz w:val="22"/>
          <w:szCs w:val="22"/>
        </w:rPr>
        <w:t>H</w:t>
      </w:r>
      <w:r w:rsidR="007B381B">
        <w:rPr>
          <w:rFonts w:ascii="Arial" w:hAnsi="Arial" w:cs="Arial"/>
          <w:sz w:val="22"/>
          <w:szCs w:val="22"/>
        </w:rPr>
        <w:t>ealth</w:t>
      </w:r>
      <w:r>
        <w:rPr>
          <w:rFonts w:ascii="Arial" w:hAnsi="Arial" w:cs="Arial"/>
          <w:sz w:val="22"/>
          <w:szCs w:val="22"/>
        </w:rPr>
        <w:t xml:space="preserve"> Workforce Strategy does not reflect contemporary human-rights based understandings of psychosocial disability and omitted the critical development of the psychosocial support workforce to support the </w:t>
      </w:r>
      <w:r w:rsidR="007B381B">
        <w:rPr>
          <w:rFonts w:ascii="Arial" w:hAnsi="Arial" w:cs="Arial"/>
          <w:sz w:val="22"/>
          <w:szCs w:val="22"/>
        </w:rPr>
        <w:t xml:space="preserve">investment </w:t>
      </w:r>
      <w:r w:rsidR="00A86A7F">
        <w:rPr>
          <w:rFonts w:ascii="Arial" w:hAnsi="Arial" w:cs="Arial"/>
          <w:sz w:val="22"/>
          <w:szCs w:val="22"/>
        </w:rPr>
        <w:t>in</w:t>
      </w:r>
      <w:r>
        <w:rPr>
          <w:rFonts w:ascii="Arial" w:hAnsi="Arial" w:cs="Arial"/>
          <w:sz w:val="22"/>
          <w:szCs w:val="22"/>
        </w:rPr>
        <w:t xml:space="preserve"> Unmet </w:t>
      </w:r>
      <w:r w:rsidR="00A86A7F">
        <w:rPr>
          <w:rFonts w:ascii="Arial" w:hAnsi="Arial" w:cs="Arial"/>
          <w:sz w:val="22"/>
          <w:szCs w:val="22"/>
        </w:rPr>
        <w:t xml:space="preserve">Need for </w:t>
      </w:r>
      <w:r>
        <w:rPr>
          <w:rFonts w:ascii="Arial" w:hAnsi="Arial" w:cs="Arial"/>
          <w:sz w:val="22"/>
          <w:szCs w:val="22"/>
        </w:rPr>
        <w:t>Psychosocial Supports.</w:t>
      </w:r>
    </w:p>
    <w:p w14:paraId="3E7687B9" w14:textId="77777777" w:rsidR="00953475" w:rsidRDefault="00905FBA" w:rsidP="00524E7E">
      <w:pPr>
        <w:snapToGrid w:val="0"/>
        <w:spacing w:after="120" w:line="360" w:lineRule="auto"/>
        <w:rPr>
          <w:rFonts w:ascii="Arial" w:hAnsi="Arial" w:cs="Arial"/>
          <w:sz w:val="22"/>
          <w:szCs w:val="22"/>
        </w:rPr>
      </w:pPr>
      <w:r>
        <w:rPr>
          <w:rFonts w:ascii="Arial" w:hAnsi="Arial" w:cs="Arial"/>
          <w:sz w:val="22"/>
          <w:szCs w:val="22"/>
        </w:rPr>
        <w:t xml:space="preserve">In the period up to the renegotiation of the new agreement remedial policy work is required to develop: </w:t>
      </w:r>
    </w:p>
    <w:p w14:paraId="43678EE5" w14:textId="388A4B33" w:rsidR="00953475" w:rsidRDefault="00953475" w:rsidP="00524E7E">
      <w:pPr>
        <w:snapToGrid w:val="0"/>
        <w:spacing w:after="120" w:line="360" w:lineRule="auto"/>
        <w:rPr>
          <w:rFonts w:ascii="Arial" w:hAnsi="Arial" w:cs="Arial"/>
          <w:sz w:val="22"/>
          <w:szCs w:val="22"/>
        </w:rPr>
      </w:pPr>
      <w:r>
        <w:rPr>
          <w:rFonts w:ascii="Arial" w:hAnsi="Arial" w:cs="Arial"/>
          <w:sz w:val="22"/>
          <w:szCs w:val="22"/>
        </w:rPr>
        <w:t>A Psychosocial Supports Workforce Strategy</w:t>
      </w:r>
    </w:p>
    <w:p w14:paraId="058CC16F" w14:textId="02043DCB" w:rsidR="00905FBA" w:rsidRDefault="00953475" w:rsidP="00524E7E">
      <w:pPr>
        <w:snapToGrid w:val="0"/>
        <w:spacing w:after="120" w:line="360" w:lineRule="auto"/>
        <w:rPr>
          <w:rFonts w:ascii="Arial" w:hAnsi="Arial" w:cs="Arial"/>
          <w:sz w:val="22"/>
          <w:szCs w:val="22"/>
        </w:rPr>
      </w:pPr>
      <w:r>
        <w:rPr>
          <w:rFonts w:ascii="Arial" w:hAnsi="Arial" w:cs="Arial"/>
          <w:sz w:val="22"/>
          <w:szCs w:val="22"/>
        </w:rPr>
        <w:t>U</w:t>
      </w:r>
      <w:r w:rsidR="00905FBA">
        <w:rPr>
          <w:rFonts w:ascii="Arial" w:hAnsi="Arial" w:cs="Arial"/>
          <w:sz w:val="22"/>
          <w:szCs w:val="22"/>
        </w:rPr>
        <w:t xml:space="preserve">pdate of </w:t>
      </w:r>
      <w:r>
        <w:rPr>
          <w:rFonts w:ascii="Arial" w:hAnsi="Arial" w:cs="Arial"/>
          <w:sz w:val="22"/>
          <w:szCs w:val="22"/>
        </w:rPr>
        <w:t xml:space="preserve">the </w:t>
      </w:r>
      <w:r w:rsidR="00905FBA">
        <w:rPr>
          <w:rFonts w:ascii="Arial" w:hAnsi="Arial" w:cs="Arial"/>
          <w:sz w:val="22"/>
          <w:szCs w:val="22"/>
        </w:rPr>
        <w:t>National M</w:t>
      </w:r>
      <w:r>
        <w:rPr>
          <w:rFonts w:ascii="Arial" w:hAnsi="Arial" w:cs="Arial"/>
          <w:sz w:val="22"/>
          <w:szCs w:val="22"/>
        </w:rPr>
        <w:t xml:space="preserve">ental </w:t>
      </w:r>
      <w:r w:rsidR="00905FBA">
        <w:rPr>
          <w:rFonts w:ascii="Arial" w:hAnsi="Arial" w:cs="Arial"/>
          <w:sz w:val="22"/>
          <w:szCs w:val="22"/>
        </w:rPr>
        <w:t>H</w:t>
      </w:r>
      <w:r>
        <w:rPr>
          <w:rFonts w:ascii="Arial" w:hAnsi="Arial" w:cs="Arial"/>
          <w:sz w:val="22"/>
          <w:szCs w:val="22"/>
        </w:rPr>
        <w:t>ealth</w:t>
      </w:r>
      <w:r w:rsidR="00905FBA">
        <w:rPr>
          <w:rFonts w:ascii="Arial" w:hAnsi="Arial" w:cs="Arial"/>
          <w:sz w:val="22"/>
          <w:szCs w:val="22"/>
        </w:rPr>
        <w:t xml:space="preserve"> Strategy to include this workforce and an immediate uplift in workforce to prepare for the investment into psychosocial supports.</w:t>
      </w:r>
    </w:p>
    <w:p w14:paraId="4CB6CD37" w14:textId="02FAB3D4" w:rsidR="004C2116" w:rsidRPr="001B71CB" w:rsidRDefault="004C2116" w:rsidP="00524E7E">
      <w:pPr>
        <w:snapToGrid w:val="0"/>
        <w:spacing w:after="120" w:line="360" w:lineRule="auto"/>
        <w:rPr>
          <w:rFonts w:ascii="Arial" w:hAnsi="Arial" w:cs="Arial"/>
          <w:sz w:val="22"/>
          <w:szCs w:val="22"/>
        </w:rPr>
      </w:pPr>
      <w:r w:rsidRPr="001B71CB">
        <w:rPr>
          <w:rFonts w:ascii="Arial" w:hAnsi="Arial" w:cs="Arial"/>
          <w:sz w:val="22"/>
          <w:szCs w:val="22"/>
        </w:rPr>
        <w:t>The community-managed mental health sector faces critical workforce shortages, worsened by short-term contracts and funding uncertainty. To deliver integrated, person-centred care, we need:</w:t>
      </w:r>
    </w:p>
    <w:p w14:paraId="368A20B0" w14:textId="77777777" w:rsidR="004C2116" w:rsidRPr="001B71CB" w:rsidRDefault="004C2116" w:rsidP="00524E7E">
      <w:pPr>
        <w:pStyle w:val="ListParagraph"/>
        <w:numPr>
          <w:ilvl w:val="0"/>
          <w:numId w:val="8"/>
        </w:numPr>
        <w:snapToGrid w:val="0"/>
        <w:spacing w:after="120" w:line="360" w:lineRule="auto"/>
        <w:rPr>
          <w:rFonts w:ascii="Arial" w:hAnsi="Arial" w:cs="Arial"/>
          <w:sz w:val="22"/>
          <w:szCs w:val="22"/>
        </w:rPr>
      </w:pPr>
      <w:r w:rsidRPr="001B71CB">
        <w:rPr>
          <w:rFonts w:ascii="Arial" w:hAnsi="Arial" w:cs="Arial"/>
          <w:sz w:val="22"/>
          <w:szCs w:val="22"/>
        </w:rPr>
        <w:t>Long-term, sustainable funding that enables job security and sector growth.</w:t>
      </w:r>
    </w:p>
    <w:p w14:paraId="7480D528" w14:textId="29570475" w:rsidR="004C2116" w:rsidRPr="001B71CB" w:rsidRDefault="004C2116" w:rsidP="00524E7E">
      <w:pPr>
        <w:pStyle w:val="ListParagraph"/>
        <w:numPr>
          <w:ilvl w:val="0"/>
          <w:numId w:val="8"/>
        </w:numPr>
        <w:snapToGrid w:val="0"/>
        <w:spacing w:after="120" w:line="360" w:lineRule="auto"/>
        <w:rPr>
          <w:rFonts w:ascii="Arial" w:hAnsi="Arial" w:cs="Arial"/>
          <w:sz w:val="22"/>
          <w:szCs w:val="22"/>
        </w:rPr>
      </w:pPr>
      <w:r w:rsidRPr="001B71CB">
        <w:rPr>
          <w:rFonts w:ascii="Arial" w:hAnsi="Arial" w:cs="Arial"/>
          <w:sz w:val="22"/>
          <w:szCs w:val="22"/>
        </w:rPr>
        <w:t>Investment in peer and lived experience workforces, including training</w:t>
      </w:r>
      <w:r w:rsidR="00C30C17">
        <w:rPr>
          <w:rFonts w:ascii="Arial" w:hAnsi="Arial" w:cs="Arial"/>
          <w:sz w:val="22"/>
          <w:szCs w:val="22"/>
        </w:rPr>
        <w:t>, accreditation</w:t>
      </w:r>
      <w:r w:rsidRPr="001B71CB">
        <w:rPr>
          <w:rFonts w:ascii="Arial" w:hAnsi="Arial" w:cs="Arial"/>
          <w:sz w:val="22"/>
          <w:szCs w:val="22"/>
        </w:rPr>
        <w:t xml:space="preserve"> and</w:t>
      </w:r>
      <w:r w:rsidR="00C30C17">
        <w:rPr>
          <w:rFonts w:ascii="Arial" w:hAnsi="Arial" w:cs="Arial"/>
          <w:sz w:val="22"/>
          <w:szCs w:val="22"/>
        </w:rPr>
        <w:t xml:space="preserve"> clear</w:t>
      </w:r>
      <w:r w:rsidRPr="001B71CB">
        <w:rPr>
          <w:rFonts w:ascii="Arial" w:hAnsi="Arial" w:cs="Arial"/>
          <w:sz w:val="22"/>
          <w:szCs w:val="22"/>
        </w:rPr>
        <w:t xml:space="preserve"> career pathways.</w:t>
      </w:r>
    </w:p>
    <w:p w14:paraId="40C1A85C" w14:textId="7BBD182A" w:rsidR="004C2116" w:rsidRDefault="004C2116" w:rsidP="00524E7E">
      <w:pPr>
        <w:pStyle w:val="ListParagraph"/>
        <w:numPr>
          <w:ilvl w:val="0"/>
          <w:numId w:val="8"/>
        </w:numPr>
        <w:snapToGrid w:val="0"/>
        <w:spacing w:after="120" w:line="360" w:lineRule="auto"/>
        <w:rPr>
          <w:rFonts w:ascii="Arial" w:hAnsi="Arial" w:cs="Arial"/>
          <w:sz w:val="22"/>
          <w:szCs w:val="22"/>
        </w:rPr>
      </w:pPr>
      <w:r w:rsidRPr="001B71CB">
        <w:rPr>
          <w:rFonts w:ascii="Arial" w:hAnsi="Arial" w:cs="Arial"/>
          <w:sz w:val="22"/>
          <w:szCs w:val="22"/>
        </w:rPr>
        <w:t>Policies</w:t>
      </w:r>
      <w:r w:rsidR="00C30C17">
        <w:rPr>
          <w:rFonts w:ascii="Arial" w:hAnsi="Arial" w:cs="Arial"/>
          <w:sz w:val="22"/>
          <w:szCs w:val="22"/>
        </w:rPr>
        <w:t>, interventions and funding structures</w:t>
      </w:r>
      <w:r w:rsidRPr="001B71CB">
        <w:rPr>
          <w:rFonts w:ascii="Arial" w:hAnsi="Arial" w:cs="Arial"/>
          <w:sz w:val="22"/>
          <w:szCs w:val="22"/>
        </w:rPr>
        <w:t xml:space="preserve"> to support staff wellbeing</w:t>
      </w:r>
      <w:r w:rsidR="00C30C17">
        <w:rPr>
          <w:rFonts w:ascii="Arial" w:hAnsi="Arial" w:cs="Arial"/>
          <w:sz w:val="22"/>
          <w:szCs w:val="22"/>
        </w:rPr>
        <w:t>, safety</w:t>
      </w:r>
      <w:r w:rsidRPr="001B71CB">
        <w:rPr>
          <w:rFonts w:ascii="Arial" w:hAnsi="Arial" w:cs="Arial"/>
          <w:sz w:val="22"/>
          <w:szCs w:val="22"/>
        </w:rPr>
        <w:t xml:space="preserve"> and retention</w:t>
      </w:r>
      <w:r w:rsidR="004F5B9B">
        <w:rPr>
          <w:rFonts w:ascii="Arial" w:hAnsi="Arial" w:cs="Arial"/>
          <w:sz w:val="22"/>
          <w:szCs w:val="22"/>
        </w:rPr>
        <w:t xml:space="preserve"> - </w:t>
      </w:r>
      <w:r w:rsidR="004F5B9B" w:rsidRPr="00E560CD">
        <w:rPr>
          <w:rFonts w:ascii="Arial" w:hAnsi="Arial" w:cs="Arial"/>
          <w:sz w:val="22"/>
          <w:szCs w:val="22"/>
        </w:rPr>
        <w:t>including initiatives that foster inclusion, psychological safety, and a strong sense of belonging across diverse workforce groups.</w:t>
      </w:r>
    </w:p>
    <w:p w14:paraId="06A3796F" w14:textId="3C9B8EAB" w:rsidR="00C30C17" w:rsidRPr="00E560CD" w:rsidRDefault="00C30C17" w:rsidP="00524E7E">
      <w:pPr>
        <w:pStyle w:val="NormalWeb"/>
        <w:spacing w:line="360" w:lineRule="auto"/>
        <w:rPr>
          <w:rFonts w:ascii="Arial" w:eastAsiaTheme="minorHAnsi" w:hAnsi="Arial" w:cs="Arial"/>
          <w:kern w:val="2"/>
          <w:sz w:val="22"/>
          <w:szCs w:val="22"/>
          <w:lang w:val="en-AU" w:eastAsia="en-US"/>
          <w14:ligatures w14:val="standardContextual"/>
        </w:rPr>
      </w:pPr>
      <w:r w:rsidRPr="00E560CD">
        <w:rPr>
          <w:rFonts w:ascii="Arial" w:eastAsiaTheme="minorHAnsi" w:hAnsi="Arial" w:cs="Arial"/>
          <w:kern w:val="2"/>
          <w:sz w:val="22"/>
          <w:szCs w:val="22"/>
          <w:lang w:val="en-AU" w:eastAsia="en-US"/>
          <w14:ligatures w14:val="standardContextual"/>
        </w:rPr>
        <w:t xml:space="preserve">These challenges will be further compounded if expectations around improved data collection, evaluation, and monitoring are increased without commensurate investment in workforce capacity. Any new outcome or accountability framework must be designed with </w:t>
      </w:r>
      <w:r w:rsidRPr="00E560CD">
        <w:rPr>
          <w:rFonts w:ascii="Arial" w:eastAsiaTheme="minorHAnsi" w:hAnsi="Arial" w:cs="Arial"/>
          <w:kern w:val="2"/>
          <w:sz w:val="22"/>
          <w:szCs w:val="22"/>
          <w:lang w:val="en-AU" w:eastAsia="en-US"/>
          <w14:ligatures w14:val="standardContextual"/>
        </w:rPr>
        <w:lastRenderedPageBreak/>
        <w:t>implementation realism in mind - recognising the current strain on services and ensuring providers are adequately supported to meet these expectations.</w:t>
      </w:r>
    </w:p>
    <w:p w14:paraId="100B2686" w14:textId="77777777" w:rsidR="004C2116" w:rsidRPr="00371157" w:rsidRDefault="004C2116" w:rsidP="00371157">
      <w:pPr>
        <w:snapToGrid w:val="0"/>
        <w:spacing w:after="120" w:line="240" w:lineRule="auto"/>
        <w:rPr>
          <w:rFonts w:ascii="Arial" w:hAnsi="Arial" w:cs="Arial"/>
          <w:b/>
          <w:bCs/>
          <w:color w:val="5FC1C5"/>
        </w:rPr>
      </w:pPr>
      <w:r w:rsidRPr="00371157">
        <w:rPr>
          <w:rFonts w:ascii="Arial" w:hAnsi="Arial" w:cs="Arial"/>
          <w:b/>
          <w:bCs/>
          <w:color w:val="5FC1C5"/>
        </w:rPr>
        <w:t>A Whole-of-Government Approach</w:t>
      </w:r>
    </w:p>
    <w:p w14:paraId="16D1AB37" w14:textId="147A076C" w:rsidR="004C2116" w:rsidRPr="001B71CB" w:rsidRDefault="004C2116" w:rsidP="00524E7E">
      <w:pPr>
        <w:snapToGrid w:val="0"/>
        <w:spacing w:after="120" w:line="360" w:lineRule="auto"/>
        <w:rPr>
          <w:rFonts w:ascii="Arial" w:hAnsi="Arial" w:cs="Arial"/>
          <w:sz w:val="22"/>
          <w:szCs w:val="22"/>
        </w:rPr>
      </w:pPr>
      <w:r w:rsidRPr="001B71CB">
        <w:rPr>
          <w:rFonts w:ascii="Arial" w:hAnsi="Arial" w:cs="Arial"/>
          <w:sz w:val="22"/>
          <w:szCs w:val="22"/>
        </w:rPr>
        <w:t xml:space="preserve">We support the Commission’s emphasis on addressing social determinants of mental health. Issues such as housing, employment, income security, and justice system interactions are inseparable from mental health outcomes. </w:t>
      </w:r>
      <w:r w:rsidR="004D2F3B">
        <w:rPr>
          <w:rFonts w:ascii="Arial" w:hAnsi="Arial" w:cs="Arial"/>
          <w:sz w:val="22"/>
          <w:szCs w:val="22"/>
        </w:rPr>
        <w:t xml:space="preserve">CMHA supports the recommendation for Prime Minister and Cabinet to convene the next Agreement.  </w:t>
      </w:r>
      <w:r w:rsidR="00557051">
        <w:rPr>
          <w:rFonts w:ascii="Arial" w:hAnsi="Arial" w:cs="Arial"/>
          <w:sz w:val="22"/>
          <w:szCs w:val="22"/>
        </w:rPr>
        <w:t>The</w:t>
      </w:r>
      <w:r w:rsidRPr="001B71CB">
        <w:rPr>
          <w:rFonts w:ascii="Arial" w:hAnsi="Arial" w:cs="Arial"/>
          <w:sz w:val="22"/>
          <w:szCs w:val="22"/>
        </w:rPr>
        <w:t xml:space="preserve"> future Agreement must:</w:t>
      </w:r>
    </w:p>
    <w:p w14:paraId="5761358E" w14:textId="306D2DFB" w:rsidR="004C2116" w:rsidRPr="001B71CB" w:rsidRDefault="004C2116" w:rsidP="00524E7E">
      <w:pPr>
        <w:pStyle w:val="ListParagraph"/>
        <w:numPr>
          <w:ilvl w:val="0"/>
          <w:numId w:val="9"/>
        </w:numPr>
        <w:snapToGrid w:val="0"/>
        <w:spacing w:after="120" w:line="360" w:lineRule="auto"/>
        <w:rPr>
          <w:rFonts w:ascii="Arial" w:hAnsi="Arial" w:cs="Arial"/>
          <w:sz w:val="22"/>
          <w:szCs w:val="22"/>
        </w:rPr>
      </w:pPr>
      <w:r w:rsidRPr="001B71CB">
        <w:rPr>
          <w:rFonts w:ascii="Arial" w:hAnsi="Arial" w:cs="Arial"/>
          <w:sz w:val="22"/>
          <w:szCs w:val="22"/>
        </w:rPr>
        <w:t>Explicitly integrate actions on social determinants</w:t>
      </w:r>
      <w:r w:rsidR="00905FBA">
        <w:rPr>
          <w:rFonts w:ascii="Arial" w:hAnsi="Arial" w:cs="Arial"/>
          <w:sz w:val="22"/>
          <w:szCs w:val="22"/>
        </w:rPr>
        <w:t xml:space="preserve">, including </w:t>
      </w:r>
      <w:r w:rsidR="008002BA">
        <w:rPr>
          <w:rFonts w:ascii="Arial" w:hAnsi="Arial" w:cs="Arial"/>
          <w:sz w:val="22"/>
          <w:szCs w:val="22"/>
        </w:rPr>
        <w:t xml:space="preserve">incorporation of </w:t>
      </w:r>
      <w:proofErr w:type="gramStart"/>
      <w:r w:rsidR="008002BA">
        <w:rPr>
          <w:rFonts w:ascii="Arial" w:hAnsi="Arial" w:cs="Arial"/>
          <w:sz w:val="22"/>
          <w:szCs w:val="22"/>
        </w:rPr>
        <w:t xml:space="preserve">the </w:t>
      </w:r>
      <w:r w:rsidR="00905FBA">
        <w:rPr>
          <w:rFonts w:ascii="Arial" w:hAnsi="Arial" w:cs="Arial"/>
          <w:sz w:val="22"/>
          <w:szCs w:val="22"/>
        </w:rPr>
        <w:t xml:space="preserve"> Productivity</w:t>
      </w:r>
      <w:proofErr w:type="gramEnd"/>
      <w:r w:rsidR="00905FBA">
        <w:rPr>
          <w:rFonts w:ascii="Arial" w:hAnsi="Arial" w:cs="Arial"/>
          <w:sz w:val="22"/>
          <w:szCs w:val="22"/>
        </w:rPr>
        <w:t xml:space="preserve"> Roundtable</w:t>
      </w:r>
      <w:r w:rsidR="008002BA">
        <w:rPr>
          <w:rFonts w:ascii="Arial" w:hAnsi="Arial" w:cs="Arial"/>
          <w:sz w:val="22"/>
          <w:szCs w:val="22"/>
        </w:rPr>
        <w:t>s and the 5 pillars</w:t>
      </w:r>
      <w:r w:rsidR="00B01900">
        <w:rPr>
          <w:rFonts w:ascii="Arial" w:hAnsi="Arial" w:cs="Arial"/>
          <w:sz w:val="22"/>
          <w:szCs w:val="22"/>
        </w:rPr>
        <w:t xml:space="preserve"> of productivity inquiry</w:t>
      </w:r>
      <w:r w:rsidRPr="001B71CB">
        <w:rPr>
          <w:rFonts w:ascii="Arial" w:hAnsi="Arial" w:cs="Arial"/>
          <w:sz w:val="22"/>
          <w:szCs w:val="22"/>
        </w:rPr>
        <w:t>.</w:t>
      </w:r>
    </w:p>
    <w:p w14:paraId="7466640A" w14:textId="77777777" w:rsidR="004C2116" w:rsidRPr="001B71CB" w:rsidRDefault="004C2116" w:rsidP="00524E7E">
      <w:pPr>
        <w:pStyle w:val="ListParagraph"/>
        <w:numPr>
          <w:ilvl w:val="0"/>
          <w:numId w:val="9"/>
        </w:numPr>
        <w:snapToGrid w:val="0"/>
        <w:spacing w:after="120" w:line="360" w:lineRule="auto"/>
        <w:rPr>
          <w:rFonts w:ascii="Arial" w:hAnsi="Arial" w:cs="Arial"/>
          <w:sz w:val="22"/>
          <w:szCs w:val="22"/>
        </w:rPr>
      </w:pPr>
      <w:r w:rsidRPr="001B71CB">
        <w:rPr>
          <w:rFonts w:ascii="Arial" w:hAnsi="Arial" w:cs="Arial"/>
          <w:sz w:val="22"/>
          <w:szCs w:val="22"/>
        </w:rPr>
        <w:t>Establish mechanisms to coordinate across health, housing, social services, and justice portfolios.</w:t>
      </w:r>
    </w:p>
    <w:p w14:paraId="2CDA1DA1" w14:textId="77777777" w:rsidR="004C2116" w:rsidRDefault="004C2116" w:rsidP="00524E7E">
      <w:pPr>
        <w:pStyle w:val="ListParagraph"/>
        <w:numPr>
          <w:ilvl w:val="0"/>
          <w:numId w:val="9"/>
        </w:numPr>
        <w:snapToGrid w:val="0"/>
        <w:spacing w:after="120" w:line="360" w:lineRule="auto"/>
        <w:rPr>
          <w:rFonts w:ascii="Arial" w:hAnsi="Arial" w:cs="Arial"/>
          <w:sz w:val="22"/>
          <w:szCs w:val="22"/>
        </w:rPr>
      </w:pPr>
      <w:r w:rsidRPr="001B71CB">
        <w:rPr>
          <w:rFonts w:ascii="Arial" w:hAnsi="Arial" w:cs="Arial"/>
          <w:sz w:val="22"/>
          <w:szCs w:val="22"/>
        </w:rPr>
        <w:t>Invest in prevention and early intervention to reduce demand on acute services.</w:t>
      </w:r>
    </w:p>
    <w:p w14:paraId="06610CBF" w14:textId="52C7429F" w:rsidR="00D82065" w:rsidRPr="001B71CB" w:rsidRDefault="00D82065" w:rsidP="00524E7E">
      <w:pPr>
        <w:pStyle w:val="ListParagraph"/>
        <w:numPr>
          <w:ilvl w:val="0"/>
          <w:numId w:val="9"/>
        </w:numPr>
        <w:snapToGrid w:val="0"/>
        <w:spacing w:after="120" w:line="360" w:lineRule="auto"/>
        <w:rPr>
          <w:rFonts w:ascii="Arial" w:hAnsi="Arial" w:cs="Arial"/>
          <w:sz w:val="22"/>
          <w:szCs w:val="22"/>
        </w:rPr>
      </w:pPr>
      <w:r w:rsidRPr="00E560CD">
        <w:rPr>
          <w:rFonts w:ascii="Arial" w:hAnsi="Arial" w:cs="Arial"/>
          <w:sz w:val="22"/>
          <w:szCs w:val="22"/>
        </w:rPr>
        <w:t xml:space="preserve">Prioritise </w:t>
      </w:r>
      <w:r>
        <w:rPr>
          <w:rFonts w:ascii="Arial" w:hAnsi="Arial" w:cs="Arial"/>
          <w:sz w:val="22"/>
          <w:szCs w:val="22"/>
        </w:rPr>
        <w:t xml:space="preserve">the development and use of </w:t>
      </w:r>
      <w:r w:rsidRPr="00E560CD">
        <w:rPr>
          <w:rFonts w:ascii="Arial" w:hAnsi="Arial" w:cs="Arial"/>
          <w:sz w:val="22"/>
          <w:szCs w:val="22"/>
        </w:rPr>
        <w:t>integrated data systems that enable linkage across sectors (e.g. mental health, housing, justice), to support person-centred care, improve service planning, and allow for system-wide impact evaluation.</w:t>
      </w:r>
    </w:p>
    <w:p w14:paraId="56B29AA9" w14:textId="04F18DF2" w:rsidR="004C2116" w:rsidRPr="00B01900" w:rsidRDefault="004C2116" w:rsidP="00524E7E">
      <w:pPr>
        <w:snapToGrid w:val="0"/>
        <w:spacing w:after="120" w:line="360" w:lineRule="auto"/>
        <w:rPr>
          <w:rFonts w:ascii="Arial" w:hAnsi="Arial" w:cs="Arial"/>
          <w:b/>
          <w:bCs/>
          <w:color w:val="5FC1C5"/>
        </w:rPr>
      </w:pPr>
      <w:r w:rsidRPr="00B01900">
        <w:rPr>
          <w:rFonts w:ascii="Arial" w:hAnsi="Arial" w:cs="Arial"/>
          <w:b/>
          <w:bCs/>
          <w:color w:val="5FC1C5"/>
        </w:rPr>
        <w:t>Improving Regional Planning and Commissioning</w:t>
      </w:r>
    </w:p>
    <w:p w14:paraId="1CE42801" w14:textId="77777777" w:rsidR="004C2116" w:rsidRPr="00E560CD" w:rsidRDefault="004C2116" w:rsidP="00524E7E">
      <w:pPr>
        <w:snapToGrid w:val="0"/>
        <w:spacing w:after="120" w:line="360" w:lineRule="auto"/>
        <w:rPr>
          <w:rFonts w:ascii="Arial" w:hAnsi="Arial" w:cs="Arial"/>
          <w:sz w:val="22"/>
          <w:szCs w:val="22"/>
        </w:rPr>
      </w:pPr>
      <w:r w:rsidRPr="00E560CD">
        <w:rPr>
          <w:rFonts w:ascii="Arial" w:hAnsi="Arial" w:cs="Arial"/>
          <w:sz w:val="22"/>
          <w:szCs w:val="22"/>
        </w:rPr>
        <w:t>We echo concerns about inconsistencies and inefficiencies in regional planning and commissioning, particularly through Primary Health Networks (PHNs). CMHA calls for:</w:t>
      </w:r>
    </w:p>
    <w:p w14:paraId="4FF2C431" w14:textId="77777777" w:rsidR="004C2116" w:rsidRPr="001B71CB" w:rsidRDefault="004C2116" w:rsidP="00524E7E">
      <w:pPr>
        <w:pStyle w:val="ListParagraph"/>
        <w:numPr>
          <w:ilvl w:val="0"/>
          <w:numId w:val="9"/>
        </w:numPr>
        <w:snapToGrid w:val="0"/>
        <w:spacing w:after="120" w:line="360" w:lineRule="auto"/>
        <w:rPr>
          <w:rFonts w:ascii="Arial" w:hAnsi="Arial" w:cs="Arial"/>
          <w:sz w:val="22"/>
          <w:szCs w:val="22"/>
        </w:rPr>
      </w:pPr>
      <w:r w:rsidRPr="001B71CB">
        <w:rPr>
          <w:rFonts w:ascii="Arial" w:hAnsi="Arial" w:cs="Arial"/>
          <w:sz w:val="22"/>
          <w:szCs w:val="22"/>
        </w:rPr>
        <w:t>National guidelines to ensure equitable, needs-based regional service planning.</w:t>
      </w:r>
    </w:p>
    <w:p w14:paraId="2C2560DB" w14:textId="77777777" w:rsidR="004C2116" w:rsidRDefault="004C2116" w:rsidP="001B71CB">
      <w:pPr>
        <w:pStyle w:val="ListParagraph"/>
        <w:numPr>
          <w:ilvl w:val="0"/>
          <w:numId w:val="9"/>
        </w:numPr>
        <w:snapToGrid w:val="0"/>
        <w:spacing w:after="120" w:line="240" w:lineRule="auto"/>
        <w:rPr>
          <w:rFonts w:ascii="Arial" w:hAnsi="Arial" w:cs="Arial"/>
          <w:sz w:val="22"/>
          <w:szCs w:val="22"/>
        </w:rPr>
      </w:pPr>
      <w:r w:rsidRPr="001B71CB">
        <w:rPr>
          <w:rFonts w:ascii="Arial" w:hAnsi="Arial" w:cs="Arial"/>
          <w:sz w:val="22"/>
          <w:szCs w:val="22"/>
        </w:rPr>
        <w:t>Greater flexibility for local co-design, allowing communities to tailor services to their unique needs.</w:t>
      </w:r>
    </w:p>
    <w:p w14:paraId="59F9A91D" w14:textId="57A8C597" w:rsidR="00D82065" w:rsidRPr="001B71CB" w:rsidRDefault="00D82065" w:rsidP="006836F1">
      <w:pPr>
        <w:pStyle w:val="ListParagraph"/>
        <w:numPr>
          <w:ilvl w:val="0"/>
          <w:numId w:val="9"/>
        </w:numPr>
        <w:snapToGrid w:val="0"/>
        <w:spacing w:after="120" w:line="360" w:lineRule="auto"/>
        <w:rPr>
          <w:rFonts w:ascii="Arial" w:hAnsi="Arial" w:cs="Arial"/>
          <w:sz w:val="22"/>
          <w:szCs w:val="22"/>
        </w:rPr>
      </w:pPr>
      <w:r w:rsidRPr="00E560CD">
        <w:rPr>
          <w:rFonts w:ascii="Arial" w:hAnsi="Arial" w:cs="Arial"/>
          <w:sz w:val="22"/>
          <w:szCs w:val="22"/>
        </w:rPr>
        <w:t>Data-informed commissioning that uses both national indicators and local</w:t>
      </w:r>
      <w:r>
        <w:rPr>
          <w:rFonts w:ascii="Arial" w:hAnsi="Arial" w:cs="Arial"/>
          <w:sz w:val="22"/>
          <w:szCs w:val="22"/>
        </w:rPr>
        <w:t>ly gathered data and insights</w:t>
      </w:r>
      <w:r w:rsidRPr="00E560CD">
        <w:rPr>
          <w:rFonts w:ascii="Arial" w:hAnsi="Arial" w:cs="Arial"/>
          <w:sz w:val="22"/>
          <w:szCs w:val="22"/>
        </w:rPr>
        <w:t>.</w:t>
      </w:r>
    </w:p>
    <w:p w14:paraId="2222A72E" w14:textId="77777777" w:rsidR="004C2116" w:rsidRPr="001B71CB" w:rsidRDefault="004C2116" w:rsidP="006836F1">
      <w:pPr>
        <w:pStyle w:val="ListParagraph"/>
        <w:numPr>
          <w:ilvl w:val="0"/>
          <w:numId w:val="9"/>
        </w:numPr>
        <w:snapToGrid w:val="0"/>
        <w:spacing w:after="120" w:line="360" w:lineRule="auto"/>
        <w:rPr>
          <w:rFonts w:ascii="Arial" w:hAnsi="Arial" w:cs="Arial"/>
          <w:sz w:val="22"/>
          <w:szCs w:val="22"/>
        </w:rPr>
      </w:pPr>
      <w:r w:rsidRPr="001B71CB">
        <w:rPr>
          <w:rFonts w:ascii="Arial" w:hAnsi="Arial" w:cs="Arial"/>
          <w:sz w:val="22"/>
          <w:szCs w:val="22"/>
        </w:rPr>
        <w:t>Avoiding duplication and competition between state and Commonwealth-funded services, instead fostering genuine collaboration.</w:t>
      </w:r>
    </w:p>
    <w:p w14:paraId="562E0F81" w14:textId="77777777" w:rsidR="004C2116" w:rsidRPr="00371157" w:rsidRDefault="004C2116" w:rsidP="00371157">
      <w:pPr>
        <w:snapToGrid w:val="0"/>
        <w:spacing w:after="120" w:line="240" w:lineRule="auto"/>
        <w:rPr>
          <w:rFonts w:ascii="Arial" w:hAnsi="Arial" w:cs="Arial"/>
          <w:b/>
          <w:bCs/>
          <w:color w:val="5FC1C5"/>
        </w:rPr>
      </w:pPr>
      <w:r w:rsidRPr="00371157">
        <w:rPr>
          <w:rFonts w:ascii="Arial" w:hAnsi="Arial" w:cs="Arial"/>
          <w:b/>
          <w:bCs/>
          <w:color w:val="5FC1C5"/>
        </w:rPr>
        <w:t>Commitment to Aboriginal and Torres Strait Islander Social and Emotional Wellbeing</w:t>
      </w:r>
    </w:p>
    <w:p w14:paraId="4015A899" w14:textId="77777777" w:rsidR="004C2116" w:rsidRDefault="004C2116" w:rsidP="006836F1">
      <w:pPr>
        <w:snapToGrid w:val="0"/>
        <w:spacing w:after="120" w:line="360" w:lineRule="auto"/>
        <w:rPr>
          <w:rFonts w:ascii="Arial" w:hAnsi="Arial" w:cs="Arial"/>
          <w:sz w:val="22"/>
          <w:szCs w:val="22"/>
        </w:rPr>
      </w:pPr>
      <w:r w:rsidRPr="001B71CB">
        <w:rPr>
          <w:rFonts w:ascii="Arial" w:hAnsi="Arial" w:cs="Arial"/>
          <w:sz w:val="22"/>
          <w:szCs w:val="22"/>
        </w:rPr>
        <w:t>CMHA strongly supports the recommendation to establish a new schedule focused on Aboriginal and Torres Strait Islander social and emotional wellbeing, aligned with the National Agreement on Closing the Gap. This must be led by Aboriginal and Torres Strait Islander communities and organisations, respecting self-determination and cultural knowledge.</w:t>
      </w:r>
    </w:p>
    <w:p w14:paraId="630B36B2" w14:textId="45FA189F" w:rsidR="00D82065" w:rsidRPr="00502B8B" w:rsidRDefault="00D82065" w:rsidP="006836F1">
      <w:pPr>
        <w:pStyle w:val="NormalWeb"/>
        <w:spacing w:line="360" w:lineRule="auto"/>
        <w:rPr>
          <w:rFonts w:ascii="Arial" w:eastAsiaTheme="minorHAnsi" w:hAnsi="Arial" w:cs="Arial"/>
          <w:kern w:val="2"/>
          <w:sz w:val="22"/>
          <w:szCs w:val="22"/>
          <w:lang w:val="en-AU" w:eastAsia="en-US"/>
          <w14:ligatures w14:val="standardContextual"/>
        </w:rPr>
      </w:pPr>
      <w:r w:rsidRPr="00502B8B">
        <w:rPr>
          <w:rFonts w:ascii="Arial" w:eastAsiaTheme="minorHAnsi" w:hAnsi="Arial" w:cs="Arial"/>
          <w:kern w:val="2"/>
          <w:sz w:val="22"/>
          <w:szCs w:val="22"/>
          <w:lang w:val="en-AU" w:eastAsia="en-US"/>
          <w14:ligatures w14:val="standardContextual"/>
        </w:rPr>
        <w:t xml:space="preserve">We are deeply concerned that suicide rates among Aboriginal and Torres Strait Islander peoples have worsened in recent years - a stark indicator of the failure to deliver appropriate </w:t>
      </w:r>
      <w:r w:rsidRPr="00502B8B">
        <w:rPr>
          <w:rFonts w:ascii="Arial" w:eastAsiaTheme="minorHAnsi" w:hAnsi="Arial" w:cs="Arial"/>
          <w:kern w:val="2"/>
          <w:sz w:val="22"/>
          <w:szCs w:val="22"/>
          <w:lang w:val="en-AU" w:eastAsia="en-US"/>
          <w14:ligatures w14:val="standardContextual"/>
        </w:rPr>
        <w:lastRenderedPageBreak/>
        <w:t>and effective support. This highlights the urgent need for investment in culturally safe, community-led models and the establishment of robust data collection and evaluation strategies that are strengths-based, disaggregated, and community-controlled.</w:t>
      </w:r>
    </w:p>
    <w:p w14:paraId="356CEEE8" w14:textId="156A2956" w:rsidR="00D82065" w:rsidRPr="00D82065" w:rsidRDefault="00D82065" w:rsidP="006836F1">
      <w:pPr>
        <w:pStyle w:val="NormalWeb"/>
        <w:spacing w:line="360" w:lineRule="auto"/>
        <w:rPr>
          <w:rFonts w:ascii="Arial" w:hAnsi="Arial" w:cs="Arial"/>
          <w:sz w:val="22"/>
          <w:szCs w:val="22"/>
        </w:rPr>
      </w:pPr>
      <w:r w:rsidRPr="00502B8B">
        <w:rPr>
          <w:rFonts w:ascii="Arial" w:eastAsiaTheme="minorHAnsi" w:hAnsi="Arial" w:cs="Arial"/>
          <w:kern w:val="2"/>
          <w:sz w:val="22"/>
          <w:szCs w:val="22"/>
          <w:lang w:val="en-AU" w:eastAsia="en-US"/>
          <w14:ligatures w14:val="standardContextual"/>
        </w:rPr>
        <w:t>The new schedule must include clear, measurable outcomes co-developed with Aboriginal and Torres Strait Islander leaders, supported by transparent reporting and accountability mechanisms.</w:t>
      </w:r>
    </w:p>
    <w:p w14:paraId="65F66EDE" w14:textId="45A51065" w:rsidR="00905FBA" w:rsidRPr="00371157" w:rsidRDefault="008254DD" w:rsidP="006836F1">
      <w:pPr>
        <w:snapToGrid w:val="0"/>
        <w:spacing w:after="120" w:line="360" w:lineRule="auto"/>
        <w:rPr>
          <w:rFonts w:ascii="Arial" w:hAnsi="Arial" w:cs="Arial"/>
          <w:b/>
          <w:bCs/>
          <w:color w:val="5FC1C5"/>
        </w:rPr>
      </w:pPr>
      <w:r w:rsidRPr="00371157">
        <w:rPr>
          <w:rFonts w:ascii="Arial" w:hAnsi="Arial" w:cs="Arial"/>
          <w:b/>
          <w:bCs/>
          <w:color w:val="5FC1C5"/>
        </w:rPr>
        <w:t>Laying the Foundations for Successful Outcomes-Based Reform</w:t>
      </w:r>
    </w:p>
    <w:p w14:paraId="2E728E8B" w14:textId="3B73D9F7" w:rsidR="008254DD" w:rsidRPr="00502B8B" w:rsidRDefault="004F5B9B" w:rsidP="006836F1">
      <w:pPr>
        <w:pStyle w:val="NormalWeb"/>
        <w:spacing w:line="360" w:lineRule="auto"/>
        <w:rPr>
          <w:rFonts w:ascii="Arial" w:eastAsiaTheme="minorHAnsi" w:hAnsi="Arial" w:cs="Arial"/>
          <w:kern w:val="2"/>
          <w:sz w:val="22"/>
          <w:szCs w:val="22"/>
          <w:lang w:val="en-AU" w:eastAsia="en-US"/>
          <w14:ligatures w14:val="standardContextual"/>
        </w:rPr>
      </w:pPr>
      <w:r>
        <w:rPr>
          <w:rFonts w:ascii="Arial" w:eastAsiaTheme="minorHAnsi" w:hAnsi="Arial" w:cs="Arial"/>
          <w:kern w:val="2"/>
          <w:sz w:val="22"/>
          <w:szCs w:val="22"/>
          <w:lang w:val="en-AU" w:eastAsia="en-US"/>
          <w14:ligatures w14:val="standardContextual"/>
        </w:rPr>
        <w:t xml:space="preserve">As emphasised throughout our submission, </w:t>
      </w:r>
      <w:r w:rsidR="008254DD">
        <w:rPr>
          <w:rFonts w:ascii="Arial" w:eastAsiaTheme="minorHAnsi" w:hAnsi="Arial" w:cs="Arial"/>
          <w:kern w:val="2"/>
          <w:sz w:val="22"/>
          <w:szCs w:val="22"/>
          <w:lang w:val="en-AU" w:eastAsia="en-US"/>
          <w14:ligatures w14:val="standardContextual"/>
        </w:rPr>
        <w:t xml:space="preserve">CMHA </w:t>
      </w:r>
      <w:r w:rsidR="008254DD" w:rsidRPr="00502B8B">
        <w:rPr>
          <w:rFonts w:ascii="Arial" w:eastAsiaTheme="minorHAnsi" w:hAnsi="Arial" w:cs="Arial"/>
          <w:kern w:val="2"/>
          <w:sz w:val="22"/>
          <w:szCs w:val="22"/>
          <w:lang w:val="en-AU" w:eastAsia="en-US"/>
          <w14:ligatures w14:val="standardContextual"/>
        </w:rPr>
        <w:t>welcome</w:t>
      </w:r>
      <w:r w:rsidR="008254DD">
        <w:rPr>
          <w:rFonts w:ascii="Arial" w:eastAsiaTheme="minorHAnsi" w:hAnsi="Arial" w:cs="Arial"/>
          <w:kern w:val="2"/>
          <w:sz w:val="22"/>
          <w:szCs w:val="22"/>
          <w:lang w:val="en-AU" w:eastAsia="en-US"/>
          <w14:ligatures w14:val="standardContextual"/>
        </w:rPr>
        <w:t>s</w:t>
      </w:r>
      <w:r w:rsidR="008254DD" w:rsidRPr="00502B8B">
        <w:rPr>
          <w:rFonts w:ascii="Arial" w:eastAsiaTheme="minorHAnsi" w:hAnsi="Arial" w:cs="Arial"/>
          <w:kern w:val="2"/>
          <w:sz w:val="22"/>
          <w:szCs w:val="22"/>
          <w:lang w:val="en-AU" w:eastAsia="en-US"/>
          <w14:ligatures w14:val="standardContextual"/>
        </w:rPr>
        <w:t xml:space="preserve"> the Commission’s recommendation to strengthen the focus on outcomes </w:t>
      </w:r>
      <w:r w:rsidR="008254DD">
        <w:rPr>
          <w:rFonts w:ascii="Arial" w:eastAsiaTheme="minorHAnsi" w:hAnsi="Arial" w:cs="Arial"/>
          <w:kern w:val="2"/>
          <w:sz w:val="22"/>
          <w:szCs w:val="22"/>
          <w:lang w:val="en-AU" w:eastAsia="en-US"/>
          <w14:ligatures w14:val="standardContextual"/>
        </w:rPr>
        <w:t>but note</w:t>
      </w:r>
      <w:r w:rsidR="008254DD" w:rsidRPr="00502B8B">
        <w:rPr>
          <w:rFonts w:ascii="Arial" w:eastAsiaTheme="minorHAnsi" w:hAnsi="Arial" w:cs="Arial"/>
          <w:kern w:val="2"/>
          <w:sz w:val="22"/>
          <w:szCs w:val="22"/>
          <w:lang w:val="en-AU" w:eastAsia="en-US"/>
          <w14:ligatures w14:val="standardContextual"/>
        </w:rPr>
        <w:t xml:space="preserve"> that this shift will fail without foundational investment in data infrastructure, evaluation capability, and national measurement leadership.</w:t>
      </w:r>
    </w:p>
    <w:p w14:paraId="7BD34588" w14:textId="77777777" w:rsidR="008254DD" w:rsidRPr="00502B8B" w:rsidRDefault="008254DD" w:rsidP="006836F1">
      <w:pPr>
        <w:pStyle w:val="NormalWeb"/>
        <w:spacing w:line="360" w:lineRule="auto"/>
        <w:rPr>
          <w:rFonts w:ascii="Arial" w:eastAsiaTheme="minorHAnsi" w:hAnsi="Arial" w:cs="Arial"/>
          <w:kern w:val="2"/>
          <w:sz w:val="22"/>
          <w:szCs w:val="22"/>
          <w:lang w:val="en-AU" w:eastAsia="en-US"/>
          <w14:ligatures w14:val="standardContextual"/>
        </w:rPr>
      </w:pPr>
      <w:r w:rsidRPr="00502B8B">
        <w:rPr>
          <w:rFonts w:ascii="Arial" w:eastAsiaTheme="minorHAnsi" w:hAnsi="Arial" w:cs="Arial"/>
          <w:kern w:val="2"/>
          <w:sz w:val="22"/>
          <w:szCs w:val="22"/>
          <w:lang w:val="en-AU" w:eastAsia="en-US"/>
          <w14:ligatures w14:val="standardContextual"/>
        </w:rPr>
        <w:t>The current Agreement’s outcomes were broad, undefined, and often unmeasurable. Progress reporting relied heavily on jurisdictional self-assessment, with no independent validation or credible monitoring framework. Where data did exist, it was often outdated, inconsistently reported, or lacked relevance to real-world outcomes.</w:t>
      </w:r>
    </w:p>
    <w:p w14:paraId="731F66D8" w14:textId="77777777" w:rsidR="008254DD" w:rsidRPr="00502B8B" w:rsidRDefault="008254DD" w:rsidP="006836F1">
      <w:pPr>
        <w:pStyle w:val="NormalWeb"/>
        <w:spacing w:line="360" w:lineRule="auto"/>
        <w:rPr>
          <w:rFonts w:ascii="Arial" w:eastAsiaTheme="minorHAnsi" w:hAnsi="Arial" w:cs="Arial"/>
          <w:kern w:val="2"/>
          <w:sz w:val="22"/>
          <w:szCs w:val="22"/>
          <w:lang w:val="en-AU" w:eastAsia="en-US"/>
          <w14:ligatures w14:val="standardContextual"/>
        </w:rPr>
      </w:pPr>
      <w:r w:rsidRPr="00502B8B">
        <w:rPr>
          <w:rFonts w:ascii="Arial" w:eastAsiaTheme="minorHAnsi" w:hAnsi="Arial" w:cs="Arial"/>
          <w:kern w:val="2"/>
          <w:sz w:val="22"/>
          <w:szCs w:val="22"/>
          <w:lang w:val="en-AU" w:eastAsia="en-US"/>
          <w14:ligatures w14:val="standardContextual"/>
        </w:rPr>
        <w:t>Future agreements must go further by:</w:t>
      </w:r>
    </w:p>
    <w:p w14:paraId="16B950CD" w14:textId="6ADBE911" w:rsidR="008254DD" w:rsidRPr="00502B8B" w:rsidRDefault="008254DD" w:rsidP="006836F1">
      <w:pPr>
        <w:pStyle w:val="NormalWeb"/>
        <w:numPr>
          <w:ilvl w:val="0"/>
          <w:numId w:val="14"/>
        </w:numPr>
        <w:spacing w:line="360" w:lineRule="auto"/>
        <w:rPr>
          <w:rFonts w:ascii="Arial" w:eastAsiaTheme="minorHAnsi" w:hAnsi="Arial" w:cs="Arial"/>
          <w:kern w:val="2"/>
          <w:sz w:val="22"/>
          <w:szCs w:val="22"/>
          <w:lang w:val="en-AU" w:eastAsia="en-US"/>
          <w14:ligatures w14:val="standardContextual"/>
        </w:rPr>
      </w:pPr>
      <w:r w:rsidRPr="00502B8B">
        <w:rPr>
          <w:rFonts w:ascii="Arial" w:eastAsiaTheme="minorHAnsi" w:hAnsi="Arial" w:cs="Arial"/>
          <w:kern w:val="2"/>
          <w:sz w:val="22"/>
          <w:szCs w:val="22"/>
          <w:lang w:val="en-AU" w:eastAsia="en-US"/>
          <w14:ligatures w14:val="standardContextual"/>
        </w:rPr>
        <w:t xml:space="preserve">Clarifying what outcomes matter most </w:t>
      </w:r>
      <w:r w:rsidRPr="008254DD">
        <w:rPr>
          <w:rFonts w:ascii="Arial" w:eastAsiaTheme="minorHAnsi" w:hAnsi="Arial" w:cs="Arial"/>
          <w:kern w:val="2"/>
          <w:sz w:val="22"/>
          <w:szCs w:val="22"/>
          <w:lang w:val="en-AU" w:eastAsia="en-US"/>
          <w14:ligatures w14:val="standardContextual"/>
        </w:rPr>
        <w:t>-</w:t>
      </w:r>
      <w:r w:rsidRPr="00502B8B">
        <w:rPr>
          <w:rFonts w:ascii="Arial" w:eastAsiaTheme="minorHAnsi" w:hAnsi="Arial" w:cs="Arial"/>
          <w:kern w:val="2"/>
          <w:sz w:val="22"/>
          <w:szCs w:val="22"/>
          <w:lang w:val="en-AU" w:eastAsia="en-US"/>
          <w14:ligatures w14:val="standardContextual"/>
        </w:rPr>
        <w:t xml:space="preserve"> including for whom, over what timeframe, and what level of change is considered meaningful.</w:t>
      </w:r>
    </w:p>
    <w:p w14:paraId="5E5D8457" w14:textId="77777777" w:rsidR="008254DD" w:rsidRPr="00502B8B" w:rsidRDefault="008254DD" w:rsidP="006836F1">
      <w:pPr>
        <w:pStyle w:val="NormalWeb"/>
        <w:numPr>
          <w:ilvl w:val="0"/>
          <w:numId w:val="14"/>
        </w:numPr>
        <w:spacing w:line="360" w:lineRule="auto"/>
        <w:rPr>
          <w:rFonts w:ascii="Arial" w:eastAsiaTheme="minorHAnsi" w:hAnsi="Arial" w:cs="Arial"/>
          <w:kern w:val="2"/>
          <w:sz w:val="22"/>
          <w:szCs w:val="22"/>
          <w:lang w:val="en-AU" w:eastAsia="en-US"/>
          <w14:ligatures w14:val="standardContextual"/>
        </w:rPr>
      </w:pPr>
      <w:r w:rsidRPr="00502B8B">
        <w:rPr>
          <w:rFonts w:ascii="Arial" w:eastAsiaTheme="minorHAnsi" w:hAnsi="Arial" w:cs="Arial"/>
          <w:kern w:val="2"/>
          <w:sz w:val="22"/>
          <w:szCs w:val="22"/>
          <w:lang w:val="en-AU" w:eastAsia="en-US"/>
          <w14:ligatures w14:val="standardContextual"/>
        </w:rPr>
        <w:t>Aligning activities to outcomes through measurable logic models and co-designed theories of change.</w:t>
      </w:r>
    </w:p>
    <w:p w14:paraId="44AADC77" w14:textId="3F05B770" w:rsidR="008254DD" w:rsidRPr="00502B8B" w:rsidRDefault="004F5B9B" w:rsidP="006836F1">
      <w:pPr>
        <w:pStyle w:val="NormalWeb"/>
        <w:numPr>
          <w:ilvl w:val="0"/>
          <w:numId w:val="14"/>
        </w:numPr>
        <w:spacing w:line="360" w:lineRule="auto"/>
        <w:rPr>
          <w:rFonts w:ascii="Arial" w:eastAsiaTheme="minorHAnsi" w:hAnsi="Arial" w:cs="Arial"/>
          <w:kern w:val="2"/>
          <w:sz w:val="22"/>
          <w:szCs w:val="22"/>
          <w:lang w:val="en-AU" w:eastAsia="en-US"/>
          <w14:ligatures w14:val="standardContextual"/>
        </w:rPr>
      </w:pPr>
      <w:r>
        <w:rPr>
          <w:rFonts w:ascii="Arial" w:eastAsiaTheme="minorHAnsi" w:hAnsi="Arial" w:cs="Arial"/>
          <w:kern w:val="2"/>
          <w:sz w:val="22"/>
          <w:szCs w:val="22"/>
          <w:lang w:val="en-AU" w:eastAsia="en-US"/>
          <w14:ligatures w14:val="standardContextual"/>
        </w:rPr>
        <w:t>Adequately resourcing</w:t>
      </w:r>
      <w:r w:rsidR="008254DD" w:rsidRPr="00502B8B">
        <w:rPr>
          <w:rFonts w:ascii="Arial" w:eastAsiaTheme="minorHAnsi" w:hAnsi="Arial" w:cs="Arial"/>
          <w:kern w:val="2"/>
          <w:sz w:val="22"/>
          <w:szCs w:val="22"/>
          <w:lang w:val="en-AU" w:eastAsia="en-US"/>
          <w14:ligatures w14:val="standardContextual"/>
        </w:rPr>
        <w:t xml:space="preserve"> evaluation activities </w:t>
      </w:r>
      <w:r w:rsidR="008254DD" w:rsidRPr="008254DD">
        <w:rPr>
          <w:rFonts w:ascii="Arial" w:eastAsiaTheme="minorHAnsi" w:hAnsi="Arial" w:cs="Arial"/>
          <w:kern w:val="2"/>
          <w:sz w:val="22"/>
          <w:szCs w:val="22"/>
          <w:lang w:val="en-AU" w:eastAsia="en-US"/>
          <w14:ligatures w14:val="standardContextual"/>
        </w:rPr>
        <w:t>-</w:t>
      </w:r>
      <w:r w:rsidR="008254DD" w:rsidRPr="00502B8B">
        <w:rPr>
          <w:rFonts w:ascii="Arial" w:eastAsiaTheme="minorHAnsi" w:hAnsi="Arial" w:cs="Arial"/>
          <w:kern w:val="2"/>
          <w:sz w:val="22"/>
          <w:szCs w:val="22"/>
          <w:lang w:val="en-AU" w:eastAsia="en-US"/>
          <w14:ligatures w14:val="standardContextual"/>
        </w:rPr>
        <w:t xml:space="preserve"> including funding for internal capability, independent evaluations, and </w:t>
      </w:r>
      <w:r>
        <w:rPr>
          <w:rFonts w:ascii="Arial" w:eastAsiaTheme="minorHAnsi" w:hAnsi="Arial" w:cs="Arial"/>
          <w:kern w:val="2"/>
          <w:sz w:val="22"/>
          <w:szCs w:val="22"/>
          <w:lang w:val="en-AU" w:eastAsia="en-US"/>
          <w14:ligatures w14:val="standardContextual"/>
        </w:rPr>
        <w:t>feedback</w:t>
      </w:r>
      <w:r w:rsidR="008254DD" w:rsidRPr="00502B8B">
        <w:rPr>
          <w:rFonts w:ascii="Arial" w:eastAsiaTheme="minorHAnsi" w:hAnsi="Arial" w:cs="Arial"/>
          <w:kern w:val="2"/>
          <w:sz w:val="22"/>
          <w:szCs w:val="22"/>
          <w:lang w:val="en-AU" w:eastAsia="en-US"/>
          <w14:ligatures w14:val="standardContextual"/>
        </w:rPr>
        <w:t xml:space="preserve"> loops that support continuous improvement.</w:t>
      </w:r>
    </w:p>
    <w:p w14:paraId="69D8996B" w14:textId="205EDC06" w:rsidR="008254DD" w:rsidRPr="00502B8B" w:rsidRDefault="008254DD" w:rsidP="006836F1">
      <w:pPr>
        <w:pStyle w:val="NormalWeb"/>
        <w:numPr>
          <w:ilvl w:val="0"/>
          <w:numId w:val="14"/>
        </w:numPr>
        <w:spacing w:line="360" w:lineRule="auto"/>
        <w:rPr>
          <w:rFonts w:ascii="Arial" w:eastAsiaTheme="minorHAnsi" w:hAnsi="Arial" w:cs="Arial"/>
          <w:kern w:val="2"/>
          <w:sz w:val="22"/>
          <w:szCs w:val="22"/>
          <w:lang w:val="en-AU" w:eastAsia="en-US"/>
          <w14:ligatures w14:val="standardContextual"/>
        </w:rPr>
      </w:pPr>
      <w:r w:rsidRPr="00502B8B">
        <w:rPr>
          <w:rFonts w:ascii="Arial" w:eastAsiaTheme="minorHAnsi" w:hAnsi="Arial" w:cs="Arial"/>
          <w:kern w:val="2"/>
          <w:sz w:val="22"/>
          <w:szCs w:val="22"/>
          <w:lang w:val="en-AU" w:eastAsia="en-US"/>
          <w14:ligatures w14:val="standardContextual"/>
        </w:rPr>
        <w:t xml:space="preserve">Investing in sector-wide capability so that providers, peaks, and lived experience partners can meaningfully collect, interpret, and use data </w:t>
      </w:r>
      <w:r w:rsidRPr="008254DD">
        <w:rPr>
          <w:rFonts w:ascii="Arial" w:eastAsiaTheme="minorHAnsi" w:hAnsi="Arial" w:cs="Arial"/>
          <w:kern w:val="2"/>
          <w:sz w:val="22"/>
          <w:szCs w:val="22"/>
          <w:lang w:val="en-AU" w:eastAsia="en-US"/>
          <w14:ligatures w14:val="standardContextual"/>
        </w:rPr>
        <w:t>-</w:t>
      </w:r>
      <w:r w:rsidRPr="00502B8B">
        <w:rPr>
          <w:rFonts w:ascii="Arial" w:eastAsiaTheme="minorHAnsi" w:hAnsi="Arial" w:cs="Arial"/>
          <w:kern w:val="2"/>
          <w:sz w:val="22"/>
          <w:szCs w:val="22"/>
          <w:lang w:val="en-AU" w:eastAsia="en-US"/>
          <w14:ligatures w14:val="standardContextual"/>
        </w:rPr>
        <w:t xml:space="preserve"> not just report it.</w:t>
      </w:r>
    </w:p>
    <w:p w14:paraId="3582960F" w14:textId="77777777" w:rsidR="008254DD" w:rsidRPr="00502B8B" w:rsidRDefault="008254DD" w:rsidP="006836F1">
      <w:pPr>
        <w:pStyle w:val="NormalWeb"/>
        <w:spacing w:line="360" w:lineRule="auto"/>
        <w:rPr>
          <w:rFonts w:ascii="Arial" w:eastAsiaTheme="minorHAnsi" w:hAnsi="Arial" w:cs="Arial"/>
          <w:kern w:val="2"/>
          <w:sz w:val="22"/>
          <w:szCs w:val="22"/>
          <w:lang w:val="en-AU" w:eastAsia="en-US"/>
          <w14:ligatures w14:val="standardContextual"/>
        </w:rPr>
      </w:pPr>
      <w:r w:rsidRPr="00502B8B">
        <w:rPr>
          <w:rFonts w:ascii="Arial" w:eastAsiaTheme="minorHAnsi" w:hAnsi="Arial" w:cs="Arial"/>
          <w:kern w:val="2"/>
          <w:sz w:val="22"/>
          <w:szCs w:val="22"/>
          <w:lang w:val="en-AU" w:eastAsia="en-US"/>
          <w14:ligatures w14:val="standardContextual"/>
        </w:rPr>
        <w:t>Outcomes-based funding must reflect the complexity of mental health and suicide prevention systems. Without careful design, there is a risk that simplistic or rigid metrics will penalise services working with the most marginalised or those delivering complex interventions. Indicators must be equity-informed, context-sensitive, and allow for mixed-methods evaluation over appropriate timeframes.</w:t>
      </w:r>
    </w:p>
    <w:p w14:paraId="6DC37E69" w14:textId="77777777" w:rsidR="008254DD" w:rsidRPr="00502B8B" w:rsidRDefault="008254DD" w:rsidP="006836F1">
      <w:pPr>
        <w:pStyle w:val="NormalWeb"/>
        <w:spacing w:line="360" w:lineRule="auto"/>
        <w:rPr>
          <w:rFonts w:ascii="Arial" w:eastAsiaTheme="minorHAnsi" w:hAnsi="Arial" w:cs="Arial"/>
          <w:kern w:val="2"/>
          <w:sz w:val="22"/>
          <w:szCs w:val="22"/>
          <w:lang w:val="en-AU" w:eastAsia="en-US"/>
          <w14:ligatures w14:val="standardContextual"/>
        </w:rPr>
      </w:pPr>
      <w:r w:rsidRPr="00502B8B">
        <w:rPr>
          <w:rFonts w:ascii="Arial" w:eastAsiaTheme="minorHAnsi" w:hAnsi="Arial" w:cs="Arial"/>
          <w:kern w:val="2"/>
          <w:sz w:val="22"/>
          <w:szCs w:val="22"/>
          <w:lang w:val="en-AU" w:eastAsia="en-US"/>
          <w14:ligatures w14:val="standardContextual"/>
        </w:rPr>
        <w:t>We support the recommendation to strengthen national measurement architecture and propose the following enhancements:</w:t>
      </w:r>
    </w:p>
    <w:p w14:paraId="7FD56E7D" w14:textId="06AD141F" w:rsidR="008254DD" w:rsidRPr="00502B8B" w:rsidRDefault="008254DD" w:rsidP="006836F1">
      <w:pPr>
        <w:pStyle w:val="NormalWeb"/>
        <w:numPr>
          <w:ilvl w:val="0"/>
          <w:numId w:val="15"/>
        </w:numPr>
        <w:spacing w:line="360" w:lineRule="auto"/>
        <w:rPr>
          <w:rFonts w:ascii="Arial" w:eastAsiaTheme="minorHAnsi" w:hAnsi="Arial" w:cs="Arial"/>
          <w:kern w:val="2"/>
          <w:sz w:val="22"/>
          <w:szCs w:val="22"/>
          <w:lang w:val="en-AU" w:eastAsia="en-US"/>
          <w14:ligatures w14:val="standardContextual"/>
        </w:rPr>
      </w:pPr>
      <w:r>
        <w:rPr>
          <w:rFonts w:ascii="Arial" w:eastAsiaTheme="minorHAnsi" w:hAnsi="Arial" w:cs="Arial"/>
          <w:kern w:val="2"/>
          <w:sz w:val="22"/>
          <w:szCs w:val="22"/>
          <w:lang w:val="en-AU" w:eastAsia="en-US"/>
          <w14:ligatures w14:val="standardContextual"/>
        </w:rPr>
        <w:lastRenderedPageBreak/>
        <w:t>Ensure the</w:t>
      </w:r>
      <w:r w:rsidRPr="00502B8B">
        <w:rPr>
          <w:rFonts w:ascii="Arial" w:eastAsiaTheme="minorHAnsi" w:hAnsi="Arial" w:cs="Arial"/>
          <w:kern w:val="2"/>
          <w:sz w:val="22"/>
          <w:szCs w:val="22"/>
          <w:lang w:val="en-AU" w:eastAsia="en-US"/>
          <w14:ligatures w14:val="standardContextual"/>
        </w:rPr>
        <w:t xml:space="preserve"> Australian Institute of Health and Welfare (AIHW) </w:t>
      </w:r>
      <w:r>
        <w:rPr>
          <w:rFonts w:ascii="Arial" w:eastAsiaTheme="minorHAnsi" w:hAnsi="Arial" w:cs="Arial"/>
          <w:kern w:val="2"/>
          <w:sz w:val="22"/>
          <w:szCs w:val="22"/>
          <w:lang w:val="en-AU" w:eastAsia="en-US"/>
          <w14:ligatures w14:val="standardContextual"/>
        </w:rPr>
        <w:t>leads</w:t>
      </w:r>
      <w:r w:rsidRPr="00502B8B">
        <w:rPr>
          <w:rFonts w:ascii="Arial" w:eastAsiaTheme="minorHAnsi" w:hAnsi="Arial" w:cs="Arial"/>
          <w:kern w:val="2"/>
          <w:sz w:val="22"/>
          <w:szCs w:val="22"/>
          <w:lang w:val="en-AU" w:eastAsia="en-US"/>
          <w14:ligatures w14:val="standardContextual"/>
        </w:rPr>
        <w:t xml:space="preserve"> the development of a national </w:t>
      </w:r>
      <w:proofErr w:type="gramStart"/>
      <w:r w:rsidRPr="00502B8B">
        <w:rPr>
          <w:rFonts w:ascii="Arial" w:eastAsiaTheme="minorHAnsi" w:hAnsi="Arial" w:cs="Arial"/>
          <w:kern w:val="2"/>
          <w:sz w:val="22"/>
          <w:szCs w:val="22"/>
          <w:lang w:val="en-AU" w:eastAsia="en-US"/>
          <w14:ligatures w14:val="standardContextual"/>
        </w:rPr>
        <w:t>outcomes</w:t>
      </w:r>
      <w:proofErr w:type="gramEnd"/>
      <w:r w:rsidRPr="00502B8B">
        <w:rPr>
          <w:rFonts w:ascii="Arial" w:eastAsiaTheme="minorHAnsi" w:hAnsi="Arial" w:cs="Arial"/>
          <w:kern w:val="2"/>
          <w:sz w:val="22"/>
          <w:szCs w:val="22"/>
          <w:lang w:val="en-AU" w:eastAsia="en-US"/>
          <w14:ligatures w14:val="standardContextual"/>
        </w:rPr>
        <w:t xml:space="preserve"> measurement framework within 12 months of the new Agreement</w:t>
      </w:r>
      <w:r>
        <w:rPr>
          <w:rFonts w:ascii="Arial" w:eastAsiaTheme="minorHAnsi" w:hAnsi="Arial" w:cs="Arial"/>
          <w:kern w:val="2"/>
          <w:sz w:val="22"/>
          <w:szCs w:val="22"/>
          <w:lang w:val="en-AU" w:eastAsia="en-US"/>
          <w14:ligatures w14:val="standardContextual"/>
        </w:rPr>
        <w:t xml:space="preserve">, </w:t>
      </w:r>
      <w:r w:rsidRPr="00502B8B">
        <w:rPr>
          <w:rFonts w:ascii="Arial" w:eastAsiaTheme="minorHAnsi" w:hAnsi="Arial" w:cs="Arial"/>
          <w:kern w:val="2"/>
          <w:sz w:val="22"/>
          <w:szCs w:val="22"/>
          <w:lang w:val="en-AU" w:eastAsia="en-US"/>
          <w14:ligatures w14:val="standardContextual"/>
        </w:rPr>
        <w:t>in close partnership with lived experience stakeholders, community-managed providers, and peak bodies.</w:t>
      </w:r>
    </w:p>
    <w:p w14:paraId="506902B8" w14:textId="77777777" w:rsidR="000A5B28" w:rsidRDefault="000A5B28" w:rsidP="006836F1">
      <w:pPr>
        <w:pStyle w:val="NormalWeb"/>
        <w:numPr>
          <w:ilvl w:val="0"/>
          <w:numId w:val="15"/>
        </w:numPr>
        <w:spacing w:line="360" w:lineRule="auto"/>
        <w:rPr>
          <w:rFonts w:ascii="Arial" w:eastAsiaTheme="minorHAnsi" w:hAnsi="Arial" w:cs="Arial"/>
          <w:kern w:val="2"/>
          <w:sz w:val="22"/>
          <w:szCs w:val="22"/>
          <w:lang w:val="en-AU" w:eastAsia="en-US"/>
          <w14:ligatures w14:val="standardContextual"/>
        </w:rPr>
      </w:pPr>
      <w:r w:rsidRPr="00502B8B">
        <w:rPr>
          <w:rFonts w:ascii="Arial" w:eastAsiaTheme="minorHAnsi" w:hAnsi="Arial" w:cs="Arial"/>
          <w:kern w:val="2"/>
          <w:sz w:val="22"/>
          <w:szCs w:val="22"/>
          <w:lang w:val="en-AU" w:eastAsia="en-US"/>
          <w14:ligatures w14:val="standardContextual"/>
        </w:rPr>
        <w:t xml:space="preserve">Ensure outcome measures are valid, timely, and meaningfully disaggregated (e.g. by region or priority population), while maintaining strong privacy protections </w:t>
      </w:r>
      <w:r>
        <w:rPr>
          <w:rFonts w:ascii="Arial" w:eastAsiaTheme="minorHAnsi" w:hAnsi="Arial" w:cs="Arial"/>
          <w:kern w:val="2"/>
          <w:sz w:val="22"/>
          <w:szCs w:val="22"/>
          <w:lang w:val="en-AU" w:eastAsia="en-US"/>
          <w14:ligatures w14:val="standardContextual"/>
        </w:rPr>
        <w:t>-</w:t>
      </w:r>
      <w:r w:rsidRPr="00502B8B">
        <w:rPr>
          <w:rFonts w:ascii="Arial" w:eastAsiaTheme="minorHAnsi" w:hAnsi="Arial" w:cs="Arial"/>
          <w:kern w:val="2"/>
          <w:sz w:val="22"/>
          <w:szCs w:val="22"/>
          <w:lang w:val="en-AU" w:eastAsia="en-US"/>
          <w14:ligatures w14:val="standardContextual"/>
        </w:rPr>
        <w:t xml:space="preserve"> enabling the system to track equity, identify gaps, and monitor both short- and long-term change.</w:t>
      </w:r>
    </w:p>
    <w:p w14:paraId="24AACFDB" w14:textId="35898E86" w:rsidR="000A5B28" w:rsidRPr="00502B8B" w:rsidRDefault="000A5B28" w:rsidP="006836F1">
      <w:pPr>
        <w:pStyle w:val="NormalWeb"/>
        <w:numPr>
          <w:ilvl w:val="0"/>
          <w:numId w:val="15"/>
        </w:numPr>
        <w:spacing w:line="360" w:lineRule="auto"/>
        <w:rPr>
          <w:rFonts w:ascii="Arial" w:eastAsiaTheme="minorHAnsi" w:hAnsi="Arial" w:cs="Arial"/>
          <w:kern w:val="2"/>
          <w:sz w:val="22"/>
          <w:szCs w:val="22"/>
          <w:lang w:val="en-AU" w:eastAsia="en-US"/>
          <w14:ligatures w14:val="standardContextual"/>
        </w:rPr>
      </w:pPr>
      <w:r w:rsidRPr="00502B8B">
        <w:rPr>
          <w:rFonts w:ascii="Arial" w:eastAsiaTheme="minorHAnsi" w:hAnsi="Arial" w:cs="Arial"/>
          <w:kern w:val="2"/>
          <w:sz w:val="22"/>
          <w:szCs w:val="22"/>
          <w:lang w:val="en-AU" w:eastAsia="en-US"/>
          <w14:ligatures w14:val="standardContextual"/>
        </w:rPr>
        <w:t xml:space="preserve">Build national capability to leverage existing administrative data for </w:t>
      </w:r>
      <w:proofErr w:type="gramStart"/>
      <w:r w:rsidRPr="00502B8B">
        <w:rPr>
          <w:rFonts w:ascii="Arial" w:eastAsiaTheme="minorHAnsi" w:hAnsi="Arial" w:cs="Arial"/>
          <w:kern w:val="2"/>
          <w:sz w:val="22"/>
          <w:szCs w:val="22"/>
          <w:lang w:val="en-AU" w:eastAsia="en-US"/>
          <w14:ligatures w14:val="standardContextual"/>
        </w:rPr>
        <w:t>evaluation</w:t>
      </w:r>
      <w:r w:rsidR="00223EDA">
        <w:rPr>
          <w:rFonts w:ascii="Arial" w:eastAsiaTheme="minorHAnsi" w:hAnsi="Arial" w:cs="Arial"/>
          <w:kern w:val="2"/>
          <w:sz w:val="22"/>
          <w:szCs w:val="22"/>
          <w:lang w:val="en-AU" w:eastAsia="en-US"/>
          <w14:ligatures w14:val="standardContextual"/>
        </w:rPr>
        <w:t xml:space="preserve">, </w:t>
      </w:r>
      <w:r w:rsidRPr="00502B8B">
        <w:rPr>
          <w:rFonts w:ascii="Arial" w:eastAsiaTheme="minorHAnsi" w:hAnsi="Arial" w:cs="Arial"/>
          <w:kern w:val="2"/>
          <w:sz w:val="22"/>
          <w:szCs w:val="22"/>
          <w:lang w:val="en-AU" w:eastAsia="en-US"/>
          <w14:ligatures w14:val="standardContextual"/>
        </w:rPr>
        <w:t xml:space="preserve"> prioritising</w:t>
      </w:r>
      <w:proofErr w:type="gramEnd"/>
      <w:r w:rsidRPr="00502B8B">
        <w:rPr>
          <w:rFonts w:ascii="Arial" w:eastAsiaTheme="minorHAnsi" w:hAnsi="Arial" w:cs="Arial"/>
          <w:kern w:val="2"/>
          <w:sz w:val="22"/>
          <w:szCs w:val="22"/>
          <w:lang w:val="en-AU" w:eastAsia="en-US"/>
          <w14:ligatures w14:val="standardContextual"/>
        </w:rPr>
        <w:t xml:space="preserve"> quasi-experimental methods where randomised approaches are not feasible, and exploring stepped-wedge designs</w:t>
      </w:r>
      <w:r w:rsidR="00562329">
        <w:rPr>
          <w:rStyle w:val="FootnoteReference"/>
          <w:rFonts w:ascii="Arial" w:eastAsiaTheme="minorHAnsi" w:hAnsi="Arial" w:cs="Arial"/>
          <w:kern w:val="2"/>
          <w:sz w:val="22"/>
          <w:szCs w:val="22"/>
          <w:lang w:val="en-AU" w:eastAsia="en-US"/>
          <w14:ligatures w14:val="standardContextual"/>
        </w:rPr>
        <w:footnoteReference w:id="3"/>
      </w:r>
      <w:r w:rsidRPr="00502B8B">
        <w:rPr>
          <w:rFonts w:ascii="Arial" w:eastAsiaTheme="minorHAnsi" w:hAnsi="Arial" w:cs="Arial"/>
          <w:kern w:val="2"/>
          <w:sz w:val="22"/>
          <w:szCs w:val="22"/>
          <w:lang w:val="en-AU" w:eastAsia="en-US"/>
          <w14:ligatures w14:val="standardContextual"/>
        </w:rPr>
        <w:t xml:space="preserve"> or other experimental options where appropriate. Invest in tools that can support attribution and capture complex systems change over time.</w:t>
      </w:r>
      <w:r>
        <w:rPr>
          <w:rFonts w:ascii="Arial" w:eastAsiaTheme="minorHAnsi" w:hAnsi="Arial" w:cs="Arial"/>
          <w:kern w:val="2"/>
          <w:sz w:val="22"/>
          <w:szCs w:val="22"/>
          <w:lang w:val="en-AU" w:eastAsia="en-US"/>
          <w14:ligatures w14:val="standardContextual"/>
        </w:rPr>
        <w:t xml:space="preserve"> </w:t>
      </w:r>
      <w:r w:rsidRPr="00502B8B">
        <w:rPr>
          <w:rFonts w:ascii="Arial" w:eastAsiaTheme="minorHAnsi" w:hAnsi="Arial" w:cs="Arial"/>
          <w:kern w:val="2"/>
          <w:sz w:val="22"/>
          <w:szCs w:val="22"/>
          <w:lang w:val="en-AU" w:eastAsia="en-US"/>
          <w14:ligatures w14:val="standardContextual"/>
        </w:rPr>
        <w:t>This should be complemented by rich qualitative data - particularly insights from lived and living experience - to ensure that measurement reflects what matters most to people and supports continuous learning and improvement.</w:t>
      </w:r>
    </w:p>
    <w:p w14:paraId="3119FD42" w14:textId="1711E5D5" w:rsidR="008254DD" w:rsidRPr="00502B8B" w:rsidRDefault="008254DD" w:rsidP="006836F1">
      <w:pPr>
        <w:pStyle w:val="NormalWeb"/>
        <w:numPr>
          <w:ilvl w:val="0"/>
          <w:numId w:val="15"/>
        </w:numPr>
        <w:spacing w:line="360" w:lineRule="auto"/>
        <w:rPr>
          <w:rFonts w:ascii="Arial" w:eastAsiaTheme="minorHAnsi" w:hAnsi="Arial" w:cs="Arial"/>
          <w:kern w:val="2"/>
          <w:sz w:val="22"/>
          <w:szCs w:val="22"/>
          <w:lang w:val="en-AU" w:eastAsia="en-US"/>
          <w14:ligatures w14:val="standardContextual"/>
        </w:rPr>
      </w:pPr>
      <w:r w:rsidRPr="00502B8B">
        <w:rPr>
          <w:rFonts w:ascii="Arial" w:eastAsiaTheme="minorHAnsi" w:hAnsi="Arial" w:cs="Arial"/>
          <w:kern w:val="2"/>
          <w:sz w:val="22"/>
          <w:szCs w:val="22"/>
          <w:lang w:val="en-AU" w:eastAsia="en-US"/>
          <w14:ligatures w14:val="standardContextual"/>
        </w:rPr>
        <w:t>Support a national evaluation capacity-building agenda across governments, providers, and the community sector.</w:t>
      </w:r>
    </w:p>
    <w:p w14:paraId="6F920C9C" w14:textId="2CD8870D" w:rsidR="008254DD" w:rsidRPr="008254DD" w:rsidRDefault="008254DD" w:rsidP="009754E8">
      <w:pPr>
        <w:pStyle w:val="NormalWeb"/>
        <w:spacing w:line="360" w:lineRule="auto"/>
        <w:rPr>
          <w:rFonts w:ascii="Arial" w:hAnsi="Arial" w:cs="Arial"/>
          <w:sz w:val="22"/>
          <w:szCs w:val="22"/>
        </w:rPr>
      </w:pPr>
      <w:r w:rsidRPr="00502B8B">
        <w:rPr>
          <w:rFonts w:ascii="Arial" w:eastAsiaTheme="minorHAnsi" w:hAnsi="Arial" w:cs="Arial"/>
          <w:kern w:val="2"/>
          <w:sz w:val="22"/>
          <w:szCs w:val="22"/>
          <w:lang w:val="en-AU" w:eastAsia="en-US"/>
          <w14:ligatures w14:val="standardContextual"/>
        </w:rPr>
        <w:t xml:space="preserve">Ultimately, embedding a meaningful outcomes focus requires rethinking not just </w:t>
      </w:r>
      <w:r w:rsidRPr="00502B8B">
        <w:rPr>
          <w:rFonts w:ascii="Arial" w:hAnsi="Arial" w:cs="Arial"/>
          <w:sz w:val="22"/>
          <w:szCs w:val="22"/>
        </w:rPr>
        <w:t>what we measure</w:t>
      </w:r>
      <w:r w:rsidRPr="00502B8B">
        <w:rPr>
          <w:rFonts w:ascii="Arial" w:eastAsiaTheme="minorHAnsi" w:hAnsi="Arial" w:cs="Arial"/>
          <w:kern w:val="2"/>
          <w:sz w:val="22"/>
          <w:szCs w:val="22"/>
          <w:lang w:val="en-AU" w:eastAsia="en-US"/>
          <w14:ligatures w14:val="standardContextual"/>
        </w:rPr>
        <w:t xml:space="preserve">, but </w:t>
      </w:r>
      <w:r w:rsidRPr="00502B8B">
        <w:rPr>
          <w:rFonts w:ascii="Arial" w:hAnsi="Arial" w:cs="Arial"/>
          <w:sz w:val="22"/>
          <w:szCs w:val="22"/>
        </w:rPr>
        <w:t>how we define, resource, and support impact</w:t>
      </w:r>
      <w:r w:rsidRPr="00502B8B">
        <w:rPr>
          <w:rFonts w:ascii="Arial" w:eastAsiaTheme="minorHAnsi" w:hAnsi="Arial" w:cs="Arial"/>
          <w:kern w:val="2"/>
          <w:sz w:val="22"/>
          <w:szCs w:val="22"/>
          <w:lang w:val="en-AU" w:eastAsia="en-US"/>
          <w14:ligatures w14:val="standardContextual"/>
        </w:rPr>
        <w:t xml:space="preserve"> </w:t>
      </w:r>
      <w:r w:rsidRPr="008254DD">
        <w:rPr>
          <w:rFonts w:ascii="Arial" w:eastAsiaTheme="minorHAnsi" w:hAnsi="Arial" w:cs="Arial"/>
          <w:kern w:val="2"/>
          <w:sz w:val="22"/>
          <w:szCs w:val="22"/>
          <w:lang w:val="en-AU" w:eastAsia="en-US"/>
          <w14:ligatures w14:val="standardContextual"/>
        </w:rPr>
        <w:t>-</w:t>
      </w:r>
      <w:r w:rsidRPr="00502B8B">
        <w:rPr>
          <w:rFonts w:ascii="Arial" w:eastAsiaTheme="minorHAnsi" w:hAnsi="Arial" w:cs="Arial"/>
          <w:kern w:val="2"/>
          <w:sz w:val="22"/>
          <w:szCs w:val="22"/>
          <w:lang w:val="en-AU" w:eastAsia="en-US"/>
          <w14:ligatures w14:val="standardContextual"/>
        </w:rPr>
        <w:t xml:space="preserve"> with reform grounded in both lived experience and implementation science.</w:t>
      </w:r>
    </w:p>
    <w:p w14:paraId="78E42DC7" w14:textId="77777777" w:rsidR="00502B8B" w:rsidRPr="00371157" w:rsidRDefault="00502B8B" w:rsidP="00371157">
      <w:pPr>
        <w:snapToGrid w:val="0"/>
        <w:spacing w:after="120" w:line="360" w:lineRule="auto"/>
        <w:rPr>
          <w:rFonts w:ascii="Arial" w:hAnsi="Arial" w:cs="Arial"/>
          <w:b/>
          <w:bCs/>
          <w:color w:val="5FC1C5"/>
        </w:rPr>
      </w:pPr>
      <w:r w:rsidRPr="00371157">
        <w:rPr>
          <w:rFonts w:ascii="Arial" w:hAnsi="Arial" w:cs="Arial"/>
          <w:b/>
          <w:bCs/>
          <w:color w:val="5FC1C5"/>
        </w:rPr>
        <w:t>Embedding Rights-Based Reform and Aligning with the UNCRPD</w:t>
      </w:r>
    </w:p>
    <w:p w14:paraId="64BD3336" w14:textId="430BA9D7" w:rsidR="00502B8B" w:rsidRPr="00941F54" w:rsidRDefault="00502B8B" w:rsidP="009754E8">
      <w:pPr>
        <w:pStyle w:val="NormalWeb"/>
        <w:spacing w:line="360" w:lineRule="auto"/>
        <w:rPr>
          <w:rFonts w:ascii="Arial" w:eastAsiaTheme="minorHAnsi" w:hAnsi="Arial" w:cs="Arial"/>
          <w:kern w:val="2"/>
          <w:sz w:val="22"/>
          <w:szCs w:val="22"/>
          <w:lang w:val="en-AU" w:eastAsia="en-US"/>
          <w14:ligatures w14:val="standardContextual"/>
        </w:rPr>
      </w:pPr>
      <w:r w:rsidRPr="00941F54">
        <w:rPr>
          <w:rFonts w:ascii="Arial" w:eastAsiaTheme="minorHAnsi" w:hAnsi="Arial" w:cs="Arial"/>
          <w:kern w:val="2"/>
          <w:sz w:val="22"/>
          <w:szCs w:val="22"/>
          <w:lang w:val="en-AU" w:eastAsia="en-US"/>
          <w14:ligatures w14:val="standardContextual"/>
        </w:rPr>
        <w:t xml:space="preserve">CMHA notes with concern the lack of dedicated attention to </w:t>
      </w:r>
      <w:r w:rsidR="0016257E">
        <w:rPr>
          <w:rFonts w:ascii="Arial" w:eastAsiaTheme="minorHAnsi" w:hAnsi="Arial" w:cs="Arial"/>
          <w:kern w:val="2"/>
          <w:sz w:val="22"/>
          <w:szCs w:val="22"/>
          <w:lang w:val="en-AU" w:eastAsia="en-US"/>
          <w14:ligatures w14:val="standardContextual"/>
        </w:rPr>
        <w:t xml:space="preserve">human </w:t>
      </w:r>
      <w:r w:rsidRPr="00941F54">
        <w:rPr>
          <w:rFonts w:ascii="Arial" w:eastAsiaTheme="minorHAnsi" w:hAnsi="Arial" w:cs="Arial"/>
          <w:kern w:val="2"/>
          <w:sz w:val="22"/>
          <w:szCs w:val="22"/>
          <w:lang w:val="en-AU" w:eastAsia="en-US"/>
          <w14:ligatures w14:val="standardContextual"/>
        </w:rPr>
        <w:t xml:space="preserve">rights in both the current Agreement and the Commission’s </w:t>
      </w:r>
      <w:r w:rsidR="006B5D4F">
        <w:rPr>
          <w:rFonts w:ascii="Arial" w:eastAsiaTheme="minorHAnsi" w:hAnsi="Arial" w:cs="Arial"/>
          <w:kern w:val="2"/>
          <w:sz w:val="22"/>
          <w:szCs w:val="22"/>
          <w:lang w:val="en-AU" w:eastAsia="en-US"/>
          <w14:ligatures w14:val="standardContextual"/>
        </w:rPr>
        <w:t>I</w:t>
      </w:r>
      <w:r w:rsidRPr="00941F54">
        <w:rPr>
          <w:rFonts w:ascii="Arial" w:eastAsiaTheme="minorHAnsi" w:hAnsi="Arial" w:cs="Arial"/>
          <w:kern w:val="2"/>
          <w:sz w:val="22"/>
          <w:szCs w:val="22"/>
          <w:lang w:val="en-AU" w:eastAsia="en-US"/>
          <w14:ligatures w14:val="standardContextual"/>
        </w:rPr>
        <w:t xml:space="preserve">nterim </w:t>
      </w:r>
      <w:r w:rsidR="006B5D4F">
        <w:rPr>
          <w:rFonts w:ascii="Arial" w:eastAsiaTheme="minorHAnsi" w:hAnsi="Arial" w:cs="Arial"/>
          <w:kern w:val="2"/>
          <w:sz w:val="22"/>
          <w:szCs w:val="22"/>
          <w:lang w:val="en-AU" w:eastAsia="en-US"/>
          <w14:ligatures w14:val="standardContextual"/>
        </w:rPr>
        <w:t>R</w:t>
      </w:r>
      <w:r w:rsidRPr="00941F54">
        <w:rPr>
          <w:rFonts w:ascii="Arial" w:eastAsiaTheme="minorHAnsi" w:hAnsi="Arial" w:cs="Arial"/>
          <w:kern w:val="2"/>
          <w:sz w:val="22"/>
          <w:szCs w:val="22"/>
          <w:lang w:val="en-AU" w:eastAsia="en-US"/>
          <w14:ligatures w14:val="standardContextual"/>
        </w:rPr>
        <w:t xml:space="preserve">eport. Apart from isolated references, human rights and alignment with the UN Convention on the Rights of Persons with Disabilities (UNCRPD) remain peripheral in national reform discourse </w:t>
      </w:r>
      <w:r>
        <w:rPr>
          <w:rFonts w:ascii="Arial" w:eastAsiaTheme="minorHAnsi" w:hAnsi="Arial" w:cs="Arial"/>
          <w:kern w:val="2"/>
          <w:sz w:val="22"/>
          <w:szCs w:val="22"/>
          <w:lang w:val="en-AU" w:eastAsia="en-US"/>
          <w14:ligatures w14:val="standardContextual"/>
        </w:rPr>
        <w:t>-</w:t>
      </w:r>
      <w:r w:rsidRPr="00941F54">
        <w:rPr>
          <w:rFonts w:ascii="Arial" w:eastAsiaTheme="minorHAnsi" w:hAnsi="Arial" w:cs="Arial"/>
          <w:kern w:val="2"/>
          <w:sz w:val="22"/>
          <w:szCs w:val="22"/>
          <w:lang w:val="en-AU" w:eastAsia="en-US"/>
          <w14:ligatures w14:val="standardContextual"/>
        </w:rPr>
        <w:t xml:space="preserve"> despite repeated calls from people with lived experience and the community sector.</w:t>
      </w:r>
    </w:p>
    <w:p w14:paraId="49628BA3" w14:textId="77777777" w:rsidR="00502B8B" w:rsidRPr="00941F54" w:rsidRDefault="00502B8B" w:rsidP="009754E8">
      <w:pPr>
        <w:pStyle w:val="NormalWeb"/>
        <w:spacing w:line="360" w:lineRule="auto"/>
        <w:rPr>
          <w:rFonts w:ascii="Arial" w:eastAsiaTheme="minorHAnsi" w:hAnsi="Arial" w:cs="Arial"/>
          <w:kern w:val="2"/>
          <w:sz w:val="22"/>
          <w:szCs w:val="22"/>
          <w:lang w:val="en-AU" w:eastAsia="en-US"/>
          <w14:ligatures w14:val="standardContextual"/>
        </w:rPr>
      </w:pPr>
      <w:r w:rsidRPr="00941F54">
        <w:rPr>
          <w:rFonts w:ascii="Arial" w:eastAsiaTheme="minorHAnsi" w:hAnsi="Arial" w:cs="Arial"/>
          <w:kern w:val="2"/>
          <w:sz w:val="22"/>
          <w:szCs w:val="22"/>
          <w:lang w:val="en-AU" w:eastAsia="en-US"/>
          <w14:ligatures w14:val="standardContextual"/>
        </w:rPr>
        <w:t>A future Agreement must:</w:t>
      </w:r>
    </w:p>
    <w:p w14:paraId="6493D111" w14:textId="23AB0D32" w:rsidR="00502B8B" w:rsidRPr="00941F54" w:rsidRDefault="00502B8B" w:rsidP="009754E8">
      <w:pPr>
        <w:pStyle w:val="NormalWeb"/>
        <w:numPr>
          <w:ilvl w:val="0"/>
          <w:numId w:val="12"/>
        </w:numPr>
        <w:spacing w:line="360" w:lineRule="auto"/>
        <w:rPr>
          <w:rFonts w:ascii="Arial" w:eastAsiaTheme="minorHAnsi" w:hAnsi="Arial" w:cs="Arial"/>
          <w:kern w:val="2"/>
          <w:sz w:val="22"/>
          <w:szCs w:val="22"/>
          <w:lang w:val="en-AU" w:eastAsia="en-US"/>
          <w14:ligatures w14:val="standardContextual"/>
        </w:rPr>
      </w:pPr>
      <w:r w:rsidRPr="00941F54">
        <w:rPr>
          <w:rFonts w:ascii="Arial" w:eastAsiaTheme="minorHAnsi" w:hAnsi="Arial" w:cs="Arial"/>
          <w:kern w:val="2"/>
          <w:sz w:val="22"/>
          <w:szCs w:val="22"/>
          <w:lang w:val="en-AU" w:eastAsia="en-US"/>
          <w14:ligatures w14:val="standardContextual"/>
        </w:rPr>
        <w:t xml:space="preserve">Include a dedicated section on </w:t>
      </w:r>
      <w:r w:rsidR="0016257E">
        <w:rPr>
          <w:rFonts w:ascii="Arial" w:eastAsiaTheme="minorHAnsi" w:hAnsi="Arial" w:cs="Arial"/>
          <w:kern w:val="2"/>
          <w:sz w:val="22"/>
          <w:szCs w:val="22"/>
          <w:lang w:val="en-AU" w:eastAsia="en-US"/>
          <w14:ligatures w14:val="standardContextual"/>
        </w:rPr>
        <w:t xml:space="preserve">human </w:t>
      </w:r>
      <w:r w:rsidRPr="00941F54">
        <w:rPr>
          <w:rFonts w:ascii="Arial" w:eastAsiaTheme="minorHAnsi" w:hAnsi="Arial" w:cs="Arial"/>
          <w:kern w:val="2"/>
          <w:sz w:val="22"/>
          <w:szCs w:val="22"/>
          <w:lang w:val="en-AU" w:eastAsia="en-US"/>
          <w14:ligatures w14:val="standardContextual"/>
        </w:rPr>
        <w:t>rights, with a clear commitment to align all system reforms with Australia’s obligations under the UNCRPD.</w:t>
      </w:r>
    </w:p>
    <w:p w14:paraId="15C865C0" w14:textId="77777777" w:rsidR="00502B8B" w:rsidRPr="00941F54" w:rsidRDefault="00502B8B" w:rsidP="009754E8">
      <w:pPr>
        <w:pStyle w:val="NormalWeb"/>
        <w:numPr>
          <w:ilvl w:val="0"/>
          <w:numId w:val="12"/>
        </w:numPr>
        <w:spacing w:line="360" w:lineRule="auto"/>
        <w:rPr>
          <w:rFonts w:ascii="Arial" w:eastAsiaTheme="minorHAnsi" w:hAnsi="Arial" w:cs="Arial"/>
          <w:kern w:val="2"/>
          <w:sz w:val="22"/>
          <w:szCs w:val="22"/>
          <w:lang w:val="en-AU" w:eastAsia="en-US"/>
          <w14:ligatures w14:val="standardContextual"/>
        </w:rPr>
      </w:pPr>
      <w:r w:rsidRPr="00941F54">
        <w:rPr>
          <w:rFonts w:ascii="Arial" w:eastAsiaTheme="minorHAnsi" w:hAnsi="Arial" w:cs="Arial"/>
          <w:kern w:val="2"/>
          <w:sz w:val="22"/>
          <w:szCs w:val="22"/>
          <w:lang w:val="en-AU" w:eastAsia="en-US"/>
          <w14:ligatures w14:val="standardContextual"/>
        </w:rPr>
        <w:lastRenderedPageBreak/>
        <w:t>Recognise and address the current breaches of rights occurring in mental health services, including coercive practices, lack of informed consent, and inadequate access to housing, supports, and justice.</w:t>
      </w:r>
    </w:p>
    <w:p w14:paraId="43F431CB" w14:textId="77777777" w:rsidR="00502B8B" w:rsidRPr="00941F54" w:rsidRDefault="00502B8B" w:rsidP="009754E8">
      <w:pPr>
        <w:pStyle w:val="NormalWeb"/>
        <w:numPr>
          <w:ilvl w:val="0"/>
          <w:numId w:val="12"/>
        </w:numPr>
        <w:spacing w:line="360" w:lineRule="auto"/>
        <w:rPr>
          <w:rFonts w:ascii="Arial" w:eastAsiaTheme="minorHAnsi" w:hAnsi="Arial" w:cs="Arial"/>
          <w:kern w:val="2"/>
          <w:sz w:val="22"/>
          <w:szCs w:val="22"/>
          <w:lang w:val="en-AU" w:eastAsia="en-US"/>
          <w14:ligatures w14:val="standardContextual"/>
        </w:rPr>
      </w:pPr>
      <w:r w:rsidRPr="00941F54">
        <w:rPr>
          <w:rFonts w:ascii="Arial" w:eastAsiaTheme="minorHAnsi" w:hAnsi="Arial" w:cs="Arial"/>
          <w:kern w:val="2"/>
          <w:sz w:val="22"/>
          <w:szCs w:val="22"/>
          <w:lang w:val="en-AU" w:eastAsia="en-US"/>
          <w14:ligatures w14:val="standardContextual"/>
        </w:rPr>
        <w:t>Ensure human rights-based approaches are embedded in commissioning, evaluation, and service design frameworks.</w:t>
      </w:r>
    </w:p>
    <w:p w14:paraId="0A2717AF" w14:textId="77777777" w:rsidR="00502B8B" w:rsidRDefault="00502B8B" w:rsidP="009754E8">
      <w:pPr>
        <w:pStyle w:val="NormalWeb"/>
        <w:numPr>
          <w:ilvl w:val="0"/>
          <w:numId w:val="12"/>
        </w:numPr>
        <w:spacing w:line="360" w:lineRule="auto"/>
        <w:rPr>
          <w:rFonts w:ascii="Arial" w:eastAsiaTheme="minorHAnsi" w:hAnsi="Arial" w:cs="Arial"/>
          <w:kern w:val="2"/>
          <w:sz w:val="22"/>
          <w:szCs w:val="22"/>
          <w:lang w:val="en-AU" w:eastAsia="en-US"/>
          <w14:ligatures w14:val="standardContextual"/>
        </w:rPr>
      </w:pPr>
      <w:r w:rsidRPr="00941F54">
        <w:rPr>
          <w:rFonts w:ascii="Arial" w:eastAsiaTheme="minorHAnsi" w:hAnsi="Arial" w:cs="Arial"/>
          <w:kern w:val="2"/>
          <w:sz w:val="22"/>
          <w:szCs w:val="22"/>
          <w:lang w:val="en-AU" w:eastAsia="en-US"/>
          <w14:ligatures w14:val="standardContextual"/>
        </w:rPr>
        <w:t xml:space="preserve">Commit to reviewing existing frameworks </w:t>
      </w:r>
      <w:r>
        <w:rPr>
          <w:rFonts w:ascii="Arial" w:eastAsiaTheme="minorHAnsi" w:hAnsi="Arial" w:cs="Arial"/>
          <w:kern w:val="2"/>
          <w:sz w:val="22"/>
          <w:szCs w:val="22"/>
          <w:lang w:val="en-AU" w:eastAsia="en-US"/>
          <w14:ligatures w14:val="standardContextual"/>
        </w:rPr>
        <w:t>-</w:t>
      </w:r>
      <w:r w:rsidRPr="00941F54">
        <w:rPr>
          <w:rFonts w:ascii="Arial" w:eastAsiaTheme="minorHAnsi" w:hAnsi="Arial" w:cs="Arial"/>
          <w:kern w:val="2"/>
          <w:sz w:val="22"/>
          <w:szCs w:val="22"/>
          <w:lang w:val="en-AU" w:eastAsia="en-US"/>
          <w14:ligatures w14:val="standardContextual"/>
        </w:rPr>
        <w:t xml:space="preserve"> such as the National Mental Health Service Planning Framework (NMHSPF) </w:t>
      </w:r>
      <w:r>
        <w:rPr>
          <w:rFonts w:ascii="Arial" w:eastAsiaTheme="minorHAnsi" w:hAnsi="Arial" w:cs="Arial"/>
          <w:kern w:val="2"/>
          <w:sz w:val="22"/>
          <w:szCs w:val="22"/>
          <w:lang w:val="en-AU" w:eastAsia="en-US"/>
          <w14:ligatures w14:val="standardContextual"/>
        </w:rPr>
        <w:t>-</w:t>
      </w:r>
      <w:r w:rsidRPr="00941F54">
        <w:rPr>
          <w:rFonts w:ascii="Arial" w:eastAsiaTheme="minorHAnsi" w:hAnsi="Arial" w:cs="Arial"/>
          <w:kern w:val="2"/>
          <w:sz w:val="22"/>
          <w:szCs w:val="22"/>
          <w:lang w:val="en-AU" w:eastAsia="en-US"/>
          <w14:ligatures w14:val="standardContextual"/>
        </w:rPr>
        <w:t xml:space="preserve"> to ensure alignment with recovery-oriented, person-led and rights-affirming practice.</w:t>
      </w:r>
    </w:p>
    <w:p w14:paraId="18C44D5F" w14:textId="77777777" w:rsidR="00502B8B" w:rsidRDefault="00502B8B" w:rsidP="009754E8">
      <w:pPr>
        <w:pStyle w:val="NormalWeb"/>
        <w:numPr>
          <w:ilvl w:val="0"/>
          <w:numId w:val="12"/>
        </w:numPr>
        <w:spacing w:line="360" w:lineRule="auto"/>
        <w:rPr>
          <w:rFonts w:ascii="Arial" w:eastAsiaTheme="minorHAnsi" w:hAnsi="Arial" w:cs="Arial"/>
          <w:kern w:val="2"/>
          <w:sz w:val="22"/>
          <w:szCs w:val="22"/>
          <w:lang w:val="en-AU" w:eastAsia="en-US"/>
          <w14:ligatures w14:val="standardContextual"/>
        </w:rPr>
      </w:pPr>
      <w:r>
        <w:rPr>
          <w:rFonts w:ascii="Arial" w:eastAsiaTheme="minorHAnsi" w:hAnsi="Arial" w:cs="Arial"/>
          <w:kern w:val="2"/>
          <w:sz w:val="22"/>
          <w:szCs w:val="22"/>
          <w:lang w:val="en-AU" w:eastAsia="en-US"/>
          <w14:ligatures w14:val="standardContextual"/>
        </w:rPr>
        <w:t xml:space="preserve">Review the effectiveness and alignment of State and Territory Mental Health Commissions’ functions with human rights affirming practice </w:t>
      </w:r>
    </w:p>
    <w:p w14:paraId="3DD90336" w14:textId="77777777" w:rsidR="00502B8B" w:rsidRDefault="00502B8B" w:rsidP="009754E8">
      <w:pPr>
        <w:pStyle w:val="NormalWeb"/>
        <w:numPr>
          <w:ilvl w:val="0"/>
          <w:numId w:val="12"/>
        </w:numPr>
        <w:spacing w:line="360" w:lineRule="auto"/>
        <w:rPr>
          <w:rFonts w:ascii="Arial" w:eastAsiaTheme="minorHAnsi" w:hAnsi="Arial" w:cs="Arial"/>
          <w:kern w:val="2"/>
          <w:sz w:val="22"/>
          <w:szCs w:val="22"/>
          <w:lang w:val="en-AU" w:eastAsia="en-US"/>
          <w14:ligatures w14:val="standardContextual"/>
        </w:rPr>
      </w:pPr>
      <w:r w:rsidRPr="00941F54">
        <w:rPr>
          <w:rFonts w:ascii="Arial" w:eastAsiaTheme="minorHAnsi" w:hAnsi="Arial" w:cs="Arial"/>
          <w:kern w:val="2"/>
          <w:sz w:val="22"/>
          <w:szCs w:val="22"/>
          <w:lang w:val="en-AU" w:eastAsia="en-US"/>
          <w14:ligatures w14:val="standardContextual"/>
        </w:rPr>
        <w:t>Support initiatives that enhance rights literacy, including interventions that improve understanding of existing rights, expose current gaps, and identify priority areas for reform.</w:t>
      </w:r>
    </w:p>
    <w:p w14:paraId="495D1651" w14:textId="77777777" w:rsidR="00502B8B" w:rsidRPr="00941F54" w:rsidRDefault="00502B8B" w:rsidP="009754E8">
      <w:pPr>
        <w:pStyle w:val="NormalWeb"/>
        <w:numPr>
          <w:ilvl w:val="0"/>
          <w:numId w:val="12"/>
        </w:numPr>
        <w:spacing w:line="360" w:lineRule="auto"/>
        <w:rPr>
          <w:rFonts w:ascii="Arial" w:eastAsiaTheme="minorHAnsi" w:hAnsi="Arial" w:cs="Arial"/>
          <w:kern w:val="2"/>
          <w:sz w:val="22"/>
          <w:szCs w:val="22"/>
          <w:lang w:val="en-AU" w:eastAsia="en-US"/>
          <w14:ligatures w14:val="standardContextual"/>
        </w:rPr>
      </w:pPr>
      <w:r w:rsidRPr="00941F54">
        <w:rPr>
          <w:rFonts w:ascii="Arial" w:eastAsiaTheme="minorHAnsi" w:hAnsi="Arial" w:cs="Arial"/>
          <w:kern w:val="2"/>
          <w:sz w:val="22"/>
          <w:szCs w:val="22"/>
          <w:lang w:val="en-AU" w:eastAsia="en-US"/>
          <w14:ligatures w14:val="standardContextual"/>
        </w:rPr>
        <w:t>Signal a longer-term shift toward a National Human Rights Act, to ensure legal protections are consistent, enforceable, and embedded across all jurisdictions.</w:t>
      </w:r>
    </w:p>
    <w:p w14:paraId="1B081C1D" w14:textId="132E0A41" w:rsidR="00502B8B" w:rsidRDefault="00502B8B" w:rsidP="009754E8">
      <w:pPr>
        <w:snapToGrid w:val="0"/>
        <w:spacing w:after="120" w:line="360" w:lineRule="auto"/>
        <w:rPr>
          <w:rFonts w:ascii="Arial" w:hAnsi="Arial" w:cs="Arial"/>
          <w:sz w:val="22"/>
          <w:szCs w:val="22"/>
        </w:rPr>
      </w:pPr>
      <w:r>
        <w:rPr>
          <w:rFonts w:ascii="Arial" w:hAnsi="Arial" w:cs="Arial"/>
          <w:sz w:val="22"/>
          <w:szCs w:val="22"/>
        </w:rPr>
        <w:t>We emphasise that a</w:t>
      </w:r>
      <w:r w:rsidRPr="00941F54">
        <w:rPr>
          <w:rFonts w:ascii="Arial" w:hAnsi="Arial" w:cs="Arial"/>
          <w:sz w:val="22"/>
          <w:szCs w:val="22"/>
        </w:rPr>
        <w:t xml:space="preserve"> truly reformed system cannot be built without putting rights, dignity, and autonomy at the centre.</w:t>
      </w:r>
    </w:p>
    <w:p w14:paraId="44BE0381" w14:textId="77777777" w:rsidR="001B71CB" w:rsidRPr="001B71CB" w:rsidRDefault="001B71CB" w:rsidP="004C2116">
      <w:pPr>
        <w:snapToGrid w:val="0"/>
        <w:spacing w:after="120" w:line="240" w:lineRule="auto"/>
        <w:rPr>
          <w:rFonts w:ascii="Arial" w:hAnsi="Arial" w:cs="Arial"/>
          <w:sz w:val="22"/>
          <w:szCs w:val="22"/>
        </w:rPr>
      </w:pPr>
    </w:p>
    <w:p w14:paraId="69CC7524" w14:textId="77777777" w:rsidR="004C2116" w:rsidRPr="00371157" w:rsidRDefault="004C2116" w:rsidP="00371157">
      <w:pPr>
        <w:snapToGrid w:val="0"/>
        <w:spacing w:after="120" w:line="360" w:lineRule="auto"/>
        <w:rPr>
          <w:rFonts w:ascii="Arial" w:hAnsi="Arial" w:cs="Arial"/>
          <w:b/>
          <w:bCs/>
          <w:color w:val="5FC1C5"/>
        </w:rPr>
      </w:pPr>
      <w:r w:rsidRPr="00371157">
        <w:rPr>
          <w:rFonts w:ascii="Arial" w:hAnsi="Arial" w:cs="Arial"/>
          <w:b/>
          <w:bCs/>
          <w:color w:val="5FC1C5"/>
        </w:rPr>
        <w:t>Conclusion</w:t>
      </w:r>
    </w:p>
    <w:p w14:paraId="63B6D6C5" w14:textId="77777777" w:rsidR="004C2116" w:rsidRPr="001B71CB" w:rsidRDefault="004C2116" w:rsidP="009754E8">
      <w:pPr>
        <w:snapToGrid w:val="0"/>
        <w:spacing w:after="120" w:line="360" w:lineRule="auto"/>
        <w:rPr>
          <w:rFonts w:ascii="Arial" w:hAnsi="Arial" w:cs="Arial"/>
          <w:sz w:val="22"/>
          <w:szCs w:val="22"/>
        </w:rPr>
      </w:pPr>
      <w:r w:rsidRPr="001B71CB">
        <w:rPr>
          <w:rFonts w:ascii="Arial" w:hAnsi="Arial" w:cs="Arial"/>
          <w:sz w:val="22"/>
          <w:szCs w:val="22"/>
        </w:rPr>
        <w:t>The community-managed mental health sector is ready and willing to partner with governments to build a mental health and suicide prevention system that is compassionate, person-centred, and effective. However, this requires genuine commitment to systemic reform, sufficient and secure funding, and the courage to prioritise human experience over bureaucratic structures.</w:t>
      </w:r>
    </w:p>
    <w:p w14:paraId="353AE40A" w14:textId="77777777" w:rsidR="004C2116" w:rsidRPr="001B71CB" w:rsidRDefault="004C2116" w:rsidP="009754E8">
      <w:pPr>
        <w:snapToGrid w:val="0"/>
        <w:spacing w:after="120" w:line="360" w:lineRule="auto"/>
        <w:rPr>
          <w:rFonts w:ascii="Arial" w:hAnsi="Arial" w:cs="Arial"/>
          <w:sz w:val="22"/>
          <w:szCs w:val="22"/>
        </w:rPr>
      </w:pPr>
      <w:r w:rsidRPr="001B71CB">
        <w:rPr>
          <w:rFonts w:ascii="Arial" w:hAnsi="Arial" w:cs="Arial"/>
          <w:sz w:val="22"/>
          <w:szCs w:val="22"/>
        </w:rPr>
        <w:t>We urge the Productivity Commission to retain a strong focus on psychosocial supports, lived experience leadership, and social determinants as it finalises its recommendations. The time for piecemeal reform has passed; we need a bold, integrated approach that delivers on the promise of equitable mental health care for all Australians.</w:t>
      </w:r>
    </w:p>
    <w:p w14:paraId="2F4B2109" w14:textId="6E28F999" w:rsidR="004C2116" w:rsidRPr="001B71CB" w:rsidRDefault="004C2116" w:rsidP="00323957">
      <w:pPr>
        <w:snapToGrid w:val="0"/>
        <w:spacing w:after="120" w:line="240" w:lineRule="auto"/>
        <w:rPr>
          <w:rFonts w:ascii="Arial" w:hAnsi="Arial" w:cs="Arial"/>
          <w:sz w:val="22"/>
          <w:szCs w:val="22"/>
        </w:rPr>
      </w:pPr>
      <w:r w:rsidRPr="001B71CB">
        <w:rPr>
          <w:rFonts w:ascii="Arial" w:hAnsi="Arial" w:cs="Arial"/>
          <w:sz w:val="22"/>
          <w:szCs w:val="22"/>
        </w:rPr>
        <w:tab/>
      </w:r>
    </w:p>
    <w:p w14:paraId="0DE256AA" w14:textId="0F1E52F1" w:rsidR="004C2116" w:rsidRPr="001B71CB" w:rsidRDefault="004C2116" w:rsidP="004C2116">
      <w:pPr>
        <w:tabs>
          <w:tab w:val="left" w:pos="4820"/>
        </w:tabs>
        <w:snapToGrid w:val="0"/>
        <w:spacing w:after="0" w:line="240" w:lineRule="auto"/>
        <w:rPr>
          <w:rFonts w:ascii="Arial" w:hAnsi="Arial" w:cs="Arial"/>
          <w:sz w:val="22"/>
          <w:szCs w:val="22"/>
        </w:rPr>
      </w:pPr>
      <w:r w:rsidRPr="001B71CB">
        <w:rPr>
          <w:rFonts w:ascii="Arial" w:hAnsi="Arial" w:cs="Arial"/>
          <w:sz w:val="22"/>
          <w:szCs w:val="22"/>
        </w:rPr>
        <w:t>Kerry Hawkins</w:t>
      </w:r>
      <w:r w:rsidRPr="001B71CB">
        <w:rPr>
          <w:rFonts w:ascii="Arial" w:hAnsi="Arial" w:cs="Arial"/>
          <w:sz w:val="22"/>
          <w:szCs w:val="22"/>
        </w:rPr>
        <w:tab/>
      </w:r>
    </w:p>
    <w:p w14:paraId="410BEC07" w14:textId="19609496" w:rsidR="004C2116" w:rsidRPr="001B71CB" w:rsidRDefault="004C2116" w:rsidP="004C2116">
      <w:pPr>
        <w:tabs>
          <w:tab w:val="left" w:pos="4820"/>
          <w:tab w:val="left" w:pos="5103"/>
        </w:tabs>
        <w:snapToGrid w:val="0"/>
        <w:spacing w:after="0" w:line="240" w:lineRule="auto"/>
        <w:rPr>
          <w:rFonts w:ascii="Arial" w:hAnsi="Arial" w:cs="Arial"/>
          <w:sz w:val="22"/>
          <w:szCs w:val="22"/>
        </w:rPr>
      </w:pPr>
      <w:r w:rsidRPr="001B71CB">
        <w:rPr>
          <w:rFonts w:ascii="Arial" w:hAnsi="Arial" w:cs="Arial"/>
          <w:sz w:val="22"/>
          <w:szCs w:val="22"/>
        </w:rPr>
        <w:t>Chief Executive Officer</w:t>
      </w:r>
      <w:r w:rsidRPr="001B71CB">
        <w:rPr>
          <w:rFonts w:ascii="Arial" w:hAnsi="Arial" w:cs="Arial"/>
          <w:sz w:val="22"/>
          <w:szCs w:val="22"/>
        </w:rPr>
        <w:tab/>
      </w:r>
    </w:p>
    <w:p w14:paraId="41C198D8" w14:textId="2930F857" w:rsidR="004C2116" w:rsidRPr="001B71CB" w:rsidRDefault="004C2116" w:rsidP="004C2116">
      <w:pPr>
        <w:tabs>
          <w:tab w:val="left" w:pos="4820"/>
          <w:tab w:val="left" w:pos="5103"/>
        </w:tabs>
        <w:snapToGrid w:val="0"/>
        <w:spacing w:after="120" w:line="240" w:lineRule="auto"/>
        <w:rPr>
          <w:rFonts w:ascii="Arial" w:hAnsi="Arial" w:cs="Arial"/>
          <w:sz w:val="22"/>
          <w:szCs w:val="22"/>
        </w:rPr>
      </w:pPr>
      <w:r w:rsidRPr="001B71CB">
        <w:rPr>
          <w:rFonts w:ascii="Arial" w:hAnsi="Arial" w:cs="Arial"/>
          <w:sz w:val="22"/>
          <w:szCs w:val="22"/>
        </w:rPr>
        <w:t>Community Mental Health Australia</w:t>
      </w:r>
      <w:r w:rsidRPr="001B71CB">
        <w:rPr>
          <w:rFonts w:ascii="Arial" w:hAnsi="Arial" w:cs="Arial"/>
          <w:sz w:val="22"/>
          <w:szCs w:val="22"/>
        </w:rPr>
        <w:tab/>
      </w:r>
    </w:p>
    <w:p w14:paraId="016AA562" w14:textId="3B11636C" w:rsidR="004C2116" w:rsidRPr="001B71CB" w:rsidRDefault="004C2116" w:rsidP="004C2116">
      <w:pPr>
        <w:tabs>
          <w:tab w:val="left" w:pos="4820"/>
          <w:tab w:val="left" w:pos="5103"/>
        </w:tabs>
        <w:snapToGrid w:val="0"/>
        <w:spacing w:after="120" w:line="240" w:lineRule="auto"/>
        <w:rPr>
          <w:rFonts w:ascii="Arial" w:hAnsi="Arial" w:cs="Arial"/>
          <w:sz w:val="22"/>
          <w:szCs w:val="22"/>
        </w:rPr>
      </w:pPr>
    </w:p>
    <w:sectPr w:rsidR="004C2116" w:rsidRPr="001B71CB">
      <w:headerReference w:type="even" r:id="rId12"/>
      <w:headerReference w:type="default" r:id="rId13"/>
      <w:footerReference w:type="default" r:id="rId14"/>
      <w:head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3065E" w14:textId="77777777" w:rsidR="003F7054" w:rsidRDefault="003F7054" w:rsidP="0035500F">
      <w:pPr>
        <w:spacing w:after="0" w:line="240" w:lineRule="auto"/>
      </w:pPr>
      <w:r>
        <w:separator/>
      </w:r>
    </w:p>
  </w:endnote>
  <w:endnote w:type="continuationSeparator" w:id="0">
    <w:p w14:paraId="728BB8AE" w14:textId="77777777" w:rsidR="003F7054" w:rsidRDefault="003F7054" w:rsidP="00355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30754" w14:textId="52D7D328" w:rsidR="0035500F" w:rsidRDefault="0035500F" w:rsidP="0035500F">
    <w:pPr>
      <w:pStyle w:val="Footer"/>
      <w:pBdr>
        <w:top w:val="single" w:sz="4" w:space="6" w:color="5FC1C5"/>
      </w:pBdr>
      <w:jc w:val="center"/>
      <w:rPr>
        <w:rFonts w:ascii="Arial" w:hAnsi="Arial" w:cs="Arial"/>
        <w:color w:val="5FC1C5"/>
        <w:sz w:val="16"/>
        <w:szCs w:val="16"/>
      </w:rPr>
    </w:pPr>
    <w:r w:rsidRPr="0035500F">
      <w:rPr>
        <w:rFonts w:ascii="Arial" w:hAnsi="Arial" w:cs="Arial"/>
        <w:color w:val="5FC1C5"/>
        <w:sz w:val="16"/>
        <w:szCs w:val="16"/>
      </w:rPr>
      <w:t>Community</w:t>
    </w:r>
    <w:r>
      <w:rPr>
        <w:rFonts w:ascii="Arial" w:hAnsi="Arial" w:cs="Arial"/>
        <w:color w:val="5FC1C5"/>
        <w:sz w:val="16"/>
        <w:szCs w:val="16"/>
      </w:rPr>
      <w:t xml:space="preserve"> Mental Health Australia</w:t>
    </w:r>
  </w:p>
  <w:p w14:paraId="0EAC1541" w14:textId="4C2BD460" w:rsidR="0035500F" w:rsidRPr="0035500F" w:rsidRDefault="0035500F" w:rsidP="0035500F">
    <w:pPr>
      <w:pStyle w:val="Footer"/>
      <w:jc w:val="center"/>
      <w:rPr>
        <w:rFonts w:ascii="Arial" w:hAnsi="Arial" w:cs="Arial"/>
        <w:sz w:val="16"/>
        <w:szCs w:val="16"/>
      </w:rPr>
    </w:pPr>
    <w:r>
      <w:rPr>
        <w:rFonts w:ascii="Arial" w:hAnsi="Arial" w:cs="Arial"/>
        <w:color w:val="5FC1C5"/>
        <w:sz w:val="16"/>
        <w:szCs w:val="16"/>
      </w:rPr>
      <w:t>cmha.org.au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B8E29" w14:textId="77777777" w:rsidR="003F7054" w:rsidRDefault="003F7054" w:rsidP="0035500F">
      <w:pPr>
        <w:spacing w:after="0" w:line="240" w:lineRule="auto"/>
      </w:pPr>
      <w:r>
        <w:separator/>
      </w:r>
    </w:p>
  </w:footnote>
  <w:footnote w:type="continuationSeparator" w:id="0">
    <w:p w14:paraId="4B1111A2" w14:textId="77777777" w:rsidR="003F7054" w:rsidRDefault="003F7054" w:rsidP="0035500F">
      <w:pPr>
        <w:spacing w:after="0" w:line="240" w:lineRule="auto"/>
      </w:pPr>
      <w:r>
        <w:continuationSeparator/>
      </w:r>
    </w:p>
  </w:footnote>
  <w:footnote w:id="1">
    <w:p w14:paraId="52A81B66" w14:textId="26B3D100" w:rsidR="00065989" w:rsidRDefault="00065989">
      <w:pPr>
        <w:pStyle w:val="FootnoteText"/>
      </w:pPr>
      <w:r>
        <w:rPr>
          <w:rStyle w:val="FootnoteReference"/>
        </w:rPr>
        <w:footnoteRef/>
      </w:r>
      <w:r>
        <w:t xml:space="preserve"> </w:t>
      </w:r>
      <w:r w:rsidRPr="00065989">
        <w:t>https://www.who.int/publications/i/item/9789240080737</w:t>
      </w:r>
    </w:p>
  </w:footnote>
  <w:footnote w:id="2">
    <w:p w14:paraId="375CF370" w14:textId="621FC78C" w:rsidR="00050C7B" w:rsidRDefault="00050C7B">
      <w:pPr>
        <w:pStyle w:val="FootnoteText"/>
      </w:pPr>
      <w:r>
        <w:rPr>
          <w:rStyle w:val="FootnoteReference"/>
        </w:rPr>
        <w:footnoteRef/>
      </w:r>
      <w:r>
        <w:t xml:space="preserve"> </w:t>
      </w:r>
      <w:r w:rsidRPr="00050C7B">
        <w:t>https://www.who.int/publications/i/item/9789240106819</w:t>
      </w:r>
    </w:p>
  </w:footnote>
  <w:footnote w:id="3">
    <w:p w14:paraId="792D862A" w14:textId="228D8078" w:rsidR="00562329" w:rsidRDefault="00562329">
      <w:pPr>
        <w:pStyle w:val="FootnoteText"/>
      </w:pPr>
      <w:r>
        <w:rPr>
          <w:rStyle w:val="FootnoteReference"/>
        </w:rPr>
        <w:footnoteRef/>
      </w:r>
      <w:r>
        <w:t xml:space="preserve"> </w:t>
      </w:r>
      <w:hyperlink r:id="rId1" w:history="1">
        <w:r w:rsidRPr="00562329">
          <w:rPr>
            <w:rStyle w:val="Hyperlink"/>
          </w:rPr>
          <w:t>https://www.bmj.com/content/350/bmj.h391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61338" w14:textId="5EA15005" w:rsidR="004F6A47" w:rsidRDefault="004F6A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E021B" w14:textId="0144AA93" w:rsidR="004F6A47" w:rsidRDefault="004F6A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55CF6" w14:textId="272F5060" w:rsidR="004F6A47" w:rsidRDefault="004F6A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90EA6"/>
    <w:multiLevelType w:val="multilevel"/>
    <w:tmpl w:val="582C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64C92"/>
    <w:multiLevelType w:val="hybridMultilevel"/>
    <w:tmpl w:val="9496C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EF15A5"/>
    <w:multiLevelType w:val="multilevel"/>
    <w:tmpl w:val="1822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937711"/>
    <w:multiLevelType w:val="hybridMultilevel"/>
    <w:tmpl w:val="31667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FA672D"/>
    <w:multiLevelType w:val="multilevel"/>
    <w:tmpl w:val="E686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BA21C6"/>
    <w:multiLevelType w:val="hybridMultilevel"/>
    <w:tmpl w:val="C4905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9F172A"/>
    <w:multiLevelType w:val="multilevel"/>
    <w:tmpl w:val="B2FE3D6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46754CF6"/>
    <w:multiLevelType w:val="multilevel"/>
    <w:tmpl w:val="6B9C9FE2"/>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5CD7184"/>
    <w:multiLevelType w:val="hybridMultilevel"/>
    <w:tmpl w:val="6EFC1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2D3170"/>
    <w:multiLevelType w:val="hybridMultilevel"/>
    <w:tmpl w:val="95E03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E37919"/>
    <w:multiLevelType w:val="hybridMultilevel"/>
    <w:tmpl w:val="1EE80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9710860"/>
    <w:multiLevelType w:val="multilevel"/>
    <w:tmpl w:val="E5463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68137A"/>
    <w:multiLevelType w:val="multilevel"/>
    <w:tmpl w:val="FDE29388"/>
    <w:lvl w:ilvl="0">
      <w:start w:val="1"/>
      <w:numFmt w:val="decimal"/>
      <w:pStyle w:val="QCBHeading1"/>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BD0607D"/>
    <w:multiLevelType w:val="multilevel"/>
    <w:tmpl w:val="B244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D66307"/>
    <w:multiLevelType w:val="hybridMultilevel"/>
    <w:tmpl w:val="024EAD8A"/>
    <w:lvl w:ilvl="0" w:tplc="17661D8C">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8263984">
    <w:abstractNumId w:val="12"/>
  </w:num>
  <w:num w:numId="2" w16cid:durableId="15547821">
    <w:abstractNumId w:val="14"/>
  </w:num>
  <w:num w:numId="3" w16cid:durableId="222956856">
    <w:abstractNumId w:val="14"/>
  </w:num>
  <w:num w:numId="4" w16cid:durableId="355083314">
    <w:abstractNumId w:val="7"/>
  </w:num>
  <w:num w:numId="5" w16cid:durableId="699277609">
    <w:abstractNumId w:val="9"/>
  </w:num>
  <w:num w:numId="6" w16cid:durableId="895969841">
    <w:abstractNumId w:val="1"/>
  </w:num>
  <w:num w:numId="7" w16cid:durableId="1276139020">
    <w:abstractNumId w:val="8"/>
  </w:num>
  <w:num w:numId="8" w16cid:durableId="1430853384">
    <w:abstractNumId w:val="3"/>
  </w:num>
  <w:num w:numId="9" w16cid:durableId="790636904">
    <w:abstractNumId w:val="5"/>
  </w:num>
  <w:num w:numId="10" w16cid:durableId="611671270">
    <w:abstractNumId w:val="0"/>
  </w:num>
  <w:num w:numId="11" w16cid:durableId="2009088908">
    <w:abstractNumId w:val="6"/>
  </w:num>
  <w:num w:numId="12" w16cid:durableId="154804650">
    <w:abstractNumId w:val="4"/>
  </w:num>
  <w:num w:numId="13" w16cid:durableId="623850335">
    <w:abstractNumId w:val="2"/>
  </w:num>
  <w:num w:numId="14" w16cid:durableId="1392852160">
    <w:abstractNumId w:val="13"/>
  </w:num>
  <w:num w:numId="15" w16cid:durableId="188102447">
    <w:abstractNumId w:val="11"/>
  </w:num>
  <w:num w:numId="16" w16cid:durableId="10067105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B0D"/>
    <w:rsid w:val="00015F4E"/>
    <w:rsid w:val="00022F10"/>
    <w:rsid w:val="000234FE"/>
    <w:rsid w:val="00032DB4"/>
    <w:rsid w:val="00037345"/>
    <w:rsid w:val="00045C80"/>
    <w:rsid w:val="00050C7B"/>
    <w:rsid w:val="00053F34"/>
    <w:rsid w:val="00065989"/>
    <w:rsid w:val="00077794"/>
    <w:rsid w:val="00082C22"/>
    <w:rsid w:val="000862F8"/>
    <w:rsid w:val="00086F2E"/>
    <w:rsid w:val="000975EC"/>
    <w:rsid w:val="000A5B28"/>
    <w:rsid w:val="000B725D"/>
    <w:rsid w:val="000C2312"/>
    <w:rsid w:val="000C6E92"/>
    <w:rsid w:val="000D16B6"/>
    <w:rsid w:val="00122C5C"/>
    <w:rsid w:val="00126E78"/>
    <w:rsid w:val="00143025"/>
    <w:rsid w:val="00143418"/>
    <w:rsid w:val="00150EED"/>
    <w:rsid w:val="0016257E"/>
    <w:rsid w:val="001669A7"/>
    <w:rsid w:val="00175562"/>
    <w:rsid w:val="00185D7C"/>
    <w:rsid w:val="001957EA"/>
    <w:rsid w:val="001B5C3F"/>
    <w:rsid w:val="001B71CB"/>
    <w:rsid w:val="001D1DEB"/>
    <w:rsid w:val="001F0917"/>
    <w:rsid w:val="0021709E"/>
    <w:rsid w:val="00217A2A"/>
    <w:rsid w:val="00223EDA"/>
    <w:rsid w:val="00241901"/>
    <w:rsid w:val="002512B1"/>
    <w:rsid w:val="00257B61"/>
    <w:rsid w:val="00275562"/>
    <w:rsid w:val="002813AB"/>
    <w:rsid w:val="00285713"/>
    <w:rsid w:val="002A5DCA"/>
    <w:rsid w:val="002D7C68"/>
    <w:rsid w:val="002F41F8"/>
    <w:rsid w:val="00304F61"/>
    <w:rsid w:val="003120B5"/>
    <w:rsid w:val="00314C40"/>
    <w:rsid w:val="00323957"/>
    <w:rsid w:val="0034006C"/>
    <w:rsid w:val="0034145C"/>
    <w:rsid w:val="003451A5"/>
    <w:rsid w:val="0035500F"/>
    <w:rsid w:val="00366945"/>
    <w:rsid w:val="00371157"/>
    <w:rsid w:val="0037477D"/>
    <w:rsid w:val="003802DC"/>
    <w:rsid w:val="00394B30"/>
    <w:rsid w:val="003A5523"/>
    <w:rsid w:val="003B4B13"/>
    <w:rsid w:val="003D525E"/>
    <w:rsid w:val="003E1135"/>
    <w:rsid w:val="003F060C"/>
    <w:rsid w:val="003F7054"/>
    <w:rsid w:val="00401040"/>
    <w:rsid w:val="004073C7"/>
    <w:rsid w:val="004106EF"/>
    <w:rsid w:val="00427E76"/>
    <w:rsid w:val="00433390"/>
    <w:rsid w:val="00456F3A"/>
    <w:rsid w:val="00474034"/>
    <w:rsid w:val="00485DD0"/>
    <w:rsid w:val="004864D1"/>
    <w:rsid w:val="004B0A2D"/>
    <w:rsid w:val="004C2116"/>
    <w:rsid w:val="004C5B63"/>
    <w:rsid w:val="004D2F3B"/>
    <w:rsid w:val="004E19B6"/>
    <w:rsid w:val="004F5B9B"/>
    <w:rsid w:val="004F6A47"/>
    <w:rsid w:val="00502B8B"/>
    <w:rsid w:val="00503670"/>
    <w:rsid w:val="00524B0D"/>
    <w:rsid w:val="00524E7E"/>
    <w:rsid w:val="005359C3"/>
    <w:rsid w:val="005528ED"/>
    <w:rsid w:val="00557051"/>
    <w:rsid w:val="00562329"/>
    <w:rsid w:val="00584E91"/>
    <w:rsid w:val="005A38E4"/>
    <w:rsid w:val="005B3E53"/>
    <w:rsid w:val="005D76C7"/>
    <w:rsid w:val="006056C7"/>
    <w:rsid w:val="00641310"/>
    <w:rsid w:val="0064502A"/>
    <w:rsid w:val="0067377B"/>
    <w:rsid w:val="006836F1"/>
    <w:rsid w:val="00696D14"/>
    <w:rsid w:val="006A2647"/>
    <w:rsid w:val="006B5D4F"/>
    <w:rsid w:val="006C66FC"/>
    <w:rsid w:val="006D4BB4"/>
    <w:rsid w:val="006D730D"/>
    <w:rsid w:val="006F7663"/>
    <w:rsid w:val="00753419"/>
    <w:rsid w:val="0075601B"/>
    <w:rsid w:val="00775183"/>
    <w:rsid w:val="00786B5A"/>
    <w:rsid w:val="007A5157"/>
    <w:rsid w:val="007B381B"/>
    <w:rsid w:val="007D3C18"/>
    <w:rsid w:val="007E767D"/>
    <w:rsid w:val="007F4FC0"/>
    <w:rsid w:val="008002BA"/>
    <w:rsid w:val="008008B2"/>
    <w:rsid w:val="008131A9"/>
    <w:rsid w:val="008254DD"/>
    <w:rsid w:val="008348B3"/>
    <w:rsid w:val="00881B16"/>
    <w:rsid w:val="008C0022"/>
    <w:rsid w:val="008C2A23"/>
    <w:rsid w:val="008D27F7"/>
    <w:rsid w:val="00905FBA"/>
    <w:rsid w:val="00914723"/>
    <w:rsid w:val="009166B4"/>
    <w:rsid w:val="00933224"/>
    <w:rsid w:val="00941F54"/>
    <w:rsid w:val="00953475"/>
    <w:rsid w:val="00961B80"/>
    <w:rsid w:val="009754E8"/>
    <w:rsid w:val="009941C4"/>
    <w:rsid w:val="009A2961"/>
    <w:rsid w:val="009D643F"/>
    <w:rsid w:val="009F4EFA"/>
    <w:rsid w:val="00A10B52"/>
    <w:rsid w:val="00A21EBB"/>
    <w:rsid w:val="00A23CA1"/>
    <w:rsid w:val="00A27253"/>
    <w:rsid w:val="00A561C0"/>
    <w:rsid w:val="00A566D5"/>
    <w:rsid w:val="00A73DAC"/>
    <w:rsid w:val="00A75C09"/>
    <w:rsid w:val="00A86A7F"/>
    <w:rsid w:val="00A94FB5"/>
    <w:rsid w:val="00AA795B"/>
    <w:rsid w:val="00AD522E"/>
    <w:rsid w:val="00AE0A93"/>
    <w:rsid w:val="00AF3C23"/>
    <w:rsid w:val="00B01900"/>
    <w:rsid w:val="00B3123A"/>
    <w:rsid w:val="00B32443"/>
    <w:rsid w:val="00B333B8"/>
    <w:rsid w:val="00B355BF"/>
    <w:rsid w:val="00B371AB"/>
    <w:rsid w:val="00B40FBA"/>
    <w:rsid w:val="00B5022C"/>
    <w:rsid w:val="00B52C2E"/>
    <w:rsid w:val="00B534AB"/>
    <w:rsid w:val="00B7131C"/>
    <w:rsid w:val="00B9122B"/>
    <w:rsid w:val="00B92603"/>
    <w:rsid w:val="00B93056"/>
    <w:rsid w:val="00BC760A"/>
    <w:rsid w:val="00BC7878"/>
    <w:rsid w:val="00BD2238"/>
    <w:rsid w:val="00BD314B"/>
    <w:rsid w:val="00BF7BA0"/>
    <w:rsid w:val="00C0219B"/>
    <w:rsid w:val="00C25D55"/>
    <w:rsid w:val="00C26F1E"/>
    <w:rsid w:val="00C271D9"/>
    <w:rsid w:val="00C30C17"/>
    <w:rsid w:val="00C315DB"/>
    <w:rsid w:val="00C74B93"/>
    <w:rsid w:val="00C7795A"/>
    <w:rsid w:val="00C874E1"/>
    <w:rsid w:val="00C97B3B"/>
    <w:rsid w:val="00CB1890"/>
    <w:rsid w:val="00D312DF"/>
    <w:rsid w:val="00D50883"/>
    <w:rsid w:val="00D664E7"/>
    <w:rsid w:val="00D82065"/>
    <w:rsid w:val="00D95BAE"/>
    <w:rsid w:val="00DC249F"/>
    <w:rsid w:val="00DC72B7"/>
    <w:rsid w:val="00DD37A7"/>
    <w:rsid w:val="00E038BF"/>
    <w:rsid w:val="00E03E98"/>
    <w:rsid w:val="00E06254"/>
    <w:rsid w:val="00E06EA2"/>
    <w:rsid w:val="00E1374A"/>
    <w:rsid w:val="00E252E7"/>
    <w:rsid w:val="00E350FA"/>
    <w:rsid w:val="00E37E3B"/>
    <w:rsid w:val="00E40AC4"/>
    <w:rsid w:val="00E560CD"/>
    <w:rsid w:val="00E7336D"/>
    <w:rsid w:val="00E95BDB"/>
    <w:rsid w:val="00EA14CE"/>
    <w:rsid w:val="00EC2F2C"/>
    <w:rsid w:val="00EF3316"/>
    <w:rsid w:val="00EF40CC"/>
    <w:rsid w:val="00EF73D6"/>
    <w:rsid w:val="00F01FF3"/>
    <w:rsid w:val="00F213A5"/>
    <w:rsid w:val="00F52957"/>
    <w:rsid w:val="00F6551C"/>
    <w:rsid w:val="00F81ADC"/>
    <w:rsid w:val="00F84802"/>
    <w:rsid w:val="00FB6C1D"/>
    <w:rsid w:val="00FD0E42"/>
    <w:rsid w:val="00FD78A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46DD"/>
  <w15:chartTrackingRefBased/>
  <w15:docId w15:val="{4BD5D1BA-FC5D-408A-B9B8-763D28C66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FD78A9"/>
    <w:pPr>
      <w:keepNext/>
      <w:keepLines/>
      <w:numPr>
        <w:numId w:val="4"/>
      </w:numPr>
      <w:snapToGrid w:val="0"/>
      <w:spacing w:after="120" w:line="240" w:lineRule="auto"/>
      <w:ind w:left="567" w:hanging="567"/>
      <w:outlineLvl w:val="0"/>
    </w:pPr>
    <w:rPr>
      <w:rFonts w:ascii="Calibri" w:eastAsiaTheme="majorEastAsia" w:hAnsi="Calibri" w:cstheme="majorBidi"/>
      <w:b/>
      <w:color w:val="000000" w:themeColor="text1"/>
      <w:sz w:val="28"/>
      <w:szCs w:val="40"/>
    </w:rPr>
  </w:style>
  <w:style w:type="paragraph" w:styleId="Heading2">
    <w:name w:val="heading 2"/>
    <w:basedOn w:val="Normal"/>
    <w:next w:val="Normal"/>
    <w:link w:val="Heading2Char"/>
    <w:uiPriority w:val="9"/>
    <w:semiHidden/>
    <w:unhideWhenUsed/>
    <w:qFormat/>
    <w:rsid w:val="00524B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4B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4B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4B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4B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4B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4B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4B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CBHeading1">
    <w:name w:val="QCB Heading 1"/>
    <w:basedOn w:val="Heading1"/>
    <w:autoRedefine/>
    <w:qFormat/>
    <w:rsid w:val="00FD78A9"/>
    <w:pPr>
      <w:numPr>
        <w:numId w:val="1"/>
      </w:numPr>
    </w:pPr>
    <w:rPr>
      <w:rFonts w:cs="Calibri"/>
      <w:b w:val="0"/>
      <w:bCs/>
    </w:rPr>
  </w:style>
  <w:style w:type="character" w:customStyle="1" w:styleId="Heading1Char">
    <w:name w:val="Heading 1 Char"/>
    <w:basedOn w:val="DefaultParagraphFont"/>
    <w:link w:val="Heading1"/>
    <w:uiPriority w:val="9"/>
    <w:rsid w:val="00FD78A9"/>
    <w:rPr>
      <w:rFonts w:ascii="Calibri" w:eastAsiaTheme="majorEastAsia" w:hAnsi="Calibri" w:cstheme="majorBidi"/>
      <w:b/>
      <w:color w:val="000000" w:themeColor="text1"/>
      <w:sz w:val="28"/>
      <w:szCs w:val="40"/>
    </w:rPr>
  </w:style>
  <w:style w:type="paragraph" w:customStyle="1" w:styleId="QCBBody">
    <w:name w:val="QCB Body"/>
    <w:basedOn w:val="Normal"/>
    <w:next w:val="Normal"/>
    <w:autoRedefine/>
    <w:qFormat/>
    <w:rsid w:val="00FD78A9"/>
    <w:pPr>
      <w:snapToGrid w:val="0"/>
      <w:spacing w:after="120" w:line="240" w:lineRule="auto"/>
    </w:pPr>
    <w:rPr>
      <w:rFonts w:ascii="Calibri" w:hAnsi="Calibri" w:cs="Calibri"/>
      <w:sz w:val="22"/>
      <w:szCs w:val="22"/>
    </w:rPr>
  </w:style>
  <w:style w:type="character" w:customStyle="1" w:styleId="Heading2Char">
    <w:name w:val="Heading 2 Char"/>
    <w:basedOn w:val="DefaultParagraphFont"/>
    <w:link w:val="Heading2"/>
    <w:uiPriority w:val="9"/>
    <w:semiHidden/>
    <w:rsid w:val="00524B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4B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4B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4B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4B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4B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4B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4B0D"/>
    <w:rPr>
      <w:rFonts w:eastAsiaTheme="majorEastAsia" w:cstheme="majorBidi"/>
      <w:color w:val="272727" w:themeColor="text1" w:themeTint="D8"/>
    </w:rPr>
  </w:style>
  <w:style w:type="paragraph" w:styleId="Title">
    <w:name w:val="Title"/>
    <w:basedOn w:val="Normal"/>
    <w:next w:val="Normal"/>
    <w:link w:val="TitleChar"/>
    <w:uiPriority w:val="10"/>
    <w:qFormat/>
    <w:rsid w:val="00524B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4B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4B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4B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4B0D"/>
    <w:pPr>
      <w:spacing w:before="160"/>
      <w:jc w:val="center"/>
    </w:pPr>
    <w:rPr>
      <w:i/>
      <w:iCs/>
      <w:color w:val="404040" w:themeColor="text1" w:themeTint="BF"/>
    </w:rPr>
  </w:style>
  <w:style w:type="character" w:customStyle="1" w:styleId="QuoteChar">
    <w:name w:val="Quote Char"/>
    <w:basedOn w:val="DefaultParagraphFont"/>
    <w:link w:val="Quote"/>
    <w:uiPriority w:val="29"/>
    <w:rsid w:val="00524B0D"/>
    <w:rPr>
      <w:i/>
      <w:iCs/>
      <w:color w:val="404040" w:themeColor="text1" w:themeTint="BF"/>
    </w:rPr>
  </w:style>
  <w:style w:type="paragraph" w:styleId="ListParagraph">
    <w:name w:val="List Paragraph"/>
    <w:basedOn w:val="Normal"/>
    <w:uiPriority w:val="34"/>
    <w:qFormat/>
    <w:rsid w:val="00524B0D"/>
    <w:pPr>
      <w:ind w:left="720"/>
      <w:contextualSpacing/>
    </w:pPr>
  </w:style>
  <w:style w:type="character" w:styleId="IntenseEmphasis">
    <w:name w:val="Intense Emphasis"/>
    <w:basedOn w:val="DefaultParagraphFont"/>
    <w:uiPriority w:val="21"/>
    <w:qFormat/>
    <w:rsid w:val="00524B0D"/>
    <w:rPr>
      <w:i/>
      <w:iCs/>
      <w:color w:val="0F4761" w:themeColor="accent1" w:themeShade="BF"/>
    </w:rPr>
  </w:style>
  <w:style w:type="paragraph" w:styleId="IntenseQuote">
    <w:name w:val="Intense Quote"/>
    <w:basedOn w:val="Normal"/>
    <w:next w:val="Normal"/>
    <w:link w:val="IntenseQuoteChar"/>
    <w:uiPriority w:val="30"/>
    <w:qFormat/>
    <w:rsid w:val="00524B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4B0D"/>
    <w:rPr>
      <w:i/>
      <w:iCs/>
      <w:color w:val="0F4761" w:themeColor="accent1" w:themeShade="BF"/>
    </w:rPr>
  </w:style>
  <w:style w:type="character" w:styleId="IntenseReference">
    <w:name w:val="Intense Reference"/>
    <w:basedOn w:val="DefaultParagraphFont"/>
    <w:uiPriority w:val="32"/>
    <w:qFormat/>
    <w:rsid w:val="00524B0D"/>
    <w:rPr>
      <w:b/>
      <w:bCs/>
      <w:smallCaps/>
      <w:color w:val="0F4761" w:themeColor="accent1" w:themeShade="BF"/>
      <w:spacing w:val="5"/>
    </w:rPr>
  </w:style>
  <w:style w:type="paragraph" w:styleId="Header">
    <w:name w:val="header"/>
    <w:basedOn w:val="Normal"/>
    <w:link w:val="HeaderChar"/>
    <w:uiPriority w:val="99"/>
    <w:unhideWhenUsed/>
    <w:rsid w:val="003550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500F"/>
  </w:style>
  <w:style w:type="paragraph" w:styleId="Footer">
    <w:name w:val="footer"/>
    <w:basedOn w:val="Normal"/>
    <w:link w:val="FooterChar"/>
    <w:uiPriority w:val="99"/>
    <w:unhideWhenUsed/>
    <w:rsid w:val="003550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500F"/>
  </w:style>
  <w:style w:type="character" w:styleId="Hyperlink">
    <w:name w:val="Hyperlink"/>
    <w:basedOn w:val="DefaultParagraphFont"/>
    <w:uiPriority w:val="99"/>
    <w:unhideWhenUsed/>
    <w:rsid w:val="003A5523"/>
    <w:rPr>
      <w:color w:val="467886" w:themeColor="hyperlink"/>
      <w:u w:val="single"/>
    </w:rPr>
  </w:style>
  <w:style w:type="character" w:styleId="UnresolvedMention">
    <w:name w:val="Unresolved Mention"/>
    <w:basedOn w:val="DefaultParagraphFont"/>
    <w:uiPriority w:val="99"/>
    <w:semiHidden/>
    <w:unhideWhenUsed/>
    <w:rsid w:val="003A5523"/>
    <w:rPr>
      <w:color w:val="605E5C"/>
      <w:shd w:val="clear" w:color="auto" w:fill="E1DFDD"/>
    </w:rPr>
  </w:style>
  <w:style w:type="paragraph" w:styleId="Revision">
    <w:name w:val="Revision"/>
    <w:hidden/>
    <w:uiPriority w:val="99"/>
    <w:semiHidden/>
    <w:rsid w:val="008C0022"/>
    <w:pPr>
      <w:spacing w:after="0" w:line="240" w:lineRule="auto"/>
    </w:pPr>
  </w:style>
  <w:style w:type="character" w:styleId="Strong">
    <w:name w:val="Strong"/>
    <w:basedOn w:val="DefaultParagraphFont"/>
    <w:uiPriority w:val="22"/>
    <w:qFormat/>
    <w:rsid w:val="00015F4E"/>
    <w:rPr>
      <w:b/>
      <w:bCs/>
    </w:rPr>
  </w:style>
  <w:style w:type="paragraph" w:styleId="NormalWeb">
    <w:name w:val="Normal (Web)"/>
    <w:basedOn w:val="Normal"/>
    <w:uiPriority w:val="99"/>
    <w:unhideWhenUsed/>
    <w:rsid w:val="00015F4E"/>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styleId="CommentReference">
    <w:name w:val="annotation reference"/>
    <w:basedOn w:val="DefaultParagraphFont"/>
    <w:uiPriority w:val="99"/>
    <w:semiHidden/>
    <w:unhideWhenUsed/>
    <w:rsid w:val="007A5157"/>
    <w:rPr>
      <w:sz w:val="16"/>
      <w:szCs w:val="16"/>
    </w:rPr>
  </w:style>
  <w:style w:type="paragraph" w:styleId="CommentText">
    <w:name w:val="annotation text"/>
    <w:basedOn w:val="Normal"/>
    <w:link w:val="CommentTextChar"/>
    <w:uiPriority w:val="99"/>
    <w:unhideWhenUsed/>
    <w:rsid w:val="007A5157"/>
    <w:pPr>
      <w:spacing w:line="240" w:lineRule="auto"/>
    </w:pPr>
    <w:rPr>
      <w:sz w:val="20"/>
      <w:szCs w:val="20"/>
    </w:rPr>
  </w:style>
  <w:style w:type="character" w:customStyle="1" w:styleId="CommentTextChar">
    <w:name w:val="Comment Text Char"/>
    <w:basedOn w:val="DefaultParagraphFont"/>
    <w:link w:val="CommentText"/>
    <w:uiPriority w:val="99"/>
    <w:rsid w:val="007A5157"/>
    <w:rPr>
      <w:sz w:val="20"/>
      <w:szCs w:val="20"/>
    </w:rPr>
  </w:style>
  <w:style w:type="paragraph" w:styleId="CommentSubject">
    <w:name w:val="annotation subject"/>
    <w:basedOn w:val="CommentText"/>
    <w:next w:val="CommentText"/>
    <w:link w:val="CommentSubjectChar"/>
    <w:uiPriority w:val="99"/>
    <w:semiHidden/>
    <w:unhideWhenUsed/>
    <w:rsid w:val="007A5157"/>
    <w:rPr>
      <w:b/>
      <w:bCs/>
    </w:rPr>
  </w:style>
  <w:style w:type="character" w:customStyle="1" w:styleId="CommentSubjectChar">
    <w:name w:val="Comment Subject Char"/>
    <w:basedOn w:val="CommentTextChar"/>
    <w:link w:val="CommentSubject"/>
    <w:uiPriority w:val="99"/>
    <w:semiHidden/>
    <w:rsid w:val="007A5157"/>
    <w:rPr>
      <w:b/>
      <w:bCs/>
      <w:sz w:val="20"/>
      <w:szCs w:val="20"/>
    </w:rPr>
  </w:style>
  <w:style w:type="paragraph" w:styleId="FootnoteText">
    <w:name w:val="footnote text"/>
    <w:basedOn w:val="Normal"/>
    <w:link w:val="FootnoteTextChar"/>
    <w:uiPriority w:val="99"/>
    <w:semiHidden/>
    <w:unhideWhenUsed/>
    <w:rsid w:val="005623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2329"/>
    <w:rPr>
      <w:sz w:val="20"/>
      <w:szCs w:val="20"/>
    </w:rPr>
  </w:style>
  <w:style w:type="character" w:styleId="FootnoteReference">
    <w:name w:val="footnote reference"/>
    <w:basedOn w:val="DefaultParagraphFont"/>
    <w:uiPriority w:val="99"/>
    <w:semiHidden/>
    <w:unhideWhenUsed/>
    <w:rsid w:val="005623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50672">
      <w:bodyDiv w:val="1"/>
      <w:marLeft w:val="0"/>
      <w:marRight w:val="0"/>
      <w:marTop w:val="0"/>
      <w:marBottom w:val="0"/>
      <w:divBdr>
        <w:top w:val="none" w:sz="0" w:space="0" w:color="auto"/>
        <w:left w:val="none" w:sz="0" w:space="0" w:color="auto"/>
        <w:bottom w:val="none" w:sz="0" w:space="0" w:color="auto"/>
        <w:right w:val="none" w:sz="0" w:space="0" w:color="auto"/>
      </w:divBdr>
    </w:div>
    <w:div w:id="401027770">
      <w:bodyDiv w:val="1"/>
      <w:marLeft w:val="0"/>
      <w:marRight w:val="0"/>
      <w:marTop w:val="0"/>
      <w:marBottom w:val="0"/>
      <w:divBdr>
        <w:top w:val="none" w:sz="0" w:space="0" w:color="auto"/>
        <w:left w:val="none" w:sz="0" w:space="0" w:color="auto"/>
        <w:bottom w:val="none" w:sz="0" w:space="0" w:color="auto"/>
        <w:right w:val="none" w:sz="0" w:space="0" w:color="auto"/>
      </w:divBdr>
    </w:div>
    <w:div w:id="586810332">
      <w:bodyDiv w:val="1"/>
      <w:marLeft w:val="0"/>
      <w:marRight w:val="0"/>
      <w:marTop w:val="0"/>
      <w:marBottom w:val="0"/>
      <w:divBdr>
        <w:top w:val="none" w:sz="0" w:space="0" w:color="auto"/>
        <w:left w:val="none" w:sz="0" w:space="0" w:color="auto"/>
        <w:bottom w:val="none" w:sz="0" w:space="0" w:color="auto"/>
        <w:right w:val="none" w:sz="0" w:space="0" w:color="auto"/>
      </w:divBdr>
    </w:div>
    <w:div w:id="626083279">
      <w:bodyDiv w:val="1"/>
      <w:marLeft w:val="0"/>
      <w:marRight w:val="0"/>
      <w:marTop w:val="0"/>
      <w:marBottom w:val="0"/>
      <w:divBdr>
        <w:top w:val="none" w:sz="0" w:space="0" w:color="auto"/>
        <w:left w:val="none" w:sz="0" w:space="0" w:color="auto"/>
        <w:bottom w:val="none" w:sz="0" w:space="0" w:color="auto"/>
        <w:right w:val="none" w:sz="0" w:space="0" w:color="auto"/>
      </w:divBdr>
    </w:div>
    <w:div w:id="828643004">
      <w:bodyDiv w:val="1"/>
      <w:marLeft w:val="0"/>
      <w:marRight w:val="0"/>
      <w:marTop w:val="0"/>
      <w:marBottom w:val="0"/>
      <w:divBdr>
        <w:top w:val="none" w:sz="0" w:space="0" w:color="auto"/>
        <w:left w:val="none" w:sz="0" w:space="0" w:color="auto"/>
        <w:bottom w:val="none" w:sz="0" w:space="0" w:color="auto"/>
        <w:right w:val="none" w:sz="0" w:space="0" w:color="auto"/>
      </w:divBdr>
    </w:div>
    <w:div w:id="1017581696">
      <w:bodyDiv w:val="1"/>
      <w:marLeft w:val="0"/>
      <w:marRight w:val="0"/>
      <w:marTop w:val="0"/>
      <w:marBottom w:val="0"/>
      <w:divBdr>
        <w:top w:val="none" w:sz="0" w:space="0" w:color="auto"/>
        <w:left w:val="none" w:sz="0" w:space="0" w:color="auto"/>
        <w:bottom w:val="none" w:sz="0" w:space="0" w:color="auto"/>
        <w:right w:val="none" w:sz="0" w:space="0" w:color="auto"/>
      </w:divBdr>
    </w:div>
    <w:div w:id="1199079189">
      <w:bodyDiv w:val="1"/>
      <w:marLeft w:val="0"/>
      <w:marRight w:val="0"/>
      <w:marTop w:val="0"/>
      <w:marBottom w:val="0"/>
      <w:divBdr>
        <w:top w:val="none" w:sz="0" w:space="0" w:color="auto"/>
        <w:left w:val="none" w:sz="0" w:space="0" w:color="auto"/>
        <w:bottom w:val="none" w:sz="0" w:space="0" w:color="auto"/>
        <w:right w:val="none" w:sz="0" w:space="0" w:color="auto"/>
      </w:divBdr>
    </w:div>
    <w:div w:id="1345748158">
      <w:bodyDiv w:val="1"/>
      <w:marLeft w:val="0"/>
      <w:marRight w:val="0"/>
      <w:marTop w:val="0"/>
      <w:marBottom w:val="0"/>
      <w:divBdr>
        <w:top w:val="none" w:sz="0" w:space="0" w:color="auto"/>
        <w:left w:val="none" w:sz="0" w:space="0" w:color="auto"/>
        <w:bottom w:val="none" w:sz="0" w:space="0" w:color="auto"/>
        <w:right w:val="none" w:sz="0" w:space="0" w:color="auto"/>
      </w:divBdr>
    </w:div>
    <w:div w:id="1576822002">
      <w:bodyDiv w:val="1"/>
      <w:marLeft w:val="0"/>
      <w:marRight w:val="0"/>
      <w:marTop w:val="0"/>
      <w:marBottom w:val="0"/>
      <w:divBdr>
        <w:top w:val="none" w:sz="0" w:space="0" w:color="auto"/>
        <w:left w:val="none" w:sz="0" w:space="0" w:color="auto"/>
        <w:bottom w:val="none" w:sz="0" w:space="0" w:color="auto"/>
        <w:right w:val="none" w:sz="0" w:space="0" w:color="auto"/>
      </w:divBdr>
    </w:div>
    <w:div w:id="2038122265">
      <w:bodyDiv w:val="1"/>
      <w:marLeft w:val="0"/>
      <w:marRight w:val="0"/>
      <w:marTop w:val="0"/>
      <w:marBottom w:val="0"/>
      <w:divBdr>
        <w:top w:val="none" w:sz="0" w:space="0" w:color="auto"/>
        <w:left w:val="none" w:sz="0" w:space="0" w:color="auto"/>
        <w:bottom w:val="none" w:sz="0" w:space="0" w:color="auto"/>
        <w:right w:val="none" w:sz="0" w:space="0" w:color="auto"/>
      </w:divBdr>
    </w:div>
    <w:div w:id="2077242351">
      <w:bodyDiv w:val="1"/>
      <w:marLeft w:val="0"/>
      <w:marRight w:val="0"/>
      <w:marTop w:val="0"/>
      <w:marBottom w:val="0"/>
      <w:divBdr>
        <w:top w:val="none" w:sz="0" w:space="0" w:color="auto"/>
        <w:left w:val="none" w:sz="0" w:space="0" w:color="auto"/>
        <w:bottom w:val="none" w:sz="0" w:space="0" w:color="auto"/>
        <w:right w:val="none" w:sz="0" w:space="0" w:color="auto"/>
      </w:divBdr>
    </w:div>
    <w:div w:id="2090499608">
      <w:bodyDiv w:val="1"/>
      <w:marLeft w:val="0"/>
      <w:marRight w:val="0"/>
      <w:marTop w:val="0"/>
      <w:marBottom w:val="0"/>
      <w:divBdr>
        <w:top w:val="none" w:sz="0" w:space="0" w:color="auto"/>
        <w:left w:val="none" w:sz="0" w:space="0" w:color="auto"/>
        <w:bottom w:val="none" w:sz="0" w:space="0" w:color="auto"/>
        <w:right w:val="none" w:sz="0" w:space="0" w:color="auto"/>
      </w:divBdr>
    </w:div>
    <w:div w:id="209442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mj.com/content/350/bmj.h3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1BCBEF312711479ADEF6B7B1103881" ma:contentTypeVersion="8" ma:contentTypeDescription="Create a new document." ma:contentTypeScope="" ma:versionID="8b71cc0c430f7fd3e6ffcaf1f1071fcb">
  <xsd:schema xmlns:xsd="http://www.w3.org/2001/XMLSchema" xmlns:xs="http://www.w3.org/2001/XMLSchema" xmlns:p="http://schemas.microsoft.com/office/2006/metadata/properties" xmlns:ns2="3dedea7b-27b6-4a15-82b5-d59966af1777" xmlns:ns3="420bf62e-0c8b-404a-9d6b-1b09874336e9" targetNamespace="http://schemas.microsoft.com/office/2006/metadata/properties" ma:root="true" ma:fieldsID="0728b25ff29b8a774a93d60f126399cb" ns2:_="" ns3:_="">
    <xsd:import namespace="3dedea7b-27b6-4a15-82b5-d59966af1777"/>
    <xsd:import namespace="420bf62e-0c8b-404a-9d6b-1b09874336e9"/>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ea7b-27b6-4a15-82b5-d59966af1777"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eb411c1-e247-49e6-a8ed-4303c9583bd9}" ma:internalName="TaxCatchAll" ma:showField="CatchAllData" ma:web="3dedea7b-27b6-4a15-82b5-d59966af17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0bf62e-0c8b-404a-9d6b-1b09874336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BillingMetadata" ma:index="1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0f84bba906045b4af568ee102a52dcb xmlns="3dedea7b-27b6-4a15-82b5-d59966af177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3dedea7b-27b6-4a15-82b5-d59966af1777">
      <Value>1</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DAC83-CB22-42E1-B9ED-779437167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ea7b-27b6-4a15-82b5-d59966af1777"/>
    <ds:schemaRef ds:uri="420bf62e-0c8b-404a-9d6b-1b0987433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E13DA-9DEB-4845-81CB-6D36CF44FC08}">
  <ds:schemaRefs>
    <ds:schemaRef ds:uri="http://schemas.microsoft.com/office/2006/metadata/properties"/>
    <ds:schemaRef ds:uri="http://schemas.microsoft.com/office/infopath/2007/PartnerControls"/>
    <ds:schemaRef ds:uri="3dedea7b-27b6-4a15-82b5-d59966af1777"/>
  </ds:schemaRefs>
</ds:datastoreItem>
</file>

<file path=customXml/itemProps3.xml><?xml version="1.0" encoding="utf-8"?>
<ds:datastoreItem xmlns:ds="http://schemas.openxmlformats.org/officeDocument/2006/customXml" ds:itemID="{DFFD718F-02BF-4E53-8DAC-6DDD1608F923}">
  <ds:schemaRefs>
    <ds:schemaRef ds:uri="http://schemas.microsoft.com/sharepoint/v3/contenttype/forms"/>
  </ds:schemaRefs>
</ds:datastoreItem>
</file>

<file path=customXml/itemProps4.xml><?xml version="1.0" encoding="utf-8"?>
<ds:datastoreItem xmlns:ds="http://schemas.openxmlformats.org/officeDocument/2006/customXml" ds:itemID="{E59BFF0B-7532-4228-9CC6-D7F945668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3271</Words>
  <Characters>18648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Submission 216 - Community Mental Health Australia (CMHA) - Mental Health and Suicide Prevention Agreement Review - Public inquiry</vt:lpstr>
    </vt:vector>
  </TitlesOfParts>
  <Company>Community Mental Health Australia (CMHA) </Company>
  <LinksUpToDate>false</LinksUpToDate>
  <CharactersWithSpaces>21876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216 - Community Mental Health Australia (CMHA) - Mental Health and Suicide Prevention Agreement Review - Public inquiry</dc:title>
  <dc:subject/>
  <dc:creator>Community Mental Health Australia (CMHA) </dc:creator>
  <cp:keywords/>
  <dc:description/>
  <cp:lastModifiedBy>Chris Alston</cp:lastModifiedBy>
  <cp:revision>3</cp:revision>
  <cp:lastPrinted>2025-05-04T17:45:00Z</cp:lastPrinted>
  <dcterms:created xsi:type="dcterms:W3CDTF">2025-08-11T03:58:00Z</dcterms:created>
  <dcterms:modified xsi:type="dcterms:W3CDTF">2025-08-11T04:00:00Z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0x010100DA1BCBEF312711479ADEF6B7B1103881</vt:lpwstr>
  </property>
  <property fmtid="{D5CDD505-2E9C-101B-9397-08002B2CF9AE}" pid="3" name="RevIMBCS">
    <vt:i4>1</vt:i4>
  </property>
  <property fmtid="{D5CDD505-2E9C-101B-9397-08002B2CF9AE}" pid="4" name="MSIP_Label_c1f2b1ce-4212-46db-a901-dd8453f57141_Enabled">
    <vt:lpwstr>true</vt:lpwstr>
  </property>
  <property fmtid="{D5CDD505-2E9C-101B-9397-08002B2CF9AE}" pid="5" name="MSIP_Label_c1f2b1ce-4212-46db-a901-dd8453f57141_SetDate">
    <vt:lpwstr>2025-08-11T03:58:31Z</vt:lpwstr>
  </property>
  <property fmtid="{D5CDD505-2E9C-101B-9397-08002B2CF9AE}" pid="6" name="MSIP_Label_c1f2b1ce-4212-46db-a901-dd8453f57141_Method">
    <vt:lpwstr>Privileged</vt:lpwstr>
  </property>
  <property fmtid="{D5CDD505-2E9C-101B-9397-08002B2CF9AE}" pid="7" name="MSIP_Label_c1f2b1ce-4212-46db-a901-dd8453f57141_Name">
    <vt:lpwstr>Publish</vt:lpwstr>
  </property>
  <property fmtid="{D5CDD505-2E9C-101B-9397-08002B2CF9AE}" pid="8" name="MSIP_Label_c1f2b1ce-4212-46db-a901-dd8453f57141_SiteId">
    <vt:lpwstr>29f9330b-c0fe-4244-830e-ba9f275d6c34</vt:lpwstr>
  </property>
  <property fmtid="{D5CDD505-2E9C-101B-9397-08002B2CF9AE}" pid="9" name="MSIP_Label_c1f2b1ce-4212-46db-a901-dd8453f57141_ActionId">
    <vt:lpwstr>62939a84-7e4a-4e5a-9287-aaaf55edc61f</vt:lpwstr>
  </property>
  <property fmtid="{D5CDD505-2E9C-101B-9397-08002B2CF9AE}" pid="10" name="MSIP_Label_c1f2b1ce-4212-46db-a901-dd8453f57141_ContentBits">
    <vt:lpwstr>0</vt:lpwstr>
  </property>
  <property fmtid="{D5CDD505-2E9C-101B-9397-08002B2CF9AE}" pid="11" name="MSIP_Label_c1f2b1ce-4212-46db-a901-dd8453f57141_Tag">
    <vt:lpwstr>10, 0, 1, 1</vt:lpwstr>
  </property>
</Properties>
</file>