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1428551" w:displacedByCustomXml="next"/>
    <w:sdt>
      <w:sdtPr>
        <w:id w:val="-228914026"/>
        <w:docPartObj>
          <w:docPartGallery w:val="Cover Pages"/>
          <w:docPartUnique/>
        </w:docPartObj>
      </w:sdtPr>
      <w:sdtContent>
        <w:p w14:paraId="0AA293C9" w14:textId="77777777" w:rsidR="0049695F" w:rsidRPr="003967D2" w:rsidRDefault="0049695F" w:rsidP="003967D2">
          <w:pPr>
            <w:pStyle w:val="BodyText"/>
            <w:spacing w:after="0"/>
            <w:rPr>
              <w:color w:val="FFFFFF" w:themeColor="background1"/>
            </w:rPr>
          </w:pPr>
        </w:p>
        <w:p w14:paraId="7B93CF5D" w14:textId="70444D31" w:rsidR="0049695F" w:rsidRPr="00995A65" w:rsidRDefault="00A2624C" w:rsidP="00995A65">
          <w:pPr>
            <w:pStyle w:val="Title"/>
            <w:spacing w:before="120"/>
            <w:ind w:right="1274"/>
            <w:rPr>
              <w:rFonts w:ascii="Open Sans Extrabold" w:hAnsi="Open Sans Extrabold" w:cs="Open Sans Extrabold"/>
              <w:color w:val="132D4D" w:themeColor="background2" w:themeShade="80"/>
              <w:szCs w:val="52"/>
            </w:rPr>
          </w:pPr>
          <w:r w:rsidRPr="00995A65">
            <w:rPr>
              <w:rStyle w:val="TitleChar"/>
              <w:rFonts w:ascii="Open Sans Extrabold" w:hAnsi="Open Sans Extrabold" w:cs="Open Sans Extrabold"/>
              <w:color w:val="132D4D" w:themeColor="background2" w:themeShade="80"/>
              <w:szCs w:val="52"/>
            </w:rPr>
            <w:t xml:space="preserve">Australia’s circular economy: </w:t>
          </w:r>
          <w:r w:rsidR="003A4533">
            <w:rPr>
              <w:rStyle w:val="TitleChar"/>
              <w:rFonts w:ascii="Open Sans Extrabold" w:hAnsi="Open Sans Extrabold" w:cs="Open Sans Extrabold"/>
              <w:color w:val="132D4D" w:themeColor="background2" w:themeShade="80"/>
              <w:szCs w:val="52"/>
            </w:rPr>
            <w:t>u</w:t>
          </w:r>
          <w:r w:rsidRPr="00995A65">
            <w:rPr>
              <w:rStyle w:val="TitleChar"/>
              <w:rFonts w:ascii="Open Sans Extrabold" w:hAnsi="Open Sans Extrabold" w:cs="Open Sans Extrabold"/>
              <w:color w:val="132D4D" w:themeColor="background2" w:themeShade="80"/>
              <w:szCs w:val="52"/>
            </w:rPr>
            <w:t>nlocking the opportunities</w:t>
          </w:r>
        </w:p>
        <w:p w14:paraId="70872682" w14:textId="0D0E0A1E" w:rsidR="0049695F" w:rsidRPr="00D36869" w:rsidRDefault="00B342E3" w:rsidP="0049695F">
          <w:pPr>
            <w:pStyle w:val="Subtitle"/>
            <w:rPr>
              <w:color w:val="132D4D" w:themeColor="background2" w:themeShade="80"/>
            </w:rPr>
          </w:pPr>
          <w:r w:rsidRPr="00D36869">
            <w:rPr>
              <w:color w:val="132D4D" w:themeColor="background2" w:themeShade="80"/>
            </w:rPr>
            <w:t xml:space="preserve">Inquiry </w:t>
          </w:r>
          <w:r w:rsidR="00B50B06" w:rsidRPr="00D36869">
            <w:rPr>
              <w:color w:val="132D4D" w:themeColor="background2" w:themeShade="80"/>
            </w:rPr>
            <w:t>r</w:t>
          </w:r>
          <w:r w:rsidRPr="00D36869">
            <w:rPr>
              <w:color w:val="132D4D" w:themeColor="background2" w:themeShade="80"/>
            </w:rPr>
            <w:t>eport</w:t>
          </w:r>
          <w:r w:rsidR="00FB2664">
            <w:rPr>
              <w:color w:val="132D4D" w:themeColor="background2" w:themeShade="80"/>
            </w:rPr>
            <w:t xml:space="preserve"> overview</w:t>
          </w:r>
        </w:p>
        <w:p w14:paraId="0BDD2FA8" w14:textId="5E5CD005" w:rsidR="0049695F" w:rsidRPr="006608F9" w:rsidRDefault="0096473B" w:rsidP="0049695F">
          <w:pPr>
            <w:spacing w:after="160" w:line="259" w:lineRule="auto"/>
            <w:rPr>
              <w:color w:val="132D4D" w:themeColor="background2" w:themeShade="80"/>
              <w:sz w:val="36"/>
              <w:szCs w:val="36"/>
            </w:rPr>
          </w:pPr>
          <w:r w:rsidRPr="006608F9">
            <w:rPr>
              <w:color w:val="132D4D" w:themeColor="background2" w:themeShade="80"/>
              <w:sz w:val="36"/>
              <w:szCs w:val="36"/>
            </w:rPr>
            <w:t>No. 107 | 22 August 202</w:t>
          </w:r>
          <w:r w:rsidR="00690C3A">
            <w:rPr>
              <w:color w:val="132D4D" w:themeColor="background2" w:themeShade="80"/>
              <w:sz w:val="36"/>
              <w:szCs w:val="36"/>
            </w:rPr>
            <w:t>5</w:t>
          </w:r>
        </w:p>
        <w:bookmarkEnd w:id="0"/>
        <w:p w14:paraId="41F559D3" w14:textId="681096B1" w:rsidR="00FB2664" w:rsidRDefault="00FB2664"/>
        <w:p w14:paraId="3F79FF32" w14:textId="3B86EB15" w:rsidR="00B302FA" w:rsidRDefault="00B302FA" w:rsidP="0049695F">
          <w:pPr>
            <w:pStyle w:val="CoverImage"/>
            <w:framePr w:wrap="around"/>
            <w:sectPr w:rsidR="00B302FA" w:rsidSect="002E3F19">
              <w:footerReference w:type="even" r:id="rId14"/>
              <w:footerReference w:type="default" r:id="rId15"/>
              <w:headerReference w:type="first" r:id="rId16"/>
              <w:footerReference w:type="first" r:id="rId17"/>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24041D" w:rsidRPr="00B053C8" w14:paraId="65603701" w14:textId="77777777" w:rsidTr="0059512B">
            <w:trPr>
              <w:trHeight w:hRule="exact" w:val="12643"/>
            </w:trPr>
            <w:tc>
              <w:tcPr>
                <w:tcW w:w="9638" w:type="dxa"/>
                <w:shd w:val="clear" w:color="auto" w:fill="E0F1F7" w:themeFill="text2" w:themeFillTint="33"/>
                <w:tcMar>
                  <w:top w:w="113" w:type="dxa"/>
                </w:tcMar>
                <w:vAlign w:val="top"/>
              </w:tcPr>
              <w:p w14:paraId="0CFB422C" w14:textId="4B4820DE" w:rsidR="008E0F07" w:rsidRPr="0060454E" w:rsidRDefault="00E842F4" w:rsidP="0059512B">
                <w:pPr>
                  <w:pStyle w:val="Copyrightpage-BodyBold"/>
                  <w:ind w:right="-284"/>
                  <w:rPr>
                    <w:rFonts w:ascii="Arial" w:hAnsi="Arial" w:cs="Arial"/>
                    <w:bCs/>
                    <w:color w:val="auto"/>
                    <w:spacing w:val="2"/>
                  </w:rPr>
                </w:pPr>
                <w:r w:rsidRPr="0060454E">
                  <w:rPr>
                    <w:rFonts w:ascii="Arial" w:hAnsi="Arial" w:cs="Arial"/>
                    <w:bCs/>
                    <w:noProof/>
                    <w:color w:val="auto"/>
                    <w:spacing w:val="2"/>
                  </w:rPr>
                  <w:lastRenderedPageBreak/>
                  <w:drawing>
                    <wp:anchor distT="0" distB="0" distL="114300" distR="114300" simplePos="0" relativeHeight="251658240" behindDoc="0" locked="0" layoutInCell="1" allowOverlap="1" wp14:anchorId="2BE52241" wp14:editId="6F936A4C">
                      <wp:simplePos x="0" y="0"/>
                      <wp:positionH relativeFrom="column">
                        <wp:posOffset>322</wp:posOffset>
                      </wp:positionH>
                      <wp:positionV relativeFrom="paragraph">
                        <wp:posOffset>46753</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2FA" w:rsidRPr="0060454E">
                  <w:rPr>
                    <w:rStyle w:val="White"/>
                    <w:bCs/>
                    <w:color w:val="000000" w:themeColor="text1"/>
                  </w:rPr>
                  <w:br w:type="page"/>
                </w:r>
                <w:r w:rsidR="008E0F07" w:rsidRPr="0060454E">
                  <w:rPr>
                    <w:rFonts w:ascii="Arial" w:hAnsi="Arial" w:cs="Arial"/>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1E26538D" w14:textId="77777777" w:rsidR="008E0F07" w:rsidRPr="00AE7C03" w:rsidRDefault="008E0F07" w:rsidP="0059512B">
                <w:pPr>
                  <w:pStyle w:val="Copyrightpage-Keylinenotext"/>
                  <w:ind w:right="-284"/>
                  <w:rPr>
                    <w:rFonts w:ascii="Arial" w:hAnsi="Arial" w:cs="Arial"/>
                    <w:color w:val="auto"/>
                    <w:spacing w:val="2"/>
                    <w:szCs w:val="20"/>
                  </w:rPr>
                </w:pPr>
              </w:p>
              <w:p w14:paraId="28736CC6" w14:textId="3DC0B6F9" w:rsidR="00C31E23" w:rsidRPr="0024041D" w:rsidRDefault="00FC4E9B" w:rsidP="0059512B">
                <w:pPr>
                  <w:pStyle w:val="Copyrightpage-Heading"/>
                  <w:ind w:right="-284"/>
                  <w:rPr>
                    <w:bCs/>
                    <w:color w:val="000000" w:themeColor="text1"/>
                  </w:rPr>
                </w:pPr>
                <w:r>
                  <w:rPr>
                    <w:bCs/>
                    <w:color w:val="000000" w:themeColor="text1"/>
                  </w:rPr>
                  <w:t>About us</w:t>
                </w:r>
              </w:p>
              <w:p w14:paraId="6F20A764" w14:textId="47CF59BF" w:rsidR="00AE72E1" w:rsidRPr="0059512B" w:rsidRDefault="00AE72E1" w:rsidP="0059512B">
                <w:pPr>
                  <w:pStyle w:val="Copyrightpage-BodyBold"/>
                  <w:rPr>
                    <w:b w:val="0"/>
                    <w:bCs/>
                    <w:color w:val="000000" w:themeColor="text1"/>
                  </w:rPr>
                </w:pPr>
                <w:r w:rsidRPr="0059512B">
                  <w:rPr>
                    <w:b w:val="0"/>
                    <w:bCs/>
                    <w:color w:val="000000" w:themeColor="text1"/>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52C2A1C3" w14:textId="77777777" w:rsidR="00AE72E1" w:rsidRPr="0024041D" w:rsidRDefault="00AE72E1" w:rsidP="0059512B">
                <w:pPr>
                  <w:pStyle w:val="Copyrightpage-BodyBold"/>
                  <w:rPr>
                    <w:b w:val="0"/>
                    <w:bCs/>
                    <w:color w:val="000000" w:themeColor="text1"/>
                  </w:rPr>
                </w:pPr>
                <w:r w:rsidRPr="0024041D">
                  <w:rPr>
                    <w:b w:val="0"/>
                    <w:bCs/>
                    <w:color w:val="000000" w:themeColor="text1"/>
                  </w:rPr>
                  <w:t>The PC’s independence is underpinned by an Act of Parliament. Its processes and outputs are open to public scrutiny and are driven by concern for the wellbeing of the community as a whole.</w:t>
                </w:r>
              </w:p>
              <w:p w14:paraId="0FC48830" w14:textId="301FBFB2" w:rsidR="00C31E23" w:rsidRPr="0024041D" w:rsidRDefault="00AE72E1" w:rsidP="0059512B">
                <w:pPr>
                  <w:pStyle w:val="Copyrightpage-BodyBold"/>
                  <w:rPr>
                    <w:b w:val="0"/>
                    <w:bCs/>
                    <w:color w:val="000000" w:themeColor="text1"/>
                    <w:spacing w:val="-4"/>
                  </w:rPr>
                </w:pPr>
                <w:r w:rsidRPr="0024041D">
                  <w:rPr>
                    <w:b w:val="0"/>
                    <w:bCs/>
                    <w:color w:val="000000" w:themeColor="text1"/>
                    <w:spacing w:val="-4"/>
                  </w:rPr>
                  <w:t>For more information, visit the PC’s website: www.pc.gov.au</w:t>
                </w:r>
              </w:p>
              <w:p w14:paraId="01A964D2" w14:textId="77777777" w:rsidR="00C31E23" w:rsidRPr="0024041D" w:rsidRDefault="00C31E23" w:rsidP="0059512B">
                <w:pPr>
                  <w:pStyle w:val="Copyrightpage-Keylinenotext"/>
                  <w:ind w:right="-284"/>
                  <w:rPr>
                    <w:bCs/>
                    <w:color w:val="000000" w:themeColor="text1"/>
                  </w:rPr>
                </w:pPr>
              </w:p>
              <w:p w14:paraId="5A8D756C" w14:textId="77777777" w:rsidR="00C31E23" w:rsidRPr="0024041D" w:rsidRDefault="00C31E23" w:rsidP="0059512B">
                <w:pPr>
                  <w:pStyle w:val="Copyrightpage-BodyBold"/>
                  <w:rPr>
                    <w:b w:val="0"/>
                    <w:bCs/>
                    <w:color w:val="000000" w:themeColor="text1"/>
                  </w:rPr>
                </w:pPr>
                <w:r w:rsidRPr="0024041D">
                  <w:rPr>
                    <w:b w:val="0"/>
                    <w:bCs/>
                    <w:color w:val="000000" w:themeColor="text1"/>
                  </w:rPr>
                  <w:t>© Commonwealth of Australia 202</w:t>
                </w:r>
                <w:r w:rsidR="00AE72E1" w:rsidRPr="0024041D">
                  <w:rPr>
                    <w:b w:val="0"/>
                    <w:bCs/>
                    <w:color w:val="000000" w:themeColor="text1"/>
                  </w:rPr>
                  <w:t>5</w:t>
                </w:r>
              </w:p>
              <w:p w14:paraId="7FDEA5B8" w14:textId="77777777" w:rsidR="00C31E23" w:rsidRPr="0024041D" w:rsidRDefault="00C31E23" w:rsidP="0059512B">
                <w:pPr>
                  <w:pStyle w:val="Copyrightpage-Heading2"/>
                  <w:spacing w:before="0"/>
                  <w:ind w:right="-284"/>
                  <w:rPr>
                    <w:b w:val="0"/>
                    <w:bCs/>
                    <w:color w:val="000000" w:themeColor="text1"/>
                  </w:rPr>
                </w:pPr>
                <w:r w:rsidRPr="0024041D">
                  <w:rPr>
                    <w:b w:val="0"/>
                    <w:bCs/>
                    <w:noProof/>
                    <w:color w:val="000000" w:themeColor="text1"/>
                  </w:rPr>
                  <w:drawing>
                    <wp:inline distT="0" distB="0" distL="0" distR="0" wp14:anchorId="04CAF42D" wp14:editId="79062721">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1B888852" w14:textId="0FFABC9A" w:rsidR="00C31E23" w:rsidRPr="0024041D" w:rsidRDefault="00C31E23" w:rsidP="0059512B">
                <w:pPr>
                  <w:pStyle w:val="Copyrightpage-BodyBold"/>
                  <w:ind w:right="-143"/>
                  <w:rPr>
                    <w:b w:val="0"/>
                    <w:bCs/>
                    <w:color w:val="000000" w:themeColor="text1"/>
                  </w:rPr>
                </w:pPr>
                <w:r w:rsidRPr="0024041D">
                  <w:rPr>
                    <w:b w:val="0"/>
                    <w:bCs/>
                    <w:color w:val="000000" w:themeColor="text1"/>
                  </w:rPr>
                  <w:t xml:space="preserve">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w:t>
                </w:r>
                <w:r w:rsidR="001567F6">
                  <w:rPr>
                    <w:b w:val="0"/>
                    <w:bCs/>
                    <w:color w:val="000000" w:themeColor="text1"/>
                  </w:rPr>
                  <w:t xml:space="preserve">PC </w:t>
                </w:r>
                <w:r w:rsidRPr="0024041D">
                  <w:rPr>
                    <w:b w:val="0"/>
                    <w:bCs/>
                    <w:color w:val="000000" w:themeColor="text1"/>
                  </w:rPr>
                  <w:t xml:space="preserve">(but not in any way that suggests the </w:t>
                </w:r>
                <w:r w:rsidR="001567F6">
                  <w:rPr>
                    <w:b w:val="0"/>
                    <w:bCs/>
                    <w:color w:val="000000" w:themeColor="text1"/>
                  </w:rPr>
                  <w:t>PC</w:t>
                </w:r>
                <w:r w:rsidRPr="0024041D">
                  <w:rPr>
                    <w:b w:val="0"/>
                    <w:bCs/>
                    <w:color w:val="000000" w:themeColor="text1"/>
                  </w:rPr>
                  <w:t xml:space="preserve"> endorses you or your use) and abide by the other licence terms. The licence can be viewed at: https://creativecommons.org/licenses/by/4.0.</w:t>
                </w:r>
              </w:p>
              <w:p w14:paraId="5FE26AA8" w14:textId="77777777" w:rsidR="00C31E23" w:rsidRPr="0024041D" w:rsidRDefault="00C31E23" w:rsidP="0059512B">
                <w:pPr>
                  <w:pStyle w:val="Copyrightpage-BodyBold"/>
                  <w:rPr>
                    <w:b w:val="0"/>
                    <w:bCs/>
                    <w:color w:val="000000" w:themeColor="text1"/>
                  </w:rPr>
                </w:pPr>
                <w:r w:rsidRPr="0024041D">
                  <w:rPr>
                    <w:b w:val="0"/>
                    <w:bCs/>
                    <w:color w:val="000000" w:themeColor="text1"/>
                  </w:rPr>
                  <w:t>The terms under which the Coat of Arms can be used are detailed at: www.pmc.gov.au/government/commonwealth-coat-arms.</w:t>
                </w:r>
              </w:p>
              <w:p w14:paraId="0C22AA11" w14:textId="77777777" w:rsidR="00C31E23" w:rsidRPr="0024041D" w:rsidRDefault="00C31E23" w:rsidP="0059512B">
                <w:pPr>
                  <w:pStyle w:val="Copyrightpage-BodyBold"/>
                  <w:rPr>
                    <w:b w:val="0"/>
                    <w:bCs/>
                    <w:color w:val="000000" w:themeColor="text1"/>
                    <w:spacing w:val="-2"/>
                  </w:rPr>
                </w:pPr>
                <w:r w:rsidRPr="0024041D">
                  <w:rPr>
                    <w:b w:val="0"/>
                    <w:bCs/>
                    <w:color w:val="000000" w:themeColor="text1"/>
                    <w:spacing w:val="-2"/>
                  </w:rPr>
                  <w:t>Wherever a third party holds copyright in this material the copyright remains with that party. Their permission may be required to use the material, please contact them directly.</w:t>
                </w:r>
              </w:p>
              <w:p w14:paraId="28E30B65" w14:textId="7D682FD7" w:rsidR="004F7CD4" w:rsidRPr="0024041D" w:rsidRDefault="004F7CD4" w:rsidP="0059512B">
                <w:pPr>
                  <w:pStyle w:val="Copyrightpage-BodyBold"/>
                  <w:rPr>
                    <w:b w:val="0"/>
                    <w:bCs/>
                    <w:color w:val="000000" w:themeColor="text1"/>
                  </w:rPr>
                </w:pPr>
                <w:r w:rsidRPr="0024041D">
                  <w:rPr>
                    <w:b w:val="0"/>
                    <w:bCs/>
                    <w:color w:val="000000" w:themeColor="text1"/>
                  </w:rPr>
                  <w:t xml:space="preserve">ISSN </w:t>
                </w:r>
                <w:r w:rsidR="00491F98" w:rsidRPr="00491F98">
                  <w:rPr>
                    <w:b w:val="0"/>
                    <w:bCs/>
                    <w:color w:val="000000" w:themeColor="text1"/>
                  </w:rPr>
                  <w:t>1447-1337</w:t>
                </w:r>
                <w:r w:rsidRPr="0024041D">
                  <w:rPr>
                    <w:b w:val="0"/>
                    <w:bCs/>
                    <w:color w:val="000000" w:themeColor="text1"/>
                  </w:rPr>
                  <w:t xml:space="preserve"> (online)</w:t>
                </w:r>
                <w:r w:rsidRPr="0024041D">
                  <w:rPr>
                    <w:b w:val="0"/>
                    <w:bCs/>
                    <w:color w:val="000000" w:themeColor="text1"/>
                  </w:rPr>
                  <w:br/>
                  <w:t xml:space="preserve">ISSN </w:t>
                </w:r>
                <w:r w:rsidR="00491F98" w:rsidRPr="00491F98">
                  <w:rPr>
                    <w:b w:val="0"/>
                    <w:bCs/>
                    <w:color w:val="000000" w:themeColor="text1"/>
                  </w:rPr>
                  <w:t xml:space="preserve">1447-1329 </w:t>
                </w:r>
                <w:r w:rsidRPr="0024041D">
                  <w:rPr>
                    <w:b w:val="0"/>
                    <w:bCs/>
                    <w:color w:val="000000" w:themeColor="text1"/>
                  </w:rPr>
                  <w:t>(print)</w:t>
                </w:r>
                <w:r w:rsidRPr="0024041D">
                  <w:rPr>
                    <w:b w:val="0"/>
                    <w:bCs/>
                    <w:color w:val="000000" w:themeColor="text1"/>
                  </w:rPr>
                  <w:br/>
                  <w:t xml:space="preserve">ISBN </w:t>
                </w:r>
                <w:r w:rsidR="008C5469" w:rsidRPr="008C5469">
                  <w:rPr>
                    <w:b w:val="0"/>
                    <w:bCs/>
                    <w:color w:val="000000" w:themeColor="text1"/>
                  </w:rPr>
                  <w:t>978-1-74037-816-1</w:t>
                </w:r>
                <w:r w:rsidRPr="0024041D">
                  <w:rPr>
                    <w:b w:val="0"/>
                    <w:bCs/>
                    <w:color w:val="000000" w:themeColor="text1"/>
                  </w:rPr>
                  <w:t xml:space="preserve"> (online)</w:t>
                </w:r>
                <w:r w:rsidRPr="0024041D">
                  <w:rPr>
                    <w:b w:val="0"/>
                    <w:bCs/>
                    <w:color w:val="000000" w:themeColor="text1"/>
                  </w:rPr>
                  <w:br/>
                  <w:t xml:space="preserve">ISBN </w:t>
                </w:r>
                <w:r w:rsidR="008C5469" w:rsidRPr="008C5469">
                  <w:rPr>
                    <w:b w:val="0"/>
                    <w:bCs/>
                    <w:color w:val="000000" w:themeColor="text1"/>
                  </w:rPr>
                  <w:t>978-1-74037-815-4</w:t>
                </w:r>
                <w:r w:rsidRPr="0024041D">
                  <w:rPr>
                    <w:b w:val="0"/>
                    <w:bCs/>
                    <w:color w:val="000000" w:themeColor="text1"/>
                  </w:rPr>
                  <w:t xml:space="preserve"> (print)</w:t>
                </w:r>
              </w:p>
              <w:p w14:paraId="06A3E9C9" w14:textId="65F302AF" w:rsidR="00C31E23" w:rsidRPr="0024041D" w:rsidRDefault="004F7CD4" w:rsidP="0060454E">
                <w:pPr>
                  <w:pStyle w:val="Copyrightpage-BodyBold"/>
                  <w:rPr>
                    <w:b w:val="0"/>
                    <w:bCs/>
                    <w:color w:val="000000" w:themeColor="text1"/>
                  </w:rPr>
                </w:pPr>
                <w:r w:rsidRPr="0024041D">
                  <w:rPr>
                    <w:b w:val="0"/>
                    <w:bCs/>
                    <w:color w:val="000000" w:themeColor="text1"/>
                  </w:rPr>
                  <w:t>An appropriate reference for this publication is:</w:t>
                </w:r>
                <w:r w:rsidRPr="0024041D">
                  <w:rPr>
                    <w:b w:val="0"/>
                    <w:bCs/>
                    <w:color w:val="000000" w:themeColor="text1"/>
                  </w:rPr>
                  <w:br/>
                  <w:t>Productivity Commission</w:t>
                </w:r>
                <w:r w:rsidR="00890154" w:rsidRPr="0024041D">
                  <w:rPr>
                    <w:b w:val="0"/>
                    <w:bCs/>
                    <w:color w:val="000000" w:themeColor="text1"/>
                  </w:rPr>
                  <w:t xml:space="preserve"> </w:t>
                </w:r>
                <w:r w:rsidR="00514F00" w:rsidRPr="0024041D">
                  <w:rPr>
                    <w:b w:val="0"/>
                    <w:bCs/>
                    <w:color w:val="000000" w:themeColor="text1"/>
                  </w:rPr>
                  <w:t>2025</w:t>
                </w:r>
                <w:r w:rsidRPr="0024041D">
                  <w:rPr>
                    <w:b w:val="0"/>
                    <w:bCs/>
                    <w:color w:val="000000" w:themeColor="text1"/>
                  </w:rPr>
                  <w:t xml:space="preserve">, </w:t>
                </w:r>
                <w:r w:rsidR="004D76ED" w:rsidRPr="0024041D">
                  <w:rPr>
                    <w:b w:val="0"/>
                    <w:bCs/>
                    <w:i/>
                    <w:iCs/>
                    <w:color w:val="000000" w:themeColor="text1"/>
                  </w:rPr>
                  <w:t xml:space="preserve">Australia’s circular economy: </w:t>
                </w:r>
                <w:r w:rsidR="003A4533" w:rsidRPr="0024041D">
                  <w:rPr>
                    <w:b w:val="0"/>
                    <w:bCs/>
                    <w:i/>
                    <w:iCs/>
                    <w:color w:val="000000" w:themeColor="text1"/>
                  </w:rPr>
                  <w:t>u</w:t>
                </w:r>
                <w:r w:rsidR="004D76ED" w:rsidRPr="0024041D">
                  <w:rPr>
                    <w:b w:val="0"/>
                    <w:bCs/>
                    <w:i/>
                    <w:iCs/>
                    <w:color w:val="000000" w:themeColor="text1"/>
                  </w:rPr>
                  <w:t>nlocking the opportunities</w:t>
                </w:r>
                <w:r w:rsidRPr="0024041D">
                  <w:rPr>
                    <w:b w:val="0"/>
                    <w:bCs/>
                    <w:color w:val="000000" w:themeColor="text1"/>
                  </w:rPr>
                  <w:t xml:space="preserve">, Inquiry </w:t>
                </w:r>
                <w:r w:rsidR="0080759B" w:rsidRPr="0024041D">
                  <w:rPr>
                    <w:b w:val="0"/>
                    <w:bCs/>
                    <w:color w:val="000000" w:themeColor="text1"/>
                  </w:rPr>
                  <w:t>r</w:t>
                </w:r>
                <w:r w:rsidRPr="0024041D">
                  <w:rPr>
                    <w:b w:val="0"/>
                    <w:bCs/>
                    <w:color w:val="000000" w:themeColor="text1"/>
                  </w:rPr>
                  <w:t xml:space="preserve">eport no. </w:t>
                </w:r>
                <w:r w:rsidR="0080759B" w:rsidRPr="0024041D">
                  <w:rPr>
                    <w:b w:val="0"/>
                    <w:bCs/>
                    <w:color w:val="000000" w:themeColor="text1"/>
                  </w:rPr>
                  <w:t>107</w:t>
                </w:r>
                <w:r w:rsidRPr="0024041D">
                  <w:rPr>
                    <w:b w:val="0"/>
                    <w:bCs/>
                    <w:color w:val="000000" w:themeColor="text1"/>
                  </w:rPr>
                  <w:t>, Canberra</w:t>
                </w:r>
              </w:p>
              <w:p w14:paraId="594C7638" w14:textId="77777777" w:rsidR="00C31E23" w:rsidRPr="00B053C8" w:rsidRDefault="00C31E23" w:rsidP="0059512B">
                <w:pPr>
                  <w:pStyle w:val="Copyrightpage-BodyBold"/>
                  <w:ind w:right="-284"/>
                  <w:rPr>
                    <w:b w:val="0"/>
                    <w:bCs/>
                    <w:color w:val="000000" w:themeColor="text1"/>
                    <w:lang w:val="fr-CA"/>
                  </w:rPr>
                </w:pPr>
                <w:r w:rsidRPr="00B053C8">
                  <w:rPr>
                    <w:b w:val="0"/>
                    <w:bCs/>
                    <w:color w:val="000000" w:themeColor="text1"/>
                    <w:lang w:val="fr-CA"/>
                  </w:rPr>
                  <w:t xml:space="preserve">Publication enquiries: </w:t>
                </w:r>
                <w:r w:rsidRPr="00B053C8">
                  <w:rPr>
                    <w:b w:val="0"/>
                    <w:bCs/>
                    <w:color w:val="000000" w:themeColor="text1"/>
                    <w:lang w:val="fr-CA"/>
                  </w:rPr>
                  <w:br/>
                </w:r>
                <w:r w:rsidR="00DD14E4" w:rsidRPr="00B053C8">
                  <w:rPr>
                    <w:b w:val="0"/>
                    <w:bCs/>
                    <w:color w:val="000000" w:themeColor="text1"/>
                    <w:lang w:val="fr-CA"/>
                  </w:rPr>
                  <w:t>P</w:t>
                </w:r>
                <w:r w:rsidRPr="00B053C8">
                  <w:rPr>
                    <w:b w:val="0"/>
                    <w:bCs/>
                    <w:color w:val="000000" w:themeColor="text1"/>
                    <w:lang w:val="fr-CA"/>
                  </w:rPr>
                  <w:t xml:space="preserve">hone 03 9653 2244 | </w:t>
                </w:r>
                <w:r w:rsidR="00DD14E4" w:rsidRPr="00B053C8">
                  <w:rPr>
                    <w:b w:val="0"/>
                    <w:bCs/>
                    <w:color w:val="000000" w:themeColor="text1"/>
                    <w:lang w:val="fr-CA"/>
                  </w:rPr>
                  <w:t>E</w:t>
                </w:r>
                <w:r w:rsidRPr="00B053C8">
                  <w:rPr>
                    <w:b w:val="0"/>
                    <w:bCs/>
                    <w:color w:val="000000" w:themeColor="text1"/>
                    <w:lang w:val="fr-CA"/>
                  </w:rPr>
                  <w:t>mail publications@pc.gov.au</w:t>
                </w:r>
              </w:p>
            </w:tc>
          </w:tr>
        </w:tbl>
        <w:p w14:paraId="372B1A73" w14:textId="77777777" w:rsidR="00295330" w:rsidRPr="004A40A7" w:rsidRDefault="00000000" w:rsidP="00E83C1B">
          <w:pPr>
            <w:pStyle w:val="NoSpacing"/>
          </w:pPr>
        </w:p>
      </w:sdtContent>
    </w:sdt>
    <w:p w14:paraId="4E4DE649" w14:textId="77777777" w:rsidR="00840CAD" w:rsidRDefault="00840CAD">
      <w:pPr>
        <w:spacing w:before="0" w:after="160" w:line="259" w:lineRule="auto"/>
        <w:sectPr w:rsidR="00840CAD" w:rsidSect="00E41066">
          <w:headerReference w:type="even" r:id="rId21"/>
          <w:headerReference w:type="default" r:id="rId22"/>
          <w:headerReference w:type="first" r:id="rId23"/>
          <w:footnotePr>
            <w:numRestart w:val="eachSect"/>
          </w:footnotePr>
          <w:pgSz w:w="11906" w:h="16838" w:code="9"/>
          <w:pgMar w:top="1134" w:right="1134" w:bottom="1134" w:left="1134" w:header="794" w:footer="510" w:gutter="0"/>
          <w:pgNumType w:fmt="lowerRoman"/>
          <w:cols w:space="708"/>
          <w:docGrid w:linePitch="360"/>
        </w:sectPr>
      </w:pPr>
    </w:p>
    <w:p w14:paraId="099FEB9D" w14:textId="7D7FF3F5" w:rsidR="00616728" w:rsidRPr="004D56CD" w:rsidRDefault="00840CAD" w:rsidP="004D56CD">
      <w:pPr>
        <w:pStyle w:val="Heading1-nobackground"/>
      </w:pPr>
      <w:bookmarkStart w:id="1" w:name="_Toc87865131"/>
      <w:bookmarkStart w:id="2" w:name="_Toc206056794"/>
      <w:bookmarkStart w:id="3" w:name="_Toc206614969"/>
      <w:bookmarkStart w:id="4" w:name="_Toc206617399"/>
      <w:r w:rsidRPr="00AC587D">
        <w:lastRenderedPageBreak/>
        <w:t>Contents</w:t>
      </w:r>
      <w:bookmarkEnd w:id="1"/>
      <w:bookmarkEnd w:id="2"/>
      <w:bookmarkEnd w:id="3"/>
      <w:bookmarkEnd w:id="4"/>
    </w:p>
    <w:p w14:paraId="58843ADB" w14:textId="5698C0B4" w:rsidR="00A2327B" w:rsidRDefault="004D56CD" w:rsidP="00023FB4">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A2327B" w:rsidRPr="00A2327B">
        <w:rPr>
          <w:noProof/>
        </w:rPr>
        <w:t>Overview</w:t>
      </w:r>
      <w:r w:rsidR="00A2327B">
        <w:rPr>
          <w:noProof/>
          <w:webHidden/>
        </w:rPr>
        <w:tab/>
      </w:r>
      <w:r w:rsidR="00A2327B">
        <w:rPr>
          <w:noProof/>
          <w:webHidden/>
        </w:rPr>
        <w:fldChar w:fldCharType="begin"/>
      </w:r>
      <w:r w:rsidR="00A2327B">
        <w:rPr>
          <w:noProof/>
          <w:webHidden/>
        </w:rPr>
        <w:instrText xml:space="preserve"> PAGEREF _Toc206617400 \h </w:instrText>
      </w:r>
      <w:r w:rsidR="00A2327B">
        <w:rPr>
          <w:noProof/>
          <w:webHidden/>
        </w:rPr>
      </w:r>
      <w:r w:rsidR="00A2327B">
        <w:rPr>
          <w:noProof/>
          <w:webHidden/>
        </w:rPr>
        <w:fldChar w:fldCharType="separate"/>
      </w:r>
      <w:r w:rsidR="00486052">
        <w:rPr>
          <w:noProof/>
          <w:webHidden/>
        </w:rPr>
        <w:t>1</w:t>
      </w:r>
      <w:r w:rsidR="00A2327B">
        <w:rPr>
          <w:noProof/>
          <w:webHidden/>
        </w:rPr>
        <w:fldChar w:fldCharType="end"/>
      </w:r>
    </w:p>
    <w:p w14:paraId="5DE9B53C" w14:textId="19D0759E" w:rsidR="008E17E5" w:rsidRDefault="008E17E5">
      <w:pPr>
        <w:pStyle w:val="TOC2"/>
      </w:pPr>
      <w:r>
        <w:t>Key points</w:t>
      </w:r>
      <w:r>
        <w:tab/>
        <w:t>2</w:t>
      </w:r>
    </w:p>
    <w:p w14:paraId="63D2C962" w14:textId="64465ED9" w:rsidR="00A2327B" w:rsidRDefault="00A2327B">
      <w:pPr>
        <w:pStyle w:val="TOC2"/>
        <w:rPr>
          <w:rFonts w:eastAsiaTheme="minorEastAsia"/>
          <w:kern w:val="2"/>
          <w:sz w:val="24"/>
          <w:szCs w:val="24"/>
          <w:lang w:eastAsia="en-AU"/>
          <w14:ligatures w14:val="standardContextual"/>
        </w:rPr>
      </w:pPr>
      <w:r>
        <w:t>Australia’s progress towards a more circular economy</w:t>
      </w:r>
      <w:r>
        <w:rPr>
          <w:webHidden/>
        </w:rPr>
        <w:tab/>
      </w:r>
      <w:r>
        <w:rPr>
          <w:webHidden/>
        </w:rPr>
        <w:fldChar w:fldCharType="begin"/>
      </w:r>
      <w:r>
        <w:rPr>
          <w:webHidden/>
        </w:rPr>
        <w:instrText xml:space="preserve"> PAGEREF _Toc206617401 \h </w:instrText>
      </w:r>
      <w:r>
        <w:rPr>
          <w:webHidden/>
        </w:rPr>
      </w:r>
      <w:r>
        <w:rPr>
          <w:webHidden/>
        </w:rPr>
        <w:fldChar w:fldCharType="separate"/>
      </w:r>
      <w:r w:rsidR="00486052">
        <w:rPr>
          <w:webHidden/>
        </w:rPr>
        <w:t>4</w:t>
      </w:r>
      <w:r>
        <w:rPr>
          <w:webHidden/>
        </w:rPr>
        <w:fldChar w:fldCharType="end"/>
      </w:r>
    </w:p>
    <w:p w14:paraId="2884AF09" w14:textId="08947CA4" w:rsidR="00A2327B" w:rsidRDefault="00A2327B">
      <w:pPr>
        <w:pStyle w:val="TOC2"/>
        <w:rPr>
          <w:rFonts w:eastAsiaTheme="minorEastAsia"/>
          <w:kern w:val="2"/>
          <w:sz w:val="24"/>
          <w:szCs w:val="24"/>
          <w:lang w:eastAsia="en-AU"/>
          <w14:ligatures w14:val="standardContextual"/>
        </w:rPr>
      </w:pPr>
      <w:r>
        <w:t>Addressing barriers to circularity</w:t>
      </w:r>
      <w:r>
        <w:rPr>
          <w:webHidden/>
        </w:rPr>
        <w:tab/>
      </w:r>
      <w:r>
        <w:rPr>
          <w:webHidden/>
        </w:rPr>
        <w:fldChar w:fldCharType="begin"/>
      </w:r>
      <w:r>
        <w:rPr>
          <w:webHidden/>
        </w:rPr>
        <w:instrText xml:space="preserve"> PAGEREF _Toc206617402 \h </w:instrText>
      </w:r>
      <w:r>
        <w:rPr>
          <w:webHidden/>
        </w:rPr>
      </w:r>
      <w:r>
        <w:rPr>
          <w:webHidden/>
        </w:rPr>
        <w:fldChar w:fldCharType="separate"/>
      </w:r>
      <w:r w:rsidR="00486052">
        <w:rPr>
          <w:webHidden/>
        </w:rPr>
        <w:t>5</w:t>
      </w:r>
      <w:r>
        <w:rPr>
          <w:webHidden/>
        </w:rPr>
        <w:fldChar w:fldCharType="end"/>
      </w:r>
    </w:p>
    <w:p w14:paraId="053BBE78" w14:textId="60DA8B08" w:rsidR="00A2327B" w:rsidRDefault="00A2327B">
      <w:pPr>
        <w:pStyle w:val="TOC2"/>
        <w:rPr>
          <w:rFonts w:eastAsiaTheme="minorEastAsia"/>
          <w:kern w:val="2"/>
          <w:sz w:val="24"/>
          <w:szCs w:val="24"/>
          <w:lang w:eastAsia="en-AU"/>
          <w14:ligatures w14:val="standardContextual"/>
        </w:rPr>
      </w:pPr>
      <w:r>
        <w:t>Streamlining regulations to encourage circular activities</w:t>
      </w:r>
      <w:r>
        <w:rPr>
          <w:webHidden/>
        </w:rPr>
        <w:tab/>
      </w:r>
      <w:r>
        <w:rPr>
          <w:webHidden/>
        </w:rPr>
        <w:fldChar w:fldCharType="begin"/>
      </w:r>
      <w:r>
        <w:rPr>
          <w:webHidden/>
        </w:rPr>
        <w:instrText xml:space="preserve"> PAGEREF _Toc206617403 \h </w:instrText>
      </w:r>
      <w:r>
        <w:rPr>
          <w:webHidden/>
        </w:rPr>
      </w:r>
      <w:r>
        <w:rPr>
          <w:webHidden/>
        </w:rPr>
        <w:fldChar w:fldCharType="separate"/>
      </w:r>
      <w:r w:rsidR="00486052">
        <w:rPr>
          <w:webHidden/>
        </w:rPr>
        <w:t>7</w:t>
      </w:r>
      <w:r>
        <w:rPr>
          <w:webHidden/>
        </w:rPr>
        <w:fldChar w:fldCharType="end"/>
      </w:r>
    </w:p>
    <w:p w14:paraId="6006BF09" w14:textId="2092156B" w:rsidR="00A2327B" w:rsidRDefault="00A2327B">
      <w:pPr>
        <w:pStyle w:val="TOC2"/>
        <w:rPr>
          <w:rFonts w:eastAsiaTheme="minorEastAsia"/>
          <w:kern w:val="2"/>
          <w:sz w:val="24"/>
          <w:szCs w:val="24"/>
          <w:lang w:eastAsia="en-AU"/>
          <w14:ligatures w14:val="standardContextual"/>
        </w:rPr>
      </w:pPr>
      <w:r>
        <w:t>Product stewardship for high-risk, high-value products</w:t>
      </w:r>
      <w:r>
        <w:rPr>
          <w:webHidden/>
        </w:rPr>
        <w:tab/>
      </w:r>
      <w:r>
        <w:rPr>
          <w:webHidden/>
        </w:rPr>
        <w:fldChar w:fldCharType="begin"/>
      </w:r>
      <w:r>
        <w:rPr>
          <w:webHidden/>
        </w:rPr>
        <w:instrText xml:space="preserve"> PAGEREF _Toc206617404 \h </w:instrText>
      </w:r>
      <w:r>
        <w:rPr>
          <w:webHidden/>
        </w:rPr>
      </w:r>
      <w:r>
        <w:rPr>
          <w:webHidden/>
        </w:rPr>
        <w:fldChar w:fldCharType="separate"/>
      </w:r>
      <w:r w:rsidR="00486052">
        <w:rPr>
          <w:webHidden/>
        </w:rPr>
        <w:t>9</w:t>
      </w:r>
      <w:r>
        <w:rPr>
          <w:webHidden/>
        </w:rPr>
        <w:fldChar w:fldCharType="end"/>
      </w:r>
    </w:p>
    <w:p w14:paraId="7DDB9402" w14:textId="5496B819" w:rsidR="00A2327B" w:rsidRDefault="00A2327B">
      <w:pPr>
        <w:pStyle w:val="TOC2"/>
        <w:rPr>
          <w:rFonts w:eastAsiaTheme="minorEastAsia"/>
          <w:kern w:val="2"/>
          <w:sz w:val="24"/>
          <w:szCs w:val="24"/>
          <w:lang w:eastAsia="en-AU"/>
          <w14:ligatures w14:val="standardContextual"/>
        </w:rPr>
      </w:pPr>
      <w:r>
        <w:t>Coordination, collaboration and capacity building</w:t>
      </w:r>
      <w:r>
        <w:rPr>
          <w:webHidden/>
        </w:rPr>
        <w:tab/>
      </w:r>
      <w:r>
        <w:rPr>
          <w:webHidden/>
        </w:rPr>
        <w:fldChar w:fldCharType="begin"/>
      </w:r>
      <w:r>
        <w:rPr>
          <w:webHidden/>
        </w:rPr>
        <w:instrText xml:space="preserve"> PAGEREF _Toc206617405 \h </w:instrText>
      </w:r>
      <w:r>
        <w:rPr>
          <w:webHidden/>
        </w:rPr>
      </w:r>
      <w:r>
        <w:rPr>
          <w:webHidden/>
        </w:rPr>
        <w:fldChar w:fldCharType="separate"/>
      </w:r>
      <w:r w:rsidR="00486052">
        <w:rPr>
          <w:webHidden/>
        </w:rPr>
        <w:t>9</w:t>
      </w:r>
      <w:r>
        <w:rPr>
          <w:webHidden/>
        </w:rPr>
        <w:fldChar w:fldCharType="end"/>
      </w:r>
    </w:p>
    <w:p w14:paraId="6BCA0576" w14:textId="631D6F8E" w:rsidR="00A2327B" w:rsidRDefault="00A2327B">
      <w:pPr>
        <w:pStyle w:val="TOC2"/>
        <w:rPr>
          <w:rFonts w:eastAsiaTheme="minorEastAsia"/>
          <w:kern w:val="2"/>
          <w:sz w:val="24"/>
          <w:szCs w:val="24"/>
          <w:lang w:eastAsia="en-AU"/>
          <w14:ligatures w14:val="standardContextual"/>
        </w:rPr>
      </w:pPr>
      <w:r>
        <w:t>Implementing reforms and monitoring progress</w:t>
      </w:r>
      <w:r>
        <w:rPr>
          <w:webHidden/>
        </w:rPr>
        <w:tab/>
      </w:r>
      <w:r>
        <w:rPr>
          <w:webHidden/>
        </w:rPr>
        <w:fldChar w:fldCharType="begin"/>
      </w:r>
      <w:r>
        <w:rPr>
          <w:webHidden/>
        </w:rPr>
        <w:instrText xml:space="preserve"> PAGEREF _Toc206617406 \h </w:instrText>
      </w:r>
      <w:r>
        <w:rPr>
          <w:webHidden/>
        </w:rPr>
      </w:r>
      <w:r>
        <w:rPr>
          <w:webHidden/>
        </w:rPr>
        <w:fldChar w:fldCharType="separate"/>
      </w:r>
      <w:r w:rsidR="00486052">
        <w:rPr>
          <w:webHidden/>
        </w:rPr>
        <w:t>11</w:t>
      </w:r>
      <w:r>
        <w:rPr>
          <w:webHidden/>
        </w:rPr>
        <w:fldChar w:fldCharType="end"/>
      </w:r>
    </w:p>
    <w:p w14:paraId="40408012" w14:textId="66DCBB3B"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Recommendations</w:t>
      </w:r>
      <w:r>
        <w:rPr>
          <w:noProof/>
          <w:webHidden/>
        </w:rPr>
        <w:tab/>
      </w:r>
      <w:r>
        <w:rPr>
          <w:noProof/>
          <w:webHidden/>
        </w:rPr>
        <w:fldChar w:fldCharType="begin"/>
      </w:r>
      <w:r>
        <w:rPr>
          <w:noProof/>
          <w:webHidden/>
        </w:rPr>
        <w:instrText xml:space="preserve"> PAGEREF _Toc206617407 \h </w:instrText>
      </w:r>
      <w:r>
        <w:rPr>
          <w:noProof/>
          <w:webHidden/>
        </w:rPr>
      </w:r>
      <w:r>
        <w:rPr>
          <w:noProof/>
          <w:webHidden/>
        </w:rPr>
        <w:fldChar w:fldCharType="separate"/>
      </w:r>
      <w:r w:rsidR="00486052">
        <w:rPr>
          <w:noProof/>
          <w:webHidden/>
        </w:rPr>
        <w:t>13</w:t>
      </w:r>
      <w:r>
        <w:rPr>
          <w:noProof/>
          <w:webHidden/>
        </w:rPr>
        <w:fldChar w:fldCharType="end"/>
      </w:r>
    </w:p>
    <w:p w14:paraId="62334C24" w14:textId="3E3CC99E" w:rsidR="004D56CD" w:rsidRPr="006626D2" w:rsidRDefault="004D56CD" w:rsidP="006626D2">
      <w:pPr>
        <w:pStyle w:val="BodyText"/>
      </w:pPr>
      <w:r>
        <w:rPr>
          <w:sz w:val="18"/>
        </w:rPr>
        <w:fldChar w:fldCharType="end"/>
      </w:r>
    </w:p>
    <w:p w14:paraId="19F6CC8F" w14:textId="77777777" w:rsidR="00376491" w:rsidRDefault="00376491" w:rsidP="000F4488">
      <w:pPr>
        <w:pStyle w:val="BodyText"/>
      </w:pPr>
    </w:p>
    <w:p w14:paraId="2C12575A" w14:textId="77777777" w:rsidR="00484E96" w:rsidRPr="00484E96" w:rsidRDefault="00484E96" w:rsidP="00D10F14">
      <w:pPr>
        <w:pStyle w:val="Heading1"/>
        <w:sectPr w:rsidR="00484E96" w:rsidRPr="00484E96" w:rsidSect="007B1608">
          <w:headerReference w:type="even" r:id="rId24"/>
          <w:headerReference w:type="default" r:id="rId25"/>
          <w:headerReference w:type="first" r:id="rId26"/>
          <w:footnotePr>
            <w:numRestart w:val="eachSect"/>
          </w:footnotePr>
          <w:type w:val="oddPage"/>
          <w:pgSz w:w="11906" w:h="16838" w:code="9"/>
          <w:pgMar w:top="1134" w:right="1134" w:bottom="1134" w:left="1134" w:header="794" w:footer="510" w:gutter="0"/>
          <w:pgNumType w:fmt="lowerRoman"/>
          <w:cols w:space="708"/>
          <w:docGrid w:linePitch="360"/>
        </w:sectPr>
      </w:pPr>
    </w:p>
    <w:p w14:paraId="6EB85763" w14:textId="1D2BAD0F" w:rsidR="006F7863" w:rsidRDefault="006F7863" w:rsidP="006F7863">
      <w:pPr>
        <w:pStyle w:val="BodyText"/>
      </w:pPr>
    </w:p>
    <w:p w14:paraId="270EFE5F" w14:textId="6251946F" w:rsidR="00DC33B3" w:rsidRPr="006F7863" w:rsidRDefault="00DC33B3" w:rsidP="006F7863">
      <w:pPr>
        <w:pStyle w:val="Heading1-nobackground"/>
        <w:rPr>
          <w:rFonts w:ascii="Open Sans Extrabold" w:hAnsi="Open Sans Extrabold" w:cs="Open Sans Extrabold"/>
          <w:color w:val="132D4D" w:themeColor="background2" w:themeShade="80"/>
          <w:sz w:val="52"/>
          <w:szCs w:val="52"/>
        </w:rPr>
      </w:pPr>
      <w:bookmarkStart w:id="5" w:name="_Toc206617400"/>
      <w:r w:rsidRPr="006F7863">
        <w:rPr>
          <w:rFonts w:ascii="Open Sans Extrabold" w:hAnsi="Open Sans Extrabold" w:cs="Open Sans Extrabold"/>
          <w:color w:val="132D4D" w:themeColor="background2" w:themeShade="80"/>
          <w:sz w:val="52"/>
          <w:szCs w:val="52"/>
        </w:rPr>
        <w:t>Overview</w:t>
      </w:r>
      <w:bookmarkEnd w:id="5"/>
    </w:p>
    <w:p w14:paraId="75CEBE85" w14:textId="77777777" w:rsidR="00DC33B3" w:rsidRDefault="00DC33B3" w:rsidP="006F7863">
      <w:pPr>
        <w:spacing w:before="1080"/>
      </w:pPr>
    </w:p>
    <w:p w14:paraId="744BD3CF" w14:textId="77777777" w:rsidR="0032708B" w:rsidRDefault="0032708B" w:rsidP="006F7863">
      <w:pPr>
        <w:spacing w:before="1080"/>
        <w:sectPr w:rsidR="0032708B" w:rsidSect="0041785A">
          <w:headerReference w:type="even" r:id="rId27"/>
          <w:headerReference w:type="default" r:id="rId28"/>
          <w:footerReference w:type="even" r:id="rId29"/>
          <w:footerReference w:type="default" r:id="rId30"/>
          <w:headerReference w:type="first" r:id="rId31"/>
          <w:footnotePr>
            <w:numRestart w:val="eachSect"/>
          </w:footnotePr>
          <w:type w:val="oddPage"/>
          <w:pgSz w:w="11906" w:h="16838" w:code="9"/>
          <w:pgMar w:top="1134" w:right="1134" w:bottom="1134" w:left="1134" w:header="794" w:footer="510" w:gutter="0"/>
          <w:pgNumType w:start="1"/>
          <w:cols w:space="708"/>
          <w:docGrid w:linePitch="360"/>
        </w:sectPr>
      </w:pPr>
    </w:p>
    <w:tbl>
      <w:tblPr>
        <w:tblStyle w:val="Texttable-Paleblue"/>
        <w:tblW w:w="5000" w:type="pct"/>
        <w:tblLook w:val="04A0" w:firstRow="1" w:lastRow="0" w:firstColumn="1" w:lastColumn="0" w:noHBand="0" w:noVBand="1"/>
      </w:tblPr>
      <w:tblGrid>
        <w:gridCol w:w="577"/>
        <w:gridCol w:w="9061"/>
      </w:tblGrid>
      <w:tr w:rsidR="0041785A" w:rsidRPr="002F759A" w14:paraId="409E59FF" w14:textId="77777777" w:rsidTr="77C6F2CF">
        <w:tc>
          <w:tcPr>
            <w:tcW w:w="9638" w:type="dxa"/>
            <w:gridSpan w:val="2"/>
            <w:shd w:val="clear" w:color="auto" w:fill="E7F6FD"/>
            <w:tcMar>
              <w:left w:w="170" w:type="dxa"/>
            </w:tcMar>
          </w:tcPr>
          <w:p w14:paraId="1E4B0F80" w14:textId="77777777" w:rsidR="0041785A" w:rsidRPr="002F759A" w:rsidRDefault="0041785A">
            <w:pPr>
              <w:pStyle w:val="Keypoints-heading"/>
            </w:pPr>
            <w:r>
              <w:lastRenderedPageBreak/>
              <w:t>Key points</w:t>
            </w:r>
          </w:p>
        </w:tc>
      </w:tr>
      <w:tr w:rsidR="0041785A" w14:paraId="34A4BF02" w14:textId="77777777" w:rsidTr="77C6F2CF">
        <w:tc>
          <w:tcPr>
            <w:tcW w:w="577" w:type="dxa"/>
            <w:shd w:val="clear" w:color="auto" w:fill="E7F6FD"/>
            <w:tcMar>
              <w:top w:w="0" w:type="dxa"/>
              <w:bottom w:w="0" w:type="dxa"/>
              <w:right w:w="113" w:type="dxa"/>
            </w:tcMar>
          </w:tcPr>
          <w:p w14:paraId="15EF63D5" w14:textId="77777777" w:rsidR="0041785A" w:rsidRDefault="0041785A" w:rsidP="000C6B77">
            <w:pPr>
              <w:pStyle w:val="KeyPointsicon"/>
            </w:pPr>
            <w:r w:rsidRPr="00A51374">
              <w:rPr>
                <w:noProof/>
              </w:rPr>
              <w:drawing>
                <wp:inline distT="0" distB="0" distL="0" distR="0" wp14:anchorId="3262791D" wp14:editId="06CD1745">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BD58DD7" w14:textId="77777777" w:rsidR="0041785A" w:rsidRPr="00610627" w:rsidRDefault="0041785A" w:rsidP="00610627">
            <w:pPr>
              <w:pStyle w:val="KeyPoints-Bold"/>
            </w:pPr>
            <w:r w:rsidRPr="004370EB">
              <w:t>A circular economy aims to meet human needs with fewer and more sustainable materials, reducing the environmental impacts and costs of economic activity</w:t>
            </w:r>
            <w:r w:rsidRPr="004370EB" w:rsidDel="005F4A0F">
              <w:t>.</w:t>
            </w:r>
          </w:p>
          <w:p w14:paraId="6AAF3211" w14:textId="77777777" w:rsidR="0041785A" w:rsidRPr="00C561B5" w:rsidRDefault="0041785A" w:rsidP="00FC4A4E">
            <w:pPr>
              <w:pStyle w:val="KeyPoints-Bullet"/>
            </w:pPr>
            <w:r w:rsidRPr="00C561B5">
              <w:t>Circular activities include designing products to use less materials, extending product lifespans via reuse and repair, and recycling and recovering materials to reduce waste.</w:t>
            </w:r>
          </w:p>
          <w:p w14:paraId="5E20A285" w14:textId="77777777" w:rsidR="0041785A" w:rsidRPr="00C561B5" w:rsidRDefault="0041785A" w:rsidP="00FC4A4E">
            <w:pPr>
              <w:pStyle w:val="KeyPoints-Bullet"/>
            </w:pPr>
            <w:r w:rsidRPr="00C561B5">
              <w:t xml:space="preserve">The benefits of circularity include more efficient use of the planet’s finite stock of natural capital to support economic and productivity growth; reduced harms to the environment, climate and biodiversity; and improved social outcomes such as health, amenity and intergenerational equity. </w:t>
            </w:r>
          </w:p>
          <w:p w14:paraId="2507BB2F" w14:textId="77777777" w:rsidR="0041785A" w:rsidRDefault="0041785A" w:rsidP="00FC4A4E">
            <w:pPr>
              <w:pStyle w:val="KeyPoints-Bullet"/>
            </w:pPr>
            <w:r w:rsidRPr="00C561B5">
              <w:t>Some circular activities reduce materials use in ways that simultaneously benefit the economy, the environment and society. Others have trade-offs, such as lowering materials use but increasing carbon emissions (for example, if recycling requires transporting waste long distances</w:t>
            </w:r>
            <w:r w:rsidRPr="007D6127">
              <w:t>)</w:t>
            </w:r>
            <w:r>
              <w:t>.</w:t>
            </w:r>
          </w:p>
        </w:tc>
      </w:tr>
      <w:tr w:rsidR="0041785A" w14:paraId="151DBECA" w14:textId="77777777" w:rsidTr="77C6F2CF">
        <w:tc>
          <w:tcPr>
            <w:tcW w:w="577" w:type="dxa"/>
            <w:shd w:val="clear" w:color="auto" w:fill="E7F6FD"/>
            <w:tcMar>
              <w:top w:w="0" w:type="dxa"/>
              <w:bottom w:w="0" w:type="dxa"/>
              <w:right w:w="113" w:type="dxa"/>
            </w:tcMar>
          </w:tcPr>
          <w:p w14:paraId="2F408DC3" w14:textId="77777777" w:rsidR="0041785A" w:rsidRPr="00F31E73" w:rsidRDefault="0041785A" w:rsidP="000C6B77">
            <w:pPr>
              <w:pStyle w:val="KeyPointsicon"/>
              <w:rPr>
                <w:noProof/>
              </w:rPr>
            </w:pPr>
            <w:r w:rsidRPr="00F31E73">
              <w:rPr>
                <w:noProof/>
              </w:rPr>
              <w:drawing>
                <wp:inline distT="0" distB="0" distL="0" distR="0" wp14:anchorId="05025B5B" wp14:editId="467768C2">
                  <wp:extent cx="180000" cy="180000"/>
                  <wp:effectExtent l="0" t="0" r="0" b="0"/>
                  <wp:docPr id="743925221" name="Graphic 743925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A8B4A1B" w14:textId="77777777" w:rsidR="0041785A" w:rsidRDefault="0041785A" w:rsidP="0044368A">
            <w:pPr>
              <w:pStyle w:val="KeyPoints-Bold"/>
              <w:rPr>
                <w:b w:val="0"/>
              </w:rPr>
            </w:pPr>
            <w:r>
              <w:t>Despite some uptake of circular economy opportunities in Australia, overall progress has been slow.</w:t>
            </w:r>
            <w:r>
              <w:rPr>
                <w:b w:val="0"/>
              </w:rPr>
              <w:t xml:space="preserve"> </w:t>
            </w:r>
          </w:p>
          <w:p w14:paraId="2CA6C69A" w14:textId="77777777" w:rsidR="0041785A" w:rsidRPr="00D36346" w:rsidDel="00915B02" w:rsidRDefault="0041785A" w:rsidP="00FC4A4E">
            <w:pPr>
              <w:pStyle w:val="KeyPoints-Bullet"/>
              <w:rPr>
                <w:bCs/>
              </w:rPr>
            </w:pPr>
            <w:r w:rsidRPr="00D36346">
              <w:t>Barriers to adopting circular economy opportunities include high costs; prescriptive, outdated or inconsistent regulations; coordination challenges and difficulties diffusing circular innovations; and limited practical information on circular opportunities.</w:t>
            </w:r>
          </w:p>
        </w:tc>
      </w:tr>
      <w:tr w:rsidR="0041785A" w14:paraId="506EE54B" w14:textId="77777777" w:rsidTr="77C6F2CF">
        <w:tc>
          <w:tcPr>
            <w:tcW w:w="577" w:type="dxa"/>
            <w:shd w:val="clear" w:color="auto" w:fill="E7F6FD"/>
            <w:tcMar>
              <w:top w:w="0" w:type="dxa"/>
              <w:bottom w:w="0" w:type="dxa"/>
              <w:right w:w="113" w:type="dxa"/>
            </w:tcMar>
          </w:tcPr>
          <w:p w14:paraId="312D11BE" w14:textId="77777777" w:rsidR="0041785A" w:rsidRPr="00A51374" w:rsidRDefault="0041785A" w:rsidP="000C6B77">
            <w:pPr>
              <w:pStyle w:val="KeyPointsicon"/>
            </w:pPr>
            <w:r w:rsidRPr="00F31E73">
              <w:rPr>
                <w:noProof/>
              </w:rPr>
              <w:drawing>
                <wp:inline distT="0" distB="0" distL="0" distR="0" wp14:anchorId="6DFAA4E1" wp14:editId="439433BD">
                  <wp:extent cx="180000" cy="180000"/>
                  <wp:effectExtent l="0" t="0" r="0" b="0"/>
                  <wp:docPr id="23681297" name="Graphic 2368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90E6F01" w14:textId="77777777" w:rsidR="0041785A" w:rsidRDefault="0041785A" w:rsidP="0044368A">
            <w:pPr>
              <w:pStyle w:val="KeyPoints-Bold"/>
            </w:pPr>
            <w:r>
              <w:t xml:space="preserve">Circular economy-related policies in Australia are in early stages of development, but in several areas are evolving rapidly. </w:t>
            </w:r>
          </w:p>
          <w:p w14:paraId="29C5500F" w14:textId="54B0BEF7" w:rsidR="0041785A" w:rsidRPr="001071EF" w:rsidRDefault="0041785A" w:rsidP="00FC4A4E">
            <w:pPr>
              <w:pStyle w:val="KeyPoints-Bullet"/>
            </w:pPr>
            <w:r w:rsidRPr="001071EF">
              <w:t>Government policies related to materials productivity have traditionally focused on recycling. However, governments are increasingly focusing on earlier stages of the product life cycle.</w:t>
            </w:r>
          </w:p>
          <w:p w14:paraId="119D08FF" w14:textId="77777777" w:rsidR="0041785A" w:rsidRPr="00610627" w:rsidRDefault="0041785A" w:rsidP="00FC4A4E">
            <w:pPr>
              <w:pStyle w:val="KeyPoints-Bullet"/>
            </w:pPr>
            <w:r>
              <w:t xml:space="preserve">All levels of government have recently increased focus on policies that foster circular practices and reduce materials use. For example, actions already underway include </w:t>
            </w:r>
            <w:r w:rsidRPr="005B02B8">
              <w:t xml:space="preserve">reducing regulatory barriers to prefabricated housing and recognising the carbon benefits of </w:t>
            </w:r>
            <w:r>
              <w:t>biomethane</w:t>
            </w:r>
            <w:r w:rsidRPr="005B02B8">
              <w:t xml:space="preserve"> in Australia’s carbon reporting system</w:t>
            </w:r>
            <w:r>
              <w:t>.</w:t>
            </w:r>
          </w:p>
        </w:tc>
      </w:tr>
      <w:tr w:rsidR="0041785A" w14:paraId="6B2E449E" w14:textId="77777777" w:rsidTr="77C6F2CF">
        <w:tc>
          <w:tcPr>
            <w:tcW w:w="577" w:type="dxa"/>
            <w:shd w:val="clear" w:color="auto" w:fill="E7F6FD"/>
            <w:tcMar>
              <w:top w:w="0" w:type="dxa"/>
              <w:bottom w:w="0" w:type="dxa"/>
              <w:right w:w="113" w:type="dxa"/>
            </w:tcMar>
          </w:tcPr>
          <w:p w14:paraId="495F5319" w14:textId="77777777" w:rsidR="0041785A" w:rsidRPr="00A51374" w:rsidRDefault="0041785A" w:rsidP="000C6B77">
            <w:pPr>
              <w:pStyle w:val="KeyPointsicon"/>
            </w:pPr>
            <w:r w:rsidRPr="00F31E73">
              <w:rPr>
                <w:noProof/>
              </w:rPr>
              <w:drawing>
                <wp:inline distT="0" distB="0" distL="0" distR="0" wp14:anchorId="2791B7FF" wp14:editId="1C4C7F6A">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903D2A7" w14:textId="77777777" w:rsidR="0041785A" w:rsidRPr="00706B1E" w:rsidRDefault="0041785A" w:rsidP="0BA86D75">
            <w:pPr>
              <w:pStyle w:val="KeyPoints-Bold"/>
              <w:rPr>
                <w:b w:val="0"/>
              </w:rPr>
            </w:pPr>
            <w:r>
              <w:t>The Productivity Commission recommends governments take further action to improve materials productivity in ways that benefit the economy and environment across three broad areas:</w:t>
            </w:r>
          </w:p>
          <w:p w14:paraId="52B53213" w14:textId="77777777" w:rsidR="0041785A" w:rsidRPr="004916C2" w:rsidRDefault="0041785A" w:rsidP="00FC4A4E">
            <w:pPr>
              <w:pStyle w:val="KeyPoints-Bullet"/>
            </w:pPr>
            <w:r>
              <w:t xml:space="preserve">streamlining and harmonising regulations to encourage businesses to adopt innovative technologies and practices, while protecting the environment and human health </w:t>
            </w:r>
          </w:p>
          <w:p w14:paraId="0C4EE1D7" w14:textId="77777777" w:rsidR="0041785A" w:rsidRPr="004916C2" w:rsidRDefault="0041785A" w:rsidP="00FC4A4E">
            <w:pPr>
              <w:pStyle w:val="KeyPoints-Bullet"/>
            </w:pPr>
            <w:r>
              <w:t xml:space="preserve">strengthening obligations for businesses that supply products with high-risk or high-value waste streams, such as small electronics or small-scale solar photovoltaic systems, through product stewardship   </w:t>
            </w:r>
          </w:p>
          <w:p w14:paraId="493AADE7" w14:textId="77777777" w:rsidR="0041785A" w:rsidRPr="004916C2" w:rsidRDefault="0041785A" w:rsidP="00FC4A4E">
            <w:pPr>
              <w:pStyle w:val="KeyPoints-Bullet"/>
            </w:pPr>
            <w:r>
              <w:t>promoting</w:t>
            </w:r>
            <w:r w:rsidRPr="004916C2">
              <w:t xml:space="preserve"> circular activities and innovation</w:t>
            </w:r>
            <w:r>
              <w:t xml:space="preserve"> through </w:t>
            </w:r>
            <w:r w:rsidRPr="004916C2">
              <w:t>programs</w:t>
            </w:r>
            <w:r>
              <w:t xml:space="preserve"> and </w:t>
            </w:r>
            <w:r w:rsidRPr="004916C2">
              <w:t>services that facilitate coordination, collaboration and capacity building.</w:t>
            </w:r>
          </w:p>
        </w:tc>
      </w:tr>
      <w:tr w:rsidR="0041785A" w14:paraId="3B1A0174" w14:textId="77777777" w:rsidTr="77C6F2CF">
        <w:tc>
          <w:tcPr>
            <w:tcW w:w="577" w:type="dxa"/>
            <w:shd w:val="clear" w:color="auto" w:fill="E7F6FD"/>
            <w:tcMar>
              <w:top w:w="0" w:type="dxa"/>
              <w:bottom w:w="0" w:type="dxa"/>
              <w:right w:w="113" w:type="dxa"/>
            </w:tcMar>
          </w:tcPr>
          <w:p w14:paraId="690B4919" w14:textId="77777777" w:rsidR="0041785A" w:rsidRPr="00A51374" w:rsidRDefault="0041785A" w:rsidP="000C6B77">
            <w:pPr>
              <w:pStyle w:val="KeyPointsicon"/>
            </w:pPr>
            <w:r w:rsidRPr="00F31E73">
              <w:rPr>
                <w:noProof/>
              </w:rPr>
              <w:drawing>
                <wp:inline distT="0" distB="0" distL="0" distR="0" wp14:anchorId="3DC0CDD0" wp14:editId="28A48945">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1002CE7" w14:textId="77777777" w:rsidR="0041785A" w:rsidRPr="00BE30A1" w:rsidRDefault="0041785A" w:rsidP="00D36346">
            <w:pPr>
              <w:pStyle w:val="KeyPoints-Bold"/>
              <w:rPr>
                <w:b w:val="0"/>
                <w:bCs/>
              </w:rPr>
            </w:pPr>
            <w:r w:rsidRPr="003B3C57">
              <w:t xml:space="preserve">The Australian Government should develop an outcomes framework that connects each circular economy policy action to its related economic, social and environmental </w:t>
            </w:r>
            <w:r>
              <w:t>goals.</w:t>
            </w:r>
            <w:r w:rsidRPr="0017346C">
              <w:t xml:space="preserve"> This will support effective implementation, monitoring and evaluation of circular economy reforms</w:t>
            </w:r>
            <w:r>
              <w:rPr>
                <w:b w:val="0"/>
                <w:bCs/>
              </w:rPr>
              <w:t>.</w:t>
            </w:r>
          </w:p>
          <w:p w14:paraId="2EC79E8B" w14:textId="2BA9A8CF" w:rsidR="0041785A" w:rsidRPr="002D0859" w:rsidRDefault="0041785A" w:rsidP="00FC4A4E">
            <w:pPr>
              <w:pStyle w:val="KeyPoints-Bullet"/>
            </w:pPr>
            <w:r w:rsidRPr="00DE7702">
              <w:t xml:space="preserve">The Australian </w:t>
            </w:r>
            <w:r>
              <w:t>G</w:t>
            </w:r>
            <w:r w:rsidRPr="00DE7702">
              <w:t xml:space="preserve">overnment should use the outcomes framework to identify areas </w:t>
            </w:r>
            <w:r>
              <w:t>lacking</w:t>
            </w:r>
            <w:r w:rsidRPr="00DE7702">
              <w:t xml:space="preserve"> metrics or data </w:t>
            </w:r>
            <w:r>
              <w:t xml:space="preserve">– such as sectors targeted for circular design policies – </w:t>
            </w:r>
            <w:r w:rsidRPr="00DE7702">
              <w:t xml:space="preserve">and develop a metrics and data collection strategy </w:t>
            </w:r>
            <w:r>
              <w:t>to close these key data gaps.</w:t>
            </w:r>
          </w:p>
        </w:tc>
      </w:tr>
    </w:tbl>
    <w:p w14:paraId="6FB69980" w14:textId="77777777" w:rsidR="0041785A" w:rsidRDefault="0041785A">
      <w:pPr>
        <w:spacing w:before="0" w:after="160" w:line="259" w:lineRule="auto"/>
      </w:pPr>
      <w:r>
        <w:br w:type="page"/>
      </w:r>
    </w:p>
    <w:p w14:paraId="4B2BC5F3" w14:textId="77777777" w:rsidR="0041785A" w:rsidRPr="00B5042E" w:rsidRDefault="0041785A" w:rsidP="00B5042E">
      <w:pPr>
        <w:pStyle w:val="BodyText"/>
      </w:pPr>
      <w:r w:rsidRPr="00B5042E">
        <w:lastRenderedPageBreak/>
        <w:t xml:space="preserve">A circular economy uses materials in more sustainable and efficient ways. </w:t>
      </w:r>
      <w:r>
        <w:t>Economies have typically adopted</w:t>
      </w:r>
      <w:r w:rsidRPr="00B5042E">
        <w:t xml:space="preserve"> a linear ‘take, make, use, dispose’ model: raw materials are extracted, transformed into products, consumed, then disposed of as waste. By contrast, a circular economy aims to meet human needs with fewer materials, reducing the environmental impacts and costs of economic activity. </w:t>
      </w:r>
    </w:p>
    <w:p w14:paraId="6955DE41" w14:textId="6C831744" w:rsidR="0041785A" w:rsidRPr="00B5042E" w:rsidRDefault="0041785A" w:rsidP="00B5042E">
      <w:pPr>
        <w:pStyle w:val="BodyText"/>
      </w:pPr>
      <w:r>
        <w:t>Circular economy activities can occur throughout the product life cycle and include</w:t>
      </w:r>
      <w:r w:rsidR="00D2280E">
        <w:t>:</w:t>
      </w:r>
      <w:r>
        <w:t xml:space="preserve"> designing products to use less materials (narrowing material loops); extending the time that products are consumed via reuse and repair (slowing material loops); and recycling and recovering materials (closing material loops) (figure 1). A more circular economy can be a more productive economy. With circular economy practices, we can more efficiently use the planet’s finite stock of natural capital to support our growing population and economy. They can also reduce the harms to the environment, the climate and biodiversity associated with producing and consuming things. This in turn has benefits for society, such as better health and amenity, and fairer outcomes between generations, </w:t>
      </w:r>
      <w:r w:rsidRPr="000D4B16">
        <w:t>including by conserving resources and protecting environmental assets to support future economic activity.</w:t>
      </w:r>
    </w:p>
    <w:p w14:paraId="1E3C61CB" w14:textId="33311261" w:rsidR="0041785A" w:rsidRPr="00B5042E" w:rsidRDefault="0041785A" w:rsidP="006B2B1A">
      <w:pPr>
        <w:pStyle w:val="FigureTableHeading"/>
        <w:spacing w:after="120"/>
      </w:pPr>
      <w:r w:rsidRPr="00B5042E">
        <w:t>Figure 1 – Comparing the circular and linear economies</w:t>
      </w:r>
    </w:p>
    <w:p w14:paraId="0D807E18" w14:textId="77777777" w:rsidR="0041785A" w:rsidRPr="00903BDC" w:rsidRDefault="0041785A" w:rsidP="006B2B1A">
      <w:pPr>
        <w:pStyle w:val="BodyText"/>
        <w:spacing w:after="360"/>
        <w:rPr>
          <w:sz w:val="22"/>
        </w:rPr>
      </w:pPr>
      <w:r w:rsidRPr="007B667D">
        <w:rPr>
          <w:noProof/>
        </w:rPr>
        <w:drawing>
          <wp:inline distT="0" distB="0" distL="0" distR="0" wp14:anchorId="4B32D456" wp14:editId="75360964">
            <wp:extent cx="6120130" cy="4438015"/>
            <wp:effectExtent l="0" t="0" r="0" b="635"/>
            <wp:docPr id="1495543712" name="Picture 1" descr="This figure shows an illustration of a linear economy on the left, which follows a take, make, use, dispose model. A circular economy is shown on the right, which includes the activities design; production, remanufacturing; distribution; consumption, use, reuse, repair; collection; recycling; residual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43712" name="Picture 1" descr="This figure shows an illustration of a linear economy on the left, which follows a take, make, use, dispose model. A circular economy is shown on the right, which includes the activities design; production, remanufacturing; distribution; consumption, use, reuse, repair; collection; recycling; residual was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4438015"/>
                    </a:xfrm>
                    <a:prstGeom prst="rect">
                      <a:avLst/>
                    </a:prstGeom>
                    <a:noFill/>
                    <a:ln>
                      <a:noFill/>
                    </a:ln>
                  </pic:spPr>
                </pic:pic>
              </a:graphicData>
            </a:graphic>
          </wp:inline>
        </w:drawing>
      </w:r>
    </w:p>
    <w:p w14:paraId="15720DED" w14:textId="77777777" w:rsidR="0041785A" w:rsidRPr="00B5042E" w:rsidRDefault="0041785A" w:rsidP="00B5042E">
      <w:pPr>
        <w:pStyle w:val="BodyText"/>
      </w:pPr>
      <w:r w:rsidRPr="00B5042E">
        <w:t xml:space="preserve">Circular economy practices are not new in Australia. For </w:t>
      </w:r>
      <w:r>
        <w:t>tens of thousands of</w:t>
      </w:r>
      <w:r w:rsidRPr="00B5042E">
        <w:t xml:space="preserve"> years, Aboriginal and Torres Strait Islander people have held deep cultural, social, environmental, spiritual and economic connections to Country</w:t>
      </w:r>
      <w:r>
        <w:t>.</w:t>
      </w:r>
      <w:r w:rsidRPr="00B5042E">
        <w:t xml:space="preserve"> </w:t>
      </w:r>
      <w:r w:rsidRPr="004F42C4">
        <w:t>These</w:t>
      </w:r>
      <w:r w:rsidRPr="00B5042E">
        <w:t xml:space="preserve"> knowledges and practices have sustained the health of Country. Some governments have policies that promote the application of Aboriginal and Torres Strait Islander knowledges and support participation in circular economy opportunities in ways that benefit communities and respect cultural and </w:t>
      </w:r>
      <w:r w:rsidRPr="00B5042E">
        <w:lastRenderedPageBreak/>
        <w:t>intellectual property rights. However, in practice, governments have some way to go on enabling true partnerships to achieve these aims and to enable economic development opportunities.</w:t>
      </w:r>
    </w:p>
    <w:p w14:paraId="538D0135" w14:textId="77777777" w:rsidR="0041785A" w:rsidRPr="00DE13C8" w:rsidRDefault="0041785A" w:rsidP="00FD293F">
      <w:pPr>
        <w:pStyle w:val="Heading2-nonumber"/>
        <w:spacing w:after="240"/>
      </w:pPr>
      <w:bookmarkStart w:id="6" w:name="_Toc206056796"/>
      <w:bookmarkStart w:id="7" w:name="_Toc206617401"/>
      <w:r w:rsidRPr="00DE13C8">
        <w:t>Australia’s progress towards a more circular economy</w:t>
      </w:r>
      <w:bookmarkEnd w:id="6"/>
      <w:bookmarkEnd w:id="7"/>
    </w:p>
    <w:p w14:paraId="63742C5D" w14:textId="77777777" w:rsidR="0041785A" w:rsidRDefault="0041785A" w:rsidP="00AE4A75">
      <w:pPr>
        <w:pStyle w:val="BodyText"/>
      </w:pPr>
      <w:r w:rsidRPr="00B5042E">
        <w:t xml:space="preserve">Australia’s materials productivity, circularity rate and waste recovery rate </w:t>
      </w:r>
      <w:r>
        <w:t>have increased slightly</w:t>
      </w:r>
      <w:r w:rsidRPr="00B5042E">
        <w:t xml:space="preserve"> over the past decade</w:t>
      </w:r>
      <w:r>
        <w:t xml:space="preserve">, </w:t>
      </w:r>
      <w:r w:rsidRPr="00B5042E">
        <w:t>but progress has been slow (figure 2)</w:t>
      </w:r>
      <w:r>
        <w:t>.</w:t>
      </w:r>
      <w:r w:rsidRPr="00FA3BA7">
        <w:rPr>
          <w:rStyle w:val="FootnoteReference"/>
        </w:rPr>
        <w:footnoteReference w:id="2"/>
      </w:r>
      <w:r w:rsidRPr="00B5042E">
        <w:t xml:space="preserve"> Australia’s materials productivity of US$1.10 </w:t>
      </w:r>
      <w:r>
        <w:t>per kg</w:t>
      </w:r>
      <w:r w:rsidRPr="00B5042E">
        <w:t xml:space="preserve"> lags the OECD average of US$2.50, </w:t>
      </w:r>
      <w:r>
        <w:t>but</w:t>
      </w:r>
      <w:r w:rsidRPr="00B5042E">
        <w:t xml:space="preserve"> this is largely </w:t>
      </w:r>
      <w:r>
        <w:t>due to</w:t>
      </w:r>
      <w:r w:rsidRPr="00B5042E">
        <w:t xml:space="preserve"> the dominance of materials-intensive sectors in the Australian economy. Materials productivity within sectors in Australia is on par with other OECD countries such as Japan, the Netherlands and Canada. </w:t>
      </w:r>
      <w:r>
        <w:t>T</w:t>
      </w:r>
      <w:r w:rsidRPr="000A67AB">
        <w:t xml:space="preserve">his illustrates the limitations of </w:t>
      </w:r>
      <w:r>
        <w:t xml:space="preserve">relying on aggregate </w:t>
      </w:r>
      <w:r w:rsidRPr="000A67AB">
        <w:t>metrics</w:t>
      </w:r>
      <w:r w:rsidRPr="00B5042E">
        <w:t xml:space="preserve"> based solely on the total weight of materials used and consumed</w:t>
      </w:r>
      <w:r w:rsidRPr="000A67AB">
        <w:t xml:space="preserve"> to identify</w:t>
      </w:r>
      <w:r w:rsidRPr="00B5042E">
        <w:t xml:space="preserve"> opportunities to improve materials productivity and effectively </w:t>
      </w:r>
      <w:r w:rsidRPr="000A67AB">
        <w:t>measure</w:t>
      </w:r>
      <w:r w:rsidRPr="00B5042E">
        <w:t xml:space="preserve"> progress.</w:t>
      </w:r>
    </w:p>
    <w:p w14:paraId="7AD6CB04" w14:textId="77777777" w:rsidR="0041785A" w:rsidRDefault="0041785A" w:rsidP="00AE4A75">
      <w:pPr>
        <w:pStyle w:val="BodyText"/>
      </w:pPr>
      <w:r w:rsidRPr="0074743F">
        <w:t>Conventional productivity measures often do not fully reflect the important role of materials in the Australian economy. For example, the Australian national accounts focus on labour, capital and multifactor productivity and do not explicitly report on materials productivity. Also, Australia’s productivity measures typically do not capture the major impact that the depletion of natural capital (such as minerals, water and biodiversity), or its capacity to provide ecosystem services, can have on future growth.</w:t>
      </w:r>
      <w:r>
        <w:t xml:space="preserve"> </w:t>
      </w:r>
    </w:p>
    <w:p w14:paraId="1D37537D" w14:textId="6DF6FA1D" w:rsidR="0041785A" w:rsidRDefault="0041785A" w:rsidP="006B2B1A">
      <w:pPr>
        <w:pStyle w:val="FigureTableHeading"/>
        <w:spacing w:after="120"/>
      </w:pPr>
      <w:r w:rsidRPr="00B5042E">
        <w:t>Figure 2 – Circular economy indicators in Australia</w:t>
      </w:r>
    </w:p>
    <w:p w14:paraId="6E8A9FC6" w14:textId="77777777" w:rsidR="0041785A" w:rsidRPr="00AE18B2" w:rsidRDefault="0041785A" w:rsidP="006B2B1A">
      <w:pPr>
        <w:pStyle w:val="BodyText"/>
      </w:pPr>
      <w:r>
        <w:rPr>
          <w:noProof/>
        </w:rPr>
        <w:drawing>
          <wp:inline distT="0" distB="0" distL="0" distR="0" wp14:anchorId="05429904" wp14:editId="743A451C">
            <wp:extent cx="5834380" cy="2060575"/>
            <wp:effectExtent l="0" t="0" r="0" b="0"/>
            <wp:docPr id="1595720661" name="Picture 1" descr="This figure shows three indicators measuring Australia’s circular economy: materials productivity, the circularity rate and the waste recovery rate. All have had small increases over the past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20661" name="Picture 1" descr="This figure shows three indicators measuring Australia’s circular economy: materials productivity, the circularity rate and the waste recovery rate. All have had small increases over the past deca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4380" cy="2060575"/>
                    </a:xfrm>
                    <a:prstGeom prst="rect">
                      <a:avLst/>
                    </a:prstGeom>
                    <a:noFill/>
                  </pic:spPr>
                </pic:pic>
              </a:graphicData>
            </a:graphic>
          </wp:inline>
        </w:drawing>
      </w:r>
    </w:p>
    <w:p w14:paraId="57206611" w14:textId="77777777" w:rsidR="0041785A" w:rsidRPr="0004606D" w:rsidRDefault="0041785A" w:rsidP="00AE4A75">
      <w:pPr>
        <w:pStyle w:val="Note"/>
        <w:keepLines/>
        <w:rPr>
          <w:sz w:val="20"/>
          <w:szCs w:val="22"/>
        </w:rPr>
      </w:pPr>
      <w:r w:rsidRPr="00AE18B2">
        <w:rPr>
          <w:b/>
          <w:bCs/>
          <w:sz w:val="20"/>
          <w:szCs w:val="22"/>
        </w:rPr>
        <w:t>a.</w:t>
      </w:r>
      <w:r w:rsidRPr="00AE18B2">
        <w:rPr>
          <w:sz w:val="20"/>
          <w:szCs w:val="22"/>
        </w:rPr>
        <w:t xml:space="preserve"> </w:t>
      </w:r>
      <w:r w:rsidRPr="00B5042E">
        <w:t>Waste recovered for recycling, reuse or energy; data unavailable for 2007-08, 2011-12 and 2012-13.</w:t>
      </w:r>
    </w:p>
    <w:p w14:paraId="10F86CD3" w14:textId="77777777" w:rsidR="0041785A" w:rsidRPr="00B5042E" w:rsidRDefault="0041785A" w:rsidP="00B5042E">
      <w:pPr>
        <w:pStyle w:val="BodyText"/>
      </w:pPr>
      <w:r>
        <w:t>Some h</w:t>
      </w:r>
      <w:r w:rsidRPr="00B5042E">
        <w:t xml:space="preserve">ouseholds and businesses have </w:t>
      </w:r>
      <w:r>
        <w:t xml:space="preserve">adopted circular practices for </w:t>
      </w:r>
      <w:r w:rsidRPr="00B5042E">
        <w:t>financial or commercial reasons. For example, households can save money</w:t>
      </w:r>
      <w:r w:rsidRPr="00B5042E" w:rsidDel="00244E40">
        <w:t xml:space="preserve"> </w:t>
      </w:r>
      <w:r w:rsidRPr="00B5042E">
        <w:t xml:space="preserve">by repairing or reusing objects until the end of their life rather than replacing them (slowing loops). </w:t>
      </w:r>
      <w:r>
        <w:t>And b</w:t>
      </w:r>
      <w:r w:rsidRPr="00B5042E">
        <w:t>usinesses can reduce their input and waste disposal costs by designing and manufacturing products that use less materials (narrowing loops). Households and businesses weigh these potential savings against the costs of circular practices, such as repair costs or the time and investment needed to change production processes or business models.</w:t>
      </w:r>
    </w:p>
    <w:p w14:paraId="25739B8B" w14:textId="77777777" w:rsidR="0041785A" w:rsidRPr="00B5042E" w:rsidRDefault="0041785A" w:rsidP="00B5042E">
      <w:pPr>
        <w:pStyle w:val="BodyText"/>
      </w:pPr>
      <w:r>
        <w:t xml:space="preserve">Households and businesses have also incorporated sustainable practices into their activities out of concern for the environment and future generations, and in response to changing societal expectations. A 2024 </w:t>
      </w:r>
      <w:r>
        <w:lastRenderedPageBreak/>
        <w:t>consumer survey found that 96% of respondents engaged in at least one sustainable practice in the last three months, though price and quality continue to be the top drivers of purchases. Ninety-seven per cent of the ASX100 companies reported on their sustainability performance</w:t>
      </w:r>
      <w:r w:rsidRPr="00B5042E">
        <w:t xml:space="preserve"> </w:t>
      </w:r>
      <w:r>
        <w:t>in</w:t>
      </w:r>
      <w:r w:rsidRPr="00B5042E">
        <w:t xml:space="preserve"> 202</w:t>
      </w:r>
      <w:r>
        <w:t xml:space="preserve">4 and climate-related financial disclosures have been mandatory for large companies since January 2025. </w:t>
      </w:r>
    </w:p>
    <w:p w14:paraId="5F22E282" w14:textId="77777777" w:rsidR="0041785A" w:rsidRDefault="0041785A" w:rsidP="00B5042E">
      <w:pPr>
        <w:pStyle w:val="BodyText"/>
      </w:pPr>
      <w:r>
        <w:t xml:space="preserve">Circular economy-related policies in Australia are in early stages of development, but in several areas are evolving rapidly. Most governments have recently introduced, and are continuing to develop, policies and reforms that promote greater circularity in different parts of the economy. </w:t>
      </w:r>
    </w:p>
    <w:p w14:paraId="58588C36" w14:textId="5132FDED" w:rsidR="0041785A" w:rsidRPr="00B5042E" w:rsidRDefault="0041785A" w:rsidP="00B5042E">
      <w:pPr>
        <w:pStyle w:val="BodyText"/>
      </w:pPr>
      <w:r w:rsidRPr="00B5042E">
        <w:t>All levels of government have policies that support the circular economy.</w:t>
      </w:r>
      <w:r w:rsidRPr="00FA3BA7">
        <w:rPr>
          <w:rStyle w:val="FootnoteReference"/>
        </w:rPr>
        <w:footnoteReference w:id="3"/>
      </w:r>
      <w:r w:rsidRPr="00B5042E">
        <w:t xml:space="preserve"> </w:t>
      </w:r>
      <w:r w:rsidRPr="00B24670">
        <w:t>Broadly, the Australian Government is responsible for</w:t>
      </w:r>
      <w:r>
        <w:t>:</w:t>
      </w:r>
      <w:r w:rsidRPr="00B24670">
        <w:t xml:space="preserve"> national legislation, strategies and policy frameworks</w:t>
      </w:r>
      <w:r>
        <w:t xml:space="preserve"> including international commitments (such as climate change); tax settings; research and development; international trade; and matters of national environmental significance. It also</w:t>
      </w:r>
      <w:r w:rsidRPr="00B24670">
        <w:t xml:space="preserve"> provides national leadership </w:t>
      </w:r>
      <w:r>
        <w:t>on</w:t>
      </w:r>
      <w:r w:rsidRPr="00B24670">
        <w:t xml:space="preserve"> initiatives that span jurisdictions or industries. </w:t>
      </w:r>
      <w:r>
        <w:t>State and territory governments have responsibilities for: waste management and resource recovery; infrastructure development and essential service delivery; environmental policy; and the enforcement of environmental regulations</w:t>
      </w:r>
      <w:r w:rsidRPr="00B24670">
        <w:t xml:space="preserve">. Local governments provide waste management services, manage </w:t>
      </w:r>
      <w:r>
        <w:t xml:space="preserve">local </w:t>
      </w:r>
      <w:r w:rsidRPr="00B24670">
        <w:t>infrastructure and promote awareness among residents</w:t>
      </w:r>
      <w:r>
        <w:t xml:space="preserve"> (such as how to correctly sort waste)</w:t>
      </w:r>
      <w:r w:rsidRPr="00B24670">
        <w:t>.</w:t>
      </w:r>
      <w:r>
        <w:t xml:space="preserve"> </w:t>
      </w:r>
      <w:r w:rsidRPr="00B5042E">
        <w:t>All levels of government provide financial incentives for circular activities</w:t>
      </w:r>
      <w:r>
        <w:t xml:space="preserve"> through means such as</w:t>
      </w:r>
      <w:r w:rsidRPr="00B5042E">
        <w:t xml:space="preserve"> dir</w:t>
      </w:r>
      <w:r>
        <w:t>e</w:t>
      </w:r>
      <w:r w:rsidRPr="00B5042E">
        <w:t xml:space="preserve">ct funding </w:t>
      </w:r>
      <w:r>
        <w:t>or</w:t>
      </w:r>
      <w:r w:rsidRPr="00B5042E">
        <w:t xml:space="preserve"> sustainable procurement policies. </w:t>
      </w:r>
    </w:p>
    <w:p w14:paraId="5807DE8A" w14:textId="1D12B0FF" w:rsidR="0041785A" w:rsidRPr="00B5042E" w:rsidRDefault="0041785A" w:rsidP="00B5042E">
      <w:pPr>
        <w:pStyle w:val="BodyText"/>
      </w:pPr>
      <w:r>
        <w:t>G</w:t>
      </w:r>
      <w:r w:rsidRPr="00B5042E">
        <w:t>overnment policies related to materials productivity have traditionally focused on recycling</w:t>
      </w:r>
      <w:r>
        <w:t>. However,</w:t>
      </w:r>
      <w:r w:rsidRPr="00B5042E">
        <w:t xml:space="preserve"> </w:t>
      </w:r>
      <w:r>
        <w:t>governments are increasingly focusing</w:t>
      </w:r>
      <w:r w:rsidRPr="00B5042E">
        <w:t xml:space="preserve"> on earlier </w:t>
      </w:r>
      <w:r>
        <w:t xml:space="preserve">stages of </w:t>
      </w:r>
      <w:r w:rsidRPr="00B5042E">
        <w:t>the product life cycle</w:t>
      </w:r>
      <w:r>
        <w:t>, implementing policies</w:t>
      </w:r>
      <w:r w:rsidRPr="00B5042E">
        <w:t xml:space="preserve"> that reduce materials use or </w:t>
      </w:r>
      <w:r>
        <w:t>its</w:t>
      </w:r>
      <w:r w:rsidRPr="00B5042E">
        <w:t xml:space="preserve"> impacts on the environment. </w:t>
      </w:r>
      <w:r>
        <w:t>Many of these</w:t>
      </w:r>
      <w:r w:rsidRPr="00B5042E">
        <w:t xml:space="preserve"> initiatives are still in their early stages</w:t>
      </w:r>
      <w:r>
        <w:t>.</w:t>
      </w:r>
      <w:r w:rsidRPr="00B5042E">
        <w:t xml:space="preserve"> </w:t>
      </w:r>
      <w:r>
        <w:t>At</w:t>
      </w:r>
      <w:r w:rsidRPr="00B5042E">
        <w:t xml:space="preserve"> a strategic level</w:t>
      </w:r>
      <w:r>
        <w:t>,</w:t>
      </w:r>
      <w:r w:rsidRPr="00B5042E">
        <w:t xml:space="preserve"> the Australian Government’s 2024 </w:t>
      </w:r>
      <w:r w:rsidRPr="00001002">
        <w:rPr>
          <w:i/>
          <w:iCs/>
        </w:rPr>
        <w:t>Australia’s</w:t>
      </w:r>
      <w:r w:rsidRPr="0089652E">
        <w:rPr>
          <w:i/>
          <w:iCs/>
        </w:rPr>
        <w:t xml:space="preserve"> </w:t>
      </w:r>
      <w:r w:rsidRPr="00001002">
        <w:rPr>
          <w:i/>
          <w:iCs/>
        </w:rPr>
        <w:t>Circular Economy Framework</w:t>
      </w:r>
      <w:r w:rsidRPr="00B5042E">
        <w:t xml:space="preserve"> seeks to prompt action across the whole product life cycle and highlights the important role of national policy leadership in Australia’s transition to greater circularity. </w:t>
      </w:r>
    </w:p>
    <w:p w14:paraId="40F135B1" w14:textId="6DFAF59C" w:rsidR="0041785A" w:rsidRPr="0004606D" w:rsidRDefault="0041785A" w:rsidP="00821719">
      <w:pPr>
        <w:pStyle w:val="Heading2-nonumber"/>
      </w:pPr>
      <w:bookmarkStart w:id="8" w:name="_Toc206056797"/>
      <w:bookmarkStart w:id="9" w:name="_Toc206617402"/>
      <w:r>
        <w:t>Addressing barriers to circularity</w:t>
      </w:r>
      <w:bookmarkEnd w:id="8"/>
      <w:bookmarkEnd w:id="9"/>
    </w:p>
    <w:p w14:paraId="00A58DD0" w14:textId="0A7F6697" w:rsidR="0041785A" w:rsidRPr="00F35C23" w:rsidRDefault="0041785A" w:rsidP="00B5042E">
      <w:pPr>
        <w:pStyle w:val="BodyText"/>
      </w:pPr>
      <w:r>
        <w:t xml:space="preserve">Households and businesses can face barriers to taking up circular practices. Some circular practices are costly to adopt, requiring investment in new technology, </w:t>
      </w:r>
      <w:r w:rsidR="00C60FE5">
        <w:t xml:space="preserve">paying </w:t>
      </w:r>
      <w:r w:rsidR="00AA268D">
        <w:t xml:space="preserve">for </w:t>
      </w:r>
      <w:r>
        <w:t xml:space="preserve">different inputs or transport, or increasing the scale of operation. A lack of information, or prescriptive, outdated or inconsistent regulations can also prevent businesses from implementing more circular practices. Further, many circular economy activities require coordination between and across businesses, governments, community groups and households. Without this, it can be difficult to build connections between relevant stakeholders and share knowledge about best practice. </w:t>
      </w:r>
    </w:p>
    <w:p w14:paraId="6A3E151D" w14:textId="634B0680" w:rsidR="0041785A" w:rsidRPr="00F35C23" w:rsidRDefault="0041785A" w:rsidP="00B5042E">
      <w:pPr>
        <w:pStyle w:val="BodyText"/>
      </w:pPr>
      <w:r>
        <w:t xml:space="preserve">Governments can support progress by ensuring regulations adequately protect the environment and human health without discouraging businesses from adopting newer or less widespread technologies and practices. Governments can also provide information and help stakeholders to coordinate. However, governments should also be mindful that some circular practices come with trade-offs. For example, even with the right </w:t>
      </w:r>
      <w:r>
        <w:lastRenderedPageBreak/>
        <w:t>government policies in place, some circular opportunities may still be too costly for businesses and households to take up.</w:t>
      </w:r>
    </w:p>
    <w:p w14:paraId="6ABCEE59" w14:textId="77777777" w:rsidR="0041785A" w:rsidRDefault="0041785A" w:rsidP="00B5042E">
      <w:pPr>
        <w:pStyle w:val="BodyText"/>
      </w:pPr>
      <w:r>
        <w:t>The</w:t>
      </w:r>
      <w:r w:rsidRPr="002B7F99">
        <w:t xml:space="preserve"> </w:t>
      </w:r>
      <w:r>
        <w:t>Productivity Commission</w:t>
      </w:r>
      <w:r w:rsidRPr="002B7F99">
        <w:t xml:space="preserve"> identifie</w:t>
      </w:r>
      <w:r>
        <w:t>d</w:t>
      </w:r>
      <w:r w:rsidRPr="002B7F99">
        <w:t xml:space="preserve"> opportunities to improve materials productivity in ways that benefit the economy and environment in five sectors</w:t>
      </w:r>
      <w:r>
        <w:t xml:space="preserve">: </w:t>
      </w:r>
      <w:r w:rsidRPr="002B7F99">
        <w:t>built environment</w:t>
      </w:r>
      <w:r>
        <w:t>;</w:t>
      </w:r>
      <w:r w:rsidRPr="002B7F99">
        <w:t xml:space="preserve"> food, agriculture and organics</w:t>
      </w:r>
      <w:r>
        <w:t>;</w:t>
      </w:r>
      <w:r w:rsidRPr="002B7F99">
        <w:t xml:space="preserve"> mining</w:t>
      </w:r>
      <w:r>
        <w:t xml:space="preserve">; </w:t>
      </w:r>
      <w:r w:rsidRPr="002B7F99">
        <w:t>electronics</w:t>
      </w:r>
      <w:r>
        <w:t>;</w:t>
      </w:r>
      <w:r w:rsidRPr="004C2E85">
        <w:t xml:space="preserve"> </w:t>
      </w:r>
      <w:r>
        <w:t xml:space="preserve">and </w:t>
      </w:r>
      <w:r w:rsidRPr="002B7F99">
        <w:t>textiles</w:t>
      </w:r>
      <w:r>
        <w:t xml:space="preserve"> and clothing</w:t>
      </w:r>
      <w:r w:rsidRPr="002B7F99">
        <w:t xml:space="preserve">. </w:t>
      </w:r>
      <w:r>
        <w:t xml:space="preserve">These opportunities were identified based on the </w:t>
      </w:r>
      <w:r w:rsidRPr="002B7F99">
        <w:t xml:space="preserve">environmental and economic significance of the materials </w:t>
      </w:r>
      <w:r>
        <w:t>involved and</w:t>
      </w:r>
      <w:r w:rsidRPr="002B7F99">
        <w:t xml:space="preserve"> </w:t>
      </w:r>
      <w:r>
        <w:t>how readily they can be applied in Australia and driven or implemented by government</w:t>
      </w:r>
      <w:r w:rsidRPr="002B7F99">
        <w:t xml:space="preserve"> (figure 3).</w:t>
      </w:r>
      <w:r>
        <w:t xml:space="preserve"> Some of these opportunities also relate to the delivery and management of essential service sectors such as water and energy. </w:t>
      </w:r>
    </w:p>
    <w:p w14:paraId="6D10B873" w14:textId="41171EA0" w:rsidR="0041785A" w:rsidRDefault="0041785A" w:rsidP="00B5042E">
      <w:pPr>
        <w:pStyle w:val="BodyText"/>
      </w:pPr>
      <w:r>
        <w:t>The PC also identified</w:t>
      </w:r>
      <w:r w:rsidRPr="00F35C23">
        <w:t xml:space="preserve"> </w:t>
      </w:r>
      <w:r w:rsidRPr="002B7F99">
        <w:t xml:space="preserve">opportunities </w:t>
      </w:r>
      <w:r>
        <w:t xml:space="preserve">that span </w:t>
      </w:r>
      <w:r w:rsidRPr="00F35C23">
        <w:t>multiple sectors</w:t>
      </w:r>
      <w:r>
        <w:t xml:space="preserve"> across the economy: a </w:t>
      </w:r>
      <w:r w:rsidRPr="000A3E87">
        <w:t>taskforce to drive regulatory reforms and harmonisation</w:t>
      </w:r>
      <w:r>
        <w:t>;</w:t>
      </w:r>
      <w:r w:rsidRPr="000A3E87">
        <w:t xml:space="preserve"> challenge-based funding for innovation</w:t>
      </w:r>
      <w:r>
        <w:t>;</w:t>
      </w:r>
      <w:r w:rsidRPr="00F96AE4">
        <w:t xml:space="preserve"> </w:t>
      </w:r>
      <w:r w:rsidRPr="000A3E87">
        <w:t>measures to support</w:t>
      </w:r>
      <w:r>
        <w:br/>
      </w:r>
      <w:r w:rsidRPr="000A3E87">
        <w:t>place-based initiatives</w:t>
      </w:r>
      <w:r w:rsidR="00D12493">
        <w:t>;</w:t>
      </w:r>
      <w:r w:rsidRPr="000A3E87">
        <w:t xml:space="preserve"> and an outcomes framework and metrics to support the implementation, monitoring and evaluation of circular economy reforms</w:t>
      </w:r>
      <w:r w:rsidRPr="00F35C23">
        <w:t xml:space="preserve">. </w:t>
      </w:r>
      <w:r>
        <w:t>These</w:t>
      </w:r>
      <w:r w:rsidRPr="00F35C23">
        <w:t xml:space="preserve"> are relatively low</w:t>
      </w:r>
      <w:r w:rsidR="00024986">
        <w:t>-</w:t>
      </w:r>
      <w:r w:rsidRPr="00F35C23">
        <w:t>cost, high</w:t>
      </w:r>
      <w:r w:rsidR="00024986">
        <w:t>-</w:t>
      </w:r>
      <w:r w:rsidRPr="00F35C23">
        <w:t xml:space="preserve">impact initiatives and changes that could help enable circular </w:t>
      </w:r>
      <w:r>
        <w:t>economy activities</w:t>
      </w:r>
      <w:r w:rsidRPr="00F35C23">
        <w:t xml:space="preserve"> across a range of contexts.</w:t>
      </w:r>
    </w:p>
    <w:p w14:paraId="3581181A" w14:textId="36F20266" w:rsidR="0041785A" w:rsidRPr="00E6196B" w:rsidRDefault="0041785A" w:rsidP="006B2B1A">
      <w:pPr>
        <w:pStyle w:val="FigureTableHeading"/>
        <w:spacing w:after="120"/>
        <w:rPr>
          <w:sz w:val="22"/>
          <w:szCs w:val="20"/>
        </w:rPr>
      </w:pPr>
      <w:r w:rsidRPr="003D54CA">
        <w:t>Figure 3 –</w:t>
      </w:r>
      <w:r w:rsidRPr="007700C0">
        <w:t xml:space="preserve"> </w:t>
      </w:r>
      <w:r w:rsidRPr="003D54CA">
        <w:t>Priority opportunities explored in this report</w:t>
      </w:r>
      <w:r w:rsidRPr="68818418">
        <w:rPr>
          <w:sz w:val="22"/>
          <w:szCs w:val="22"/>
          <w:vertAlign w:val="superscript"/>
        </w:rPr>
        <w:t>a,b</w:t>
      </w:r>
    </w:p>
    <w:p w14:paraId="34866EE5" w14:textId="160B0C9F" w:rsidR="0041785A" w:rsidRPr="006B2B1A" w:rsidRDefault="00A207F9" w:rsidP="006B2B1A">
      <w:pPr>
        <w:pStyle w:val="BodyText"/>
      </w:pPr>
      <w:r w:rsidRPr="006B2B1A">
        <w:rPr>
          <w:noProof/>
        </w:rPr>
        <w:drawing>
          <wp:inline distT="0" distB="0" distL="0" distR="0" wp14:anchorId="07E7A68C" wp14:editId="451A4A41">
            <wp:extent cx="6120130" cy="3129280"/>
            <wp:effectExtent l="0" t="0" r="0" b="0"/>
            <wp:docPr id="1731385098" name="Picture 1" descr="This figure describes the five areas explored in the rest of the report: the built environment; food, agriculture and organics; mining; electronics and textiles. It includes some statistics on the significance and applicability of these areas. It also covers some cross-sectoral opportunities that are explored in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85098" name="Picture 1" descr="This figure describes the five areas explored in the rest of the report: the built environment; food, agriculture and organics; mining; electronics and textiles. It includes some statistics on the significance and applicability of these areas. It also covers some cross-sectoral opportunities that are explored in the repor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129280"/>
                    </a:xfrm>
                    <a:prstGeom prst="rect">
                      <a:avLst/>
                    </a:prstGeom>
                    <a:noFill/>
                    <a:ln>
                      <a:noFill/>
                    </a:ln>
                  </pic:spPr>
                </pic:pic>
              </a:graphicData>
            </a:graphic>
          </wp:inline>
        </w:drawing>
      </w:r>
    </w:p>
    <w:p w14:paraId="24590BAE" w14:textId="4404BC07" w:rsidR="0041785A" w:rsidRPr="00E6196B" w:rsidRDefault="0041785A" w:rsidP="0018047F">
      <w:pPr>
        <w:pStyle w:val="Note"/>
        <w:spacing w:after="240"/>
      </w:pPr>
      <w:r w:rsidRPr="429E0C13">
        <w:rPr>
          <w:b/>
          <w:bCs/>
        </w:rPr>
        <w:t>a.</w:t>
      </w:r>
      <w:r>
        <w:t xml:space="preserve"> Statistics show contribution and impacts in Australia. </w:t>
      </w:r>
      <w:r w:rsidRPr="429E0C13">
        <w:rPr>
          <w:b/>
          <w:bCs/>
        </w:rPr>
        <w:t xml:space="preserve">b. </w:t>
      </w:r>
      <w:r>
        <w:t xml:space="preserve">Industry output statistics are industry value added for 2023-24. </w:t>
      </w:r>
      <w:r w:rsidRPr="429E0C13">
        <w:rPr>
          <w:b/>
          <w:bCs/>
        </w:rPr>
        <w:t>c.</w:t>
      </w:r>
      <w:r>
        <w:t xml:space="preserve"> Built environment statistics are for the construction sector. </w:t>
      </w:r>
      <w:r w:rsidRPr="429E0C13">
        <w:rPr>
          <w:b/>
          <w:bCs/>
        </w:rPr>
        <w:t>d.</w:t>
      </w:r>
      <w:r>
        <w:t xml:space="preserve"> The food, agriculture and organics sector is comprised of the</w:t>
      </w:r>
      <w:r w:rsidR="00E52138">
        <w:t xml:space="preserve"> following subsectors:</w:t>
      </w:r>
      <w:r>
        <w:t xml:space="preserve"> agriculture; aquaculture; forestry and logging; fishing, hunting and trapping; agriculture, forestry and fishing support services; food product manufacturing; beverage and tobacco product manufacturing; grocery, liquor and tobacco product wholesaling; food retailing; and food and beverage services. </w:t>
      </w:r>
      <w:r>
        <w:rPr>
          <w:b/>
          <w:bCs/>
        </w:rPr>
        <w:t>e</w:t>
      </w:r>
      <w:r w:rsidRPr="429E0C13">
        <w:rPr>
          <w:b/>
          <w:bCs/>
        </w:rPr>
        <w:t>.</w:t>
      </w:r>
      <w:r>
        <w:t xml:space="preserve"> Emissions statistics are for direct (scope 1) emissions.</w:t>
      </w:r>
    </w:p>
    <w:p w14:paraId="0721C671" w14:textId="77777777" w:rsidR="0041785A" w:rsidRDefault="0041785A" w:rsidP="00140DB4">
      <w:pPr>
        <w:pStyle w:val="BodyText"/>
      </w:pPr>
      <w:r>
        <w:t>T</w:t>
      </w:r>
      <w:r w:rsidRPr="006841AD">
        <w:t>he PC</w:t>
      </w:r>
      <w:r>
        <w:t>’s recommendations</w:t>
      </w:r>
      <w:r w:rsidRPr="006841AD">
        <w:t xml:space="preserve"> </w:t>
      </w:r>
      <w:r>
        <w:t>seek</w:t>
      </w:r>
      <w:r w:rsidRPr="006841AD">
        <w:t xml:space="preserve"> to complement existing government activities</w:t>
      </w:r>
      <w:r w:rsidRPr="006841AD" w:rsidDel="00FE0120">
        <w:t>.</w:t>
      </w:r>
      <w:r>
        <w:rPr>
          <w:rStyle w:val="CommentReference"/>
        </w:rPr>
        <w:t xml:space="preserve"> </w:t>
      </w:r>
      <w:r>
        <w:t xml:space="preserve">During this inquiry, governments have taken action to reduce regulatory barriers to prefabricated housing, </w:t>
      </w:r>
      <w:r w:rsidRPr="005B02B8">
        <w:t>recognis</w:t>
      </w:r>
      <w:r>
        <w:t>e</w:t>
      </w:r>
      <w:r w:rsidRPr="005B02B8">
        <w:t xml:space="preserve"> the carbon benefits of</w:t>
      </w:r>
      <w:r>
        <w:t xml:space="preserve"> biomethane in Australia’s carbon reporting system and increase transparency in business sustainability through mandatory climate-related financial disclosures. They have also undertaken reviews. For example, the Recycling and Waste Reduction Act Review has been tasked with making recommendations to </w:t>
      </w:r>
      <w:r w:rsidRPr="002049C3">
        <w:t>improve the efficiency and impact of the Act in addressing current and future</w:t>
      </w:r>
      <w:r>
        <w:t xml:space="preserve"> circular economy </w:t>
      </w:r>
      <w:r w:rsidRPr="002049C3">
        <w:t>needs</w:t>
      </w:r>
      <w:r>
        <w:t xml:space="preserve">, resource recovery and waste </w:t>
      </w:r>
      <w:r w:rsidRPr="002049C3">
        <w:t>challenges</w:t>
      </w:r>
      <w:r>
        <w:t xml:space="preserve">. </w:t>
      </w:r>
    </w:p>
    <w:p w14:paraId="35C68151" w14:textId="77777777" w:rsidR="0041785A" w:rsidRDefault="0041785A" w:rsidP="00140DB4">
      <w:pPr>
        <w:pStyle w:val="BodyText"/>
      </w:pPr>
      <w:r>
        <w:lastRenderedPageBreak/>
        <w:t xml:space="preserve">This report also reiterates </w:t>
      </w:r>
      <w:r w:rsidRPr="006841AD">
        <w:t>recommend</w:t>
      </w:r>
      <w:r>
        <w:t>ations from previous</w:t>
      </w:r>
      <w:r w:rsidRPr="006841AD">
        <w:t xml:space="preserve"> </w:t>
      </w:r>
      <w:r>
        <w:t>PC reports</w:t>
      </w:r>
      <w:r w:rsidRPr="006841AD">
        <w:t xml:space="preserve"> </w:t>
      </w:r>
      <w:r>
        <w:t xml:space="preserve">that would promote greater circularity. For example, the </w:t>
      </w:r>
      <w:r w:rsidRPr="002F4013">
        <w:t xml:space="preserve">PC’s Right to Repair inquiry recommended competition, consumer protection and intellectual property </w:t>
      </w:r>
      <w:r>
        <w:t xml:space="preserve">reforms </w:t>
      </w:r>
      <w:r w:rsidRPr="002F4013">
        <w:t>to increase consumers’ ability to access competitive repair services for products such as cars, agricultural machinery and small electronics</w:t>
      </w:r>
      <w:r>
        <w:t xml:space="preserve">. </w:t>
      </w:r>
    </w:p>
    <w:p w14:paraId="1B5BD6F8" w14:textId="08C7731C" w:rsidR="0041785A" w:rsidRPr="0018047F" w:rsidRDefault="0041785A" w:rsidP="00140DB4">
      <w:pPr>
        <w:pStyle w:val="BodyText"/>
        <w:rPr>
          <w:spacing w:val="-4"/>
        </w:rPr>
      </w:pPr>
      <w:r w:rsidRPr="0018047F">
        <w:rPr>
          <w:spacing w:val="-4"/>
        </w:rPr>
        <w:t>Th</w:t>
      </w:r>
      <w:r w:rsidR="00A75A00" w:rsidRPr="0018047F">
        <w:rPr>
          <w:spacing w:val="-4"/>
        </w:rPr>
        <w:t>is</w:t>
      </w:r>
      <w:r w:rsidRPr="0018047F">
        <w:rPr>
          <w:spacing w:val="-4"/>
        </w:rPr>
        <w:t xml:space="preserve"> report also identifies ongoing</w:t>
      </w:r>
      <w:r w:rsidRPr="0018047F" w:rsidDel="00931F35">
        <w:rPr>
          <w:spacing w:val="-4"/>
        </w:rPr>
        <w:t xml:space="preserve"> </w:t>
      </w:r>
      <w:r w:rsidRPr="0018047F">
        <w:rPr>
          <w:spacing w:val="-4"/>
        </w:rPr>
        <w:t>and future policy opportunities and challenges for further government attention.</w:t>
      </w:r>
    </w:p>
    <w:p w14:paraId="2D52BA11" w14:textId="77777777" w:rsidR="0041785A" w:rsidRPr="00BF09C1" w:rsidRDefault="0041785A" w:rsidP="00D56CA1">
      <w:pPr>
        <w:pStyle w:val="Heading2-nonumber"/>
      </w:pPr>
      <w:bookmarkStart w:id="10" w:name="_Toc206056798"/>
      <w:bookmarkStart w:id="11" w:name="_Toc206617403"/>
      <w:r>
        <w:t xml:space="preserve">Streamlining regulations to encourage </w:t>
      </w:r>
      <w:r w:rsidRPr="00BF09C1">
        <w:t>circular activities</w:t>
      </w:r>
      <w:bookmarkEnd w:id="10"/>
      <w:bookmarkEnd w:id="11"/>
    </w:p>
    <w:p w14:paraId="59B8ED13" w14:textId="77777777" w:rsidR="0041785A" w:rsidRPr="00BF2DDD" w:rsidRDefault="0041785A" w:rsidP="00BF2DDD">
      <w:pPr>
        <w:pStyle w:val="BodyText"/>
      </w:pPr>
      <w:r w:rsidRPr="00BF2DDD">
        <w:t xml:space="preserve">Circular economy opportunities </w:t>
      </w:r>
      <w:r>
        <w:t>span</w:t>
      </w:r>
      <w:r w:rsidRPr="00BF2DDD">
        <w:t xml:space="preserve"> </w:t>
      </w:r>
      <w:r>
        <w:t>multiple</w:t>
      </w:r>
      <w:r w:rsidRPr="00BF2DDD">
        <w:t xml:space="preserve"> sectors, locations and processes</w:t>
      </w:r>
      <w:r>
        <w:t>. B</w:t>
      </w:r>
      <w:r w:rsidRPr="00BF2DDD">
        <w:t xml:space="preserve">usinesses pursuing these opportunities are often affected by many regulations such as health, environmental and planning </w:t>
      </w:r>
      <w:r>
        <w:t>rules</w:t>
      </w:r>
      <w:r w:rsidRPr="00BF2DDD">
        <w:t xml:space="preserve">. </w:t>
      </w:r>
    </w:p>
    <w:p w14:paraId="266BD602" w14:textId="77777777" w:rsidR="0041785A" w:rsidRPr="00BF2DDD" w:rsidRDefault="0041785A" w:rsidP="00BF2DDD">
      <w:pPr>
        <w:pStyle w:val="BodyText"/>
      </w:pPr>
      <w:r w:rsidRPr="00BF2DDD">
        <w:t xml:space="preserve">Regulations </w:t>
      </w:r>
      <w:r>
        <w:t>can protect us from adverse outcomes</w:t>
      </w:r>
      <w:r w:rsidRPr="00BF2DDD">
        <w:t xml:space="preserve"> and engender community trust</w:t>
      </w:r>
      <w:r>
        <w:t>.</w:t>
      </w:r>
      <w:r w:rsidRPr="00BF2DDD">
        <w:t xml:space="preserve"> </w:t>
      </w:r>
      <w:r>
        <w:t>But s</w:t>
      </w:r>
      <w:r w:rsidRPr="00BF2DDD">
        <w:t>ome regulations and policies favour linear processes or limit the adoption of circular practices</w:t>
      </w:r>
      <w:r>
        <w:t>. U</w:t>
      </w:r>
      <w:r w:rsidRPr="00BF2DDD">
        <w:t>pdating these would level the playing field for newer or less widespread technologies and practices that improve materials productivity.</w:t>
      </w:r>
    </w:p>
    <w:p w14:paraId="11FDD7FB" w14:textId="77777777" w:rsidR="0041785A" w:rsidRPr="00932998" w:rsidRDefault="0041785A" w:rsidP="00BA4202">
      <w:pPr>
        <w:pStyle w:val="BodyText"/>
        <w:rPr>
          <w:b/>
          <w:bCs/>
        </w:rPr>
      </w:pPr>
      <w:r w:rsidRPr="1DA5FB7F">
        <w:rPr>
          <w:b/>
          <w:bCs/>
        </w:rPr>
        <w:t>Government</w:t>
      </w:r>
      <w:r>
        <w:rPr>
          <w:b/>
          <w:bCs/>
        </w:rPr>
        <w:t>s</w:t>
      </w:r>
      <w:r w:rsidRPr="1DA5FB7F">
        <w:rPr>
          <w:b/>
          <w:bCs/>
        </w:rPr>
        <w:t xml:space="preserve"> should pursue opportunities to streamline regulations and encourage business to adopt innovative technologies and practices in three areas.</w:t>
      </w:r>
    </w:p>
    <w:p w14:paraId="52537613" w14:textId="77777777" w:rsidR="0041785A" w:rsidRPr="00D0107D" w:rsidRDefault="0041785A" w:rsidP="009B33D1">
      <w:pPr>
        <w:pStyle w:val="ListBullet"/>
      </w:pPr>
      <w:r w:rsidRPr="00696F17">
        <w:rPr>
          <w:b/>
          <w:bCs/>
        </w:rPr>
        <w:t xml:space="preserve">Reducing overly restrictive standards </w:t>
      </w:r>
      <w:r w:rsidRPr="005F676A">
        <w:rPr>
          <w:b/>
          <w:bCs/>
        </w:rPr>
        <w:t>and specifications</w:t>
      </w:r>
      <w:r>
        <w:rPr>
          <w:b/>
          <w:bCs/>
        </w:rPr>
        <w:t xml:space="preserve"> relating to</w:t>
      </w:r>
      <w:r w:rsidRPr="005D7201">
        <w:rPr>
          <w:b/>
          <w:bCs/>
        </w:rPr>
        <w:t xml:space="preserve"> </w:t>
      </w:r>
      <w:r>
        <w:rPr>
          <w:b/>
          <w:bCs/>
        </w:rPr>
        <w:t>i</w:t>
      </w:r>
      <w:r w:rsidRPr="005D7201">
        <w:rPr>
          <w:b/>
          <w:bCs/>
        </w:rPr>
        <w:t>nfrastructure</w:t>
      </w:r>
      <w:r>
        <w:rPr>
          <w:b/>
          <w:bCs/>
        </w:rPr>
        <w:t xml:space="preserve"> construction.</w:t>
      </w:r>
      <w:r w:rsidRPr="005D7201">
        <w:rPr>
          <w:b/>
          <w:bCs/>
        </w:rPr>
        <w:t xml:space="preserve"> </w:t>
      </w:r>
      <w:r>
        <w:t xml:space="preserve">This </w:t>
      </w:r>
      <w:r w:rsidRPr="00553D52">
        <w:t>could provide access to lower cost, better performing and more sustainable materials</w:t>
      </w:r>
      <w:r w:rsidRPr="005D7201">
        <w:rPr>
          <w:b/>
          <w:bCs/>
        </w:rPr>
        <w:t>.</w:t>
      </w:r>
      <w:r w:rsidRPr="00BA4202">
        <w:t xml:space="preserve"> The benefits could be significant</w:t>
      </w:r>
      <w:r>
        <w:t>. In the next four years alone,</w:t>
      </w:r>
      <w:r w:rsidRPr="00BA4202">
        <w:t xml:space="preserve"> </w:t>
      </w:r>
      <w:r>
        <w:t>investment in</w:t>
      </w:r>
      <w:r w:rsidRPr="00BA4202">
        <w:t xml:space="preserve"> future public infrastructure is </w:t>
      </w:r>
      <w:r>
        <w:t>expected to total</w:t>
      </w:r>
      <w:r w:rsidRPr="00BA4202">
        <w:t xml:space="preserve"> $270 billion</w:t>
      </w:r>
      <w:r>
        <w:t xml:space="preserve"> and efficient net zero transition policy developments are likely to present opportunities for less emissions intensive construction materials</w:t>
      </w:r>
      <w:r w:rsidRPr="00BA4202">
        <w:t xml:space="preserve">. </w:t>
      </w:r>
      <w:r>
        <w:t>Australian governments need to form a</w:t>
      </w:r>
      <w:r w:rsidRPr="00BA4202">
        <w:t xml:space="preserve"> definitive</w:t>
      </w:r>
      <w:r>
        <w:t>,</w:t>
      </w:r>
      <w:r w:rsidRPr="00BA4202">
        <w:t xml:space="preserve"> consistent position on which standards </w:t>
      </w:r>
      <w:r>
        <w:t xml:space="preserve">or specifications </w:t>
      </w:r>
      <w:r w:rsidRPr="00BA4202">
        <w:t>are too conservative or outdated, and where changes will have the biggest impact</w:t>
      </w:r>
      <w:r w:rsidRPr="005D7201">
        <w:t>.</w:t>
      </w:r>
      <w:r w:rsidRPr="00BA4202">
        <w:t xml:space="preserve"> </w:t>
      </w:r>
      <w:r w:rsidRPr="00F66A37">
        <w:t xml:space="preserve">To </w:t>
      </w:r>
      <w:r>
        <w:t>this end, the</w:t>
      </w:r>
      <w:r w:rsidRPr="00F66A37">
        <w:t xml:space="preserve"> Australian</w:t>
      </w:r>
      <w:r>
        <w:t>,</w:t>
      </w:r>
      <w:r w:rsidRPr="00F66A37">
        <w:t xml:space="preserve"> state and territory governments </w:t>
      </w:r>
      <w:r>
        <w:t>should set up a working group to undertake</w:t>
      </w:r>
      <w:r w:rsidRPr="00F66A37">
        <w:t xml:space="preserve"> a </w:t>
      </w:r>
      <w:r>
        <w:t>staged</w:t>
      </w:r>
      <w:r w:rsidRPr="00F66A37">
        <w:t xml:space="preserve"> stocktake</w:t>
      </w:r>
      <w:r>
        <w:t xml:space="preserve"> and assessment</w:t>
      </w:r>
      <w:r w:rsidRPr="00F66A37">
        <w:t xml:space="preserve"> of standards and specifications</w:t>
      </w:r>
      <w:r>
        <w:t xml:space="preserve">, </w:t>
      </w:r>
      <w:r w:rsidRPr="00F66A37">
        <w:t xml:space="preserve">including Australian Standards and state infrastructure technical specifications. </w:t>
      </w:r>
      <w:r>
        <w:t xml:space="preserve">The assessment should </w:t>
      </w:r>
      <w:r w:rsidRPr="00F66A37">
        <w:t xml:space="preserve">shortlist </w:t>
      </w:r>
      <w:r>
        <w:t xml:space="preserve">changes to </w:t>
      </w:r>
      <w:r w:rsidRPr="00F66A37">
        <w:t xml:space="preserve">standards </w:t>
      </w:r>
      <w:r>
        <w:t xml:space="preserve">and specifications that could </w:t>
      </w:r>
      <w:r w:rsidRPr="00F66A37">
        <w:t xml:space="preserve">significantly increase </w:t>
      </w:r>
      <w:r>
        <w:t xml:space="preserve">the </w:t>
      </w:r>
      <w:r w:rsidRPr="00F66A37">
        <w:t xml:space="preserve">uptake of sustainable materials </w:t>
      </w:r>
      <w:r>
        <w:t xml:space="preserve">in infrastructure </w:t>
      </w:r>
      <w:r w:rsidRPr="00F66A37">
        <w:t>without compromising safety</w:t>
      </w:r>
      <w:r>
        <w:t xml:space="preserve">. These may include replacing </w:t>
      </w:r>
      <w:r w:rsidRPr="00F66A37">
        <w:t>prescriptive</w:t>
      </w:r>
      <w:r>
        <w:t xml:space="preserve"> standards and specifications with</w:t>
      </w:r>
      <w:r w:rsidRPr="00F66A37">
        <w:t xml:space="preserve"> performance-based criteria or harmonis</w:t>
      </w:r>
      <w:r>
        <w:t>ing standards and specifications across states and territories.</w:t>
      </w:r>
      <w:r w:rsidRPr="00FA3BA7">
        <w:rPr>
          <w:rStyle w:val="FootnoteReference"/>
        </w:rPr>
        <w:footnoteReference w:id="4"/>
      </w:r>
      <w:r w:rsidRPr="000165E4">
        <w:t xml:space="preserve"> </w:t>
      </w:r>
    </w:p>
    <w:p w14:paraId="66E59217" w14:textId="131E9E08" w:rsidR="0041785A" w:rsidRPr="00F82EB6" w:rsidRDefault="0041785A" w:rsidP="009B33D1">
      <w:pPr>
        <w:pStyle w:val="ListBullet"/>
      </w:pPr>
      <w:r w:rsidRPr="009B33D1">
        <w:rPr>
          <w:b/>
          <w:bCs/>
        </w:rPr>
        <w:t xml:space="preserve">Reforming uncertain and restrictive regulations governing the production and use of materials derived from wasted organic material (such as biochar and compost). </w:t>
      </w:r>
      <w:r>
        <w:t xml:space="preserve">This could reduce reliance on virgin materials in applications such as fertilisers and result in environmental and/or economic benefits from nature regeneration. The Australia New Zealand Biochar Industry Group estimates that Australia has an annual biochar production potential of </w:t>
      </w:r>
      <w:r w:rsidR="007721FB">
        <w:t xml:space="preserve">up to </w:t>
      </w:r>
      <w:r>
        <w:t>30 million tonnes by 2050, up from a domestic production of approximately 20,000 tonnes in 2020. However, regulatory gaps create substantial uncertainty for biochar users and investors and are limiting uptake. State and territory governments should develop dedicated regulatory pathways that outline the requirements for organic waste to transition into saleable materials, beginning with biochar.</w:t>
      </w:r>
    </w:p>
    <w:p w14:paraId="1022585F" w14:textId="77777777" w:rsidR="0041785A" w:rsidRDefault="0041785A" w:rsidP="009B33D1">
      <w:pPr>
        <w:pStyle w:val="ListBullet"/>
      </w:pPr>
      <w:r w:rsidRPr="009B33D1">
        <w:rPr>
          <w:b/>
          <w:bCs/>
        </w:rPr>
        <w:t xml:space="preserve">Revising regulations affecting mine closure and transition to make it easier to repurpose mined land and infrastructure for a broader range of uses (such as clean energy projects), and to reuse </w:t>
      </w:r>
      <w:r w:rsidRPr="009B33D1">
        <w:rPr>
          <w:b/>
          <w:bCs/>
        </w:rPr>
        <w:lastRenderedPageBreak/>
        <w:t>mining residues.</w:t>
      </w:r>
      <w:r>
        <w:t xml:space="preserve"> </w:t>
      </w:r>
      <w:r w:rsidRPr="003C39BA">
        <w:t xml:space="preserve">With </w:t>
      </w:r>
      <w:r w:rsidRPr="00F82EB6" w:rsidDel="00F5391A">
        <w:t>around 240 Australian mines expected to end their economically productive life between 2021 and 2040</w:t>
      </w:r>
      <w:r>
        <w:t>, the economic, social and environmental benefits of greater flexibility in the repurposing of mined land, infrastructure and residues could be substantia</w:t>
      </w:r>
      <w:r w:rsidRPr="00F82EB6">
        <w:t>l.</w:t>
      </w:r>
      <w:r w:rsidRPr="00FA3BA7">
        <w:rPr>
          <w:rStyle w:val="FootnoteReference"/>
        </w:rPr>
        <w:footnoteReference w:id="5"/>
      </w:r>
      <w:r w:rsidRPr="00F82EB6">
        <w:t xml:space="preserve"> </w:t>
      </w:r>
      <w:r>
        <w:t xml:space="preserve">To enable </w:t>
      </w:r>
      <w:r w:rsidRPr="00E752DF">
        <w:t>innovative post</w:t>
      </w:r>
      <w:r>
        <w:noBreakHyphen/>
      </w:r>
      <w:r w:rsidRPr="00E752DF">
        <w:t>mining land uses</w:t>
      </w:r>
      <w:r>
        <w:t xml:space="preserve"> that have broader benefits for the community</w:t>
      </w:r>
      <w:r w:rsidRPr="00E752DF">
        <w:t xml:space="preserve">, state and territory governments </w:t>
      </w:r>
      <w:r>
        <w:t xml:space="preserve">should </w:t>
      </w:r>
      <w:r w:rsidRPr="00E752DF">
        <w:t>review the</w:t>
      </w:r>
      <w:r>
        <w:t>ir</w:t>
      </w:r>
      <w:r w:rsidRPr="00E752DF">
        <w:t xml:space="preserve"> regulatory frameworks and processes that guide mine closure and transition</w:t>
      </w:r>
      <w:r>
        <w:t>. The reviews</w:t>
      </w:r>
      <w:r w:rsidRPr="00E752DF">
        <w:t xml:space="preserve"> </w:t>
      </w:r>
      <w:r>
        <w:t xml:space="preserve">should identify processes that could better accommodate </w:t>
      </w:r>
      <w:r w:rsidRPr="00F82EB6">
        <w:t>repurpos</w:t>
      </w:r>
      <w:r>
        <w:t>ing</w:t>
      </w:r>
      <w:r w:rsidRPr="00F82EB6">
        <w:t xml:space="preserve"> </w:t>
      </w:r>
      <w:r w:rsidRPr="00FA6A99">
        <w:t>mine</w:t>
      </w:r>
      <w:r>
        <w:t>d</w:t>
      </w:r>
      <w:r w:rsidRPr="00FA6A99">
        <w:t xml:space="preserve"> land and infrastructure </w:t>
      </w:r>
      <w:r>
        <w:t>without compromising broader regulatory objectives.</w:t>
      </w:r>
      <w:r w:rsidRPr="00E752DF">
        <w:t xml:space="preserve"> </w:t>
      </w:r>
      <w:r>
        <w:t>A</w:t>
      </w:r>
      <w:r w:rsidRPr="00E752DF">
        <w:t xml:space="preserve"> recent NSW parliamentary inquiry into beneficial and productive post-mining land use made similar recommendations for NSW mines. </w:t>
      </w:r>
    </w:p>
    <w:p w14:paraId="10A4EA17" w14:textId="77777777" w:rsidR="0041785A" w:rsidRDefault="0041785A" w:rsidP="00A558F2">
      <w:pPr>
        <w:pStyle w:val="BodyText"/>
      </w:pPr>
      <w:r w:rsidRPr="00957633">
        <w:t>Reducing (and where possible avoiding) unnecessary inconsistencies in regulations across jurisdictions promotes circularity by reducing costs for businesses operating across state and territory borders</w:t>
      </w:r>
      <w:r w:rsidRPr="00D27D51">
        <w:t>. Different settings for different jurisdictions can be justified where local environments, activities and preferences differ. But in other cases, jurisdictional regulations could be harmonised – particularly where the differences between states and territories are definitional or administrative, rather than substantive or relating to outcomes. Harmonising administrative requirements reduce</w:t>
      </w:r>
      <w:r>
        <w:t>s</w:t>
      </w:r>
      <w:r w:rsidRPr="00D27D51">
        <w:t xml:space="preserve"> the regulatory burden on businesses with national operations and reduce</w:t>
      </w:r>
      <w:r>
        <w:t>s</w:t>
      </w:r>
      <w:r w:rsidRPr="00D27D51">
        <w:t xml:space="preserve"> frictions for businesses deciding where or whether to </w:t>
      </w:r>
      <w:r>
        <w:t>expand</w:t>
      </w:r>
      <w:r w:rsidRPr="00D27D51">
        <w:t xml:space="preserve">. </w:t>
      </w:r>
    </w:p>
    <w:p w14:paraId="21B522F7" w14:textId="1FA3E1DB" w:rsidR="0041785A" w:rsidRPr="00D27D51" w:rsidRDefault="00316524" w:rsidP="00A558F2">
      <w:pPr>
        <w:pStyle w:val="BodyText"/>
      </w:pPr>
      <w:r>
        <w:t>E</w:t>
      </w:r>
      <w:r w:rsidR="0041785A" w:rsidRPr="00D27D51">
        <w:t>xample</w:t>
      </w:r>
      <w:r w:rsidR="0041785A">
        <w:t>s</w:t>
      </w:r>
      <w:r w:rsidR="0041785A" w:rsidRPr="00D27D51">
        <w:t xml:space="preserve"> of potentially unnecessary inconsistencies in standards and regulations across states and territories</w:t>
      </w:r>
      <w:r w:rsidR="0092219E">
        <w:t xml:space="preserve"> include:</w:t>
      </w:r>
    </w:p>
    <w:p w14:paraId="3D0B1075" w14:textId="3C13B50A" w:rsidR="0041785A" w:rsidRPr="00D27D51" w:rsidRDefault="0092219E" w:rsidP="009B33D1">
      <w:pPr>
        <w:pStyle w:val="ListBullet"/>
      </w:pPr>
      <w:r>
        <w:t>d</w:t>
      </w:r>
      <w:r w:rsidRPr="00D27D51">
        <w:t xml:space="preserve">ifferences </w:t>
      </w:r>
      <w:r w:rsidR="0041785A" w:rsidRPr="00D27D51">
        <w:t>in specifications on allowable content for recycled materials in infrastructure construction projects, even where standards are based on the same data and industry standards. For example, New South Wales’s specification for allowable recycled crushed glass as granular base and subbase in road pavement is 10%, whereas in Victoria it is 5</w:t>
      </w:r>
      <w:r w:rsidR="0041785A">
        <w:t>–1</w:t>
      </w:r>
      <w:r w:rsidR="0041785A" w:rsidRPr="00D27D51">
        <w:t>0% for granular base and 15</w:t>
      </w:r>
      <w:r w:rsidR="0041785A">
        <w:t>–</w:t>
      </w:r>
      <w:r w:rsidR="0041785A" w:rsidRPr="00D27D51">
        <w:t>50% for granular subbase</w:t>
      </w:r>
    </w:p>
    <w:p w14:paraId="6C833137" w14:textId="18F2BB64" w:rsidR="0041785A" w:rsidRPr="000626BB" w:rsidRDefault="0092219E" w:rsidP="009B33D1">
      <w:pPr>
        <w:pStyle w:val="ListBullet"/>
      </w:pPr>
      <w:r>
        <w:t>i</w:t>
      </w:r>
      <w:r w:rsidR="0041785A" w:rsidRPr="00D27D51">
        <w:t>nconsistent waste classifications, including for organics, e-waste and products made using recycled waste. For example, over 20 different regulations govern the classification, transport and management of plastic waste in Australia.</w:t>
      </w:r>
    </w:p>
    <w:p w14:paraId="00040D96" w14:textId="77777777" w:rsidR="0041785A" w:rsidRDefault="0041785A" w:rsidP="004E56A8">
      <w:pPr>
        <w:pStyle w:val="Heading3"/>
      </w:pPr>
      <w:r>
        <w:t xml:space="preserve">A taskforce to </w:t>
      </w:r>
      <w:r>
        <w:rPr>
          <w:b/>
          <w:bCs/>
        </w:rPr>
        <w:t>drive regulatory reforms and harmonisation</w:t>
      </w:r>
    </w:p>
    <w:p w14:paraId="3689D7AF" w14:textId="77777777" w:rsidR="0041785A" w:rsidRPr="006F541C" w:rsidRDefault="0041785A" w:rsidP="007E0336">
      <w:pPr>
        <w:pStyle w:val="BodyText"/>
      </w:pPr>
      <w:r w:rsidRPr="006F541C">
        <w:t>To support the transition to a circular economy, the Australian Government should set up a Circular Economy Regulatory Reform Taskforce with state and territory governments. While governments are already harmonising some regulations,</w:t>
      </w:r>
      <w:r w:rsidRPr="006F541C">
        <w:rPr>
          <w:rStyle w:val="CommentReference"/>
          <w:sz w:val="20"/>
          <w:szCs w:val="20"/>
        </w:rPr>
        <w:t xml:space="preserve"> </w:t>
      </w:r>
      <w:r w:rsidRPr="006F541C">
        <w:t>a taskforce with dedicated resources and ministerial authorisation would strengthen governments’ capacity to reform and harmonise regulations where it would have the largest benefits. To operate effectively, the</w:t>
      </w:r>
      <w:r w:rsidRPr="006F541C" w:rsidDel="00271313">
        <w:t xml:space="preserve"> </w:t>
      </w:r>
      <w:r w:rsidRPr="006F541C">
        <w:t xml:space="preserve">taskforce should meet regularly, respond to emerging issues, consider circular economy issues from a range of portfolios, and make regulatory reform recommendations that balance broader government objectives and specific regulatory outcomes. </w:t>
      </w:r>
    </w:p>
    <w:p w14:paraId="61242426" w14:textId="77777777" w:rsidR="0041785A" w:rsidRPr="00F63751" w:rsidRDefault="0041785A" w:rsidP="007E0336">
      <w:pPr>
        <w:pStyle w:val="BodyText"/>
      </w:pPr>
      <w:r>
        <w:t>States and territories are considering developing their own product stewardship schemes in the absence of a national scheme. For example,</w:t>
      </w:r>
      <w:r w:rsidRPr="00CA4D97">
        <w:t xml:space="preserve"> </w:t>
      </w:r>
      <w:r>
        <w:t xml:space="preserve">New South Wales has committed to </w:t>
      </w:r>
      <w:r w:rsidRPr="00AF5B30">
        <w:t>introduc</w:t>
      </w:r>
      <w:r>
        <w:t>ing</w:t>
      </w:r>
      <w:r w:rsidRPr="00AF5B30">
        <w:t xml:space="preserve"> Australia’s first state-based, mandatory product stewardship framework</w:t>
      </w:r>
      <w:r>
        <w:t xml:space="preserve"> for battery products, including small electronics, and </w:t>
      </w:r>
      <w:r w:rsidRPr="00075969">
        <w:t>some states and territories are considering similar legislation</w:t>
      </w:r>
      <w:r>
        <w:t xml:space="preserve">. </w:t>
      </w:r>
      <w:r w:rsidRPr="00EA4751">
        <w:t>Without coordination across jurisdictions</w:t>
      </w:r>
      <w:r>
        <w:t>, these state-based efforts risk further fragmenting the regulatory environment. The taskforce</w:t>
      </w:r>
      <w:r w:rsidRPr="00040EA7">
        <w:t xml:space="preserve"> </w:t>
      </w:r>
      <w:r>
        <w:t>w</w:t>
      </w:r>
      <w:r w:rsidRPr="00040EA7">
        <w:t>ould enable</w:t>
      </w:r>
      <w:r w:rsidRPr="00EA4751">
        <w:t xml:space="preserve"> </w:t>
      </w:r>
      <w:r>
        <w:t xml:space="preserve">governments to agree on a </w:t>
      </w:r>
      <w:r w:rsidRPr="00F63751">
        <w:t>core set of design features that provide consistency</w:t>
      </w:r>
      <w:r>
        <w:t xml:space="preserve">, such as </w:t>
      </w:r>
      <w:r w:rsidRPr="00F63751">
        <w:t>consistent definitions of product scope</w:t>
      </w:r>
      <w:r>
        <w:t xml:space="preserve">, </w:t>
      </w:r>
      <w:r w:rsidRPr="00F63751">
        <w:t>clear performance targets for collection and recovery</w:t>
      </w:r>
      <w:r>
        <w:t xml:space="preserve">, </w:t>
      </w:r>
      <w:r w:rsidRPr="00F63751">
        <w:t>nationally aligned compliance standards</w:t>
      </w:r>
      <w:r>
        <w:t>, nationally transferable scheme registration requirements,</w:t>
      </w:r>
      <w:r w:rsidRPr="00F63751">
        <w:t> </w:t>
      </w:r>
      <w:r>
        <w:t xml:space="preserve">and </w:t>
      </w:r>
      <w:r w:rsidRPr="00F63751">
        <w:t>shared data and reporting requirements</w:t>
      </w:r>
      <w:r>
        <w:t xml:space="preserve">. This </w:t>
      </w:r>
      <w:r>
        <w:lastRenderedPageBreak/>
        <w:t>would reduce the risk of problems associated with misaligned state action that have arisen from other schemes (such as container deposit schemes)</w:t>
      </w:r>
      <w:r w:rsidRPr="00F63751">
        <w:t>. </w:t>
      </w:r>
    </w:p>
    <w:p w14:paraId="428BA9C2" w14:textId="77777777" w:rsidR="0041785A" w:rsidRPr="007E0794" w:rsidRDefault="0041785A" w:rsidP="00D56CA1">
      <w:pPr>
        <w:pStyle w:val="Heading2-nonumber"/>
      </w:pPr>
      <w:bookmarkStart w:id="12" w:name="_Toc206056799"/>
      <w:bookmarkStart w:id="13" w:name="_Toc206617404"/>
      <w:r w:rsidRPr="007E0794">
        <w:t>Product stewardship for high-risk</w:t>
      </w:r>
      <w:r>
        <w:t>,</w:t>
      </w:r>
      <w:r w:rsidRPr="007E0794">
        <w:t xml:space="preserve"> high-value products</w:t>
      </w:r>
      <w:bookmarkEnd w:id="12"/>
      <w:bookmarkEnd w:id="13"/>
      <w:r w:rsidRPr="007E0794">
        <w:t xml:space="preserve"> </w:t>
      </w:r>
    </w:p>
    <w:p w14:paraId="02FC5D29" w14:textId="60EDFEC2" w:rsidR="0041785A" w:rsidRPr="006F541C" w:rsidRDefault="0041785A" w:rsidP="001F4D94">
      <w:pPr>
        <w:pStyle w:val="BodyText"/>
      </w:pPr>
      <w:r w:rsidRPr="0018400F">
        <w:t xml:space="preserve">Regulated product stewardship schemes </w:t>
      </w:r>
      <w:r>
        <w:t>require</w:t>
      </w:r>
      <w:r w:rsidRPr="007E0794">
        <w:t xml:space="preserve"> business</w:t>
      </w:r>
      <w:r w:rsidR="002E4D92">
        <w:t>es</w:t>
      </w:r>
      <w:r w:rsidRPr="007E0794">
        <w:t xml:space="preserve"> who make, sell or import products to contribute to the cost of activities that reduce waste throughout the product life cycle (such as redesigning products and funding infrastructure to enable recycling or reuse). However, given the costs of establishing, operating and complying with regulated product stewardship schemes, </w:t>
      </w:r>
      <w:r>
        <w:t xml:space="preserve">they </w:t>
      </w:r>
      <w:r w:rsidRPr="007E0794">
        <w:t xml:space="preserve">should be reserved </w:t>
      </w:r>
      <w:r>
        <w:t>for</w:t>
      </w:r>
      <w:r w:rsidRPr="007E0794">
        <w:t xml:space="preserve"> products with </w:t>
      </w:r>
      <w:r w:rsidRPr="006F541C">
        <w:t>particularly high</w:t>
      </w:r>
      <w:r w:rsidR="00B541D5" w:rsidRPr="006F541C">
        <w:t>-</w:t>
      </w:r>
      <w:r w:rsidRPr="006F541C">
        <w:t>risk and/or high</w:t>
      </w:r>
      <w:r w:rsidR="00B541D5" w:rsidRPr="006F541C">
        <w:t>-</w:t>
      </w:r>
      <w:r w:rsidRPr="006F541C">
        <w:t xml:space="preserve">value waste streams, and only proceed where there is analysis demonstrating they would have net benefits. </w:t>
      </w:r>
    </w:p>
    <w:p w14:paraId="268E8DAA" w14:textId="2F63C3C3" w:rsidR="0041785A" w:rsidRPr="006F541C" w:rsidRDefault="0041785A" w:rsidP="2BBB360F">
      <w:pPr>
        <w:pStyle w:val="BodyText"/>
        <w:rPr>
          <w:rFonts w:eastAsia="Arial" w:cs="Arial"/>
          <w:color w:val="000000" w:themeColor="text1"/>
          <w:spacing w:val="-2"/>
        </w:rPr>
      </w:pPr>
      <w:r w:rsidRPr="006F541C">
        <w:rPr>
          <w:spacing w:val="-2"/>
        </w:rPr>
        <w:t xml:space="preserve">There is mounting evidence the Australian Government should progress a national product stewardship scheme for small-scale solar photovoltaic (PV) systems. Australia’s clean energy transition is rapidly increasing the amount of waste from electronic products, such as solar PV systems and electric vehicle </w:t>
      </w:r>
      <w:r w:rsidR="0078760F" w:rsidRPr="006F541C">
        <w:rPr>
          <w:spacing w:val="-2"/>
        </w:rPr>
        <w:t xml:space="preserve">(EV) </w:t>
      </w:r>
      <w:r w:rsidRPr="006F541C">
        <w:rPr>
          <w:spacing w:val="-2"/>
        </w:rPr>
        <w:t xml:space="preserve">batteries, and creating an emerging issue for resource recovery and environmental management. The Australian Government has commissioned analysis that </w:t>
      </w:r>
      <w:r w:rsidR="004A59D5" w:rsidRPr="006F541C">
        <w:rPr>
          <w:spacing w:val="-2"/>
        </w:rPr>
        <w:t xml:space="preserve">estimates </w:t>
      </w:r>
      <w:r w:rsidRPr="006F541C">
        <w:rPr>
          <w:spacing w:val="-2"/>
        </w:rPr>
        <w:t>a national product stewardship scheme for small-scale solar PV systems could have a</w:t>
      </w:r>
      <w:r w:rsidR="00316DD9" w:rsidRPr="006F541C">
        <w:rPr>
          <w:spacing w:val="-2"/>
        </w:rPr>
        <w:t xml:space="preserve"> </w:t>
      </w:r>
      <w:r w:rsidRPr="006F541C">
        <w:rPr>
          <w:spacing w:val="-2"/>
        </w:rPr>
        <w:t>net economic benefit, in present value terms, of $7.</w:t>
      </w:r>
      <w:r w:rsidR="00B47918" w:rsidRPr="006F541C">
        <w:rPr>
          <w:spacing w:val="-2"/>
        </w:rPr>
        <w:t>3</w:t>
      </w:r>
      <w:r w:rsidRPr="006F541C">
        <w:rPr>
          <w:spacing w:val="-2"/>
        </w:rPr>
        <w:t xml:space="preserve"> billion. </w:t>
      </w:r>
      <w:r w:rsidRPr="006F541C">
        <w:rPr>
          <w:rFonts w:eastAsia="Arial" w:cs="Arial"/>
          <w:color w:val="000000" w:themeColor="text1"/>
          <w:spacing w:val="-2"/>
        </w:rPr>
        <w:t xml:space="preserve">The Australian Government should also analyse the net benefits of national product stewardship for </w:t>
      </w:r>
      <w:r w:rsidR="0078760F" w:rsidRPr="006F541C">
        <w:rPr>
          <w:rFonts w:eastAsia="Arial" w:cs="Arial"/>
          <w:color w:val="000000" w:themeColor="text1"/>
          <w:spacing w:val="-2"/>
        </w:rPr>
        <w:t>EV</w:t>
      </w:r>
      <w:r w:rsidRPr="006F541C">
        <w:rPr>
          <w:rFonts w:eastAsia="Arial" w:cs="Arial"/>
          <w:color w:val="000000" w:themeColor="text1"/>
          <w:spacing w:val="-2"/>
        </w:rPr>
        <w:t xml:space="preserve"> batteries.</w:t>
      </w:r>
    </w:p>
    <w:p w14:paraId="45DD8D33" w14:textId="404F07FE" w:rsidR="0041785A" w:rsidRPr="006F541C" w:rsidRDefault="0041785A" w:rsidP="001F4D94">
      <w:pPr>
        <w:pStyle w:val="BodyText"/>
      </w:pPr>
      <w:r w:rsidRPr="006F541C">
        <w:t>The fast growth in small electronics in Australia and problems associated with incorrect disposal (such as fire risks) also requires urgent attention. New South Wales and other states are progressing state</w:t>
      </w:r>
      <w:r w:rsidRPr="006F541C">
        <w:noBreakHyphen/>
        <w:t xml:space="preserve">level product stewardship schemes for battery products including small electronics. Given this, the Australian Government should assist and work with jurisdictions to develop and implement a national framework that ensures a consistent approach to small electronics product stewardship across states and territories. </w:t>
      </w:r>
    </w:p>
    <w:p w14:paraId="5F7EB138" w14:textId="5CC457EC" w:rsidR="0041785A" w:rsidRPr="006F541C" w:rsidRDefault="0041785A" w:rsidP="001F4D94">
      <w:pPr>
        <w:pStyle w:val="BodyText"/>
      </w:pPr>
      <w:r w:rsidRPr="006F541C">
        <w:t>For products with less hazardous waste streams and where recent international policy and standard developments could drive increase</w:t>
      </w:r>
      <w:r w:rsidR="007F487A" w:rsidRPr="006F541C">
        <w:t>d</w:t>
      </w:r>
      <w:r w:rsidRPr="006F541C">
        <w:t xml:space="preserve"> circularity of products supplied to Australia, the (current) balance of costs and benefits may not justify immediately introducing a regulated approach to product stewardship. Governments should still, however, support the transition to a circular economy for these products</w:t>
      </w:r>
      <w:r w:rsidRPr="006F541C" w:rsidDel="00E137E9">
        <w:t xml:space="preserve"> </w:t>
      </w:r>
      <w:r w:rsidRPr="006F541C">
        <w:t xml:space="preserve">through graduated measures, monitoring international policy and market developments, and by improving the evidence base. For example, the Australian Government should introduce enhanced monitoring and public transparency measures to create greater accountability for textiles businesses to reduce waste and improve materials productivity. </w:t>
      </w:r>
    </w:p>
    <w:p w14:paraId="1A61AD6D" w14:textId="77777777" w:rsidR="0041785A" w:rsidRPr="00D56CA1" w:rsidRDefault="0041785A" w:rsidP="00D56CA1">
      <w:pPr>
        <w:pStyle w:val="Heading2-nonumber"/>
      </w:pPr>
      <w:bookmarkStart w:id="14" w:name="_Toc206056800"/>
      <w:bookmarkStart w:id="15" w:name="_Toc206617405"/>
      <w:r>
        <w:t>C</w:t>
      </w:r>
      <w:r w:rsidRPr="00B75753">
        <w:t>oordination, collaboration and capacity building</w:t>
      </w:r>
      <w:bookmarkEnd w:id="14"/>
      <w:bookmarkEnd w:id="15"/>
    </w:p>
    <w:p w14:paraId="304700A5" w14:textId="77777777" w:rsidR="0041785A" w:rsidRPr="00CE5034" w:rsidRDefault="0041785A" w:rsidP="008F5C73">
      <w:pPr>
        <w:pStyle w:val="BodyText"/>
      </w:pPr>
      <w:r w:rsidRPr="00CE5034">
        <w:t>Coordination and collaboration across business</w:t>
      </w:r>
      <w:r>
        <w:t xml:space="preserve">, </w:t>
      </w:r>
      <w:r w:rsidRPr="0075487F">
        <w:t>community groups</w:t>
      </w:r>
      <w:r w:rsidRPr="00CE5034">
        <w:t xml:space="preserve"> and government (such as exchanging materials, knowledge and learnings) </w:t>
      </w:r>
      <w:r>
        <w:t>are</w:t>
      </w:r>
      <w:r w:rsidRPr="00CE5034">
        <w:t xml:space="preserve"> often vital to realising circular economy opportunities. However, individual organisations (particularly small to medium sized businesses) can face difficulties building these connections, due to lack of knowledge, time or funds. They can also face challenges navigating complex regulatory processes across several levels and departments of government.</w:t>
      </w:r>
    </w:p>
    <w:p w14:paraId="2EF08FD0" w14:textId="77777777" w:rsidR="0041785A" w:rsidRDefault="0041785A" w:rsidP="00175FF2">
      <w:pPr>
        <w:pStyle w:val="BodyText"/>
      </w:pPr>
      <w:r>
        <w:t xml:space="preserve">Government can help facilitate this coordination, lowering coordination costs for an individual business. Not only does this support the uptake of circular economy practices, it also creates opportunities for businesses to diversify their production processes and build capability in sustainable practices. </w:t>
      </w:r>
    </w:p>
    <w:p w14:paraId="5DC9D82E" w14:textId="77777777" w:rsidR="0041785A" w:rsidRPr="00D15CD1" w:rsidRDefault="0041785A" w:rsidP="00175FF2">
      <w:pPr>
        <w:pStyle w:val="BodyText"/>
      </w:pPr>
      <w:r w:rsidRPr="00D15CD1">
        <w:t>This report recommends three ways for governments to improve coordination, collaboration and capacity across business, community groups and government, and facilitate the transition to a circular economy.</w:t>
      </w:r>
    </w:p>
    <w:p w14:paraId="237750B4" w14:textId="77777777" w:rsidR="0041785A" w:rsidRPr="000510C5" w:rsidRDefault="0041785A" w:rsidP="00D15CD1">
      <w:pPr>
        <w:pStyle w:val="Heading3"/>
        <w:rPr>
          <w:rFonts w:ascii="Arial" w:hAnsi="Arial" w:cs="Arial"/>
          <w:b/>
          <w:bCs/>
          <w:color w:val="000000" w:themeColor="text1"/>
          <w:sz w:val="22"/>
          <w:szCs w:val="22"/>
        </w:rPr>
      </w:pPr>
      <w:r w:rsidRPr="000510C5">
        <w:rPr>
          <w:rFonts w:ascii="Arial" w:hAnsi="Arial" w:cs="Arial"/>
          <w:b/>
          <w:bCs/>
          <w:color w:val="000000" w:themeColor="text1"/>
          <w:sz w:val="22"/>
          <w:szCs w:val="22"/>
        </w:rPr>
        <w:lastRenderedPageBreak/>
        <w:t xml:space="preserve">Establish a challenge-based grant program focused on the circular economy </w:t>
      </w:r>
    </w:p>
    <w:p w14:paraId="335FC3C3" w14:textId="77777777" w:rsidR="0041785A" w:rsidRDefault="0041785A" w:rsidP="00175FF2">
      <w:pPr>
        <w:pStyle w:val="BodyText"/>
      </w:pPr>
      <w:r>
        <w:t>Circular</w:t>
      </w:r>
      <w:r w:rsidRPr="00CE5034">
        <w:t xml:space="preserve"> economy innovation often requires collaboration and partnerships between businesses from different sectors, as well as governments, researchers and the community. </w:t>
      </w:r>
      <w:r w:rsidRPr="009E738E">
        <w:t xml:space="preserve">A challenge-based grant program could help businesses, government and researchers across sectors and disciplines </w:t>
      </w:r>
      <w:r>
        <w:t>coordinate their efforts</w:t>
      </w:r>
      <w:r w:rsidRPr="009E738E">
        <w:t>.</w:t>
      </w:r>
      <w:r>
        <w:rPr>
          <w:b/>
          <w:bCs/>
        </w:rPr>
        <w:t xml:space="preserve"> </w:t>
      </w:r>
      <w:r>
        <w:t>M</w:t>
      </w:r>
      <w:r w:rsidRPr="00CE5034">
        <w:t>ission-oriented or challenge-based innovation align</w:t>
      </w:r>
      <w:r>
        <w:t>s</w:t>
      </w:r>
      <w:r w:rsidRPr="00CE5034">
        <w:t xml:space="preserve"> research, innovation and policy around clear, ambitious goals and encourage</w:t>
      </w:r>
      <w:r>
        <w:t>s</w:t>
      </w:r>
      <w:r w:rsidRPr="00CE5034">
        <w:t xml:space="preserve"> cross-disciplinary collaboration.</w:t>
      </w:r>
      <w:r>
        <w:t xml:space="preserve"> To ensure the program offers value for money and facilitates whole-of-economy change, t</w:t>
      </w:r>
      <w:r w:rsidRPr="00CE5034">
        <w:t xml:space="preserve">he program </w:t>
      </w:r>
      <w:r>
        <w:t>should seek</w:t>
      </w:r>
      <w:r w:rsidRPr="00CE5034">
        <w:t xml:space="preserve"> solutions</w:t>
      </w:r>
      <w:r>
        <w:t xml:space="preserve"> that lower</w:t>
      </w:r>
      <w:r w:rsidRPr="00CE5034">
        <w:t xml:space="preserve"> </w:t>
      </w:r>
      <w:r>
        <w:t xml:space="preserve">barriers to circular practices from </w:t>
      </w:r>
      <w:r w:rsidRPr="00CE5034">
        <w:t xml:space="preserve">across the supply chain </w:t>
      </w:r>
      <w:r>
        <w:t>and have broader</w:t>
      </w:r>
      <w:r w:rsidRPr="00CE5034">
        <w:t xml:space="preserve"> public </w:t>
      </w:r>
      <w:r w:rsidRPr="007B0D89">
        <w:t xml:space="preserve">benefits (such as </w:t>
      </w:r>
      <w:r w:rsidRPr="007B0D89" w:rsidDel="005F30B2">
        <w:t>developing</w:t>
      </w:r>
      <w:r w:rsidRPr="003E169C" w:rsidDel="005F30B2">
        <w:t xml:space="preserve"> reuse opportunities for solar </w:t>
      </w:r>
      <w:r>
        <w:t>PV</w:t>
      </w:r>
      <w:r w:rsidRPr="003E169C" w:rsidDel="005F30B2">
        <w:t xml:space="preserve"> systems</w:t>
      </w:r>
      <w:r w:rsidRPr="00937AB7">
        <w:t>).</w:t>
      </w:r>
      <w:r w:rsidRPr="00CE5034">
        <w:t xml:space="preserve"> </w:t>
      </w:r>
      <w:r>
        <w:t>C</w:t>
      </w:r>
      <w:r w:rsidRPr="00CE5034">
        <w:t>hallenge-based programs in the U</w:t>
      </w:r>
      <w:r>
        <w:t xml:space="preserve">nited </w:t>
      </w:r>
      <w:r w:rsidRPr="00CE5034">
        <w:t>S</w:t>
      </w:r>
      <w:r>
        <w:t>tates</w:t>
      </w:r>
      <w:r w:rsidRPr="00CE5034">
        <w:t xml:space="preserve"> and U</w:t>
      </w:r>
      <w:r>
        <w:t xml:space="preserve">nited </w:t>
      </w:r>
      <w:r w:rsidRPr="00CE5034">
        <w:t>K</w:t>
      </w:r>
      <w:r>
        <w:t>ingdom</w:t>
      </w:r>
      <w:r w:rsidRPr="00CE5034">
        <w:t xml:space="preserve"> have successfully stimulate</w:t>
      </w:r>
      <w:r>
        <w:t>d</w:t>
      </w:r>
      <w:r w:rsidRPr="00CE5034">
        <w:t xml:space="preserve"> innovation and deliver</w:t>
      </w:r>
      <w:r>
        <w:t>ed</w:t>
      </w:r>
      <w:r w:rsidRPr="00CE5034">
        <w:t xml:space="preserve"> value for money. </w:t>
      </w:r>
    </w:p>
    <w:p w14:paraId="7BE5D66B" w14:textId="77777777" w:rsidR="0041785A" w:rsidRPr="000510C5" w:rsidRDefault="0041785A" w:rsidP="00900DAA">
      <w:pPr>
        <w:pStyle w:val="Heading3"/>
        <w:rPr>
          <w:rFonts w:ascii="Arial" w:hAnsi="Arial" w:cs="Arial"/>
          <w:b/>
          <w:bCs/>
          <w:color w:val="000000" w:themeColor="text1"/>
          <w:sz w:val="22"/>
          <w:szCs w:val="22"/>
        </w:rPr>
      </w:pPr>
      <w:r w:rsidRPr="000510C5">
        <w:rPr>
          <w:rFonts w:ascii="Arial" w:hAnsi="Arial" w:cs="Arial"/>
          <w:b/>
          <w:bCs/>
          <w:color w:val="000000" w:themeColor="text1"/>
          <w:sz w:val="22"/>
          <w:szCs w:val="22"/>
        </w:rPr>
        <w:t xml:space="preserve">Facilitate place-based initiatives </w:t>
      </w:r>
    </w:p>
    <w:p w14:paraId="3B5FCB1F" w14:textId="2CE62428" w:rsidR="0041785A" w:rsidRDefault="0041785A" w:rsidP="00BF3EF9">
      <w:pPr>
        <w:pStyle w:val="BodyText"/>
        <w:rPr>
          <w:b/>
          <w:bCs/>
        </w:rPr>
      </w:pPr>
      <w:r>
        <w:t xml:space="preserve">Place-based initiatives </w:t>
      </w:r>
      <w:r w:rsidRPr="00962625">
        <w:t>enable coordination, address distance challenges and support businesses to develop and share new ideas</w:t>
      </w:r>
      <w:r>
        <w:t xml:space="preserve">. </w:t>
      </w:r>
      <w:r w:rsidRPr="0000209A">
        <w:t xml:space="preserve">For example, local businesses can use their neighbours’ byproducts as material inputs for their own production and learn from each other about innovative circular practices. </w:t>
      </w:r>
      <w:r>
        <w:t xml:space="preserve">They can also help governments tailor </w:t>
      </w:r>
      <w:r w:rsidRPr="0000209A">
        <w:t>policies to the specific circumstances of a place</w:t>
      </w:r>
      <w:r w:rsidRPr="0000209A">
        <w:rPr>
          <w:vertAlign w:val="superscript"/>
        </w:rPr>
        <w:t xml:space="preserve"> </w:t>
      </w:r>
      <w:r w:rsidRPr="0000209A">
        <w:t>and engage the local community as active participants in development and implementation.</w:t>
      </w:r>
      <w:r w:rsidR="006E64E7" w:rsidRPr="006E64E7">
        <w:rPr>
          <w:rStyle w:val="FootnoteReference"/>
        </w:rPr>
        <w:t xml:space="preserve"> </w:t>
      </w:r>
      <w:r w:rsidR="006E64E7" w:rsidRPr="00FA3BA7">
        <w:rPr>
          <w:rStyle w:val="FootnoteReference"/>
        </w:rPr>
        <w:footnoteReference w:id="6"/>
      </w:r>
    </w:p>
    <w:p w14:paraId="65002EAA" w14:textId="77777777" w:rsidR="0041785A" w:rsidRDefault="0041785A" w:rsidP="00BF3EF9">
      <w:pPr>
        <w:pStyle w:val="BodyText"/>
      </w:pPr>
      <w:r>
        <w:t>S</w:t>
      </w:r>
      <w:r w:rsidRPr="0000209A">
        <w:t xml:space="preserve">tate and territory governments </w:t>
      </w:r>
      <w:r>
        <w:t xml:space="preserve">should facilitate place-based initiatives by </w:t>
      </w:r>
      <w:r w:rsidRPr="0000209A">
        <w:t>provid</w:t>
      </w:r>
      <w:r>
        <w:t>ing</w:t>
      </w:r>
      <w:r w:rsidRPr="0000209A">
        <w:t xml:space="preserve"> guidance and resources</w:t>
      </w:r>
      <w:r>
        <w:t>,</w:t>
      </w:r>
      <w:r w:rsidRPr="0000209A">
        <w:t xml:space="preserve"> such as templates</w:t>
      </w:r>
      <w:r>
        <w:t>,</w:t>
      </w:r>
      <w:r w:rsidRPr="0000209A">
        <w:t xml:space="preserve"> to assist local governments develop</w:t>
      </w:r>
      <w:r>
        <w:t>ing</w:t>
      </w:r>
      <w:r w:rsidRPr="0000209A">
        <w:t xml:space="preserve"> circular economy plans.</w:t>
      </w:r>
      <w:r>
        <w:t xml:space="preserve"> They should also fund a pilot</w:t>
      </w:r>
      <w:r w:rsidRPr="0000209A">
        <w:t xml:space="preserve"> </w:t>
      </w:r>
      <w:r>
        <w:t>for</w:t>
      </w:r>
      <w:r w:rsidRPr="0000209A">
        <w:t xml:space="preserve"> circular economy transition brokers</w:t>
      </w:r>
      <w:r>
        <w:t xml:space="preserve">. These brokers </w:t>
      </w:r>
      <w:r w:rsidRPr="0000209A">
        <w:t xml:space="preserve">would </w:t>
      </w:r>
      <w:r>
        <w:t xml:space="preserve">help build the circular economy knowledge and capability of local governments and </w:t>
      </w:r>
      <w:r w:rsidRPr="0000209A">
        <w:t xml:space="preserve">small to medium sized organisations in ways that are tailored to </w:t>
      </w:r>
      <w:r>
        <w:t>their</w:t>
      </w:r>
      <w:r w:rsidRPr="0000209A">
        <w:t xml:space="preserve"> context</w:t>
      </w:r>
      <w:r>
        <w:t>,</w:t>
      </w:r>
      <w:r w:rsidRPr="00F57887">
        <w:t xml:space="preserve"> </w:t>
      </w:r>
      <w:r>
        <w:t>and help them</w:t>
      </w:r>
      <w:r w:rsidRPr="00D73142">
        <w:t xml:space="preserve"> </w:t>
      </w:r>
      <w:r w:rsidRPr="0000209A">
        <w:t>navigat</w:t>
      </w:r>
      <w:r>
        <w:t xml:space="preserve">e </w:t>
      </w:r>
      <w:r w:rsidRPr="0000209A">
        <w:t>government processes</w:t>
      </w:r>
      <w:r>
        <w:t>,</w:t>
      </w:r>
      <w:r w:rsidRPr="00202F0D">
        <w:t xml:space="preserve"> </w:t>
      </w:r>
      <w:r w:rsidRPr="0000209A">
        <w:t>such as regulatory approvals</w:t>
      </w:r>
      <w:r>
        <w:t xml:space="preserve">. Transition brokers would </w:t>
      </w:r>
      <w:r w:rsidRPr="0000209A">
        <w:t xml:space="preserve">work in partnership with Aboriginal and Torres Strait Islander people to embed </w:t>
      </w:r>
      <w:r>
        <w:t>valuable</w:t>
      </w:r>
      <w:r w:rsidRPr="0000209A">
        <w:t xml:space="preserve"> knowledge in place-based circular economy practices and support </w:t>
      </w:r>
      <w:r w:rsidRPr="004F42C4">
        <w:t>Aboriginal and Torres Strait Islander</w:t>
      </w:r>
      <w:r w:rsidRPr="0000209A">
        <w:t xml:space="preserve"> people and businesses to lead circular economy</w:t>
      </w:r>
      <w:r>
        <w:t xml:space="preserve"> activities. </w:t>
      </w:r>
    </w:p>
    <w:p w14:paraId="530B17C2" w14:textId="154B9A41" w:rsidR="0041785A" w:rsidRPr="0000209A" w:rsidRDefault="0041785A" w:rsidP="00BF3EF9">
      <w:pPr>
        <w:pStyle w:val="BodyText"/>
      </w:pPr>
      <w:r w:rsidRPr="0074743F">
        <w:t>In regions that are expected to experience mine closures, state and territory governments should develop land transition plans that identify the mined land, infrastructure and residues that will become available as mines close and how they can best be used. They should develop these land transition plans, well prior to the point of closure, in partnership with Aboriginal and Torres Strait Islander people and local communities</w:t>
      </w:r>
      <w:r w:rsidRPr="1DA5FB7F">
        <w:rPr>
          <w:lang w:val="en-US"/>
        </w:rPr>
        <w:t>.</w:t>
      </w:r>
    </w:p>
    <w:p w14:paraId="6B9B4BCF" w14:textId="77777777" w:rsidR="0041785A" w:rsidRPr="000510C5" w:rsidRDefault="0041785A" w:rsidP="00900DAA">
      <w:pPr>
        <w:pStyle w:val="Heading3"/>
        <w:rPr>
          <w:rFonts w:ascii="Arial" w:hAnsi="Arial" w:cs="Arial"/>
          <w:b/>
          <w:bCs/>
          <w:color w:val="000000" w:themeColor="text1"/>
          <w:sz w:val="22"/>
          <w:szCs w:val="22"/>
        </w:rPr>
      </w:pPr>
      <w:r w:rsidRPr="000510C5">
        <w:rPr>
          <w:rFonts w:ascii="Arial" w:hAnsi="Arial" w:cs="Arial"/>
          <w:b/>
          <w:bCs/>
          <w:color w:val="000000" w:themeColor="text1"/>
          <w:sz w:val="22"/>
          <w:szCs w:val="22"/>
        </w:rPr>
        <w:t xml:space="preserve">Introduce and expand services that build connections between and within government and industry to enhance the impact of government sustainable procurement policies </w:t>
      </w:r>
    </w:p>
    <w:p w14:paraId="3FB83857" w14:textId="77777777" w:rsidR="0041785A" w:rsidRDefault="0041785A" w:rsidP="00BB7E83">
      <w:pPr>
        <w:pStyle w:val="BodyText"/>
      </w:pPr>
      <w:r>
        <w:t xml:space="preserve">Knowledge gaps and a lack of experience can discourage industry from using recycled and other sustainable materials in infrastructure. Contractors and asset owners are sometimes unaware of what sustainable alternative materials are available. They may lack confidence about the quality or performance of these materials and can tend to </w:t>
      </w:r>
      <w:r w:rsidDel="00BF6CDA">
        <w:t>rely</w:t>
      </w:r>
      <w:r>
        <w:t xml:space="preserve"> on familiar materials to avoid uncertainty affecting their</w:t>
      </w:r>
      <w:r w:rsidDel="00BF6CDA">
        <w:t xml:space="preserve"> </w:t>
      </w:r>
      <w:r>
        <w:t xml:space="preserve">focus on other delivery objectives (such as quality or speed). </w:t>
      </w:r>
    </w:p>
    <w:p w14:paraId="19562A10" w14:textId="5B3BDCAB" w:rsidR="0041785A" w:rsidRPr="003828D6" w:rsidRDefault="0041785A" w:rsidP="00BB7E83">
      <w:pPr>
        <w:pStyle w:val="BodyText"/>
        <w:rPr>
          <w:spacing w:val="-2"/>
        </w:rPr>
      </w:pPr>
      <w:r w:rsidRPr="003828D6">
        <w:rPr>
          <w:spacing w:val="-2"/>
        </w:rPr>
        <w:t xml:space="preserve">To promote industry confidence in sustainable infrastructure materials, state and territory governments with commitments to major infrastructure projects should introduce or expand support services. These services should include dedicated personnel as facilitators that work with suppliers, contractors and asset owners to increase uptake of sustainable materials. Facilitators should provide education about the uses of sustainable </w:t>
      </w:r>
      <w:r w:rsidRPr="003828D6">
        <w:rPr>
          <w:spacing w:val="-2"/>
        </w:rPr>
        <w:lastRenderedPageBreak/>
        <w:t xml:space="preserve">materials in projects, assist in navigating regulatory or technical obstacles to using sustainable materials, and connect suppliers of sustainable materials with potential customers. These types of services have proven successful in Victoria, which is the main jurisdiction to offer them. Since its inception in 2019, the ecologiQ program has supported the Victorian Government’s Recycled First policy </w:t>
      </w:r>
      <w:r w:rsidR="00A177A4" w:rsidRPr="003828D6">
        <w:rPr>
          <w:spacing w:val="-2"/>
        </w:rPr>
        <w:t xml:space="preserve">to </w:t>
      </w:r>
      <w:r w:rsidRPr="003828D6">
        <w:rPr>
          <w:spacing w:val="-2"/>
        </w:rPr>
        <w:t xml:space="preserve">incorporate 3.4 million tonnes of recycled materials in major public infrastructure, with numerous participants highlighting its effectiveness. </w:t>
      </w:r>
    </w:p>
    <w:p w14:paraId="19987418" w14:textId="77777777" w:rsidR="0041785A" w:rsidRPr="00D56CA1" w:rsidRDefault="0041785A" w:rsidP="00D56CA1">
      <w:pPr>
        <w:pStyle w:val="Heading2-nonumber"/>
      </w:pPr>
      <w:bookmarkStart w:id="16" w:name="_Toc206056801"/>
      <w:bookmarkStart w:id="17" w:name="_Toc206617406"/>
      <w:r w:rsidRPr="00D56CA1">
        <w:t>Implementing reforms and monitoring progress</w:t>
      </w:r>
      <w:bookmarkEnd w:id="16"/>
      <w:bookmarkEnd w:id="17"/>
    </w:p>
    <w:p w14:paraId="08AA6CC0" w14:textId="77777777" w:rsidR="0041785A" w:rsidRPr="009C0201" w:rsidRDefault="0041785A" w:rsidP="009C0201">
      <w:pPr>
        <w:pStyle w:val="BodyText"/>
      </w:pPr>
      <w:r>
        <w:t>Circular economy policy</w:t>
      </w:r>
      <w:r w:rsidRPr="009C0201">
        <w:t xml:space="preserve"> </w:t>
      </w:r>
      <w:r>
        <w:t>in Australia is still in its early stages.</w:t>
      </w:r>
      <w:r w:rsidRPr="009C0201">
        <w:t xml:space="preserve"> For some </w:t>
      </w:r>
      <w:r>
        <w:t>reform areas</w:t>
      </w:r>
      <w:r w:rsidRPr="009C0201">
        <w:t xml:space="preserve">, the issues are relatively well known and </w:t>
      </w:r>
      <w:r>
        <w:t xml:space="preserve">the </w:t>
      </w:r>
      <w:r w:rsidRPr="009C0201">
        <w:t>supporting evidence base for</w:t>
      </w:r>
      <w:r>
        <w:t xml:space="preserve"> designing</w:t>
      </w:r>
      <w:r w:rsidRPr="009C0201">
        <w:t xml:space="preserve"> reform</w:t>
      </w:r>
      <w:r>
        <w:t>s</w:t>
      </w:r>
      <w:r w:rsidRPr="009C0201">
        <w:t xml:space="preserve"> is relatively well developed.</w:t>
      </w:r>
      <w:r>
        <w:t xml:space="preserve"> In these areas, full implementation should progress.</w:t>
      </w:r>
      <w:r w:rsidRPr="009C0201">
        <w:t xml:space="preserve"> For other </w:t>
      </w:r>
      <w:r>
        <w:t>reform areas</w:t>
      </w:r>
      <w:r w:rsidRPr="009C0201">
        <w:t>,</w:t>
      </w:r>
      <w:r>
        <w:t xml:space="preserve"> including those in which future opportunities for policy change arise,</w:t>
      </w:r>
      <w:r w:rsidRPr="009C0201">
        <w:t xml:space="preserve"> governments will need to undertake further work to better understand </w:t>
      </w:r>
      <w:r>
        <w:t xml:space="preserve">how to design policy changes to have </w:t>
      </w:r>
      <w:r w:rsidRPr="009C0201">
        <w:t>the greatest net benefits.</w:t>
      </w:r>
      <w:r w:rsidRPr="00FA3BA7">
        <w:rPr>
          <w:rStyle w:val="FootnoteReference"/>
        </w:rPr>
        <w:footnoteReference w:id="7"/>
      </w:r>
      <w:r w:rsidRPr="009C0201">
        <w:t xml:space="preserve"> </w:t>
      </w:r>
      <w:r>
        <w:t>Governments</w:t>
      </w:r>
      <w:r w:rsidRPr="009C0201">
        <w:t xml:space="preserve"> should </w:t>
      </w:r>
      <w:r>
        <w:t>gather</w:t>
      </w:r>
      <w:r w:rsidRPr="009C0201">
        <w:t xml:space="preserve"> additional information to understand and, where possible, quantify the benefits of intervention </w:t>
      </w:r>
      <w:r>
        <w:t>options</w:t>
      </w:r>
      <w:r w:rsidRPr="009C0201">
        <w:t xml:space="preserve">. </w:t>
      </w:r>
      <w:r>
        <w:t>This can be done</w:t>
      </w:r>
      <w:r w:rsidRPr="009C0201">
        <w:t xml:space="preserve"> through</w:t>
      </w:r>
      <w:r>
        <w:t>, for example,</w:t>
      </w:r>
      <w:r w:rsidRPr="009C0201">
        <w:t xml:space="preserve"> life</w:t>
      </w:r>
      <w:r>
        <w:t xml:space="preserve"> </w:t>
      </w:r>
      <w:r w:rsidRPr="009C0201">
        <w:t>cycle analyses or bespoke impact studies</w:t>
      </w:r>
      <w:r>
        <w:t>.</w:t>
      </w:r>
      <w:r w:rsidRPr="009C0201">
        <w:t xml:space="preserve"> </w:t>
      </w:r>
      <w:r>
        <w:t xml:space="preserve">In some cases, a staged approach to policy implementation is preferred, to monitor policy implementation or assess how the impacts of recent international policy actions on supply chains affect Australian markets. </w:t>
      </w:r>
    </w:p>
    <w:p w14:paraId="0D1AC5CA" w14:textId="77777777" w:rsidR="0041785A" w:rsidRPr="000510C5" w:rsidRDefault="0041785A" w:rsidP="00AD593E">
      <w:pPr>
        <w:pStyle w:val="BodyText"/>
        <w:rPr>
          <w:bCs/>
        </w:rPr>
      </w:pPr>
      <w:r w:rsidRPr="000510C5">
        <w:rPr>
          <w:bCs/>
        </w:rPr>
        <w:t>The Australian Government should develop an outcomes framework that connects each circular economy policy action to its related economic, social and environmental goals. This will help governments implement, monitor and evaluate circular economy reforms. For example, removing restrictive regulations could promote circular activities and innovation across the product life cycle, and improve environmental, economic and social outcomes. This may in turn help to achieve circular policy goals, such as circular economy targets (figure 4). The development of the outcomes framework will enable the inclusion of government actions that promote the transition to a circular economy. A starting point could be to include, for example, actions from the National Waste Policy, actions to end plastic waste and actions recommended in this report, but the ultimate scope will depend on the targets and outcomes that are chosen.</w:t>
      </w:r>
    </w:p>
    <w:p w14:paraId="57228729" w14:textId="77777777" w:rsidR="0041785A" w:rsidRDefault="0041785A" w:rsidP="00020322">
      <w:pPr>
        <w:pStyle w:val="BodyText"/>
      </w:pPr>
      <w:r>
        <w:t xml:space="preserve">The outcomes </w:t>
      </w:r>
      <w:r w:rsidRPr="00A174A2">
        <w:t>framework w</w:t>
      </w:r>
      <w:r>
        <w:t>ill</w:t>
      </w:r>
      <w:r w:rsidRPr="00A174A2">
        <w:t xml:space="preserve"> </w:t>
      </w:r>
      <w:r w:rsidRPr="00D648EB">
        <w:t>create a common strategic vision</w:t>
      </w:r>
      <w:r>
        <w:t xml:space="preserve">. It will </w:t>
      </w:r>
      <w:r w:rsidRPr="00A174A2">
        <w:t>ensur</w:t>
      </w:r>
      <w:r>
        <w:t>e</w:t>
      </w:r>
      <w:r w:rsidRPr="00A174A2">
        <w:t xml:space="preserve"> that progress is aligned across </w:t>
      </w:r>
      <w:r>
        <w:t xml:space="preserve">all </w:t>
      </w:r>
      <w:r w:rsidRPr="00A174A2">
        <w:t>government</w:t>
      </w:r>
      <w:r>
        <w:t>s</w:t>
      </w:r>
      <w:r w:rsidRPr="00A174A2">
        <w:t xml:space="preserve"> and that agencies are clear on </w:t>
      </w:r>
      <w:r>
        <w:t>the</w:t>
      </w:r>
      <w:r w:rsidRPr="00A174A2">
        <w:t xml:space="preserve"> outcomes policies should be achieving</w:t>
      </w:r>
      <w:r>
        <w:t>. It will also</w:t>
      </w:r>
      <w:r w:rsidRPr="00DC05F6">
        <w:t xml:space="preserve"> </w:t>
      </w:r>
      <w:r w:rsidRPr="00A174A2">
        <w:t>enabl</w:t>
      </w:r>
      <w:r>
        <w:t>e</w:t>
      </w:r>
      <w:r w:rsidRPr="00A174A2">
        <w:t xml:space="preserve"> </w:t>
      </w:r>
      <w:r>
        <w:t>governments</w:t>
      </w:r>
      <w:r w:rsidRPr="00A174A2">
        <w:t xml:space="preserve"> to identify and collect the data necessary to monitor </w:t>
      </w:r>
      <w:r>
        <w:t xml:space="preserve">circular economy policies, promoting </w:t>
      </w:r>
      <w:r w:rsidRPr="003031E9">
        <w:t>transparency, accountability and ongoing improvements</w:t>
      </w:r>
      <w:r>
        <w:t xml:space="preserve">. </w:t>
      </w:r>
    </w:p>
    <w:p w14:paraId="62A8133F" w14:textId="77777777" w:rsidR="0041785A" w:rsidRDefault="0041785A" w:rsidP="00020322">
      <w:pPr>
        <w:pStyle w:val="BodyText"/>
      </w:pPr>
      <w:r w:rsidRPr="00D3133B">
        <w:t xml:space="preserve">The Australian Government should use the outcomes framework to identify </w:t>
      </w:r>
      <w:r>
        <w:t>and fill gaps</w:t>
      </w:r>
      <w:r w:rsidRPr="00401B9F">
        <w:t xml:space="preserve"> </w:t>
      </w:r>
      <w:r>
        <w:t xml:space="preserve">in data or measurement, </w:t>
      </w:r>
      <w:r w:rsidRPr="00401B9F">
        <w:t xml:space="preserve">such </w:t>
      </w:r>
      <w:r>
        <w:t>as</w:t>
      </w:r>
      <w:r w:rsidRPr="00401B9F">
        <w:t xml:space="preserve"> in markets or sectors where there are policies aimed at encouraging businesses </w:t>
      </w:r>
      <w:r>
        <w:t xml:space="preserve">to </w:t>
      </w:r>
      <w:r w:rsidRPr="00401B9F">
        <w:t>incorporate circular design principles in product design</w:t>
      </w:r>
      <w:r>
        <w:t xml:space="preserve">. </w:t>
      </w:r>
    </w:p>
    <w:p w14:paraId="7F268598" w14:textId="534750F6" w:rsidR="0041785A" w:rsidRDefault="0041785A" w:rsidP="00AD593E">
      <w:pPr>
        <w:pStyle w:val="BodyText"/>
      </w:pPr>
      <w:r w:rsidRPr="00D3133B">
        <w:t>To ensure actions are sequenced effectively across all levels of government, the report includes an indicative phased timeline to guide the implementation of its recommendations</w:t>
      </w:r>
      <w:r w:rsidRPr="000473DB">
        <w:t xml:space="preserve">, with separate </w:t>
      </w:r>
      <w:r>
        <w:t>timelines</w:t>
      </w:r>
      <w:r w:rsidRPr="000473DB">
        <w:t xml:space="preserve"> for the Australian Government, state and territory governments, and local governments. </w:t>
      </w:r>
    </w:p>
    <w:p w14:paraId="03E01607" w14:textId="77777777" w:rsidR="0041785A" w:rsidRPr="00146382" w:rsidRDefault="0041785A" w:rsidP="000510C5">
      <w:pPr>
        <w:pStyle w:val="FigureTableHeading"/>
        <w:spacing w:after="120"/>
      </w:pPr>
      <w:r>
        <w:lastRenderedPageBreak/>
        <w:t>Figure 4</w:t>
      </w:r>
      <w:r w:rsidRPr="4DC315EC">
        <w:rPr>
          <w:noProof/>
        </w:rPr>
        <w:t xml:space="preserve"> </w:t>
      </w:r>
      <w:r>
        <w:t>– Illustrative example of an outcomes framework</w:t>
      </w:r>
    </w:p>
    <w:p w14:paraId="46B9BD1F" w14:textId="7FF60867" w:rsidR="0041785A" w:rsidRDefault="00EA760E" w:rsidP="000510C5">
      <w:pPr>
        <w:pStyle w:val="BodyText"/>
      </w:pPr>
      <w:r w:rsidRPr="00EA760E">
        <w:rPr>
          <w:noProof/>
        </w:rPr>
        <w:drawing>
          <wp:inline distT="0" distB="0" distL="0" distR="0" wp14:anchorId="013E698B" wp14:editId="3A707BC7">
            <wp:extent cx="6120130" cy="2720340"/>
            <wp:effectExtent l="0" t="0" r="0" b="3810"/>
            <wp:docPr id="383219455" name="Picture 2" descr="This figure provides an example of how a policy action flows through an outcomes framework, using recommendation 2.1 as the example. Column 1 details the government action, with the action being regulatory reform for recommendation 2.1. Column 2 details the activities and outcomes. For recommendation 2.1, this includes increased innovation, sustainable materials use and recycling. Column 3 describes the environmental, economic and social benefits. For recommendation 2.1, this includes reduced emissions, increased value from previously wasted materials, and prices of sustainable and virgin materials reflecting their full costs and benefits. Column 4 describes the impact on circular economy targets. For recommendation 2.1, this includes increases in the circularity rate, materials productivity and recovery rate, and reduced materials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19455" name="Picture 2" descr="This figure provides an example of how a policy action flows through an outcomes framework, using recommendation 2.1 as the example. Column 1 details the government action, with the action being regulatory reform for recommendation 2.1. Column 2 details the activities and outcomes. For recommendation 2.1, this includes increased innovation, sustainable materials use and recycling. Column 3 describes the environmental, economic and social benefits. For recommendation 2.1, this includes reduced emissions, increased value from previously wasted materials, and prices of sustainable and virgin materials reflecting their full costs and benefits. Column 4 describes the impact on circular economy targets. For recommendation 2.1, this includes increases in the circularity rate, materials productivity and recovery rate, and reduced materials footpri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2720340"/>
                    </a:xfrm>
                    <a:prstGeom prst="rect">
                      <a:avLst/>
                    </a:prstGeom>
                    <a:noFill/>
                    <a:ln>
                      <a:noFill/>
                    </a:ln>
                  </pic:spPr>
                </pic:pic>
              </a:graphicData>
            </a:graphic>
          </wp:inline>
        </w:drawing>
      </w:r>
    </w:p>
    <w:p w14:paraId="5E99190A" w14:textId="77777777" w:rsidR="0041785A" w:rsidRDefault="0041785A" w:rsidP="00546BA3">
      <w:pPr>
        <w:pStyle w:val="BodyText"/>
      </w:pPr>
    </w:p>
    <w:p w14:paraId="0A1DB70C" w14:textId="77777777" w:rsidR="0041785A" w:rsidRDefault="0041785A" w:rsidP="00823B3B">
      <w:pPr>
        <w:pStyle w:val="BodyText"/>
        <w:sectPr w:rsidR="0041785A" w:rsidSect="0032708B">
          <w:headerReference w:type="default" r:id="rId38"/>
          <w:footnotePr>
            <w:numRestart w:val="eachSect"/>
          </w:footnotePr>
          <w:pgSz w:w="11906" w:h="16838" w:code="9"/>
          <w:pgMar w:top="1134" w:right="1134" w:bottom="1134" w:left="1134" w:header="794" w:footer="510" w:gutter="0"/>
          <w:cols w:space="708"/>
          <w:docGrid w:linePitch="360"/>
        </w:sectPr>
      </w:pPr>
    </w:p>
    <w:p w14:paraId="57445D30" w14:textId="77777777" w:rsidR="00503802" w:rsidRDefault="00503802" w:rsidP="00E91FED">
      <w:pPr>
        <w:pStyle w:val="Heading1-nonumber"/>
      </w:pPr>
      <w:bookmarkStart w:id="18" w:name="_Toc206056802"/>
      <w:bookmarkStart w:id="19" w:name="_Toc206617407"/>
      <w:r>
        <w:lastRenderedPageBreak/>
        <w:t>Recommendations</w:t>
      </w:r>
      <w:bookmarkEnd w:id="18"/>
      <w:bookmarkEnd w:id="19"/>
    </w:p>
    <w:p w14:paraId="74B7EE6C" w14:textId="77777777" w:rsidR="00503802" w:rsidRDefault="00503802" w:rsidP="00435CDD">
      <w:pPr>
        <w:pStyle w:val="Heading2-nonumber"/>
        <w:spacing w:after="240"/>
      </w:pPr>
      <w:bookmarkStart w:id="20" w:name="_Toc206056803"/>
      <w:bookmarkStart w:id="21" w:name="_Toc206614978"/>
      <w:bookmarkStart w:id="22" w:name="_Toc206617408"/>
      <w:r>
        <w:t>Built environment</w:t>
      </w:r>
      <w:bookmarkEnd w:id="20"/>
      <w:bookmarkEnd w:id="21"/>
      <w:bookmarkEnd w:id="22"/>
    </w:p>
    <w:tbl>
      <w:tblPr>
        <w:tblStyle w:val="Texttable-Paleblue"/>
        <w:tblW w:w="5000" w:type="pct"/>
        <w:tblLook w:val="04A0" w:firstRow="1" w:lastRow="0" w:firstColumn="1" w:lastColumn="0" w:noHBand="0" w:noVBand="1"/>
      </w:tblPr>
      <w:tblGrid>
        <w:gridCol w:w="713"/>
        <w:gridCol w:w="8925"/>
      </w:tblGrid>
      <w:tr w:rsidR="00503802" w:rsidRPr="00027ED9" w14:paraId="2CBD3356" w14:textId="77777777" w:rsidTr="149BEF07">
        <w:trPr>
          <w:tblHeader/>
        </w:trPr>
        <w:tc>
          <w:tcPr>
            <w:tcW w:w="713" w:type="dxa"/>
            <w:shd w:val="clear" w:color="auto" w:fill="E7F6FD"/>
            <w:tcMar>
              <w:top w:w="0" w:type="dxa"/>
              <w:bottom w:w="0" w:type="dxa"/>
            </w:tcMar>
            <w:vAlign w:val="center"/>
          </w:tcPr>
          <w:p w14:paraId="4F42AC54" w14:textId="77777777" w:rsidR="00503802" w:rsidRPr="00027ED9" w:rsidRDefault="00503802">
            <w:pPr>
              <w:keepLines/>
              <w:jc w:val="center"/>
            </w:pPr>
            <w:r w:rsidRPr="00027ED9">
              <w:rPr>
                <w:noProof/>
              </w:rPr>
              <w:drawing>
                <wp:inline distT="0" distB="0" distL="0" distR="0" wp14:anchorId="5DD5EE15" wp14:editId="731B9250">
                  <wp:extent cx="288000" cy="288000"/>
                  <wp:effectExtent l="0" t="0" r="0" b="0"/>
                  <wp:docPr id="1643341518" name="Graphic 1643341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BD9FF89" w14:textId="2351A7BE" w:rsidR="00503802" w:rsidRPr="00C52ED7" w:rsidRDefault="00503802" w:rsidP="001832B1">
            <w:pPr>
              <w:pStyle w:val="TableHeading"/>
              <w:spacing w:before="120" w:after="120"/>
              <w:contextualSpacing/>
              <w:rPr>
                <w:sz w:val="20"/>
              </w:rPr>
            </w:pPr>
            <w:r w:rsidRPr="00C52ED7">
              <w:rPr>
                <w:sz w:val="20"/>
              </w:rPr>
              <w:t>Recommendation 2.1</w:t>
            </w:r>
          </w:p>
          <w:p w14:paraId="052D0FA0" w14:textId="77777777" w:rsidR="00503802" w:rsidRPr="00027ED9" w:rsidRDefault="00503802" w:rsidP="006A2DC2">
            <w:pPr>
              <w:pStyle w:val="TableHeading"/>
            </w:pPr>
            <w:r w:rsidRPr="00C52ED7">
              <w:rPr>
                <w:sz w:val="20"/>
              </w:rPr>
              <w:t>Perform a stocktake and assessment of standards and specifications limiting uptake of sustainable materials in infrastructure to enable regulation streamlining</w:t>
            </w:r>
          </w:p>
        </w:tc>
      </w:tr>
      <w:tr w:rsidR="00503802" w:rsidRPr="00027ED9" w14:paraId="2D73162F" w14:textId="77777777" w:rsidTr="149BEF07">
        <w:tc>
          <w:tcPr>
            <w:tcW w:w="9638" w:type="dxa"/>
            <w:gridSpan w:val="2"/>
            <w:shd w:val="clear" w:color="auto" w:fill="E7F6FD"/>
            <w:tcMar>
              <w:top w:w="0" w:type="dxa"/>
            </w:tcMar>
          </w:tcPr>
          <w:p w14:paraId="71672548" w14:textId="77777777" w:rsidR="00503802" w:rsidRPr="00DB417F" w:rsidRDefault="00503802">
            <w:pPr>
              <w:pStyle w:val="BodyText"/>
              <w:rPr>
                <w:spacing w:val="-4"/>
              </w:rPr>
            </w:pPr>
            <w:r w:rsidRPr="00DB417F">
              <w:rPr>
                <w:spacing w:val="-4"/>
              </w:rPr>
              <w:t>To promote the fit for purpose use of sustainable materials in infrastructure, Australian, state and territory governments should establish a working group to undertake a staged stocktake and assessment of standards and specifications (including in Australian Standards and state infrastructure technical specifications). The stocktake should start by focusing on standards and specifications related to infrastructure types that use the most virgin materials (such as roads and bridges) or materials with the largest life cycle environmental impact (such as concrete). Drawing on the stocktake, the assessment should:</w:t>
            </w:r>
          </w:p>
          <w:p w14:paraId="1D0E4075" w14:textId="77777777" w:rsidR="00503802" w:rsidRPr="00691A9B" w:rsidRDefault="00503802" w:rsidP="009B33D1">
            <w:pPr>
              <w:pStyle w:val="ListBullet"/>
            </w:pPr>
            <w:r>
              <w:t>i</w:t>
            </w:r>
            <w:r w:rsidRPr="00691A9B">
              <w:t>dentify and catalogue unnecessarily conservative and prescriptive standards and specifications relevant to infrastructure construction and maintenance that constrain the use of sustainable materials</w:t>
            </w:r>
          </w:p>
          <w:p w14:paraId="46CB8160" w14:textId="77777777" w:rsidR="00503802" w:rsidRPr="00691A9B" w:rsidRDefault="00503802" w:rsidP="009B33D1">
            <w:pPr>
              <w:pStyle w:val="ListBullet"/>
            </w:pPr>
            <w:r>
              <w:t>a</w:t>
            </w:r>
            <w:r w:rsidRPr="00691A9B">
              <w:t xml:space="preserve">ssess latent industry demand </w:t>
            </w:r>
            <w:r>
              <w:t xml:space="preserve">and local supply availability </w:t>
            </w:r>
            <w:r w:rsidRPr="00691A9B">
              <w:t>for the identified sustainable materials</w:t>
            </w:r>
            <w:r>
              <w:t>,</w:t>
            </w:r>
            <w:r w:rsidRPr="00691A9B">
              <w:t xml:space="preserve"> to determine the extent to which these standards </w:t>
            </w:r>
            <w:r>
              <w:t>or specifications</w:t>
            </w:r>
            <w:r w:rsidRPr="00691A9B">
              <w:t xml:space="preserve"> are constraining their use</w:t>
            </w:r>
          </w:p>
          <w:p w14:paraId="082F148C" w14:textId="77777777" w:rsidR="00503802" w:rsidRPr="00DB417F" w:rsidRDefault="00503802" w:rsidP="009B33D1">
            <w:pPr>
              <w:pStyle w:val="ListBullet"/>
              <w:rPr>
                <w:spacing w:val="-4"/>
              </w:rPr>
            </w:pPr>
            <w:r w:rsidRPr="00DB417F">
              <w:rPr>
                <w:spacing w:val="-4"/>
              </w:rPr>
              <w:t>evaluate the feasibility of reducing these barriers by transitioning from prescriptive to performance</w:t>
            </w:r>
            <w:r w:rsidRPr="00DB417F">
              <w:rPr>
                <w:spacing w:val="-4"/>
              </w:rPr>
              <w:noBreakHyphen/>
              <w:t>based approaches and/or harmonising standards and specifications across jurisdictions (without compromising safety), aligning with existing work being undertaken by organisations such as Austroads</w:t>
            </w:r>
          </w:p>
          <w:p w14:paraId="1133FC14" w14:textId="77777777" w:rsidR="00503802" w:rsidRPr="00691A9B" w:rsidRDefault="00503802" w:rsidP="009B33D1">
            <w:pPr>
              <w:pStyle w:val="ListBullet"/>
            </w:pPr>
            <w:r>
              <w:t>r</w:t>
            </w:r>
            <w:r w:rsidRPr="00691A9B">
              <w:t>ecommend a shortlist of changes to standards and specifications based on their expected impact on the uptake of sustainable materials and their associated productivity and environmental benefits.</w:t>
            </w:r>
          </w:p>
          <w:p w14:paraId="125A4E1B" w14:textId="3B469663" w:rsidR="00503802" w:rsidRPr="00027ED9" w:rsidRDefault="00503802">
            <w:pPr>
              <w:pStyle w:val="BodyText"/>
            </w:pPr>
            <w:r>
              <w:t>Drawing on the assessment findings, governments should</w:t>
            </w:r>
            <w:r w:rsidRPr="00326628">
              <w:t xml:space="preserve"> </w:t>
            </w:r>
            <w:r>
              <w:t xml:space="preserve">consider reforms to streamline </w:t>
            </w:r>
            <w:r w:rsidRPr="00326628">
              <w:t xml:space="preserve">standards and specifications </w:t>
            </w:r>
            <w:r>
              <w:t xml:space="preserve">(for example, through </w:t>
            </w:r>
            <w:r w:rsidRPr="00691A9B">
              <w:t>the Infrastructure and Transport Ministers’ Meeting</w:t>
            </w:r>
            <w:r>
              <w:t>)</w:t>
            </w:r>
            <w:r w:rsidRPr="00326628">
              <w:t xml:space="preserve"> and progress</w:t>
            </w:r>
            <w:r>
              <w:t xml:space="preserve"> those reforms in collaboration with standards and specifications bodies </w:t>
            </w:r>
            <w:r w:rsidRPr="00691A9B">
              <w:t>(such as Standards Australia</w:t>
            </w:r>
            <w:r>
              <w:t xml:space="preserve"> and</w:t>
            </w:r>
            <w:r w:rsidRPr="00691A9B">
              <w:t xml:space="preserve"> Austroads).</w:t>
            </w:r>
            <w:r w:rsidRPr="00E9772B">
              <w:t xml:space="preserve"> </w:t>
            </w:r>
            <w:r w:rsidRPr="00774769">
              <w:t xml:space="preserve">The Australian Government should consider whether certain reforms could be progressed through </w:t>
            </w:r>
            <w:r w:rsidR="008D060D">
              <w:t>n</w:t>
            </w:r>
            <w:r w:rsidRPr="00774769">
              <w:t xml:space="preserve">ational </w:t>
            </w:r>
            <w:r w:rsidR="008D060D">
              <w:t>c</w:t>
            </w:r>
            <w:r w:rsidRPr="00774769">
              <w:t xml:space="preserve">ompetition </w:t>
            </w:r>
            <w:r w:rsidR="008D060D">
              <w:t>p</w:t>
            </w:r>
            <w:r w:rsidRPr="00774769">
              <w:t>olicy.</w:t>
            </w:r>
          </w:p>
        </w:tc>
      </w:tr>
      <w:tr w:rsidR="00503802" w:rsidRPr="00027ED9" w14:paraId="75AB1EE0" w14:textId="77777777" w:rsidTr="149BEF07">
        <w:tc>
          <w:tcPr>
            <w:tcW w:w="9638" w:type="dxa"/>
            <w:gridSpan w:val="2"/>
            <w:shd w:val="clear" w:color="auto" w:fill="auto"/>
            <w:tcMar>
              <w:top w:w="0" w:type="dxa"/>
              <w:bottom w:w="0" w:type="dxa"/>
            </w:tcMar>
          </w:tcPr>
          <w:p w14:paraId="3326E1A4" w14:textId="447A11B1" w:rsidR="00503802" w:rsidRPr="00027ED9" w:rsidRDefault="00503802">
            <w:pPr>
              <w:pStyle w:val="NoSpacing"/>
              <w:spacing w:line="200" w:lineRule="exact"/>
            </w:pPr>
          </w:p>
        </w:tc>
      </w:tr>
    </w:tbl>
    <w:p w14:paraId="40CC7076" w14:textId="77777777" w:rsidR="00503802" w:rsidRDefault="00503802" w:rsidP="00A622D4">
      <w:pPr>
        <w:pStyle w:val="BodyText"/>
      </w:pPr>
    </w:p>
    <w:p w14:paraId="7E0326B8" w14:textId="77777777" w:rsidR="00503802" w:rsidRDefault="00503802">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503802" w:rsidRPr="00027ED9" w14:paraId="5BA958B0" w14:textId="77777777" w:rsidTr="6641D27A">
        <w:trPr>
          <w:tblHeader/>
        </w:trPr>
        <w:tc>
          <w:tcPr>
            <w:tcW w:w="713" w:type="dxa"/>
            <w:shd w:val="clear" w:color="auto" w:fill="E7F6FD"/>
            <w:tcMar>
              <w:top w:w="0" w:type="dxa"/>
              <w:bottom w:w="0" w:type="dxa"/>
            </w:tcMar>
            <w:vAlign w:val="center"/>
          </w:tcPr>
          <w:p w14:paraId="59F16876" w14:textId="77777777" w:rsidR="00503802" w:rsidRPr="00027ED9" w:rsidRDefault="00503802">
            <w:pPr>
              <w:keepLines/>
              <w:jc w:val="center"/>
            </w:pPr>
            <w:r w:rsidRPr="00027ED9">
              <w:rPr>
                <w:noProof/>
              </w:rPr>
              <w:lastRenderedPageBreak/>
              <w:drawing>
                <wp:inline distT="0" distB="0" distL="0" distR="0" wp14:anchorId="03C8FC7B" wp14:editId="508AA012">
                  <wp:extent cx="288000" cy="288000"/>
                  <wp:effectExtent l="0" t="0" r="0" b="0"/>
                  <wp:docPr id="1803897230" name="Graphic 1803897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D416E61" w14:textId="4C161EFB" w:rsidR="00503802" w:rsidRPr="00F433BE" w:rsidRDefault="00503802" w:rsidP="001832B1">
            <w:pPr>
              <w:pStyle w:val="TableHeading"/>
              <w:spacing w:before="120" w:after="120"/>
              <w:contextualSpacing/>
              <w:rPr>
                <w:sz w:val="20"/>
              </w:rPr>
            </w:pPr>
            <w:r w:rsidRPr="00F433BE">
              <w:rPr>
                <w:sz w:val="20"/>
              </w:rPr>
              <w:t>Recommendation 2.2</w:t>
            </w:r>
          </w:p>
          <w:p w14:paraId="72344E36" w14:textId="77777777" w:rsidR="00503802" w:rsidRPr="00027ED9" w:rsidRDefault="00503802" w:rsidP="006A2DC2">
            <w:pPr>
              <w:pStyle w:val="TableHeading"/>
            </w:pPr>
            <w:r w:rsidRPr="00F433BE">
              <w:rPr>
                <w:sz w:val="20"/>
              </w:rPr>
              <w:t>Introduce or expand support services for suppliers, contractors and asset owners of major infrastructure projects to promote industry confidence in sustainable materials</w:t>
            </w:r>
          </w:p>
        </w:tc>
      </w:tr>
      <w:tr w:rsidR="00503802" w:rsidRPr="00027ED9" w14:paraId="508462FE" w14:textId="77777777" w:rsidTr="6641D27A">
        <w:tc>
          <w:tcPr>
            <w:tcW w:w="9638" w:type="dxa"/>
            <w:gridSpan w:val="2"/>
            <w:shd w:val="clear" w:color="auto" w:fill="E7F6FD"/>
            <w:tcMar>
              <w:top w:w="0" w:type="dxa"/>
            </w:tcMar>
          </w:tcPr>
          <w:p w14:paraId="0ABC4782" w14:textId="77777777" w:rsidR="00503802" w:rsidRDefault="00503802" w:rsidP="00F008C8">
            <w:pPr>
              <w:pStyle w:val="BodyText"/>
            </w:pPr>
            <w:r w:rsidRPr="00027ED9">
              <w:t xml:space="preserve">To promote </w:t>
            </w:r>
            <w:r>
              <w:t>industry confidence in using</w:t>
            </w:r>
            <w:r w:rsidRPr="00027ED9">
              <w:t xml:space="preserve"> </w:t>
            </w:r>
            <w:r w:rsidRPr="005D3CBC">
              <w:t xml:space="preserve">sustainable materials in infrastructure, state and territory governments with </w:t>
            </w:r>
            <w:r>
              <w:t xml:space="preserve">commitments to </w:t>
            </w:r>
            <w:r w:rsidRPr="0055360A">
              <w:t xml:space="preserve">major infrastructure </w:t>
            </w:r>
            <w:r>
              <w:t>projects</w:t>
            </w:r>
            <w:r w:rsidRPr="0055360A">
              <w:t xml:space="preserve"> should introduce</w:t>
            </w:r>
            <w:r w:rsidRPr="005D3CBC">
              <w:t xml:space="preserve"> or expand support services </w:t>
            </w:r>
            <w:r>
              <w:t>whereby dedicated facilitators</w:t>
            </w:r>
            <w:r w:rsidRPr="005D3CBC">
              <w:t xml:space="preserve"> </w:t>
            </w:r>
            <w:r>
              <w:t xml:space="preserve">work with </w:t>
            </w:r>
            <w:r w:rsidRPr="005D3CBC">
              <w:t xml:space="preserve">suppliers, contractors and asset owners </w:t>
            </w:r>
            <w:r w:rsidRPr="00FD23DA">
              <w:t>to</w:t>
            </w:r>
            <w:r>
              <w:t>:</w:t>
            </w:r>
          </w:p>
          <w:p w14:paraId="74100B75" w14:textId="77777777" w:rsidR="00503802" w:rsidRDefault="00503802" w:rsidP="009B33D1">
            <w:pPr>
              <w:pStyle w:val="ListBullet"/>
            </w:pPr>
            <w:r>
              <w:t xml:space="preserve">educate them about the use of sustainable materials in infrastructure, including addressing a lack of information or confidence about using sustainable materials and highlighting opportunities to use sustainable materials </w:t>
            </w:r>
          </w:p>
          <w:p w14:paraId="2694816A" w14:textId="77777777" w:rsidR="00503802" w:rsidRDefault="00503802" w:rsidP="009B33D1">
            <w:pPr>
              <w:pStyle w:val="ListBullet"/>
            </w:pPr>
            <w:r>
              <w:t xml:space="preserve">overcome regulatory or technical obstacles to using </w:t>
            </w:r>
            <w:r w:rsidRPr="0055360A">
              <w:t>sustainable materials</w:t>
            </w:r>
            <w:r w:rsidRPr="0055360A" w:rsidDel="00EF4EC9">
              <w:t xml:space="preserve"> </w:t>
            </w:r>
            <w:r>
              <w:t>in specific projects</w:t>
            </w:r>
          </w:p>
          <w:p w14:paraId="2A35875E" w14:textId="77777777" w:rsidR="00503802" w:rsidRDefault="00503802" w:rsidP="009B33D1">
            <w:pPr>
              <w:pStyle w:val="ListBullet"/>
            </w:pPr>
            <w:r>
              <w:t>c</w:t>
            </w:r>
            <w:r w:rsidRPr="00027ED9">
              <w:t xml:space="preserve">onnect suppliers of sustainable materials or products </w:t>
            </w:r>
            <w:r>
              <w:t>with</w:t>
            </w:r>
            <w:r w:rsidRPr="00027ED9">
              <w:t xml:space="preserve"> </w:t>
            </w:r>
            <w:r>
              <w:t>potential customers (such as</w:t>
            </w:r>
            <w:r w:rsidRPr="00027ED9">
              <w:t xml:space="preserve"> contractors and asset owners</w:t>
            </w:r>
            <w:r>
              <w:t>)</w:t>
            </w:r>
            <w:r w:rsidRPr="00027ED9">
              <w:t>.</w:t>
            </w:r>
          </w:p>
          <w:p w14:paraId="6296DC0A" w14:textId="77777777" w:rsidR="00503802" w:rsidRPr="00027ED9" w:rsidRDefault="00503802" w:rsidP="006179B0">
            <w:pPr>
              <w:pStyle w:val="BodyText"/>
            </w:pPr>
            <w:r>
              <w:t xml:space="preserve">State and territory governments could tailor the </w:t>
            </w:r>
            <w:r w:rsidRPr="00027ED9">
              <w:t>scale and scope</w:t>
            </w:r>
            <w:r>
              <w:t xml:space="preserve"> of these services to their own context including </w:t>
            </w:r>
            <w:r w:rsidRPr="00027ED9">
              <w:t>environmental objectives, projected infrastructure expenditure, recycling infrastructure and access to sustainable materials.</w:t>
            </w:r>
          </w:p>
        </w:tc>
      </w:tr>
      <w:tr w:rsidR="00503802" w:rsidRPr="00027ED9" w14:paraId="1F9F66CD" w14:textId="77777777" w:rsidTr="6641D27A">
        <w:tc>
          <w:tcPr>
            <w:tcW w:w="9638" w:type="dxa"/>
            <w:gridSpan w:val="2"/>
            <w:shd w:val="clear" w:color="auto" w:fill="auto"/>
            <w:tcMar>
              <w:top w:w="0" w:type="dxa"/>
              <w:bottom w:w="0" w:type="dxa"/>
            </w:tcMar>
          </w:tcPr>
          <w:p w14:paraId="01D691AE" w14:textId="1A059C21" w:rsidR="00503802" w:rsidRPr="00027ED9" w:rsidRDefault="00503802">
            <w:pPr>
              <w:pStyle w:val="NoSpacing"/>
              <w:spacing w:line="200" w:lineRule="exact"/>
            </w:pPr>
          </w:p>
        </w:tc>
      </w:tr>
    </w:tbl>
    <w:p w14:paraId="6CE89375" w14:textId="77777777" w:rsidR="00503802" w:rsidRPr="00AF1CA7" w:rsidRDefault="00503802" w:rsidP="00435CDD">
      <w:pPr>
        <w:pStyle w:val="Heading2-nonumber"/>
        <w:spacing w:after="240"/>
      </w:pPr>
      <w:bookmarkStart w:id="23" w:name="_Toc206056804"/>
      <w:bookmarkStart w:id="24" w:name="_Toc206614979"/>
      <w:bookmarkStart w:id="25" w:name="_Toc206617409"/>
      <w:r>
        <w:t>Food, agriculture and organics</w:t>
      </w:r>
      <w:bookmarkEnd w:id="23"/>
      <w:bookmarkEnd w:id="24"/>
      <w:bookmarkEnd w:id="25"/>
    </w:p>
    <w:tbl>
      <w:tblPr>
        <w:tblStyle w:val="Texttable-Paleblue"/>
        <w:tblW w:w="5000" w:type="pct"/>
        <w:tblLook w:val="04A0" w:firstRow="1" w:lastRow="0" w:firstColumn="1" w:lastColumn="0" w:noHBand="0" w:noVBand="1"/>
      </w:tblPr>
      <w:tblGrid>
        <w:gridCol w:w="713"/>
        <w:gridCol w:w="8925"/>
      </w:tblGrid>
      <w:tr w:rsidR="00503802" w:rsidRPr="00AB1612" w14:paraId="6F5EDC20" w14:textId="77777777" w:rsidTr="00D26670">
        <w:trPr>
          <w:tblHeader/>
        </w:trPr>
        <w:tc>
          <w:tcPr>
            <w:tcW w:w="713" w:type="dxa"/>
            <w:shd w:val="clear" w:color="auto" w:fill="E7F6FD"/>
            <w:tcMar>
              <w:top w:w="0" w:type="dxa"/>
              <w:bottom w:w="0" w:type="dxa"/>
            </w:tcMar>
            <w:vAlign w:val="center"/>
          </w:tcPr>
          <w:p w14:paraId="316DDA5A" w14:textId="77777777" w:rsidR="00503802" w:rsidRPr="00AB1612" w:rsidRDefault="00503802" w:rsidP="00741BCE">
            <w:pPr>
              <w:keepLines/>
              <w:jc w:val="center"/>
            </w:pPr>
            <w:r w:rsidRPr="00AB1612">
              <w:rPr>
                <w:noProof/>
              </w:rPr>
              <w:drawing>
                <wp:inline distT="0" distB="0" distL="0" distR="0" wp14:anchorId="712BC4E1" wp14:editId="372CCC9F">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E5E896F" w14:textId="5F03346B" w:rsidR="00503802" w:rsidRPr="00F433BE" w:rsidRDefault="00503802" w:rsidP="00F368A2">
            <w:pPr>
              <w:pStyle w:val="TableHeading"/>
              <w:spacing w:before="120"/>
              <w:rPr>
                <w:sz w:val="20"/>
              </w:rPr>
            </w:pPr>
            <w:r w:rsidRPr="00F433BE">
              <w:rPr>
                <w:sz w:val="20"/>
              </w:rPr>
              <w:t>Recommendation 3.1</w:t>
            </w:r>
          </w:p>
          <w:p w14:paraId="6BCB3FE3" w14:textId="77777777" w:rsidR="00503802" w:rsidRPr="00AB1612" w:rsidRDefault="00503802" w:rsidP="006A2DC2">
            <w:pPr>
              <w:pStyle w:val="TableHeading"/>
            </w:pPr>
            <w:r w:rsidRPr="00F433BE">
              <w:rPr>
                <w:sz w:val="20"/>
              </w:rPr>
              <w:t>Develop clearer regulatory processes to realise the economic and environmental benefits of reusing wasted organic materials</w:t>
            </w:r>
          </w:p>
        </w:tc>
      </w:tr>
      <w:tr w:rsidR="00503802" w:rsidRPr="00AB1612" w14:paraId="0CB51A70" w14:textId="77777777" w:rsidTr="00D26670">
        <w:tc>
          <w:tcPr>
            <w:tcW w:w="9638" w:type="dxa"/>
            <w:gridSpan w:val="2"/>
            <w:shd w:val="clear" w:color="auto" w:fill="E7F6FD"/>
            <w:tcMar>
              <w:top w:w="0" w:type="dxa"/>
            </w:tcMar>
          </w:tcPr>
          <w:p w14:paraId="252FB0C9" w14:textId="77777777" w:rsidR="00503802" w:rsidRPr="00AB1612" w:rsidRDefault="00503802" w:rsidP="00741BCE">
            <w:pPr>
              <w:pStyle w:val="BodyText"/>
              <w:keepLines/>
            </w:pPr>
            <w:r w:rsidRPr="00AB1612">
              <w:t xml:space="preserve">To </w:t>
            </w:r>
            <w:r>
              <w:t>help realise</w:t>
            </w:r>
            <w:r w:rsidRPr="00AB1612">
              <w:t xml:space="preserve"> the </w:t>
            </w:r>
            <w:r>
              <w:t>economic and environmental benefits</w:t>
            </w:r>
            <w:r w:rsidRPr="00AB1612">
              <w:t xml:space="preserve"> </w:t>
            </w:r>
            <w:r>
              <w:t>of reusing</w:t>
            </w:r>
            <w:r w:rsidRPr="00AB1612">
              <w:t xml:space="preserve"> wasted organic materials, state and territory governments should </w:t>
            </w:r>
            <w:r>
              <w:t>develop</w:t>
            </w:r>
            <w:r w:rsidRPr="00AB1612">
              <w:t xml:space="preserve"> dedicated regulatory pathways </w:t>
            </w:r>
            <w:r>
              <w:t>that</w:t>
            </w:r>
            <w:r w:rsidRPr="00AB1612">
              <w:t xml:space="preserve"> outline the requirements for organic waste to transition into saleable materials, beginning with biochar.</w:t>
            </w:r>
          </w:p>
          <w:p w14:paraId="319DDDEC" w14:textId="77777777" w:rsidR="00503802" w:rsidRPr="00AB1612" w:rsidRDefault="00503802" w:rsidP="00741BCE">
            <w:pPr>
              <w:pStyle w:val="BodyText"/>
              <w:keepLines/>
            </w:pPr>
            <w:r>
              <w:t xml:space="preserve">In developing </w:t>
            </w:r>
            <w:r w:rsidRPr="00AB1612">
              <w:t>dedicated regulatory pathways</w:t>
            </w:r>
            <w:r>
              <w:t>, governments should:</w:t>
            </w:r>
          </w:p>
          <w:p w14:paraId="1057647B" w14:textId="77777777" w:rsidR="00503802" w:rsidRPr="00AB1612" w:rsidRDefault="00503802" w:rsidP="009B33D1">
            <w:pPr>
              <w:pStyle w:val="ListBullet"/>
            </w:pPr>
            <w:r>
              <w:t>c</w:t>
            </w:r>
            <w:r w:rsidRPr="00AB1612">
              <w:t>learly outline the requirements for a waste-derived material to be transported, sold, applied to land or used as a livestock feed supplement (including source materials and contamination thresholds)</w:t>
            </w:r>
          </w:p>
          <w:p w14:paraId="03B66993" w14:textId="77777777" w:rsidR="00503802" w:rsidRPr="00AB1612" w:rsidRDefault="00503802" w:rsidP="009B33D1">
            <w:pPr>
              <w:pStyle w:val="ListBullet"/>
            </w:pPr>
            <w:r>
              <w:t>b</w:t>
            </w:r>
            <w:r w:rsidRPr="00AB1612">
              <w:t>alance the risks of processing organic waste streams with the economic and environmental benefits of recovering value from wasted organic materials.</w:t>
            </w:r>
          </w:p>
          <w:p w14:paraId="07FCEA4C" w14:textId="77777777" w:rsidR="00503802" w:rsidRPr="00AB1612" w:rsidRDefault="00503802" w:rsidP="007F3EED">
            <w:pPr>
              <w:pStyle w:val="BodyText"/>
            </w:pPr>
            <w:r>
              <w:t>Governments</w:t>
            </w:r>
            <w:r w:rsidRPr="00AB1612">
              <w:t xml:space="preserve"> should </w:t>
            </w:r>
            <w:r>
              <w:t>complement these pathways by changing</w:t>
            </w:r>
            <w:r w:rsidRPr="00AB1612">
              <w:t xml:space="preserve"> energy from waste regulations</w:t>
            </w:r>
            <w:r>
              <w:t xml:space="preserve"> to</w:t>
            </w:r>
            <w:r w:rsidRPr="00AB1612">
              <w:t xml:space="preserve"> distinguish between processes such as gasification and pyrolysis to produce biochar and conventional energy from waste processes (such as incineration), where this is not already done.</w:t>
            </w:r>
          </w:p>
        </w:tc>
      </w:tr>
    </w:tbl>
    <w:p w14:paraId="1AC3F057" w14:textId="644355E2" w:rsidR="00503802" w:rsidRDefault="00503802" w:rsidP="00D26670">
      <w:pPr>
        <w:pStyle w:val="BodyText"/>
        <w:rPr>
          <w:b/>
          <w:bCs/>
          <w:shd w:val="clear" w:color="auto" w:fill="FCEFD2" w:themeFill="accent3" w:themeFillTint="33"/>
        </w:rPr>
      </w:pPr>
      <w:r w:rsidRPr="213CC666">
        <w:rPr>
          <w:smallCaps/>
          <w:color w:val="FF00FF"/>
        </w:rPr>
        <w:t xml:space="preserve"> </w:t>
      </w:r>
    </w:p>
    <w:p w14:paraId="69E7EF2D" w14:textId="77777777" w:rsidR="00503802" w:rsidRPr="0086477F" w:rsidRDefault="00503802" w:rsidP="0086477F">
      <w:pPr>
        <w:pStyle w:val="BodyText"/>
      </w:pPr>
      <w:r>
        <w:br w:type="page"/>
      </w:r>
    </w:p>
    <w:p w14:paraId="01CF8CAF" w14:textId="77777777" w:rsidR="00503802" w:rsidRDefault="00503802" w:rsidP="00EA6B15">
      <w:pPr>
        <w:pStyle w:val="Heading2-nonumber"/>
        <w:spacing w:after="240"/>
      </w:pPr>
      <w:bookmarkStart w:id="26" w:name="_Toc206056805"/>
      <w:bookmarkStart w:id="27" w:name="_Toc206614980"/>
      <w:bookmarkStart w:id="28" w:name="_Toc206617410"/>
      <w:r>
        <w:lastRenderedPageBreak/>
        <w:t>Mining</w:t>
      </w:r>
      <w:bookmarkEnd w:id="26"/>
      <w:bookmarkEnd w:id="27"/>
      <w:bookmarkEnd w:id="28"/>
    </w:p>
    <w:tbl>
      <w:tblPr>
        <w:tblStyle w:val="Texttable-Paleblue"/>
        <w:tblW w:w="5000" w:type="pct"/>
        <w:tblLook w:val="04A0" w:firstRow="1" w:lastRow="0" w:firstColumn="1" w:lastColumn="0" w:noHBand="0" w:noVBand="1"/>
      </w:tblPr>
      <w:tblGrid>
        <w:gridCol w:w="713"/>
        <w:gridCol w:w="8925"/>
      </w:tblGrid>
      <w:tr w:rsidR="00503802" w:rsidRPr="005C29A3" w14:paraId="2315A720" w14:textId="77777777" w:rsidTr="2499B825">
        <w:trPr>
          <w:tblHeader/>
        </w:trPr>
        <w:tc>
          <w:tcPr>
            <w:tcW w:w="713" w:type="dxa"/>
            <w:shd w:val="clear" w:color="auto" w:fill="E7F6FD"/>
            <w:tcMar>
              <w:top w:w="0" w:type="dxa"/>
              <w:bottom w:w="0" w:type="dxa"/>
            </w:tcMar>
            <w:vAlign w:val="center"/>
          </w:tcPr>
          <w:p w14:paraId="1254C84E" w14:textId="77777777" w:rsidR="00503802" w:rsidRPr="005C29A3" w:rsidRDefault="00503802">
            <w:pPr>
              <w:keepLines/>
              <w:jc w:val="center"/>
            </w:pPr>
            <w:r w:rsidRPr="005C29A3">
              <w:rPr>
                <w:noProof/>
              </w:rPr>
              <w:drawing>
                <wp:inline distT="0" distB="0" distL="0" distR="0" wp14:anchorId="4CB2C45B" wp14:editId="0123B3AD">
                  <wp:extent cx="288000" cy="288000"/>
                  <wp:effectExtent l="0" t="0" r="0" b="0"/>
                  <wp:docPr id="1111024142" name="Graphic 111102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9950AB0" w14:textId="78B371FB" w:rsidR="00503802" w:rsidRPr="00F433BE" w:rsidRDefault="00503802" w:rsidP="001832B1">
            <w:pPr>
              <w:pStyle w:val="TableHeading"/>
              <w:spacing w:before="120" w:after="120"/>
              <w:contextualSpacing/>
              <w:rPr>
                <w:sz w:val="20"/>
              </w:rPr>
            </w:pPr>
            <w:r w:rsidRPr="00F433BE">
              <w:rPr>
                <w:sz w:val="20"/>
              </w:rPr>
              <w:t>Recommendation 4.1</w:t>
            </w:r>
          </w:p>
          <w:p w14:paraId="45C7F52D" w14:textId="77777777" w:rsidR="00503802" w:rsidRPr="00F433BE" w:rsidRDefault="00503802" w:rsidP="006A2DC2">
            <w:pPr>
              <w:pStyle w:val="TableHeading"/>
              <w:rPr>
                <w:sz w:val="20"/>
              </w:rPr>
            </w:pPr>
            <w:r w:rsidRPr="00F433BE">
              <w:rPr>
                <w:sz w:val="20"/>
              </w:rPr>
              <w:t>Update regulatory and planning frameworks to enable repurposing of post-mining land, infrastructure and mining residues to increase benefits for the community</w:t>
            </w:r>
          </w:p>
        </w:tc>
      </w:tr>
      <w:tr w:rsidR="00503802" w:rsidRPr="005C29A3" w14:paraId="1DC6A30B" w14:textId="77777777" w:rsidTr="2499B825">
        <w:tc>
          <w:tcPr>
            <w:tcW w:w="9638" w:type="dxa"/>
            <w:gridSpan w:val="2"/>
            <w:shd w:val="clear" w:color="auto" w:fill="E7F6FD"/>
            <w:tcMar>
              <w:top w:w="0" w:type="dxa"/>
            </w:tcMar>
          </w:tcPr>
          <w:p w14:paraId="10B9400F" w14:textId="77777777" w:rsidR="00503802" w:rsidRPr="005C29A3" w:rsidRDefault="00503802">
            <w:pPr>
              <w:pStyle w:val="BodyText"/>
            </w:pPr>
            <w:r>
              <w:t xml:space="preserve">To enable repurposing of post-mining land, infrastructure and mining residues that has the greatest net benefits for the community: </w:t>
            </w:r>
          </w:p>
          <w:p w14:paraId="2DDB333A" w14:textId="77777777" w:rsidR="00503802" w:rsidRPr="005C29A3" w:rsidRDefault="00503802" w:rsidP="009B33D1">
            <w:pPr>
              <w:pStyle w:val="ListBullet"/>
            </w:pPr>
            <w:r w:rsidRPr="005C29A3">
              <w:t xml:space="preserve">State and </w:t>
            </w:r>
            <w:r>
              <w:t>t</w:t>
            </w:r>
            <w:r w:rsidRPr="005C29A3">
              <w:t xml:space="preserve">erritory governments should develop land transition plans for regions and communities that are experiencing or are soon to experience </w:t>
            </w:r>
            <w:r>
              <w:t xml:space="preserve">significant </w:t>
            </w:r>
            <w:r w:rsidRPr="005C29A3">
              <w:t xml:space="preserve">mining transition. </w:t>
            </w:r>
            <w:r w:rsidRPr="0058398B">
              <w:t>These plans should assess the sites that will become available and establish priority future beneficial uses for them in partnership with Aboriginal and Torres Strait Islander people and the broader community</w:t>
            </w:r>
            <w:r w:rsidRPr="005C29A3">
              <w:t xml:space="preserve">. </w:t>
            </w:r>
          </w:p>
          <w:p w14:paraId="4D48FF40" w14:textId="77777777" w:rsidR="00503802" w:rsidRPr="005C29A3" w:rsidRDefault="00503802" w:rsidP="009B33D1">
            <w:pPr>
              <w:pStyle w:val="ListBullet"/>
            </w:pPr>
            <w:r w:rsidRPr="005C29A3">
              <w:t xml:space="preserve">State and </w:t>
            </w:r>
            <w:r>
              <w:t>t</w:t>
            </w:r>
            <w:r w:rsidRPr="005C29A3">
              <w:t>erritory governments should review and amend or augment the regulatory frameworks and processes that guide mine closure and transition, to facilitate the development of innovative post</w:t>
            </w:r>
            <w:r>
              <w:noBreakHyphen/>
            </w:r>
            <w:r w:rsidRPr="005C29A3">
              <w:t>mining land uses where they are of net benefit. The review should include relevant provisions in mining, environmental, health and safety and planning legislation, and associated regulations and policies.</w:t>
            </w:r>
          </w:p>
          <w:p w14:paraId="04752986" w14:textId="77777777" w:rsidR="00503802" w:rsidRPr="005C29A3" w:rsidRDefault="00503802" w:rsidP="009B33D1">
            <w:pPr>
              <w:pStyle w:val="ListBullet"/>
            </w:pPr>
            <w:r w:rsidRPr="0058398B">
              <w:t xml:space="preserve">The Australian </w:t>
            </w:r>
            <w:r>
              <w:t>G</w:t>
            </w:r>
            <w:r w:rsidRPr="0058398B">
              <w:t xml:space="preserve">overnment should </w:t>
            </w:r>
            <w:r>
              <w:t xml:space="preserve">update </w:t>
            </w:r>
            <w:r w:rsidRPr="0058398B">
              <w:t xml:space="preserve">national </w:t>
            </w:r>
            <w:r>
              <w:t>guidance</w:t>
            </w:r>
            <w:r w:rsidRPr="0058398B">
              <w:t xml:space="preserve"> for </w:t>
            </w:r>
            <w:r>
              <w:t xml:space="preserve">leading practice </w:t>
            </w:r>
            <w:r w:rsidRPr="0058398B">
              <w:t xml:space="preserve">mine closure and transition, incorporating environmental, social and economic considerations. The </w:t>
            </w:r>
            <w:r>
              <w:t xml:space="preserve">guidance </w:t>
            </w:r>
            <w:r w:rsidRPr="0058398B">
              <w:t>should establish best practice methodologies</w:t>
            </w:r>
            <w:r>
              <w:t xml:space="preserve"> and set expectations</w:t>
            </w:r>
            <w:r w:rsidRPr="0058398B">
              <w:t xml:space="preserve"> for mining companies to partner with </w:t>
            </w:r>
            <w:r>
              <w:t>Aboriginal and Torres Strait Islander people,</w:t>
            </w:r>
            <w:r w:rsidRPr="0058398B">
              <w:t xml:space="preserve"> local communities</w:t>
            </w:r>
            <w:r>
              <w:t xml:space="preserve"> and local governments</w:t>
            </w:r>
            <w:r w:rsidRPr="0058398B">
              <w:t>, sharing decision-making to determine transition outcomes that offer net benefits</w:t>
            </w:r>
            <w:r>
              <w:t xml:space="preserve"> to the community</w:t>
            </w:r>
            <w:r w:rsidRPr="0058398B">
              <w:t>.</w:t>
            </w:r>
          </w:p>
        </w:tc>
      </w:tr>
      <w:tr w:rsidR="00503802" w:rsidRPr="005C29A3" w14:paraId="365F320B" w14:textId="77777777" w:rsidTr="2499B825">
        <w:tc>
          <w:tcPr>
            <w:tcW w:w="9638" w:type="dxa"/>
            <w:gridSpan w:val="2"/>
            <w:shd w:val="clear" w:color="auto" w:fill="auto"/>
            <w:tcMar>
              <w:top w:w="0" w:type="dxa"/>
              <w:bottom w:w="0" w:type="dxa"/>
            </w:tcMar>
          </w:tcPr>
          <w:p w14:paraId="68699AA9" w14:textId="0642AC47" w:rsidR="00503802" w:rsidRPr="005C29A3" w:rsidRDefault="00503802">
            <w:pPr>
              <w:pStyle w:val="NoSpacing"/>
              <w:spacing w:line="200" w:lineRule="exact"/>
            </w:pPr>
          </w:p>
        </w:tc>
      </w:tr>
    </w:tbl>
    <w:p w14:paraId="7D0F9201" w14:textId="77777777" w:rsidR="00503802" w:rsidRPr="007E76C2" w:rsidRDefault="00503802" w:rsidP="007E76C2">
      <w:pPr>
        <w:pStyle w:val="BodyText"/>
      </w:pPr>
      <w:r w:rsidRPr="007E76C2">
        <w:br w:type="page"/>
      </w:r>
    </w:p>
    <w:p w14:paraId="5961318A" w14:textId="77777777" w:rsidR="00503802" w:rsidRDefault="00503802" w:rsidP="00EA6B15">
      <w:pPr>
        <w:pStyle w:val="Heading2-nonumber"/>
        <w:spacing w:after="240"/>
      </w:pPr>
      <w:bookmarkStart w:id="29" w:name="_Toc206056806"/>
      <w:bookmarkStart w:id="30" w:name="_Toc206614981"/>
      <w:bookmarkStart w:id="31" w:name="_Toc206617411"/>
      <w:r>
        <w:lastRenderedPageBreak/>
        <w:t>Electronics</w:t>
      </w:r>
      <w:bookmarkEnd w:id="29"/>
      <w:bookmarkEnd w:id="30"/>
      <w:bookmarkEnd w:id="31"/>
    </w:p>
    <w:tbl>
      <w:tblPr>
        <w:tblStyle w:val="Texttable-Paleblue"/>
        <w:tblW w:w="5000" w:type="pct"/>
        <w:tblLook w:val="04A0" w:firstRow="1" w:lastRow="0" w:firstColumn="1" w:lastColumn="0" w:noHBand="0" w:noVBand="1"/>
      </w:tblPr>
      <w:tblGrid>
        <w:gridCol w:w="713"/>
        <w:gridCol w:w="8925"/>
      </w:tblGrid>
      <w:tr w:rsidR="00503802" w:rsidRPr="00E867BF" w14:paraId="7C02477C" w14:textId="77777777" w:rsidTr="0825F6FF">
        <w:trPr>
          <w:tblHeader/>
        </w:trPr>
        <w:tc>
          <w:tcPr>
            <w:tcW w:w="713" w:type="dxa"/>
            <w:shd w:val="clear" w:color="auto" w:fill="E7F6FD"/>
            <w:tcMar>
              <w:top w:w="0" w:type="dxa"/>
              <w:bottom w:w="0" w:type="dxa"/>
            </w:tcMar>
            <w:vAlign w:val="center"/>
          </w:tcPr>
          <w:p w14:paraId="00B65AAC" w14:textId="77777777" w:rsidR="00503802" w:rsidRPr="00E867BF" w:rsidRDefault="00503802" w:rsidP="00E867BF">
            <w:pPr>
              <w:keepLines/>
              <w:jc w:val="center"/>
            </w:pPr>
            <w:r w:rsidRPr="00E867BF">
              <w:rPr>
                <w:noProof/>
              </w:rPr>
              <w:drawing>
                <wp:inline distT="0" distB="0" distL="0" distR="0" wp14:anchorId="51B09471" wp14:editId="7E3B8D69">
                  <wp:extent cx="288000" cy="288000"/>
                  <wp:effectExtent l="0" t="0" r="0" b="0"/>
                  <wp:docPr id="1444575583" name="Graphic 1444575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EC11C4C" w14:textId="55F0E7D2" w:rsidR="00503802" w:rsidRPr="00F433BE" w:rsidRDefault="00503802" w:rsidP="001832B1">
            <w:pPr>
              <w:pStyle w:val="TableHeading"/>
              <w:spacing w:before="120" w:after="120"/>
              <w:contextualSpacing/>
              <w:rPr>
                <w:sz w:val="20"/>
              </w:rPr>
            </w:pPr>
            <w:r w:rsidRPr="00F433BE">
              <w:rPr>
                <w:sz w:val="20"/>
              </w:rPr>
              <w:t>Recommendation 5.1</w:t>
            </w:r>
          </w:p>
          <w:p w14:paraId="01678913" w14:textId="77777777" w:rsidR="00503802" w:rsidRPr="00E867BF" w:rsidRDefault="00503802" w:rsidP="006A2DC2">
            <w:pPr>
              <w:pStyle w:val="TableHeading"/>
            </w:pPr>
            <w:r w:rsidRPr="00F433BE">
              <w:rPr>
                <w:sz w:val="20"/>
              </w:rPr>
              <w:t>Develop and implement a national framework to ensure consistent approaches to small electronics product stewardship across states and territories</w:t>
            </w:r>
          </w:p>
        </w:tc>
      </w:tr>
      <w:tr w:rsidR="00503802" w:rsidRPr="00E867BF" w14:paraId="6CB732F5" w14:textId="77777777" w:rsidTr="0825F6FF">
        <w:tc>
          <w:tcPr>
            <w:tcW w:w="9638" w:type="dxa"/>
            <w:gridSpan w:val="2"/>
            <w:shd w:val="clear" w:color="auto" w:fill="E7F6FD"/>
            <w:tcMar>
              <w:top w:w="0" w:type="dxa"/>
            </w:tcMar>
          </w:tcPr>
          <w:p w14:paraId="7E7D58FB" w14:textId="77777777" w:rsidR="00503802" w:rsidRPr="00CC6CA3" w:rsidRDefault="00503802" w:rsidP="00CC6CA3">
            <w:pPr>
              <w:pStyle w:val="BodyText"/>
            </w:pPr>
            <w:r w:rsidRPr="00CC6CA3">
              <w:t xml:space="preserve">To </w:t>
            </w:r>
            <w:r>
              <w:t xml:space="preserve">reduce the risk of differences in </w:t>
            </w:r>
            <w:r w:rsidRPr="005D75AF">
              <w:t xml:space="preserve">product stewardship </w:t>
            </w:r>
            <w:r>
              <w:t>arrangements across states and territories imposing costs on industry (without commensurate benefits to safety or the environment)</w:t>
            </w:r>
            <w:r w:rsidRPr="00CC6CA3">
              <w:t xml:space="preserve">, the Australian, state and territory governments should </w:t>
            </w:r>
            <w:r>
              <w:t xml:space="preserve">develop </w:t>
            </w:r>
            <w:r w:rsidRPr="00CC6CA3">
              <w:t xml:space="preserve">a </w:t>
            </w:r>
            <w:r>
              <w:t xml:space="preserve">national </w:t>
            </w:r>
            <w:r w:rsidRPr="00CC6CA3">
              <w:t xml:space="preserve">framework to ensure </w:t>
            </w:r>
            <w:r w:rsidRPr="00626145">
              <w:t>consistent</w:t>
            </w:r>
            <w:r w:rsidRPr="00CC6CA3">
              <w:t xml:space="preserve"> approach</w:t>
            </w:r>
            <w:r>
              <w:t>es</w:t>
            </w:r>
            <w:r w:rsidRPr="00CC6CA3">
              <w:t xml:space="preserve"> to small electronics</w:t>
            </w:r>
            <w:r>
              <w:t xml:space="preserve"> product</w:t>
            </w:r>
            <w:r w:rsidRPr="00CC6CA3">
              <w:t xml:space="preserve"> stewardship across </w:t>
            </w:r>
            <w:r>
              <w:t>jurisdictions</w:t>
            </w:r>
            <w:r w:rsidRPr="00CC6CA3">
              <w:t xml:space="preserve">. </w:t>
            </w:r>
          </w:p>
          <w:p w14:paraId="29CB8102" w14:textId="77777777" w:rsidR="00503802" w:rsidRPr="00CC6CA3" w:rsidRDefault="00503802" w:rsidP="00CC6CA3">
            <w:pPr>
              <w:pStyle w:val="BodyText"/>
            </w:pPr>
            <w:r w:rsidRPr="00CC6CA3">
              <w:t xml:space="preserve">The Australian Government should </w:t>
            </w:r>
            <w:r>
              <w:t xml:space="preserve">assist and </w:t>
            </w:r>
            <w:r w:rsidRPr="00CC6CA3">
              <w:t>work with jurisdictions to develop and implement the framework based on state and territory governments</w:t>
            </w:r>
            <w:r>
              <w:t>’</w:t>
            </w:r>
            <w:r w:rsidRPr="00CC6CA3">
              <w:t xml:space="preserve"> requirements</w:t>
            </w:r>
            <w:r>
              <w:t xml:space="preserve">. The </w:t>
            </w:r>
            <w:r w:rsidRPr="008A4923">
              <w:t>Australian Government</w:t>
            </w:r>
            <w:r>
              <w:t>’s</w:t>
            </w:r>
            <w:r w:rsidRPr="008A4923">
              <w:t xml:space="preserve"> </w:t>
            </w:r>
            <w:r>
              <w:t xml:space="preserve">role </w:t>
            </w:r>
            <w:r w:rsidRPr="008A4923">
              <w:t>should</w:t>
            </w:r>
            <w:r w:rsidRPr="00CC6CA3">
              <w:t xml:space="preserve"> includ</w:t>
            </w:r>
            <w:r>
              <w:t>e</w:t>
            </w:r>
            <w:r w:rsidRPr="00CC6CA3">
              <w:t xml:space="preserve"> </w:t>
            </w:r>
            <w:r>
              <w:t xml:space="preserve">assisting </w:t>
            </w:r>
            <w:r w:rsidRPr="008A4923">
              <w:t>state and territory governments</w:t>
            </w:r>
            <w:r w:rsidRPr="00CC6CA3">
              <w:t xml:space="preserve"> </w:t>
            </w:r>
            <w:r>
              <w:t xml:space="preserve">to </w:t>
            </w:r>
            <w:r w:rsidRPr="00CC6CA3">
              <w:t>resolv</w:t>
            </w:r>
            <w:r>
              <w:t>e</w:t>
            </w:r>
            <w:r w:rsidRPr="00CC6CA3">
              <w:t xml:space="preserve"> regulatory and legislative roadblocks (</w:t>
            </w:r>
            <w:r>
              <w:t>both Commonwealth and</w:t>
            </w:r>
            <w:r w:rsidRPr="00CC6CA3">
              <w:t xml:space="preserve"> state</w:t>
            </w:r>
            <w:r>
              <w:t xml:space="preserve"> and </w:t>
            </w:r>
            <w:r w:rsidRPr="00CC6CA3">
              <w:t xml:space="preserve">territory), providing policy or technical guidance, </w:t>
            </w:r>
            <w:r>
              <w:t>and</w:t>
            </w:r>
            <w:r w:rsidRPr="00CC6CA3">
              <w:t xml:space="preserve"> facilitating interjurisdictional </w:t>
            </w:r>
            <w:r>
              <w:t>discussions and ensuring progress and agreement.</w:t>
            </w:r>
          </w:p>
          <w:p w14:paraId="7F20EBE2" w14:textId="77777777" w:rsidR="00503802" w:rsidRPr="00CC6CA3" w:rsidRDefault="00503802" w:rsidP="00CC6CA3">
            <w:pPr>
              <w:pStyle w:val="BodyText"/>
            </w:pPr>
            <w:r w:rsidRPr="00CC6CA3">
              <w:t>Under the framework</w:t>
            </w:r>
            <w:r>
              <w:t>,</w:t>
            </w:r>
            <w:r w:rsidRPr="00CC6CA3">
              <w:t xml:space="preserve"> state</w:t>
            </w:r>
            <w:r>
              <w:t>s</w:t>
            </w:r>
            <w:r w:rsidRPr="00CC6CA3">
              <w:t xml:space="preserve"> and territories should agree on </w:t>
            </w:r>
            <w:r>
              <w:t xml:space="preserve">the key </w:t>
            </w:r>
            <w:r w:rsidRPr="00CC6CA3">
              <w:t xml:space="preserve">design features </w:t>
            </w:r>
            <w:r>
              <w:t xml:space="preserve">that their respective product stewardship scheme </w:t>
            </w:r>
            <w:r w:rsidRPr="00CC6CA3">
              <w:t>for small electronics</w:t>
            </w:r>
            <w:r>
              <w:t xml:space="preserve"> will include and align on</w:t>
            </w:r>
            <w:r w:rsidRPr="00CC6CA3">
              <w:t xml:space="preserve">, </w:t>
            </w:r>
            <w:r>
              <w:t>such as</w:t>
            </w:r>
            <w:r w:rsidRPr="00CC6CA3">
              <w:t>:</w:t>
            </w:r>
          </w:p>
          <w:p w14:paraId="2D064C37" w14:textId="77777777" w:rsidR="00503802" w:rsidRPr="00CC6CA3" w:rsidRDefault="00503802" w:rsidP="009B33D1">
            <w:pPr>
              <w:pStyle w:val="ListBullet"/>
            </w:pPr>
            <w:r w:rsidRPr="00CC6CA3">
              <w:t xml:space="preserve">consistent definitions of product scope </w:t>
            </w:r>
          </w:p>
          <w:p w14:paraId="65A6B16B" w14:textId="77777777" w:rsidR="00503802" w:rsidRPr="00CC6CA3" w:rsidRDefault="00503802" w:rsidP="009B33D1">
            <w:pPr>
              <w:pStyle w:val="ListBullet"/>
            </w:pPr>
            <w:r w:rsidRPr="00CC6CA3">
              <w:t>clear performance targets for collection and recovery</w:t>
            </w:r>
          </w:p>
          <w:p w14:paraId="46F15519" w14:textId="77777777" w:rsidR="00503802" w:rsidRPr="00CC6CA3" w:rsidRDefault="00503802" w:rsidP="009B33D1">
            <w:pPr>
              <w:pStyle w:val="ListBullet"/>
            </w:pPr>
            <w:r w:rsidRPr="00CC6CA3">
              <w:t>nationally aligned compliance standards</w:t>
            </w:r>
          </w:p>
          <w:p w14:paraId="335A8A42" w14:textId="77777777" w:rsidR="00503802" w:rsidRPr="00CC6CA3" w:rsidRDefault="00503802" w:rsidP="009B33D1">
            <w:pPr>
              <w:pStyle w:val="ListBullet"/>
            </w:pPr>
            <w:r w:rsidRPr="00CC6CA3">
              <w:t>nationally transferable scheme registration requirements</w:t>
            </w:r>
          </w:p>
          <w:p w14:paraId="3376C837" w14:textId="77777777" w:rsidR="00503802" w:rsidRPr="00CC6CA3" w:rsidRDefault="00503802" w:rsidP="009B33D1">
            <w:pPr>
              <w:pStyle w:val="ListBullet"/>
            </w:pPr>
            <w:r w:rsidRPr="00CC6CA3">
              <w:t>shared data and reporting requirements.</w:t>
            </w:r>
          </w:p>
          <w:p w14:paraId="6EEBAF55" w14:textId="77777777" w:rsidR="00503802" w:rsidRPr="00CC6CA3" w:rsidRDefault="00503802" w:rsidP="00C93AF0">
            <w:pPr>
              <w:keepLines/>
            </w:pPr>
            <w:r w:rsidRPr="00CC6CA3">
              <w:t xml:space="preserve">Governments should develop the framework within </w:t>
            </w:r>
            <w:r>
              <w:t>six</w:t>
            </w:r>
            <w:r w:rsidRPr="00CC6CA3">
              <w:t xml:space="preserve"> months.  </w:t>
            </w:r>
          </w:p>
          <w:p w14:paraId="62B24969" w14:textId="2C2AF0C9" w:rsidR="00503802" w:rsidRPr="00E867BF" w:rsidRDefault="00503802" w:rsidP="00CC6CA3">
            <w:r w:rsidRPr="00CC6CA3">
              <w:t xml:space="preserve">The </w:t>
            </w:r>
            <w:r>
              <w:t xml:space="preserve">Circular Economy Regulatory Reform </w:t>
            </w:r>
            <w:r w:rsidRPr="00CC6CA3">
              <w:t xml:space="preserve">Taskforce </w:t>
            </w:r>
            <w:r w:rsidR="00BF006B">
              <w:t>(</w:t>
            </w:r>
            <w:r>
              <w:t>recommendation</w:t>
            </w:r>
            <w:r w:rsidRPr="00CC6CA3">
              <w:t xml:space="preserve"> 7.1</w:t>
            </w:r>
            <w:r w:rsidR="00BF006B">
              <w:t>)</w:t>
            </w:r>
            <w:r w:rsidRPr="00CC6CA3">
              <w:t xml:space="preserve"> could provide the forum for interjurisdictional cooperation and collaboration.</w:t>
            </w:r>
          </w:p>
        </w:tc>
      </w:tr>
      <w:tr w:rsidR="001B3B17" w14:paraId="0DF55C22" w14:textId="77777777" w:rsidTr="001B3B17">
        <w:tc>
          <w:tcPr>
            <w:tcW w:w="9638" w:type="dxa"/>
            <w:gridSpan w:val="2"/>
            <w:shd w:val="clear" w:color="auto" w:fill="auto"/>
            <w:tcMar>
              <w:top w:w="0" w:type="dxa"/>
              <w:bottom w:w="0" w:type="dxa"/>
            </w:tcMar>
          </w:tcPr>
          <w:p w14:paraId="1306FBC4" w14:textId="77777777" w:rsidR="001B3B17" w:rsidRPr="007E0EA8" w:rsidRDefault="001B3B17" w:rsidP="00AA6760">
            <w:pPr>
              <w:pStyle w:val="NoSpacing"/>
              <w:spacing w:line="200" w:lineRule="exact"/>
            </w:pPr>
          </w:p>
        </w:tc>
      </w:tr>
    </w:tbl>
    <w:p w14:paraId="7C89DF06" w14:textId="77777777" w:rsidR="001B3B17" w:rsidRDefault="001B3B17" w:rsidP="007831EE">
      <w:pPr>
        <w:pStyle w:val="NoSpacing"/>
      </w:pPr>
    </w:p>
    <w:tbl>
      <w:tblPr>
        <w:tblStyle w:val="Texttable-Paleblue"/>
        <w:tblW w:w="5000" w:type="pct"/>
        <w:tblLook w:val="04A0" w:firstRow="1" w:lastRow="0" w:firstColumn="1" w:lastColumn="0" w:noHBand="0" w:noVBand="1"/>
      </w:tblPr>
      <w:tblGrid>
        <w:gridCol w:w="713"/>
        <w:gridCol w:w="8925"/>
      </w:tblGrid>
      <w:tr w:rsidR="00503802" w:rsidRPr="0015164D" w14:paraId="04ADD54A" w14:textId="77777777" w:rsidTr="0825F6FF">
        <w:trPr>
          <w:tblHeader/>
        </w:trPr>
        <w:tc>
          <w:tcPr>
            <w:tcW w:w="713" w:type="dxa"/>
            <w:shd w:val="clear" w:color="auto" w:fill="E7F6FD"/>
            <w:tcMar>
              <w:top w:w="0" w:type="dxa"/>
              <w:bottom w:w="0" w:type="dxa"/>
            </w:tcMar>
            <w:vAlign w:val="center"/>
          </w:tcPr>
          <w:p w14:paraId="30C6C44B" w14:textId="77777777" w:rsidR="00503802" w:rsidRPr="0015164D" w:rsidRDefault="00503802">
            <w:pPr>
              <w:keepLines/>
              <w:jc w:val="center"/>
            </w:pPr>
            <w:r w:rsidRPr="0015164D">
              <w:rPr>
                <w:noProof/>
              </w:rPr>
              <w:drawing>
                <wp:inline distT="0" distB="0" distL="0" distR="0" wp14:anchorId="4DAD030F" wp14:editId="015B317E">
                  <wp:extent cx="288000" cy="288000"/>
                  <wp:effectExtent l="0" t="0" r="0" b="0"/>
                  <wp:docPr id="215956333" name="Graphic 215956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6542C4" w14:textId="5EF6B334" w:rsidR="00503802" w:rsidRPr="00F433BE" w:rsidRDefault="00503802" w:rsidP="001832B1">
            <w:pPr>
              <w:pStyle w:val="TableHeading"/>
              <w:spacing w:before="120" w:after="120"/>
              <w:contextualSpacing/>
              <w:rPr>
                <w:sz w:val="20"/>
              </w:rPr>
            </w:pPr>
            <w:r w:rsidRPr="00F433BE">
              <w:rPr>
                <w:sz w:val="20"/>
              </w:rPr>
              <w:t>Recommendation 5.2</w:t>
            </w:r>
          </w:p>
          <w:p w14:paraId="4BBF4B05" w14:textId="77777777" w:rsidR="00503802" w:rsidRPr="007831EE" w:rsidRDefault="00503802" w:rsidP="00F433BE">
            <w:pPr>
              <w:pStyle w:val="TableHeading"/>
              <w:rPr>
                <w:spacing w:val="2"/>
              </w:rPr>
            </w:pPr>
            <w:r w:rsidRPr="007831EE">
              <w:rPr>
                <w:spacing w:val="2"/>
                <w:sz w:val="20"/>
              </w:rPr>
              <w:t>Establish a national product stewardship scheme for small-scale solar photovoltaic (PV) systems and investigate a national product stewardship scheme for electric vehicle (EV) batteries</w:t>
            </w:r>
          </w:p>
        </w:tc>
      </w:tr>
      <w:tr w:rsidR="00391962" w:rsidRPr="00391962" w14:paraId="6327EC3F" w14:textId="77777777" w:rsidTr="0825F6FF">
        <w:tc>
          <w:tcPr>
            <w:tcW w:w="9638" w:type="dxa"/>
            <w:gridSpan w:val="2"/>
            <w:shd w:val="clear" w:color="auto" w:fill="E7F6FD"/>
            <w:tcMar>
              <w:top w:w="0" w:type="dxa"/>
            </w:tcMar>
          </w:tcPr>
          <w:p w14:paraId="1BDC1C86" w14:textId="77777777" w:rsidR="00503802" w:rsidRPr="00391962" w:rsidRDefault="00503802" w:rsidP="00391962">
            <w:pPr>
              <w:pStyle w:val="BodyText"/>
            </w:pPr>
            <w:r w:rsidRPr="00391962">
              <w:t>The Australian Government should urgently establish a national product stewardship scheme for small</w:t>
            </w:r>
            <w:r w:rsidRPr="00391962">
              <w:noBreakHyphen/>
              <w:t xml:space="preserve">scale solar PV systems under Commonwealth legislation. </w:t>
            </w:r>
          </w:p>
          <w:p w14:paraId="663F13B3" w14:textId="77777777" w:rsidR="00503802" w:rsidRPr="00391962" w:rsidRDefault="00503802" w:rsidP="00391962">
            <w:pPr>
              <w:pStyle w:val="BodyText"/>
            </w:pPr>
            <w:r w:rsidRPr="00391962">
              <w:t>For EV batteries, the Australian Government should analyse the costs and benefits of national product stewardship, including different implementation models.</w:t>
            </w:r>
          </w:p>
          <w:p w14:paraId="1CE39DC2" w14:textId="77777777" w:rsidR="00503802" w:rsidRPr="00391962" w:rsidRDefault="00503802" w:rsidP="00391962">
            <w:pPr>
              <w:pStyle w:val="BodyText"/>
            </w:pPr>
            <w:r w:rsidRPr="00391962">
              <w:t xml:space="preserve">National leadership is needed to address the growing waste management risks associated with these products and avoid the problems associated with misaligned state action that have arisen or could arise for </w:t>
            </w:r>
            <w:r w:rsidRPr="00391962" w:rsidDel="00655279">
              <w:t>other schemes</w:t>
            </w:r>
            <w:r w:rsidRPr="00391962">
              <w:t xml:space="preserve">. </w:t>
            </w:r>
          </w:p>
        </w:tc>
      </w:tr>
    </w:tbl>
    <w:p w14:paraId="2D77E9B4" w14:textId="77777777" w:rsidR="00503802" w:rsidRPr="00391962" w:rsidRDefault="00503802" w:rsidP="00391962">
      <w:pPr>
        <w:pStyle w:val="BodyText"/>
      </w:pPr>
      <w:r w:rsidRPr="00391962">
        <w:br w:type="page"/>
      </w:r>
    </w:p>
    <w:p w14:paraId="6C4D65A5" w14:textId="77777777" w:rsidR="00503802" w:rsidRDefault="00503802" w:rsidP="00EA6B15">
      <w:pPr>
        <w:pStyle w:val="Heading2-nonumber"/>
        <w:spacing w:after="240"/>
      </w:pPr>
      <w:bookmarkStart w:id="32" w:name="_Toc206056807"/>
      <w:bookmarkStart w:id="33" w:name="_Toc206614982"/>
      <w:bookmarkStart w:id="34" w:name="_Toc206617412"/>
      <w:r>
        <w:lastRenderedPageBreak/>
        <w:t>Textiles and clothing</w:t>
      </w:r>
      <w:bookmarkEnd w:id="32"/>
      <w:bookmarkEnd w:id="33"/>
      <w:bookmarkEnd w:id="34"/>
    </w:p>
    <w:tbl>
      <w:tblPr>
        <w:tblStyle w:val="Texttable-Paleblue"/>
        <w:tblW w:w="5000" w:type="pct"/>
        <w:tblLook w:val="04A0" w:firstRow="1" w:lastRow="0" w:firstColumn="1" w:lastColumn="0" w:noHBand="0" w:noVBand="1"/>
      </w:tblPr>
      <w:tblGrid>
        <w:gridCol w:w="713"/>
        <w:gridCol w:w="8925"/>
      </w:tblGrid>
      <w:tr w:rsidR="00503802" w:rsidRPr="000A4798" w14:paraId="54924402" w14:textId="77777777" w:rsidTr="0888B220">
        <w:trPr>
          <w:tblHeader/>
        </w:trPr>
        <w:tc>
          <w:tcPr>
            <w:tcW w:w="713" w:type="dxa"/>
            <w:shd w:val="clear" w:color="auto" w:fill="E7F6FD"/>
            <w:tcMar>
              <w:top w:w="0" w:type="dxa"/>
              <w:bottom w:w="0" w:type="dxa"/>
            </w:tcMar>
            <w:vAlign w:val="center"/>
          </w:tcPr>
          <w:p w14:paraId="7041612D" w14:textId="77777777" w:rsidR="00503802" w:rsidRPr="000A4798" w:rsidRDefault="00503802" w:rsidP="000A4798">
            <w:pPr>
              <w:keepLines/>
              <w:jc w:val="center"/>
            </w:pPr>
            <w:r w:rsidRPr="000A4798">
              <w:rPr>
                <w:noProof/>
              </w:rPr>
              <w:drawing>
                <wp:inline distT="0" distB="0" distL="0" distR="0" wp14:anchorId="2286567D" wp14:editId="16B0B73B">
                  <wp:extent cx="288000" cy="288000"/>
                  <wp:effectExtent l="0" t="0" r="0" b="0"/>
                  <wp:docPr id="1215451182" name="Graphic 1215451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739ED77" w14:textId="77777777" w:rsidR="00503802" w:rsidRPr="00F433BE" w:rsidRDefault="00503802" w:rsidP="001832B1">
            <w:pPr>
              <w:pStyle w:val="TableHeading"/>
              <w:spacing w:before="120" w:after="120"/>
              <w:contextualSpacing/>
              <w:rPr>
                <w:sz w:val="20"/>
              </w:rPr>
            </w:pPr>
            <w:r w:rsidRPr="00F433BE">
              <w:rPr>
                <w:sz w:val="20"/>
              </w:rPr>
              <w:t>Recommendation 6.1</w:t>
            </w:r>
          </w:p>
          <w:p w14:paraId="2457BA49" w14:textId="77777777" w:rsidR="00503802" w:rsidRPr="000A4798" w:rsidRDefault="00503802" w:rsidP="006A2DC2">
            <w:pPr>
              <w:pStyle w:val="TableHeading"/>
              <w:rPr>
                <w:bCs/>
              </w:rPr>
            </w:pPr>
            <w:r w:rsidRPr="00F433BE">
              <w:rPr>
                <w:sz w:val="20"/>
              </w:rPr>
              <w:t>Enhance monitoring and public transparency measures to create greater accountability for textiles businesses to reduce waste and improve materials productivity</w:t>
            </w:r>
            <w:r w:rsidRPr="0888B220">
              <w:rPr>
                <w:bCs/>
              </w:rPr>
              <w:t xml:space="preserve"> </w:t>
            </w:r>
          </w:p>
        </w:tc>
      </w:tr>
      <w:tr w:rsidR="00503802" w:rsidRPr="000A4798" w14:paraId="65C40A40" w14:textId="77777777" w:rsidTr="0888B220">
        <w:tc>
          <w:tcPr>
            <w:tcW w:w="9638" w:type="dxa"/>
            <w:gridSpan w:val="2"/>
            <w:shd w:val="clear" w:color="auto" w:fill="E7F6FD"/>
            <w:tcMar>
              <w:top w:w="0" w:type="dxa"/>
            </w:tcMar>
          </w:tcPr>
          <w:p w14:paraId="0A47D121" w14:textId="77777777" w:rsidR="00503802" w:rsidRPr="000A4798" w:rsidRDefault="00503802" w:rsidP="000A4798">
            <w:r w:rsidRPr="000B4953">
              <w:t xml:space="preserve">To </w:t>
            </w:r>
            <w:r>
              <w:t>create</w:t>
            </w:r>
            <w:r w:rsidRPr="000B4953">
              <w:t xml:space="preserve"> greater accountability for textiles </w:t>
            </w:r>
            <w:r>
              <w:t>businesses</w:t>
            </w:r>
            <w:r w:rsidRPr="000B4953">
              <w:t xml:space="preserve"> to reduce waste and improve materials productivity,</w:t>
            </w:r>
            <w:r w:rsidRPr="000B4953" w:rsidDel="00D82960">
              <w:t xml:space="preserve"> </w:t>
            </w:r>
            <w:r w:rsidRPr="000B4953">
              <w:t>t</w:t>
            </w:r>
            <w:r w:rsidRPr="000A4798">
              <w:t xml:space="preserve">he Australian Government should introduce </w:t>
            </w:r>
            <w:r w:rsidRPr="00847CB6">
              <w:t>enhanced monitoring</w:t>
            </w:r>
            <w:r>
              <w:t>,</w:t>
            </w:r>
            <w:r w:rsidRPr="00847CB6">
              <w:t xml:space="preserve"> </w:t>
            </w:r>
            <w:r>
              <w:t xml:space="preserve">public </w:t>
            </w:r>
            <w:r w:rsidRPr="00847CB6">
              <w:t xml:space="preserve">reporting </w:t>
            </w:r>
            <w:r>
              <w:t xml:space="preserve">and transparency </w:t>
            </w:r>
            <w:r w:rsidRPr="00847CB6">
              <w:t>measures</w:t>
            </w:r>
            <w:r w:rsidRPr="000A4798">
              <w:t xml:space="preserve">. </w:t>
            </w:r>
          </w:p>
          <w:p w14:paraId="002E8EA6" w14:textId="77777777" w:rsidR="00503802" w:rsidRPr="000A4798" w:rsidRDefault="00503802" w:rsidP="000A4798">
            <w:r>
              <w:t xml:space="preserve">This should include setting a clear, time-bound process for governments to </w:t>
            </w:r>
            <w:r w:rsidDel="000A4798">
              <w:t>consider</w:t>
            </w:r>
            <w:r>
              <w:t xml:space="preserve"> introducing regulated product stewardship schemes for textiles and clothing if the sector does not meet expectations regarding reduced waste and improved materials productivity. </w:t>
            </w:r>
          </w:p>
          <w:p w14:paraId="15231780" w14:textId="77777777" w:rsidR="00503802" w:rsidRPr="000A4798" w:rsidRDefault="00503802" w:rsidP="009B33D1">
            <w:pPr>
              <w:pStyle w:val="ListBullet"/>
            </w:pPr>
            <w:r w:rsidRPr="000A4798">
              <w:t xml:space="preserve">Within the next six months, the </w:t>
            </w:r>
            <w:r>
              <w:t xml:space="preserve">Australian </w:t>
            </w:r>
            <w:r w:rsidRPr="000A4798">
              <w:t xml:space="preserve">Government should establish criteria and timelines for assessing industry progress and publish conditions for considering regulatory intervention. </w:t>
            </w:r>
          </w:p>
          <w:p w14:paraId="7E494EE2" w14:textId="77777777" w:rsidR="00503802" w:rsidRPr="000A4798" w:rsidRDefault="00503802" w:rsidP="009B33D1">
            <w:pPr>
              <w:pStyle w:val="ListBullet"/>
            </w:pPr>
            <w:r>
              <w:t>The g</w:t>
            </w:r>
            <w:r w:rsidRPr="00446763">
              <w:t xml:space="preserve">overnment should work with industry to enhance publicly available information for tracking progress towards performance targets, which may include </w:t>
            </w:r>
            <w:r>
              <w:t xml:space="preserve">the </w:t>
            </w:r>
            <w:r w:rsidRPr="00446763">
              <w:t xml:space="preserve">percentage of businesses participating in voluntary stewardship arrangements or making equivalent efforts to reduce waste and improve materials productivity through circular activities. </w:t>
            </w:r>
          </w:p>
          <w:p w14:paraId="5D6423F3" w14:textId="77777777" w:rsidR="00503802" w:rsidRPr="000A1839" w:rsidRDefault="00503802" w:rsidP="000A1839">
            <w:pPr>
              <w:pStyle w:val="ListBullet"/>
            </w:pPr>
            <w:r w:rsidRPr="000A1839">
              <w:t>After two years, if voluntary progress against performance criteria is insufficient, the government should commission analysis of regulatory models, including cost-benefit analysis, and implement the most appropriate regulatory pathway. It should ensure the analysis is completed within the next three years.</w:t>
            </w:r>
          </w:p>
        </w:tc>
      </w:tr>
      <w:tr w:rsidR="00503802" w:rsidRPr="0015164D" w14:paraId="6B21DC25" w14:textId="77777777" w:rsidTr="0888B220">
        <w:tc>
          <w:tcPr>
            <w:tcW w:w="9638" w:type="dxa"/>
            <w:gridSpan w:val="2"/>
            <w:shd w:val="clear" w:color="auto" w:fill="auto"/>
            <w:tcMar>
              <w:top w:w="0" w:type="dxa"/>
              <w:bottom w:w="0" w:type="dxa"/>
            </w:tcMar>
          </w:tcPr>
          <w:p w14:paraId="620B6B57" w14:textId="77777777" w:rsidR="00503802" w:rsidRPr="0015164D" w:rsidRDefault="00503802" w:rsidP="00391962">
            <w:pPr>
              <w:pStyle w:val="NoSpacing"/>
            </w:pPr>
          </w:p>
        </w:tc>
      </w:tr>
    </w:tbl>
    <w:p w14:paraId="0D0754BB" w14:textId="77777777" w:rsidR="00503802" w:rsidRDefault="00503802" w:rsidP="00EA6B15">
      <w:pPr>
        <w:pStyle w:val="Heading2-nonumber"/>
        <w:spacing w:after="240"/>
      </w:pPr>
      <w:bookmarkStart w:id="35" w:name="_Toc206056808"/>
      <w:bookmarkStart w:id="36" w:name="_Toc206614983"/>
      <w:bookmarkStart w:id="37" w:name="_Toc206617413"/>
      <w:r>
        <w:t>Cross-sectoral arrangements</w:t>
      </w:r>
      <w:bookmarkEnd w:id="35"/>
      <w:bookmarkEnd w:id="36"/>
      <w:bookmarkEnd w:id="37"/>
      <w:r>
        <w:t xml:space="preserve"> </w:t>
      </w:r>
    </w:p>
    <w:tbl>
      <w:tblPr>
        <w:tblStyle w:val="Texttable-Paleblue"/>
        <w:tblW w:w="5000" w:type="pct"/>
        <w:tblLook w:val="04A0" w:firstRow="1" w:lastRow="0" w:firstColumn="1" w:lastColumn="0" w:noHBand="0" w:noVBand="1"/>
      </w:tblPr>
      <w:tblGrid>
        <w:gridCol w:w="713"/>
        <w:gridCol w:w="8925"/>
      </w:tblGrid>
      <w:tr w:rsidR="00503802" w14:paraId="7634A5A7" w14:textId="77777777" w:rsidTr="0086477F">
        <w:trPr>
          <w:tblHeader/>
        </w:trPr>
        <w:tc>
          <w:tcPr>
            <w:tcW w:w="713" w:type="dxa"/>
            <w:shd w:val="clear" w:color="auto" w:fill="E7F6FD"/>
            <w:tcMar>
              <w:top w:w="0" w:type="dxa"/>
              <w:bottom w:w="0" w:type="dxa"/>
            </w:tcMar>
            <w:vAlign w:val="center"/>
          </w:tcPr>
          <w:p w14:paraId="6D4A42F4" w14:textId="77777777" w:rsidR="00503802" w:rsidRDefault="00503802">
            <w:pPr>
              <w:keepLines/>
              <w:jc w:val="center"/>
            </w:pPr>
            <w:r w:rsidRPr="00A51374">
              <w:rPr>
                <w:noProof/>
              </w:rPr>
              <w:drawing>
                <wp:inline distT="0" distB="0" distL="0" distR="0" wp14:anchorId="14720BCB" wp14:editId="763B3329">
                  <wp:extent cx="288000" cy="288000"/>
                  <wp:effectExtent l="0" t="0" r="0" b="0"/>
                  <wp:docPr id="171336741" name="Graphic 171336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F76D3F" w14:textId="592A9489" w:rsidR="00503802" w:rsidRPr="00F433BE" w:rsidRDefault="00503802" w:rsidP="001832B1">
            <w:pPr>
              <w:pStyle w:val="TableHeading"/>
              <w:spacing w:before="120" w:after="120"/>
              <w:contextualSpacing/>
              <w:rPr>
                <w:sz w:val="20"/>
              </w:rPr>
            </w:pPr>
            <w:r w:rsidRPr="00F433BE">
              <w:rPr>
                <w:sz w:val="20"/>
              </w:rPr>
              <w:t>Recommendation 7.1</w:t>
            </w:r>
          </w:p>
          <w:p w14:paraId="3326E53A" w14:textId="77777777" w:rsidR="00503802" w:rsidRPr="00715040" w:rsidRDefault="00503802" w:rsidP="006A2DC2">
            <w:pPr>
              <w:pStyle w:val="TableHeading"/>
            </w:pPr>
            <w:r w:rsidRPr="00F433BE">
              <w:rPr>
                <w:sz w:val="20"/>
              </w:rPr>
              <w:t>Establish an intergovernmental taskforce to drive regulatory reforms and harmonisation related to the circular economy</w:t>
            </w:r>
          </w:p>
        </w:tc>
      </w:tr>
      <w:tr w:rsidR="00503802" w14:paraId="06139009" w14:textId="77777777" w:rsidTr="0086477F">
        <w:tc>
          <w:tcPr>
            <w:tcW w:w="9638" w:type="dxa"/>
            <w:gridSpan w:val="2"/>
            <w:shd w:val="clear" w:color="auto" w:fill="E7F6FD"/>
            <w:tcMar>
              <w:top w:w="0" w:type="dxa"/>
            </w:tcMar>
          </w:tcPr>
          <w:p w14:paraId="5CC3F1BA" w14:textId="77777777" w:rsidR="00503802" w:rsidRPr="00504BCF" w:rsidRDefault="00503802" w:rsidP="0011018F">
            <w:pPr>
              <w:pStyle w:val="BodyText"/>
              <w:spacing w:line="264" w:lineRule="auto"/>
            </w:pPr>
            <w:r>
              <w:t>The Australian Government, in partnership with state and territory governments, should establish a Circular Economy Regulatory Reform Taskforce to align and adjust new and existing regulations affecting the uptake of circular economy opportunities. The taskforce should:</w:t>
            </w:r>
          </w:p>
          <w:p w14:paraId="641D425D" w14:textId="77777777" w:rsidR="00503802" w:rsidRPr="00504BCF" w:rsidRDefault="00503802" w:rsidP="009B33D1">
            <w:pPr>
              <w:pStyle w:val="ListBullet"/>
            </w:pPr>
            <w:r>
              <w:t>task</w:t>
            </w:r>
            <w:r w:rsidRPr="00504BCF">
              <w:t xml:space="preserve"> the Australian Government </w:t>
            </w:r>
            <w:r>
              <w:t xml:space="preserve">with </w:t>
            </w:r>
            <w:r w:rsidRPr="00504BCF">
              <w:t xml:space="preserve">the </w:t>
            </w:r>
            <w:r>
              <w:t>lead</w:t>
            </w:r>
            <w:r w:rsidRPr="00504BCF">
              <w:t xml:space="preserve"> on </w:t>
            </w:r>
            <w:r>
              <w:t xml:space="preserve">assessing regulation for </w:t>
            </w:r>
            <w:r w:rsidRPr="00504BCF">
              <w:t>key issues</w:t>
            </w:r>
          </w:p>
          <w:p w14:paraId="5187C2CD" w14:textId="77777777" w:rsidR="00503802" w:rsidRPr="00504BCF" w:rsidRDefault="00503802" w:rsidP="009B33D1">
            <w:pPr>
              <w:pStyle w:val="ListBullet"/>
            </w:pPr>
            <w:r w:rsidRPr="00504BCF">
              <w:t>take a cross-portfolio approach to circular economy issues</w:t>
            </w:r>
          </w:p>
          <w:p w14:paraId="60490438" w14:textId="77777777" w:rsidR="00503802" w:rsidRPr="00504BCF" w:rsidRDefault="00503802" w:rsidP="009B33D1">
            <w:pPr>
              <w:pStyle w:val="ListBullet"/>
            </w:pPr>
            <w:r w:rsidRPr="00504BCF">
              <w:t>recommend regulatory reforms in accord</w:t>
            </w:r>
            <w:r>
              <w:t>ance</w:t>
            </w:r>
            <w:r w:rsidRPr="00504BCF">
              <w:t xml:space="preserve"> with the principle of regulatory stewardship</w:t>
            </w:r>
          </w:p>
          <w:p w14:paraId="6C33B8B3" w14:textId="77777777" w:rsidR="00503802" w:rsidRPr="00504BCF" w:rsidRDefault="00503802" w:rsidP="009B33D1">
            <w:pPr>
              <w:pStyle w:val="ListBullet"/>
            </w:pPr>
            <w:r w:rsidRPr="00504BCF">
              <w:t>meet regularly and be responsive to issues</w:t>
            </w:r>
            <w:r>
              <w:t xml:space="preserve"> both emerged and </w:t>
            </w:r>
            <w:r w:rsidRPr="00504BCF">
              <w:t>emerging</w:t>
            </w:r>
          </w:p>
          <w:p w14:paraId="17419B7F" w14:textId="77777777" w:rsidR="00503802" w:rsidRPr="00504BCF" w:rsidRDefault="00503802" w:rsidP="009B33D1">
            <w:pPr>
              <w:pStyle w:val="ListBullet"/>
            </w:pPr>
            <w:r w:rsidRPr="00504BCF">
              <w:t>be adequately resourced, authorised and accountable</w:t>
            </w:r>
          </w:p>
          <w:p w14:paraId="4AF72357" w14:textId="77777777" w:rsidR="00503802" w:rsidRPr="00767EAE" w:rsidRDefault="00503802" w:rsidP="009B33D1">
            <w:pPr>
              <w:pStyle w:val="ListBullet"/>
            </w:pPr>
            <w:r w:rsidRPr="00504BCF">
              <w:t>make regulatory reform recommendations to Ministers in a transparent and timely way</w:t>
            </w:r>
            <w:r>
              <w:t>, and report on their implementation.</w:t>
            </w:r>
          </w:p>
        </w:tc>
      </w:tr>
      <w:tr w:rsidR="00503802" w14:paraId="1EBEC3A5" w14:textId="77777777" w:rsidTr="0086477F">
        <w:tc>
          <w:tcPr>
            <w:tcW w:w="9638" w:type="dxa"/>
            <w:gridSpan w:val="2"/>
            <w:shd w:val="clear" w:color="auto" w:fill="auto"/>
            <w:tcMar>
              <w:top w:w="0" w:type="dxa"/>
              <w:bottom w:w="0" w:type="dxa"/>
            </w:tcMar>
          </w:tcPr>
          <w:p w14:paraId="29117B95" w14:textId="77777777" w:rsidR="00503802" w:rsidRPr="007E0EA8" w:rsidRDefault="00503802">
            <w:pPr>
              <w:pStyle w:val="NoSpacing"/>
              <w:spacing w:line="200" w:lineRule="exact"/>
            </w:pPr>
          </w:p>
        </w:tc>
      </w:tr>
    </w:tbl>
    <w:tbl>
      <w:tblPr>
        <w:tblW w:w="5000" w:type="pct"/>
        <w:tblCellMar>
          <w:top w:w="113" w:type="dxa"/>
          <w:left w:w="113" w:type="dxa"/>
          <w:bottom w:w="113" w:type="dxa"/>
          <w:right w:w="113" w:type="dxa"/>
        </w:tblCellMar>
        <w:tblLook w:val="04A0" w:firstRow="1" w:lastRow="0" w:firstColumn="1" w:lastColumn="0" w:noHBand="0" w:noVBand="1"/>
      </w:tblPr>
      <w:tblGrid>
        <w:gridCol w:w="713"/>
        <w:gridCol w:w="8925"/>
      </w:tblGrid>
      <w:tr w:rsidR="00503802" w:rsidRPr="00504BCF" w14:paraId="1FB22299" w14:textId="77777777" w:rsidTr="0E59C88A">
        <w:trPr>
          <w:tblHeader/>
        </w:trPr>
        <w:tc>
          <w:tcPr>
            <w:tcW w:w="713" w:type="dxa"/>
            <w:shd w:val="clear" w:color="auto" w:fill="E7F6FD"/>
            <w:tcMar>
              <w:top w:w="0" w:type="dxa"/>
              <w:bottom w:w="0" w:type="dxa"/>
            </w:tcMar>
            <w:vAlign w:val="center"/>
          </w:tcPr>
          <w:p w14:paraId="1764537B" w14:textId="77777777" w:rsidR="00503802" w:rsidRPr="00504BCF" w:rsidRDefault="00503802">
            <w:pPr>
              <w:keepLines/>
              <w:spacing w:line="264" w:lineRule="auto"/>
              <w:jc w:val="center"/>
            </w:pPr>
            <w:r w:rsidRPr="00885185">
              <w:rPr>
                <w:noProof/>
              </w:rPr>
              <w:lastRenderedPageBreak/>
              <w:drawing>
                <wp:inline distT="0" distB="0" distL="0" distR="0" wp14:anchorId="5826AE3B" wp14:editId="08E12220">
                  <wp:extent cx="288290" cy="288290"/>
                  <wp:effectExtent l="0" t="0" r="0" b="0"/>
                  <wp:docPr id="1091191937" name="Graphic 66356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191937" name="Graphic 66356388">
                            <a:extLst>
                              <a:ext uri="{C183D7F6-B498-43B3-948B-1728B52AA6E4}">
                                <adec:decorative xmlns:adec="http://schemas.microsoft.com/office/drawing/2017/decorative" val="1"/>
                              </a:ext>
                            </a:extLst>
                          </pic:cNvPr>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8925" w:type="dxa"/>
            <w:shd w:val="clear" w:color="auto" w:fill="E7F6FD"/>
            <w:tcMar>
              <w:top w:w="0" w:type="dxa"/>
              <w:bottom w:w="0" w:type="dxa"/>
            </w:tcMar>
            <w:vAlign w:val="center"/>
          </w:tcPr>
          <w:p w14:paraId="7EE3548B" w14:textId="6CDEB145" w:rsidR="00503802" w:rsidRPr="00F433BE" w:rsidRDefault="00503802" w:rsidP="001832B1">
            <w:pPr>
              <w:pStyle w:val="TableHeading"/>
              <w:spacing w:before="120" w:after="120"/>
              <w:contextualSpacing/>
              <w:rPr>
                <w:sz w:val="20"/>
              </w:rPr>
            </w:pPr>
            <w:r w:rsidRPr="00F433BE">
              <w:rPr>
                <w:sz w:val="20"/>
              </w:rPr>
              <w:t>Recommendation 7.2</w:t>
            </w:r>
          </w:p>
          <w:p w14:paraId="722F67E8" w14:textId="77777777" w:rsidR="00503802" w:rsidRPr="00504BCF" w:rsidRDefault="00503802" w:rsidP="006A2DC2">
            <w:pPr>
              <w:pStyle w:val="TableHeading"/>
            </w:pPr>
            <w:r w:rsidRPr="00F433BE">
              <w:rPr>
                <w:sz w:val="20"/>
              </w:rPr>
              <w:t>Develop place-based circular economy plans and pilot place-based circular economy transition brokers</w:t>
            </w:r>
          </w:p>
        </w:tc>
      </w:tr>
      <w:tr w:rsidR="00503802" w:rsidRPr="00504BCF" w14:paraId="27EC891B" w14:textId="77777777" w:rsidTr="0E59C88A">
        <w:trPr>
          <w:trHeight w:val="300"/>
        </w:trPr>
        <w:tc>
          <w:tcPr>
            <w:tcW w:w="9638" w:type="dxa"/>
            <w:gridSpan w:val="2"/>
            <w:shd w:val="clear" w:color="auto" w:fill="E7F6FD"/>
            <w:tcMar>
              <w:top w:w="0" w:type="dxa"/>
            </w:tcMar>
          </w:tcPr>
          <w:p w14:paraId="0FE6100A" w14:textId="77777777" w:rsidR="00503802" w:rsidRPr="00504BCF" w:rsidRDefault="00503802">
            <w:pPr>
              <w:pStyle w:val="BodyText"/>
              <w:spacing w:line="264" w:lineRule="auto"/>
            </w:pPr>
            <w:r>
              <w:t>Local governments should identify circular economy opportunities relevant to their area. To realise these opportunities, they should develop place-based plans and/or integrate actions into their other plans and budgetary processes (such as service, infrastructure or community development plans).</w:t>
            </w:r>
            <w:r w:rsidDel="64E334B4">
              <w:t xml:space="preserve"> </w:t>
            </w:r>
            <w:r>
              <w:t>Plans should be co-designed with Aboriginal and Torres Strait Islander people, local businesses and communities to develop self-determined outcomes. Plans should be evaluated and refreshed every three years.</w:t>
            </w:r>
          </w:p>
          <w:p w14:paraId="08021BEA" w14:textId="77777777" w:rsidR="00503802" w:rsidRPr="00504BCF" w:rsidRDefault="00503802">
            <w:pPr>
              <w:pStyle w:val="BodyText"/>
              <w:spacing w:line="264" w:lineRule="auto"/>
            </w:pPr>
            <w:r w:rsidRPr="00504BCF">
              <w:t>State and territory governments should provide local governments with information and guidance for developing their place-based circular economy plans.</w:t>
            </w:r>
          </w:p>
          <w:p w14:paraId="53F59009" w14:textId="77777777" w:rsidR="00503802" w:rsidRPr="00504BCF" w:rsidRDefault="00503802">
            <w:pPr>
              <w:pStyle w:val="BodyText"/>
              <w:spacing w:line="264" w:lineRule="auto"/>
            </w:pPr>
            <w:r w:rsidRPr="00504BCF">
              <w:t xml:space="preserve">State and territory governments should pilot in-place circular economy transition brokers, </w:t>
            </w:r>
            <w:r w:rsidRPr="00504BCF">
              <w:rPr>
                <w:iCs/>
              </w:rPr>
              <w:t>with evaluation and potential extension within three years.</w:t>
            </w:r>
            <w:r w:rsidRPr="00504BCF">
              <w:t xml:space="preserve"> </w:t>
            </w:r>
            <w:r w:rsidRPr="00504BCF">
              <w:rPr>
                <w:iCs/>
              </w:rPr>
              <w:t>Outcomes should be measured against set criteria and published</w:t>
            </w:r>
            <w:r w:rsidRPr="00504BCF" w:rsidDel="004C4717">
              <w:rPr>
                <w:iCs/>
              </w:rPr>
              <w:t xml:space="preserve"> </w:t>
            </w:r>
            <w:r w:rsidRPr="00504BCF">
              <w:rPr>
                <w:iCs/>
              </w:rPr>
              <w:t>to enable cost-benefit analysis regarding future program expansion.</w:t>
            </w:r>
            <w:r w:rsidRPr="00504BCF">
              <w:t xml:space="preserve"> Transition brokers would:</w:t>
            </w:r>
          </w:p>
          <w:p w14:paraId="0EA393AC" w14:textId="508619D0" w:rsidR="00503802" w:rsidRPr="00504BCF" w:rsidRDefault="00503802" w:rsidP="009B33D1">
            <w:pPr>
              <w:pStyle w:val="ListBullet"/>
            </w:pPr>
            <w:r w:rsidRPr="00504BCF">
              <w:t>work with small to medium sized businesses and community organisations to build their circular economy knowledge and capability, including how to increase the circularity of their organisation</w:t>
            </w:r>
            <w:r w:rsidR="000B20EF">
              <w:t>,</w:t>
            </w:r>
            <w:r w:rsidRPr="00504BCF">
              <w:t xml:space="preserve"> </w:t>
            </w:r>
            <w:r w:rsidR="00814EA0">
              <w:t xml:space="preserve">to </w:t>
            </w:r>
            <w:r w:rsidRPr="00504BCF">
              <w:t xml:space="preserve">facilitate networking opportunities to foster collaboration, partnerships and knowledge sharing and </w:t>
            </w:r>
            <w:r w:rsidR="008A5E0C">
              <w:t xml:space="preserve">to </w:t>
            </w:r>
            <w:r w:rsidRPr="00504BCF">
              <w:t>assist them in navigating government processes</w:t>
            </w:r>
          </w:p>
          <w:p w14:paraId="3464DE44" w14:textId="77777777" w:rsidR="00503802" w:rsidRPr="00504BCF" w:rsidRDefault="00503802" w:rsidP="009B33D1">
            <w:pPr>
              <w:pStyle w:val="ListBullet"/>
            </w:pPr>
            <w:r w:rsidRPr="00504BCF">
              <w:t xml:space="preserve">partner with Aboriginal and Torres Strait Islander people to embed </w:t>
            </w:r>
            <w:r>
              <w:t>valuable</w:t>
            </w:r>
            <w:r w:rsidRPr="00504BCF">
              <w:t xml:space="preserve"> knowledge in place</w:t>
            </w:r>
            <w:r>
              <w:noBreakHyphen/>
            </w:r>
            <w:r w:rsidRPr="00504BCF">
              <w:t xml:space="preserve">based circular economy practices and establish opportunities for </w:t>
            </w:r>
            <w:r>
              <w:t xml:space="preserve">Aboriginal and Torres Strait Islander </w:t>
            </w:r>
            <w:r w:rsidRPr="00504BCF">
              <w:t>people and businesses to lead circular economy initiatives</w:t>
            </w:r>
          </w:p>
          <w:p w14:paraId="1CAF93B2" w14:textId="77777777" w:rsidR="00503802" w:rsidRPr="00504BCF" w:rsidRDefault="00503802" w:rsidP="009B33D1">
            <w:pPr>
              <w:pStyle w:val="ListBullet"/>
            </w:pPr>
            <w:r w:rsidRPr="00504BCF">
              <w:t xml:space="preserve">support local governments to develop place-based circular economy plans </w:t>
            </w:r>
          </w:p>
          <w:p w14:paraId="16C1E7F6" w14:textId="77777777" w:rsidR="00503802" w:rsidRPr="00504BCF" w:rsidRDefault="00503802" w:rsidP="009B33D1">
            <w:pPr>
              <w:pStyle w:val="ListBullet"/>
            </w:pPr>
            <w:r w:rsidRPr="00504BCF">
              <w:t>be supported to operate as a network, providing the opportunity for knowledge sharing and capability building.</w:t>
            </w:r>
          </w:p>
        </w:tc>
      </w:tr>
      <w:tr w:rsidR="00503802" w:rsidRPr="00504BCF" w14:paraId="22C7781E" w14:textId="77777777" w:rsidTr="0E59C88A">
        <w:tc>
          <w:tcPr>
            <w:tcW w:w="9638" w:type="dxa"/>
            <w:gridSpan w:val="2"/>
            <w:tcMar>
              <w:top w:w="0" w:type="dxa"/>
              <w:bottom w:w="0" w:type="dxa"/>
            </w:tcMar>
          </w:tcPr>
          <w:p w14:paraId="3854A840" w14:textId="2D31F5FB" w:rsidR="00503802" w:rsidRPr="00504BCF" w:rsidRDefault="00503802">
            <w:pPr>
              <w:pStyle w:val="NoSpacing"/>
              <w:spacing w:line="264" w:lineRule="auto"/>
            </w:pPr>
          </w:p>
        </w:tc>
      </w:tr>
    </w:tbl>
    <w:p w14:paraId="3D6A34A1" w14:textId="77777777" w:rsidR="00F57D23" w:rsidRDefault="00F57D23" w:rsidP="007831EE">
      <w:pPr>
        <w:pStyle w:val="NoSpacing"/>
      </w:pPr>
    </w:p>
    <w:tbl>
      <w:tblPr>
        <w:tblW w:w="5000" w:type="pct"/>
        <w:tblCellMar>
          <w:top w:w="113" w:type="dxa"/>
          <w:left w:w="113" w:type="dxa"/>
          <w:bottom w:w="113" w:type="dxa"/>
          <w:right w:w="113" w:type="dxa"/>
        </w:tblCellMar>
        <w:tblLook w:val="04A0" w:firstRow="1" w:lastRow="0" w:firstColumn="1" w:lastColumn="0" w:noHBand="0" w:noVBand="1"/>
      </w:tblPr>
      <w:tblGrid>
        <w:gridCol w:w="713"/>
        <w:gridCol w:w="8925"/>
      </w:tblGrid>
      <w:tr w:rsidR="00503802" w:rsidRPr="00504BCF" w14:paraId="471B7BAE" w14:textId="77777777" w:rsidTr="0E59C88A">
        <w:trPr>
          <w:tblHeader/>
        </w:trPr>
        <w:tc>
          <w:tcPr>
            <w:tcW w:w="713" w:type="dxa"/>
            <w:shd w:val="clear" w:color="auto" w:fill="E7F6FD"/>
            <w:tcMar>
              <w:top w:w="0" w:type="dxa"/>
              <w:bottom w:w="0" w:type="dxa"/>
            </w:tcMar>
            <w:vAlign w:val="center"/>
          </w:tcPr>
          <w:p w14:paraId="5957DAB5" w14:textId="77777777" w:rsidR="00503802" w:rsidRPr="00504BCF" w:rsidRDefault="00503802">
            <w:pPr>
              <w:keepLines/>
              <w:spacing w:line="264" w:lineRule="auto"/>
              <w:jc w:val="center"/>
            </w:pPr>
            <w:r w:rsidRPr="00E331AC">
              <w:rPr>
                <w:noProof/>
              </w:rPr>
              <w:drawing>
                <wp:inline distT="0" distB="0" distL="0" distR="0" wp14:anchorId="43BF5B52" wp14:editId="66D4CA53">
                  <wp:extent cx="288290" cy="288290"/>
                  <wp:effectExtent l="0" t="0" r="0" b="0"/>
                  <wp:docPr id="1176216383"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216383" name="Graphic 30">
                            <a:extLst>
                              <a:ext uri="{C183D7F6-B498-43B3-948B-1728B52AA6E4}">
                                <adec:decorative xmlns:adec="http://schemas.microsoft.com/office/drawing/2017/decorative" val="1"/>
                              </a:ext>
                            </a:extLst>
                          </pic:cNvPr>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8925" w:type="dxa"/>
            <w:shd w:val="clear" w:color="auto" w:fill="E7F6FD"/>
            <w:tcMar>
              <w:top w:w="0" w:type="dxa"/>
              <w:bottom w:w="0" w:type="dxa"/>
            </w:tcMar>
            <w:vAlign w:val="center"/>
          </w:tcPr>
          <w:p w14:paraId="1A6E3A5B" w14:textId="53B280D9" w:rsidR="00503802" w:rsidRPr="00F433BE" w:rsidRDefault="00503802" w:rsidP="00807729">
            <w:pPr>
              <w:pStyle w:val="TableHeading"/>
              <w:spacing w:before="120" w:after="120"/>
              <w:contextualSpacing/>
              <w:rPr>
                <w:sz w:val="20"/>
              </w:rPr>
            </w:pPr>
            <w:r w:rsidRPr="00F433BE">
              <w:rPr>
                <w:sz w:val="20"/>
              </w:rPr>
              <w:t>Recommendation 7.3</w:t>
            </w:r>
          </w:p>
          <w:p w14:paraId="11C17E6B" w14:textId="77777777" w:rsidR="00503802" w:rsidRPr="00504BCF" w:rsidRDefault="00503802" w:rsidP="006A2DC2">
            <w:pPr>
              <w:pStyle w:val="TableHeading"/>
            </w:pPr>
            <w:r w:rsidRPr="00F433BE">
              <w:rPr>
                <w:sz w:val="20"/>
              </w:rPr>
              <w:t>Establish a challenge-based grant program to support the adoption and diffusion of circular innovations</w:t>
            </w:r>
            <w:r w:rsidRPr="00504BCF">
              <w:t xml:space="preserve"> </w:t>
            </w:r>
          </w:p>
        </w:tc>
      </w:tr>
      <w:tr w:rsidR="00503802" w:rsidRPr="00504BCF" w14:paraId="0178378E" w14:textId="77777777" w:rsidTr="0E59C88A">
        <w:tc>
          <w:tcPr>
            <w:tcW w:w="9638" w:type="dxa"/>
            <w:gridSpan w:val="2"/>
            <w:shd w:val="clear" w:color="auto" w:fill="E7F6FD"/>
            <w:tcMar>
              <w:top w:w="0" w:type="dxa"/>
            </w:tcMar>
          </w:tcPr>
          <w:p w14:paraId="04648D85" w14:textId="77777777" w:rsidR="00503802" w:rsidRPr="00504BCF" w:rsidRDefault="00503802">
            <w:pPr>
              <w:pStyle w:val="BodyText"/>
              <w:keepLines/>
              <w:spacing w:line="264" w:lineRule="auto"/>
            </w:pPr>
            <w:r>
              <w:t>The Australian Government should establish a challenge-based grant program to foster innovation and support adoption and diffusion of innovative solutions in the circular economy. The program should consider challenges identified by industry and the community. Key features of the program design include:</w:t>
            </w:r>
          </w:p>
          <w:p w14:paraId="2095C97C" w14:textId="77777777" w:rsidR="00503802" w:rsidRPr="00504BCF" w:rsidRDefault="00503802" w:rsidP="009B33D1">
            <w:pPr>
              <w:pStyle w:val="ListBullet"/>
            </w:pPr>
            <w:r w:rsidRPr="00504BCF">
              <w:t xml:space="preserve">challenges posed by industry and community to target solutions that provide public benefit and address circular economy issues across the supply chain </w:t>
            </w:r>
          </w:p>
          <w:p w14:paraId="2D5F6D4B" w14:textId="77777777" w:rsidR="00503802" w:rsidRPr="00504BCF" w:rsidRDefault="00503802" w:rsidP="009B33D1">
            <w:pPr>
              <w:pStyle w:val="ListBullet"/>
            </w:pPr>
            <w:r>
              <w:t xml:space="preserve">dispersing funds in </w:t>
            </w:r>
            <w:r w:rsidRPr="00676FF8">
              <w:t>at least two</w:t>
            </w:r>
            <w:r>
              <w:t xml:space="preserve"> stages, with a first expressions of interest</w:t>
            </w:r>
            <w:r w:rsidRPr="00504BCF">
              <w:t xml:space="preserve"> stage </w:t>
            </w:r>
            <w:r>
              <w:t>to test</w:t>
            </w:r>
            <w:r w:rsidRPr="00504BCF">
              <w:t xml:space="preserve"> feasibility </w:t>
            </w:r>
          </w:p>
          <w:p w14:paraId="40F0A885" w14:textId="77777777" w:rsidR="00503802" w:rsidRPr="00504BCF" w:rsidRDefault="00503802" w:rsidP="009B33D1">
            <w:pPr>
              <w:pStyle w:val="ListBullet"/>
            </w:pPr>
            <w:r w:rsidRPr="00504BCF">
              <w:t xml:space="preserve">pairing grant recipients with relevant industry partners to foster collaboration and tailor solutions </w:t>
            </w:r>
          </w:p>
          <w:p w14:paraId="6B7DBAB9" w14:textId="77777777" w:rsidR="00503802" w:rsidRPr="00504BCF" w:rsidRDefault="00503802" w:rsidP="009B33D1">
            <w:pPr>
              <w:pStyle w:val="ListBullet"/>
            </w:pPr>
            <w:r w:rsidRPr="00504BCF">
              <w:t xml:space="preserve">a selection panel with industry and government expertise to adjudicate potential challenges and applications for each stage. </w:t>
            </w:r>
          </w:p>
          <w:p w14:paraId="51714531" w14:textId="77777777" w:rsidR="00503802" w:rsidRPr="00504BCF" w:rsidRDefault="00503802">
            <w:pPr>
              <w:pStyle w:val="BodyText"/>
            </w:pPr>
            <w:r>
              <w:t xml:space="preserve">An independent evaluation of the program should occur within three years. </w:t>
            </w:r>
          </w:p>
        </w:tc>
      </w:tr>
    </w:tbl>
    <w:p w14:paraId="721ABBD2" w14:textId="77777777" w:rsidR="00503802" w:rsidRPr="0074421A" w:rsidRDefault="00503802" w:rsidP="00AD6652">
      <w:pPr>
        <w:pStyle w:val="BodyText"/>
      </w:pPr>
    </w:p>
    <w:p w14:paraId="06A45669" w14:textId="77777777" w:rsidR="00503802" w:rsidRPr="00246932" w:rsidRDefault="00503802" w:rsidP="00246932">
      <w:pPr>
        <w:pStyle w:val="BodyText"/>
      </w:pPr>
      <w:r w:rsidRPr="00246932">
        <w:br w:type="page"/>
      </w:r>
    </w:p>
    <w:p w14:paraId="63A0659A" w14:textId="4A568678" w:rsidR="00503802" w:rsidRDefault="00503802" w:rsidP="00EA6B15">
      <w:pPr>
        <w:pStyle w:val="Heading2-nonumber"/>
        <w:spacing w:after="240"/>
      </w:pPr>
      <w:bookmarkStart w:id="38" w:name="_Toc206056809"/>
      <w:bookmarkStart w:id="39" w:name="_Toc206614984"/>
      <w:bookmarkStart w:id="40" w:name="_Toc206617414"/>
      <w:r>
        <w:lastRenderedPageBreak/>
        <w:t>Strategic reform approach</w:t>
      </w:r>
      <w:bookmarkEnd w:id="38"/>
      <w:bookmarkEnd w:id="39"/>
      <w:bookmarkEnd w:id="40"/>
    </w:p>
    <w:tbl>
      <w:tblPr>
        <w:tblStyle w:val="Texttable-Paleblue"/>
        <w:tblW w:w="5000" w:type="pct"/>
        <w:tblLook w:val="04A0" w:firstRow="1" w:lastRow="0" w:firstColumn="1" w:lastColumn="0" w:noHBand="0" w:noVBand="1"/>
      </w:tblPr>
      <w:tblGrid>
        <w:gridCol w:w="713"/>
        <w:gridCol w:w="8647"/>
        <w:gridCol w:w="278"/>
      </w:tblGrid>
      <w:tr w:rsidR="00503802" w14:paraId="3C58A33E" w14:textId="77777777" w:rsidTr="002A1A2E">
        <w:trPr>
          <w:tblHeader/>
        </w:trPr>
        <w:tc>
          <w:tcPr>
            <w:tcW w:w="713" w:type="dxa"/>
            <w:shd w:val="clear" w:color="auto" w:fill="E7F6FD"/>
            <w:tcMar>
              <w:top w:w="0" w:type="dxa"/>
              <w:bottom w:w="0" w:type="dxa"/>
            </w:tcMar>
            <w:vAlign w:val="center"/>
          </w:tcPr>
          <w:p w14:paraId="1B66ACB9" w14:textId="77777777" w:rsidR="00503802" w:rsidRDefault="00503802">
            <w:pPr>
              <w:keepLines/>
              <w:jc w:val="center"/>
            </w:pPr>
            <w:r w:rsidRPr="00A51374">
              <w:rPr>
                <w:noProof/>
              </w:rPr>
              <w:drawing>
                <wp:inline distT="0" distB="0" distL="0" distR="0" wp14:anchorId="0D53003B" wp14:editId="443C82AB">
                  <wp:extent cx="288000" cy="288000"/>
                  <wp:effectExtent l="0" t="0" r="0" b="0"/>
                  <wp:docPr id="1206348999" name="Graphic 1206348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4CFCFEA3" w14:textId="77777777" w:rsidR="00503802" w:rsidRPr="00F433BE" w:rsidRDefault="00503802" w:rsidP="00807729">
            <w:pPr>
              <w:pStyle w:val="TableHeading"/>
              <w:spacing w:before="120" w:after="120"/>
              <w:contextualSpacing/>
              <w:rPr>
                <w:sz w:val="20"/>
              </w:rPr>
            </w:pPr>
            <w:r w:rsidRPr="00F433BE">
              <w:rPr>
                <w:sz w:val="20"/>
              </w:rPr>
              <w:t>Recommendation 8.1</w:t>
            </w:r>
            <w:r w:rsidRPr="00F433BE" w:rsidDel="00DC1E29">
              <w:rPr>
                <w:sz w:val="20"/>
              </w:rPr>
              <w:t xml:space="preserve"> </w:t>
            </w:r>
          </w:p>
          <w:p w14:paraId="20C18D5B" w14:textId="77777777" w:rsidR="00503802" w:rsidRPr="00715040" w:rsidRDefault="00503802" w:rsidP="006A2DC2">
            <w:pPr>
              <w:pStyle w:val="TableHeading"/>
            </w:pPr>
            <w:r w:rsidRPr="00F433BE">
              <w:rPr>
                <w:sz w:val="20"/>
              </w:rPr>
              <w:t>Implement the suite of recommendations from the PC’s Right to Repair inquiry</w:t>
            </w:r>
          </w:p>
        </w:tc>
      </w:tr>
      <w:tr w:rsidR="00503802" w14:paraId="27E32DB0" w14:textId="77777777" w:rsidTr="002A1A2E">
        <w:tc>
          <w:tcPr>
            <w:tcW w:w="9638" w:type="dxa"/>
            <w:gridSpan w:val="3"/>
            <w:shd w:val="clear" w:color="auto" w:fill="E7F6FD"/>
            <w:tcMar>
              <w:top w:w="0" w:type="dxa"/>
            </w:tcMar>
          </w:tcPr>
          <w:p w14:paraId="2F7B4A6E" w14:textId="77777777" w:rsidR="00503802" w:rsidRPr="00767EAE" w:rsidRDefault="00503802" w:rsidP="00AF7568">
            <w:pPr>
              <w:pStyle w:val="BodyText"/>
            </w:pPr>
            <w:r>
              <w:t xml:space="preserve">The Australian, state and territory governments should implement the full suite of recommendations from the PC’s Right to Repair inquiry. The Australian Government should publish a formal response to that inquiry that indicates a timeline and workplan for implementing these reforms.  </w:t>
            </w:r>
          </w:p>
        </w:tc>
      </w:tr>
      <w:tr w:rsidR="001B3B17" w14:paraId="196C16DD" w14:textId="77777777" w:rsidTr="001B3B17">
        <w:trPr>
          <w:gridAfter w:val="1"/>
          <w:wAfter w:w="278" w:type="dxa"/>
        </w:trPr>
        <w:tc>
          <w:tcPr>
            <w:tcW w:w="9360" w:type="dxa"/>
            <w:gridSpan w:val="2"/>
            <w:shd w:val="clear" w:color="auto" w:fill="auto"/>
            <w:tcMar>
              <w:top w:w="0" w:type="dxa"/>
              <w:bottom w:w="0" w:type="dxa"/>
            </w:tcMar>
          </w:tcPr>
          <w:p w14:paraId="45DF0FC0" w14:textId="77777777" w:rsidR="001B3B17" w:rsidRPr="007E0EA8" w:rsidRDefault="001B3B17" w:rsidP="00AA6760">
            <w:pPr>
              <w:pStyle w:val="NoSpacing"/>
              <w:spacing w:line="200" w:lineRule="exact"/>
            </w:pPr>
          </w:p>
        </w:tc>
      </w:tr>
    </w:tbl>
    <w:p w14:paraId="633EDE97" w14:textId="77777777" w:rsidR="00503802" w:rsidRPr="00A038E3" w:rsidRDefault="00503802" w:rsidP="007831EE">
      <w:pPr>
        <w:pStyle w:val="NoSpacing"/>
      </w:pPr>
    </w:p>
    <w:tbl>
      <w:tblPr>
        <w:tblStyle w:val="Texttable-Paleblue"/>
        <w:tblW w:w="5000" w:type="pct"/>
        <w:tblLook w:val="04A0" w:firstRow="1" w:lastRow="0" w:firstColumn="1" w:lastColumn="0" w:noHBand="0" w:noVBand="1"/>
      </w:tblPr>
      <w:tblGrid>
        <w:gridCol w:w="712"/>
        <w:gridCol w:w="8926"/>
      </w:tblGrid>
      <w:tr w:rsidR="00503802" w14:paraId="1FE9B66A" w14:textId="77777777" w:rsidTr="00A100DE">
        <w:trPr>
          <w:tblHeader/>
        </w:trPr>
        <w:tc>
          <w:tcPr>
            <w:tcW w:w="712" w:type="dxa"/>
            <w:shd w:val="clear" w:color="auto" w:fill="E7F6FD"/>
            <w:tcMar>
              <w:top w:w="0" w:type="dxa"/>
              <w:bottom w:w="0" w:type="dxa"/>
            </w:tcMar>
            <w:vAlign w:val="center"/>
          </w:tcPr>
          <w:p w14:paraId="7DEE2F3A" w14:textId="77777777" w:rsidR="00503802" w:rsidRDefault="00503802">
            <w:pPr>
              <w:keepLines/>
              <w:jc w:val="center"/>
            </w:pPr>
            <w:r w:rsidRPr="00A51374">
              <w:rPr>
                <w:noProof/>
              </w:rPr>
              <w:drawing>
                <wp:inline distT="0" distB="0" distL="0" distR="0" wp14:anchorId="606DAC8A" wp14:editId="6A8122D7">
                  <wp:extent cx="288000" cy="288000"/>
                  <wp:effectExtent l="0" t="0" r="0" b="0"/>
                  <wp:docPr id="877317353" name="Graphic 877317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6" w:type="dxa"/>
            <w:shd w:val="clear" w:color="auto" w:fill="E7F6FD"/>
            <w:tcMar>
              <w:top w:w="0" w:type="dxa"/>
              <w:bottom w:w="0" w:type="dxa"/>
            </w:tcMar>
            <w:vAlign w:val="center"/>
          </w:tcPr>
          <w:p w14:paraId="3596C53F" w14:textId="77777777" w:rsidR="00503802" w:rsidRPr="00F433BE" w:rsidRDefault="00503802" w:rsidP="00807729">
            <w:pPr>
              <w:pStyle w:val="TableHeading"/>
              <w:spacing w:before="120" w:after="120"/>
              <w:contextualSpacing/>
              <w:rPr>
                <w:sz w:val="20"/>
              </w:rPr>
            </w:pPr>
            <w:r w:rsidRPr="00F433BE">
              <w:rPr>
                <w:sz w:val="20"/>
              </w:rPr>
              <w:t>Recommendation 8.2</w:t>
            </w:r>
            <w:r w:rsidRPr="00F433BE" w:rsidDel="00DC1E29">
              <w:rPr>
                <w:sz w:val="20"/>
              </w:rPr>
              <w:t xml:space="preserve"> </w:t>
            </w:r>
          </w:p>
          <w:p w14:paraId="7419E16B" w14:textId="77777777" w:rsidR="00503802" w:rsidRPr="00715040" w:rsidRDefault="00503802" w:rsidP="006A2DC2">
            <w:pPr>
              <w:pStyle w:val="TableHeading"/>
            </w:pPr>
            <w:r w:rsidRPr="00F433BE">
              <w:rPr>
                <w:sz w:val="20"/>
              </w:rPr>
              <w:t>Develop an outcomes framework to help guide implementation, monitoring and evaluation of government actions to promote a circular economy</w:t>
            </w:r>
          </w:p>
        </w:tc>
      </w:tr>
      <w:tr w:rsidR="00503802" w14:paraId="1B536563" w14:textId="77777777" w:rsidTr="00A100DE">
        <w:tc>
          <w:tcPr>
            <w:tcW w:w="9638" w:type="dxa"/>
            <w:gridSpan w:val="2"/>
            <w:shd w:val="clear" w:color="auto" w:fill="E7F6FD"/>
            <w:tcMar>
              <w:top w:w="0" w:type="dxa"/>
            </w:tcMar>
          </w:tcPr>
          <w:p w14:paraId="6407D3C0" w14:textId="77777777" w:rsidR="00503802" w:rsidRPr="00767EAE" w:rsidRDefault="00503802" w:rsidP="00DC1E29">
            <w:pPr>
              <w:pStyle w:val="BodyText"/>
            </w:pPr>
            <w:r w:rsidRPr="00D203F9">
              <w:t xml:space="preserve">The Australian Government should develop an outcomes framework that </w:t>
            </w:r>
            <w:r w:rsidRPr="00E23D70">
              <w:t>connects</w:t>
            </w:r>
            <w:r w:rsidRPr="00D203F9">
              <w:t xml:space="preserve"> each circular economy policy action </w:t>
            </w:r>
            <w:r w:rsidRPr="00E23D70">
              <w:t>to its related</w:t>
            </w:r>
            <w:r w:rsidRPr="00D203F9">
              <w:t xml:space="preserve"> economic, social and environmental </w:t>
            </w:r>
            <w:r w:rsidRPr="00E23D70">
              <w:t>goals</w:t>
            </w:r>
            <w:r w:rsidRPr="00D203F9">
              <w:t>. This will assist government</w:t>
            </w:r>
            <w:r>
              <w:t>s</w:t>
            </w:r>
            <w:r w:rsidRPr="00D203F9">
              <w:t xml:space="preserve"> to implement, monitor and evaluate these policy actions</w:t>
            </w:r>
            <w:r>
              <w:t xml:space="preserve">. </w:t>
            </w:r>
          </w:p>
        </w:tc>
      </w:tr>
      <w:tr w:rsidR="00503802" w14:paraId="7BED57E2" w14:textId="77777777" w:rsidTr="00A100DE">
        <w:tc>
          <w:tcPr>
            <w:tcW w:w="9638" w:type="dxa"/>
            <w:gridSpan w:val="2"/>
            <w:shd w:val="clear" w:color="auto" w:fill="auto"/>
            <w:tcMar>
              <w:top w:w="0" w:type="dxa"/>
              <w:bottom w:w="0" w:type="dxa"/>
            </w:tcMar>
          </w:tcPr>
          <w:p w14:paraId="6E09757E" w14:textId="77777777" w:rsidR="00503802" w:rsidRPr="007E0EA8" w:rsidRDefault="00503802">
            <w:pPr>
              <w:pStyle w:val="NoSpacing"/>
              <w:spacing w:line="200" w:lineRule="exact"/>
            </w:pPr>
          </w:p>
        </w:tc>
      </w:tr>
    </w:tbl>
    <w:p w14:paraId="5B5175B5" w14:textId="77777777" w:rsidR="00503802" w:rsidRDefault="00503802" w:rsidP="00EA6B15">
      <w:pPr>
        <w:pStyle w:val="Heading2-nonumber"/>
        <w:spacing w:after="240"/>
      </w:pPr>
      <w:bookmarkStart w:id="41" w:name="_Toc206056810"/>
      <w:bookmarkStart w:id="42" w:name="_Toc206614985"/>
      <w:bookmarkStart w:id="43" w:name="_Toc206617415"/>
      <w:r>
        <w:t>Measuring Australia’s circular progress</w:t>
      </w:r>
      <w:bookmarkEnd w:id="41"/>
      <w:bookmarkEnd w:id="42"/>
      <w:bookmarkEnd w:id="43"/>
    </w:p>
    <w:tbl>
      <w:tblPr>
        <w:tblStyle w:val="Texttable-Paleblue"/>
        <w:tblW w:w="5000" w:type="pct"/>
        <w:tblLook w:val="04A0" w:firstRow="1" w:lastRow="0" w:firstColumn="1" w:lastColumn="0" w:noHBand="0" w:noVBand="1"/>
      </w:tblPr>
      <w:tblGrid>
        <w:gridCol w:w="713"/>
        <w:gridCol w:w="8925"/>
      </w:tblGrid>
      <w:tr w:rsidR="00503802" w:rsidRPr="00423E8E" w14:paraId="5B8AA7DE" w14:textId="77777777" w:rsidTr="006243BC">
        <w:trPr>
          <w:tblHeader/>
        </w:trPr>
        <w:tc>
          <w:tcPr>
            <w:tcW w:w="713" w:type="dxa"/>
            <w:shd w:val="clear" w:color="auto" w:fill="E7F6FD"/>
            <w:tcMar>
              <w:top w:w="0" w:type="dxa"/>
              <w:bottom w:w="0" w:type="dxa"/>
            </w:tcMar>
            <w:vAlign w:val="center"/>
          </w:tcPr>
          <w:p w14:paraId="5F1D7D4A" w14:textId="77777777" w:rsidR="00503802" w:rsidRPr="00423E8E" w:rsidRDefault="00503802">
            <w:pPr>
              <w:keepLines/>
              <w:spacing w:line="300" w:lineRule="atLeast"/>
              <w:jc w:val="center"/>
            </w:pPr>
            <w:r w:rsidRPr="00423E8E">
              <w:rPr>
                <w:noProof/>
              </w:rPr>
              <w:drawing>
                <wp:inline distT="0" distB="0" distL="0" distR="0" wp14:anchorId="772283D8" wp14:editId="0228EB56">
                  <wp:extent cx="288000" cy="288000"/>
                  <wp:effectExtent l="0" t="0" r="0" b="0"/>
                  <wp:docPr id="1929181770" name="Graphic 1929181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95C663D" w14:textId="4492834A" w:rsidR="00503802" w:rsidRPr="00F433BE" w:rsidRDefault="00503802" w:rsidP="00807729">
            <w:pPr>
              <w:pStyle w:val="TableHeading"/>
              <w:spacing w:before="120" w:after="120"/>
              <w:contextualSpacing/>
              <w:rPr>
                <w:sz w:val="20"/>
              </w:rPr>
            </w:pPr>
            <w:r w:rsidRPr="00F433BE">
              <w:rPr>
                <w:sz w:val="20"/>
              </w:rPr>
              <w:t>Recommendation 9.1</w:t>
            </w:r>
          </w:p>
          <w:p w14:paraId="38CAEA48" w14:textId="77777777" w:rsidR="00503802" w:rsidRPr="00423E8E" w:rsidRDefault="00503802" w:rsidP="006A2DC2">
            <w:pPr>
              <w:pStyle w:val="TableHeading"/>
            </w:pPr>
            <w:r w:rsidRPr="00F433BE">
              <w:rPr>
                <w:sz w:val="20"/>
              </w:rPr>
              <w:t>Develop metrics to enable effective monitoring, evaluation and reporting of government actions to promote a circular economy</w:t>
            </w:r>
            <w:r>
              <w:t xml:space="preserve"> </w:t>
            </w:r>
          </w:p>
        </w:tc>
      </w:tr>
      <w:tr w:rsidR="00503802" w:rsidRPr="00423E8E" w14:paraId="6F7A4285" w14:textId="77777777" w:rsidTr="006243BC">
        <w:tc>
          <w:tcPr>
            <w:tcW w:w="9638" w:type="dxa"/>
            <w:gridSpan w:val="2"/>
            <w:shd w:val="clear" w:color="auto" w:fill="E7F6FD"/>
            <w:tcMar>
              <w:top w:w="0" w:type="dxa"/>
            </w:tcMar>
          </w:tcPr>
          <w:p w14:paraId="7156D613" w14:textId="77777777" w:rsidR="00503802" w:rsidRDefault="00503802" w:rsidP="00E23310">
            <w:pPr>
              <w:pStyle w:val="BodyText"/>
              <w:keepLines/>
              <w:spacing w:line="300" w:lineRule="atLeast"/>
            </w:pPr>
            <w:r>
              <w:t xml:space="preserve">The Australian Government should: </w:t>
            </w:r>
          </w:p>
          <w:p w14:paraId="2B5F7C5B" w14:textId="77777777" w:rsidR="00503802" w:rsidRPr="00FF0E63" w:rsidRDefault="00503802" w:rsidP="009B33D1">
            <w:pPr>
              <w:pStyle w:val="ListBullet"/>
            </w:pPr>
            <w:r>
              <w:t>u</w:t>
            </w:r>
            <w:r w:rsidRPr="00741D2D">
              <w:t>se an outcomes framework (</w:t>
            </w:r>
            <w:r>
              <w:t>r</w:t>
            </w:r>
            <w:r w:rsidRPr="00741D2D">
              <w:t>ecommendation 8.</w:t>
            </w:r>
            <w:r>
              <w:t>2</w:t>
            </w:r>
            <w:r w:rsidRPr="00741D2D">
              <w:t xml:space="preserve">) to identify areas lacking metrics or where data gaps exist, </w:t>
            </w:r>
            <w:r>
              <w:t xml:space="preserve">such as markets or sectors where there are policies aimed at encouraging businesses to incorporate circular design principles in product design </w:t>
            </w:r>
          </w:p>
          <w:p w14:paraId="093286CE" w14:textId="77777777" w:rsidR="00503802" w:rsidRDefault="00503802" w:rsidP="009B33D1">
            <w:pPr>
              <w:pStyle w:val="ListBullet"/>
            </w:pPr>
            <w:r>
              <w:t xml:space="preserve">develop a metrics and data collection strategy that prioritises filling key gaps, based on considerations such as the significance of the opportunity (in terms of economic and environmental benefits) and the extent to which existing data systems capture relevant data </w:t>
            </w:r>
          </w:p>
          <w:p w14:paraId="726A34D8" w14:textId="77777777" w:rsidR="00503802" w:rsidRPr="00423E8E" w:rsidRDefault="00503802" w:rsidP="009B33D1">
            <w:pPr>
              <w:pStyle w:val="ListBullet"/>
            </w:pPr>
            <w:r>
              <w:t xml:space="preserve">establish and oversee arrangements for monitoring, evaluation, reporting and improvement.    </w:t>
            </w:r>
          </w:p>
        </w:tc>
      </w:tr>
    </w:tbl>
    <w:p w14:paraId="08482F3C" w14:textId="77777777" w:rsidR="00432060" w:rsidRPr="00FB4B01" w:rsidRDefault="00432060" w:rsidP="00FB2664">
      <w:pPr>
        <w:pStyle w:val="BodyText"/>
      </w:pPr>
    </w:p>
    <w:sectPr w:rsidR="00432060" w:rsidRPr="00FB4B01" w:rsidSect="00FB2664">
      <w:headerReference w:type="even" r:id="rId42"/>
      <w:footnotePr>
        <w:numRestart w:val="eachSect"/>
      </w:footnotePr>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888E9" w14:textId="77777777" w:rsidR="0087519B" w:rsidRDefault="0087519B" w:rsidP="008017BC">
      <w:r>
        <w:separator/>
      </w:r>
    </w:p>
    <w:p w14:paraId="78A929A2" w14:textId="77777777" w:rsidR="0087519B" w:rsidRDefault="0087519B"/>
  </w:endnote>
  <w:endnote w:type="continuationSeparator" w:id="0">
    <w:p w14:paraId="36904E64" w14:textId="77777777" w:rsidR="0087519B" w:rsidRDefault="0087519B" w:rsidP="008017BC">
      <w:r>
        <w:continuationSeparator/>
      </w:r>
    </w:p>
    <w:p w14:paraId="591C1251" w14:textId="77777777" w:rsidR="0087519B" w:rsidRDefault="00875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861F0"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BA04D"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AAEB7"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FEE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4672847"/>
      <w:docPartObj>
        <w:docPartGallery w:val="Page Numbers (Bottom of Page)"/>
        <w:docPartUnique/>
      </w:docPartObj>
    </w:sdtPr>
    <w:sdtContent>
      <w:sdt>
        <w:sdtPr>
          <w:id w:val="448513796"/>
          <w:docPartObj>
            <w:docPartGallery w:val="Page Numbers (Top of Page)"/>
            <w:docPartUnique/>
          </w:docPartObj>
        </w:sdtPr>
        <w:sdtContent>
          <w:p w14:paraId="3965D7F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2EB0D" w14:textId="77777777" w:rsidR="0087519B" w:rsidRPr="00C238D1" w:rsidRDefault="0087519B" w:rsidP="00273E86">
      <w:pPr>
        <w:spacing w:after="0" w:line="240" w:lineRule="auto"/>
        <w:rPr>
          <w:rStyle w:val="ColourDarkBlue"/>
        </w:rPr>
      </w:pPr>
      <w:r w:rsidRPr="00C238D1">
        <w:rPr>
          <w:rStyle w:val="ColourDarkBlue"/>
        </w:rPr>
        <w:continuationSeparator/>
      </w:r>
    </w:p>
  </w:footnote>
  <w:footnote w:type="continuationSeparator" w:id="0">
    <w:p w14:paraId="76C62C7C" w14:textId="77777777" w:rsidR="0087519B" w:rsidRPr="001D7D9B" w:rsidRDefault="0087519B" w:rsidP="001D7D9B">
      <w:pPr>
        <w:spacing w:after="0" w:line="240" w:lineRule="auto"/>
        <w:rPr>
          <w:color w:val="265A9A" w:themeColor="background2"/>
        </w:rPr>
      </w:pPr>
      <w:r w:rsidRPr="00C238D1">
        <w:rPr>
          <w:rStyle w:val="ColourDarkBlue"/>
        </w:rPr>
        <w:continuationSeparator/>
      </w:r>
    </w:p>
  </w:footnote>
  <w:footnote w:type="continuationNotice" w:id="1">
    <w:p w14:paraId="086085D5" w14:textId="77777777" w:rsidR="0087519B" w:rsidRDefault="0087519B"/>
  </w:footnote>
  <w:footnote w:id="2">
    <w:p w14:paraId="740F48CF" w14:textId="77777777" w:rsidR="0041785A" w:rsidRDefault="0041785A" w:rsidP="00AE4A75">
      <w:pPr>
        <w:pStyle w:val="FootnoteText"/>
      </w:pPr>
      <w:r w:rsidRPr="00FA3BA7">
        <w:rPr>
          <w:rStyle w:val="FootnoteReference"/>
        </w:rPr>
        <w:footnoteRef/>
      </w:r>
      <w:r w:rsidRPr="00795BD4">
        <w:t xml:space="preserve"> </w:t>
      </w:r>
      <w:r w:rsidRPr="00B5042E">
        <w:t xml:space="preserve">Materials productivity is the amount of economic value (measured by GDP) generated </w:t>
      </w:r>
      <w:r>
        <w:t>per unit of</w:t>
      </w:r>
      <w:r w:rsidRPr="00B5042E">
        <w:t xml:space="preserve"> materials used (measured by the weight of domestic materials consumption). The circularity rate is the proportion of non-virgin or recycled materials used against overall materials used. The waste recovery rate is the proportion of waste that is diverted from landfill and reused, recycled or used in waste</w:t>
      </w:r>
      <w:r>
        <w:t xml:space="preserve"> </w:t>
      </w:r>
      <w:r w:rsidRPr="00B5042E">
        <w:t>to</w:t>
      </w:r>
      <w:r>
        <w:t xml:space="preserve"> </w:t>
      </w:r>
      <w:r w:rsidRPr="00B5042E">
        <w:t>energy activities.</w:t>
      </w:r>
    </w:p>
  </w:footnote>
  <w:footnote w:id="3">
    <w:p w14:paraId="09691222" w14:textId="77777777" w:rsidR="0041785A" w:rsidRPr="00795BD4" w:rsidRDefault="0041785A" w:rsidP="0039080A">
      <w:pPr>
        <w:pStyle w:val="FootnoteText"/>
      </w:pPr>
      <w:r w:rsidRPr="00FA3BA7">
        <w:rPr>
          <w:rStyle w:val="FootnoteReference"/>
        </w:rPr>
        <w:footnoteRef/>
      </w:r>
      <w:r>
        <w:t xml:space="preserve"> </w:t>
      </w:r>
      <w:r w:rsidRPr="00B5042E">
        <w:t>Some policies directly target materials use and waste, such as waste levies on landfill. Others are aimed at reducing environmental impacts more generally and encourage greater circularity where goals are complementary, including climate change policies (such as the Renewable Energy Target, Safeguard Mechanism, Australian Carbon Credit Unit Scheme, Capacity Investment Scheme and New Vehicle Efficiency Standard), water policy (such as the National Water Initiative) and sector-specific policies (such as in construction and mining). Several of these policies aim to put a price on the environmental costs associated with waste or, more generally, on emissions and other impacts</w:t>
      </w:r>
      <w:r w:rsidRPr="00795BD4">
        <w:t xml:space="preserve">. </w:t>
      </w:r>
    </w:p>
  </w:footnote>
  <w:footnote w:id="4">
    <w:p w14:paraId="1EE9493E" w14:textId="4396F8FD" w:rsidR="0041785A" w:rsidRPr="000370F0" w:rsidRDefault="0041785A">
      <w:pPr>
        <w:pStyle w:val="FootnoteText"/>
        <w:rPr>
          <w:spacing w:val="-2"/>
        </w:rPr>
      </w:pPr>
      <w:r w:rsidRPr="000370F0">
        <w:rPr>
          <w:rStyle w:val="FootnoteReference"/>
          <w:spacing w:val="-2"/>
        </w:rPr>
        <w:footnoteRef/>
      </w:r>
      <w:r w:rsidRPr="000370F0">
        <w:rPr>
          <w:spacing w:val="-2"/>
        </w:rPr>
        <w:t xml:space="preserve"> Reforming standards and specifications for infrastructure would build on reforms already underway to reduce regulatory barriers to prefabricated construction. The PC has previously estimated that these reforms could contribute</w:t>
      </w:r>
      <w:r w:rsidR="000370F0" w:rsidRPr="000370F0">
        <w:rPr>
          <w:spacing w:val="-2"/>
        </w:rPr>
        <w:t xml:space="preserve"> </w:t>
      </w:r>
      <w:r w:rsidRPr="000370F0">
        <w:rPr>
          <w:spacing w:val="-2"/>
        </w:rPr>
        <w:t>$2.9–5.7 billion to GDP by reducing build times and costs. Removing barriers to prefabricated construction could improve materials productivity through on-site waste reduction and enabling design for disassembly, which can make it easier to repair and refurbish dwellings.</w:t>
      </w:r>
    </w:p>
  </w:footnote>
  <w:footnote w:id="5">
    <w:p w14:paraId="76AB8D69" w14:textId="27D93E10" w:rsidR="0041785A" w:rsidRDefault="0041785A" w:rsidP="00233FC7">
      <w:pPr>
        <w:pStyle w:val="FootnoteText"/>
      </w:pPr>
      <w:r w:rsidRPr="00FA3BA7">
        <w:rPr>
          <w:rStyle w:val="FootnoteReference"/>
        </w:rPr>
        <w:footnoteRef/>
      </w:r>
      <w:r>
        <w:t xml:space="preserve"> </w:t>
      </w:r>
      <w:r w:rsidRPr="0042777B">
        <w:t>For example, the former Rhonda Colliery mine in Lake Macquarie</w:t>
      </w:r>
      <w:r>
        <w:t>,</w:t>
      </w:r>
      <w:r w:rsidRPr="0042777B">
        <w:t xml:space="preserve"> N</w:t>
      </w:r>
      <w:r>
        <w:t xml:space="preserve">ew </w:t>
      </w:r>
      <w:r w:rsidRPr="0042777B">
        <w:t>S</w:t>
      </w:r>
      <w:r>
        <w:t xml:space="preserve">outh </w:t>
      </w:r>
      <w:r w:rsidRPr="0042777B">
        <w:t>W</w:t>
      </w:r>
      <w:r>
        <w:t>ales</w:t>
      </w:r>
      <w:r w:rsidRPr="0042777B">
        <w:t xml:space="preserve"> is being transformed into a motor park and tourist destination</w:t>
      </w:r>
      <w:r>
        <w:t xml:space="preserve">. </w:t>
      </w:r>
      <w:r w:rsidR="009F18F7">
        <w:t>The NSW Government indicated</w:t>
      </w:r>
      <w:r w:rsidRPr="0042777B">
        <w:t xml:space="preserve"> that this will create more than 450 jobs during construction and 229</w:t>
      </w:r>
      <w:r>
        <w:t> </w:t>
      </w:r>
      <w:r w:rsidRPr="0042777B">
        <w:t>permanent roles</w:t>
      </w:r>
      <w:r>
        <w:t>.</w:t>
      </w:r>
    </w:p>
  </w:footnote>
  <w:footnote w:id="6">
    <w:p w14:paraId="2480113C" w14:textId="77777777" w:rsidR="006E64E7" w:rsidRPr="007F39F9" w:rsidRDefault="006E64E7" w:rsidP="006E64E7">
      <w:pPr>
        <w:pStyle w:val="BodyText"/>
        <w:spacing w:before="60" w:after="60" w:line="24" w:lineRule="atLeast"/>
      </w:pPr>
      <w:r w:rsidRPr="0066085B">
        <w:rPr>
          <w:rStyle w:val="FootnoteReference"/>
          <w:sz w:val="18"/>
        </w:rPr>
        <w:footnoteRef/>
      </w:r>
      <w:r w:rsidRPr="0066085B">
        <w:rPr>
          <w:rStyle w:val="FootnoteReference"/>
          <w:sz w:val="18"/>
        </w:rPr>
        <w:t xml:space="preserve"> </w:t>
      </w:r>
      <w:r w:rsidRPr="0066085B">
        <w:rPr>
          <w:rFonts w:cstheme="minorHAnsi"/>
          <w:sz w:val="18"/>
          <w:szCs w:val="18"/>
        </w:rPr>
        <w:t>‘</w:t>
      </w:r>
      <w:r>
        <w:rPr>
          <w:rFonts w:cstheme="minorHAnsi"/>
          <w:sz w:val="18"/>
          <w:szCs w:val="18"/>
        </w:rPr>
        <w:t>Place’ does not have a universal definition. To be</w:t>
      </w:r>
      <w:r w:rsidRPr="007F39F9">
        <w:rPr>
          <w:rFonts w:cstheme="minorHAnsi"/>
          <w:sz w:val="18"/>
          <w:szCs w:val="18"/>
        </w:rPr>
        <w:t xml:space="preserve"> practical for circular economy policy interventions, the PC </w:t>
      </w:r>
      <w:r>
        <w:rPr>
          <w:rFonts w:cstheme="minorHAnsi"/>
          <w:sz w:val="18"/>
          <w:szCs w:val="18"/>
        </w:rPr>
        <w:t>defines</w:t>
      </w:r>
      <w:r w:rsidRPr="007F39F9">
        <w:rPr>
          <w:rFonts w:cstheme="minorHAnsi"/>
          <w:sz w:val="18"/>
          <w:szCs w:val="18"/>
        </w:rPr>
        <w:t xml:space="preserve"> a 'place' as either one local government area or a cluster of local government areas that are interconnected through their communities</w:t>
      </w:r>
      <w:r>
        <w:rPr>
          <w:rFonts w:cstheme="minorHAnsi"/>
          <w:sz w:val="18"/>
          <w:szCs w:val="18"/>
        </w:rPr>
        <w:t>,</w:t>
      </w:r>
      <w:r w:rsidRPr="007F39F9">
        <w:rPr>
          <w:rFonts w:cstheme="minorHAnsi"/>
          <w:sz w:val="18"/>
          <w:szCs w:val="18"/>
        </w:rPr>
        <w:t xml:space="preserve"> and economic, social and environmental interactions.</w:t>
      </w:r>
    </w:p>
  </w:footnote>
  <w:footnote w:id="7">
    <w:p w14:paraId="3F70E6C0" w14:textId="77777777" w:rsidR="0041785A" w:rsidRDefault="0041785A" w:rsidP="009C0201">
      <w:pPr>
        <w:pStyle w:val="FootnoteText"/>
        <w:rPr>
          <w:lang w:val="en-US"/>
        </w:rPr>
      </w:pPr>
      <w:r w:rsidRPr="00FA3BA7">
        <w:rPr>
          <w:rStyle w:val="FootnoteReference"/>
        </w:rPr>
        <w:footnoteRef/>
      </w:r>
      <w:r>
        <w:t xml:space="preserve"> For example, further work is required to determine trial locations for place-based transition brokers and further work is required to determine the specific standards that impede the use of recycled materials in infrastructure.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38F6" w14:textId="3EC054D9" w:rsidR="00F04EA7" w:rsidRPr="007215EF" w:rsidRDefault="00AE44E4" w:rsidP="007215EF">
    <w:r>
      <w:rPr>
        <w:noProof/>
      </w:rPr>
      <w:drawing>
        <wp:anchor distT="0" distB="0" distL="114300" distR="114300" simplePos="0" relativeHeight="251658241" behindDoc="1" locked="0" layoutInCell="1" allowOverlap="1" wp14:anchorId="647F1699" wp14:editId="11C9DCA6">
          <wp:simplePos x="0" y="0"/>
          <wp:positionH relativeFrom="page">
            <wp:posOffset>-14605</wp:posOffset>
          </wp:positionH>
          <wp:positionV relativeFrom="paragraph">
            <wp:posOffset>-410988</wp:posOffset>
          </wp:positionV>
          <wp:extent cx="7559913" cy="10685389"/>
          <wp:effectExtent l="0" t="0" r="3175" b="1905"/>
          <wp:wrapNone/>
          <wp:docPr id="1373389913" name="Picture 1" descr="Australian Government | Productivity Commission logo: cover for inqui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9913" name="Picture 1" descr="Australian Government | Productivity Commission logo: cover for inquiry report"/>
                  <pic:cNvPicPr/>
                </pic:nvPicPr>
                <pic:blipFill>
                  <a:blip r:embed="rId1">
                    <a:extLst>
                      <a:ext uri="{28A0092B-C50C-407E-A947-70E740481C1C}">
                        <a14:useLocalDpi xmlns:a14="http://schemas.microsoft.com/office/drawing/2010/main" val="0"/>
                      </a:ext>
                    </a:extLst>
                  </a:blip>
                  <a:stretch>
                    <a:fillRect/>
                  </a:stretch>
                </pic:blipFill>
                <pic:spPr>
                  <a:xfrm>
                    <a:off x="0" y="0"/>
                    <a:ext cx="7559913" cy="10685389"/>
                  </a:xfrm>
                  <a:prstGeom prst="rect">
                    <a:avLst/>
                  </a:prstGeom>
                </pic:spPr>
              </pic:pic>
            </a:graphicData>
          </a:graphic>
          <wp14:sizeRelH relativeFrom="margin">
            <wp14:pctWidth>0</wp14:pctWidth>
          </wp14:sizeRelH>
          <wp14:sizeRelV relativeFrom="margin">
            <wp14:pctHeight>0</wp14:pctHeight>
          </wp14:sizeRelV>
        </wp:anchor>
      </w:drawing>
    </w:r>
  </w:p>
  <w:p w14:paraId="0CC8223E"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808F" w14:textId="1D32CE9E" w:rsidR="006A5E07" w:rsidRDefault="006A5E0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175C3" w14:textId="59161FCE" w:rsidR="00202B90" w:rsidRDefault="00943901" w:rsidP="00F173EF">
    <w:pPr>
      <w:pStyle w:val="Header-KeylineRight"/>
    </w:pPr>
    <w:fldSimple w:instr=" STYLEREF  &quot;Heading 1-no background&quot;  \* MERGEFORMAT ">
      <w:r w:rsidR="00486052">
        <w:rPr>
          <w:noProof/>
        </w:rPr>
        <w:t>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C7B40" w14:textId="01982007" w:rsidR="00802F30" w:rsidRDefault="00802F30" w:rsidP="00A576A1">
    <w:pPr>
      <w:pStyle w:val="Header-Keyline"/>
    </w:pPr>
    <w:r>
      <w:rPr>
        <w:rStyle w:val="Strong"/>
      </w:rPr>
      <w:t>Australia’s circular economy: unlocking the opportunities</w:t>
    </w:r>
    <w:r>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7D1C4" w14:textId="501E7E6B" w:rsidR="00925AEC" w:rsidRDefault="003A4533" w:rsidP="00925AEC">
    <w:pPr>
      <w:pStyle w:val="Header-Keyline"/>
    </w:pPr>
    <w:r>
      <w:rPr>
        <w:rStyle w:val="Strong"/>
      </w:rPr>
      <w:t>Australia’s circular economy: unlocking the opportunities</w:t>
    </w:r>
    <w:r w:rsidR="00925AEC">
      <w:t xml:space="preserve"> Inquiry </w:t>
    </w:r>
    <w:r w:rsidR="00107DA7">
      <w:t>r</w:t>
    </w:r>
    <w:r w:rsidR="00925AEC">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A7E93" w14:textId="79D2740C"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486052">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0B89A" w14:textId="39718E74" w:rsidR="00925AEC" w:rsidRDefault="00925A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F92DA" w14:textId="45F379AA" w:rsidR="000A29A4" w:rsidRDefault="00000000" w:rsidP="000A29A4">
    <w:pPr>
      <w:pStyle w:val="Header-Keyline"/>
    </w:pPr>
    <w:sdt>
      <w:sdtPr>
        <w:rPr>
          <w:rStyle w:val="Strong"/>
        </w:rPr>
        <w:alias w:val="Title"/>
        <w:tag w:val=""/>
        <w:id w:val="58147706"/>
        <w:placeholder>
          <w:docPart w:val="F9946D0E2E75441786C182C0894FD249"/>
        </w:placeholder>
        <w:dataBinding w:prefixMappings="xmlns:ns0='http://purl.org/dc/elements/1.1/' xmlns:ns1='http://schemas.openxmlformats.org/package/2006/metadata/core-properties' " w:xpath="/ns1:coreProperties[1]/ns0:title[1]" w:storeItemID="{6C3C8BC8-F283-45AE-878A-BAB7291924A1}"/>
        <w:text/>
      </w:sdtPr>
      <w:sdtContent>
        <w:r w:rsidR="00106FC0">
          <w:rPr>
            <w:rStyle w:val="Strong"/>
          </w:rPr>
          <w:t>Overview - Australia’s circular economy: unlocking the opportunities</w:t>
        </w:r>
      </w:sdtContent>
    </w:sdt>
    <w:r w:rsidR="000A29A4">
      <w:t xml:space="preserve"> Inquiry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3AE3" w14:textId="59FAE728" w:rsidR="00E83C1B" w:rsidRPr="00201320" w:rsidRDefault="00E41066" w:rsidP="0011638A">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486052">
      <w:rPr>
        <w:rStyle w:val="Strong"/>
        <w:b w:val="0"/>
        <w:bCs w:val="0"/>
        <w:noProof/>
      </w:rPr>
      <w:t>Contents</w:t>
    </w:r>
    <w:r>
      <w:rPr>
        <w:rStyle w:val="Strong"/>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9F46" w14:textId="00F778C6" w:rsidR="00925AEC" w:rsidRDefault="00925A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BF76" w14:textId="3DB5B80A" w:rsidR="006A5E07" w:rsidRDefault="003A4533" w:rsidP="00F173EF">
    <w:pPr>
      <w:pStyle w:val="Header-Keyline"/>
    </w:pPr>
    <w:r>
      <w:rPr>
        <w:rStyle w:val="Strong"/>
      </w:rPr>
      <w:t>Australia’s circular economy: unlocking the opportunities</w:t>
    </w:r>
    <w:r w:rsidR="00250DB5">
      <w:t xml:space="preserve"> 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A458" w14:textId="574832E9" w:rsidR="006A5E07" w:rsidRDefault="00202B90" w:rsidP="00F173EF">
    <w:pPr>
      <w:pStyle w:val="Header-KeylineRight"/>
    </w:pPr>
    <w:r>
      <w:rPr>
        <w:noProof/>
      </w:rPr>
      <w:drawing>
        <wp:anchor distT="0" distB="0" distL="114300" distR="114300" simplePos="0" relativeHeight="251658242" behindDoc="0" locked="0" layoutInCell="1" allowOverlap="1" wp14:anchorId="3AEBCFB8" wp14:editId="3C5DF92D">
          <wp:simplePos x="0" y="0"/>
          <wp:positionH relativeFrom="page">
            <wp:align>left</wp:align>
          </wp:positionH>
          <wp:positionV relativeFrom="paragraph">
            <wp:posOffset>-520349</wp:posOffset>
          </wp:positionV>
          <wp:extent cx="7560000" cy="10692000"/>
          <wp:effectExtent l="0" t="0" r="3175" b="0"/>
          <wp:wrapNone/>
          <wp:docPr id="6685660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6603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744031">
      <w:fldChar w:fldCharType="begin"/>
    </w:r>
    <w:r w:rsidR="00744031">
      <w:instrText>STYLEREF  "Heading 1-Section-full page"  \* MERGEFORMAT</w:instrText>
    </w:r>
    <w:r w:rsidR="00744031">
      <w:fldChar w:fldCharType="separate"/>
    </w:r>
    <w:r w:rsidR="00486052">
      <w:rPr>
        <w:b/>
        <w:bCs/>
        <w:noProof/>
        <w:lang w:val="en-US"/>
      </w:rPr>
      <w:t>Error! No text of specified style in document.</w:t>
    </w:r>
    <w:r w:rsidR="0074403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8295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50C3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A6A6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F4BB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1697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4EF8044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F3E6C9D"/>
    <w:multiLevelType w:val="multilevel"/>
    <w:tmpl w:val="FF8069A4"/>
    <w:numStyleLink w:val="Bullets"/>
  </w:abstractNum>
  <w:abstractNum w:abstractNumId="12"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1470519"/>
    <w:multiLevelType w:val="hybridMultilevel"/>
    <w:tmpl w:val="5ABC7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5"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6" w15:restartNumberingAfterBreak="0">
    <w:nsid w:val="1A1A0E47"/>
    <w:multiLevelType w:val="multilevel"/>
    <w:tmpl w:val="60B4410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E641CBA"/>
    <w:multiLevelType w:val="multilevel"/>
    <w:tmpl w:val="C6EA76A4"/>
    <w:lvl w:ilvl="0">
      <w:start w:val="6"/>
      <w:numFmt w:val="decimal"/>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447" w:hanging="2880"/>
      </w:pPr>
      <w:rPr>
        <w:rFonts w:hint="default"/>
      </w:rPr>
    </w:lvl>
  </w:abstractNum>
  <w:abstractNum w:abstractNumId="18"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3547D73"/>
    <w:multiLevelType w:val="hybridMultilevel"/>
    <w:tmpl w:val="D2E08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A02914"/>
    <w:multiLevelType w:val="hybridMultilevel"/>
    <w:tmpl w:val="1AAE0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72768BCE"/>
    <w:numStyleLink w:val="AppendixHeadingList"/>
  </w:abstractNum>
  <w:abstractNum w:abstractNumId="23" w15:restartNumberingAfterBreak="0">
    <w:nsid w:val="34695D5D"/>
    <w:multiLevelType w:val="multilevel"/>
    <w:tmpl w:val="C964B2C2"/>
    <w:lvl w:ilvl="0">
      <w:start w:val="1"/>
      <w:numFmt w:val="decimal"/>
      <w:lvlText w:val="%1."/>
      <w:lvlJc w:val="left"/>
      <w:pPr>
        <w:ind w:left="709" w:hanging="709"/>
      </w:pPr>
      <w:rPr>
        <w:rFonts w:hint="default"/>
      </w:rPr>
    </w:lvl>
    <w:lvl w:ilvl="1">
      <w:start w:val="1"/>
      <w:numFmt w:val="decimal"/>
      <w:lvlText w:val="%2.%1"/>
      <w:lvlJc w:val="left"/>
      <w:pPr>
        <w:ind w:left="709" w:hanging="709"/>
      </w:pPr>
      <w:rPr>
        <w:rFonts w:hint="default"/>
      </w:rPr>
    </w:lvl>
    <w:lvl w:ilvl="2">
      <w:start w:val="1"/>
      <w:numFmt w:val="decimal"/>
      <w:lvlText w:val="%1.%2.%3"/>
      <w:lvlJc w:val="left"/>
      <w:pPr>
        <w:ind w:left="1474" w:hanging="765"/>
      </w:pPr>
      <w:rPr>
        <w:rFonts w:hint="default"/>
      </w:rPr>
    </w:lvl>
    <w:lvl w:ilvl="3">
      <w:start w:val="1"/>
      <w:numFmt w:val="lowerLetter"/>
      <w:lvlText w:val="%4."/>
      <w:lvlJc w:val="left"/>
      <w:pPr>
        <w:ind w:left="2041"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134636A"/>
    <w:multiLevelType w:val="multilevel"/>
    <w:tmpl w:val="1FA8DC2A"/>
    <w:numStyleLink w:val="Numbering"/>
  </w:abstractNum>
  <w:abstractNum w:abstractNumId="29" w15:restartNumberingAfterBreak="0">
    <w:nsid w:val="66A4008A"/>
    <w:multiLevelType w:val="hybridMultilevel"/>
    <w:tmpl w:val="B46AF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1B4A1B"/>
    <w:multiLevelType w:val="multilevel"/>
    <w:tmpl w:val="4F48000A"/>
    <w:numStyleLink w:val="Alphalist"/>
  </w:abstractNum>
  <w:num w:numId="1" w16cid:durableId="1937514810">
    <w:abstractNumId w:val="14"/>
  </w:num>
  <w:num w:numId="2" w16cid:durableId="1664696665">
    <w:abstractNumId w:val="9"/>
  </w:num>
  <w:num w:numId="3" w16cid:durableId="1120298667">
    <w:abstractNumId w:val="18"/>
  </w:num>
  <w:num w:numId="4" w16cid:durableId="1947075703">
    <w:abstractNumId w:val="26"/>
  </w:num>
  <w:num w:numId="5" w16cid:durableId="2095470981">
    <w:abstractNumId w:val="27"/>
  </w:num>
  <w:num w:numId="6" w16cid:durableId="233584399">
    <w:abstractNumId w:val="25"/>
  </w:num>
  <w:num w:numId="7" w16cid:durableId="1199123175">
    <w:abstractNumId w:val="22"/>
  </w:num>
  <w:num w:numId="8" w16cid:durableId="189530793">
    <w:abstractNumId w:val="15"/>
  </w:num>
  <w:num w:numId="9" w16cid:durableId="1138261005">
    <w:abstractNumId w:val="21"/>
  </w:num>
  <w:num w:numId="10" w16cid:durableId="296030403">
    <w:abstractNumId w:val="31"/>
  </w:num>
  <w:num w:numId="11" w16cid:durableId="1876774051">
    <w:abstractNumId w:val="4"/>
  </w:num>
  <w:num w:numId="12" w16cid:durableId="1472013086">
    <w:abstractNumId w:val="10"/>
  </w:num>
  <w:num w:numId="13" w16cid:durableId="1976332351">
    <w:abstractNumId w:val="16"/>
  </w:num>
  <w:num w:numId="14" w16cid:durableId="1850022735">
    <w:abstractNumId w:val="12"/>
  </w:num>
  <w:num w:numId="15" w16cid:durableId="280187588">
    <w:abstractNumId w:val="8"/>
  </w:num>
  <w:num w:numId="16" w16cid:durableId="1586105911">
    <w:abstractNumId w:val="24"/>
  </w:num>
  <w:num w:numId="17" w16cid:durableId="1422215411">
    <w:abstractNumId w:val="22"/>
  </w:num>
  <w:num w:numId="18" w16cid:durableId="1640383872">
    <w:abstractNumId w:val="11"/>
  </w:num>
  <w:num w:numId="19" w16cid:durableId="2057656394">
    <w:abstractNumId w:val="21"/>
  </w:num>
  <w:num w:numId="20" w16cid:durableId="1023946106">
    <w:abstractNumId w:val="28"/>
  </w:num>
  <w:num w:numId="21" w16cid:durableId="1785735417">
    <w:abstractNumId w:val="12"/>
  </w:num>
  <w:num w:numId="22" w16cid:durableId="1772626606">
    <w:abstractNumId w:val="11"/>
  </w:num>
  <w:num w:numId="23" w16cid:durableId="2146239381">
    <w:abstractNumId w:val="7"/>
  </w:num>
  <w:num w:numId="24" w16cid:durableId="1994986809">
    <w:abstractNumId w:val="11"/>
    <w:lvlOverride w:ilvl="0">
      <w:lvl w:ilvl="0">
        <w:start w:val="1"/>
        <w:numFmt w:val="bullet"/>
        <w:pStyle w:val="ListBullet"/>
        <w:lvlText w:val="•"/>
        <w:lvlJc w:val="left"/>
        <w:pPr>
          <w:ind w:left="227" w:hanging="227"/>
        </w:pPr>
        <w:rPr>
          <w:rFonts w:ascii="Times New Roman" w:hAnsi="Times New Roman" w:cs="Times New Roman" w:hint="default"/>
          <w:color w:val="265A9A"/>
        </w:rPr>
      </w:lvl>
    </w:lvlOverride>
  </w:num>
  <w:num w:numId="25" w16cid:durableId="1240359264">
    <w:abstractNumId w:val="29"/>
  </w:num>
  <w:num w:numId="26" w16cid:durableId="1030952970">
    <w:abstractNumId w:val="17"/>
  </w:num>
  <w:num w:numId="27" w16cid:durableId="377360893">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7980135">
    <w:abstractNumId w:val="11"/>
  </w:num>
  <w:num w:numId="29" w16cid:durableId="322244080">
    <w:abstractNumId w:val="11"/>
  </w:num>
  <w:num w:numId="30" w16cid:durableId="1029992034">
    <w:abstractNumId w:val="11"/>
  </w:num>
  <w:num w:numId="31" w16cid:durableId="767434735">
    <w:abstractNumId w:val="11"/>
  </w:num>
  <w:num w:numId="32" w16cid:durableId="1764379745">
    <w:abstractNumId w:val="11"/>
  </w:num>
  <w:num w:numId="33" w16cid:durableId="328756100">
    <w:abstractNumId w:val="13"/>
  </w:num>
  <w:num w:numId="34" w16cid:durableId="1584609497">
    <w:abstractNumId w:val="20"/>
  </w:num>
  <w:num w:numId="35" w16cid:durableId="202519135">
    <w:abstractNumId w:val="5"/>
  </w:num>
  <w:num w:numId="36" w16cid:durableId="1432778916">
    <w:abstractNumId w:val="6"/>
  </w:num>
  <w:num w:numId="37" w16cid:durableId="1114524486">
    <w:abstractNumId w:val="3"/>
  </w:num>
  <w:num w:numId="38" w16cid:durableId="1620137832">
    <w:abstractNumId w:val="2"/>
  </w:num>
  <w:num w:numId="39" w16cid:durableId="1428237298">
    <w:abstractNumId w:val="1"/>
  </w:num>
  <w:num w:numId="40" w16cid:durableId="2073890020">
    <w:abstractNumId w:val="0"/>
  </w:num>
  <w:num w:numId="41" w16cid:durableId="473790119">
    <w:abstractNumId w:val="30"/>
  </w:num>
  <w:num w:numId="42" w16cid:durableId="1896354782">
    <w:abstractNumId w:val="19"/>
  </w:num>
  <w:num w:numId="43" w16cid:durableId="1048409263">
    <w:abstractNumId w:val="23"/>
  </w:num>
  <w:num w:numId="44" w16cid:durableId="20250639">
    <w:abstractNumId w:val="11"/>
  </w:num>
  <w:num w:numId="45" w16cid:durableId="2111579466">
    <w:abstractNumId w:val="11"/>
  </w:num>
  <w:num w:numId="46" w16cid:durableId="118636425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A57"/>
    <w:rsid w:val="00000075"/>
    <w:rsid w:val="00000F3C"/>
    <w:rsid w:val="00001002"/>
    <w:rsid w:val="00002092"/>
    <w:rsid w:val="00003588"/>
    <w:rsid w:val="00003DBA"/>
    <w:rsid w:val="00004489"/>
    <w:rsid w:val="00004BBD"/>
    <w:rsid w:val="00005A89"/>
    <w:rsid w:val="00005C79"/>
    <w:rsid w:val="00011636"/>
    <w:rsid w:val="00011C36"/>
    <w:rsid w:val="00012E61"/>
    <w:rsid w:val="00013268"/>
    <w:rsid w:val="000138F5"/>
    <w:rsid w:val="0002316A"/>
    <w:rsid w:val="000237F7"/>
    <w:rsid w:val="00023FB4"/>
    <w:rsid w:val="00024986"/>
    <w:rsid w:val="00024DAF"/>
    <w:rsid w:val="000255CB"/>
    <w:rsid w:val="00025C68"/>
    <w:rsid w:val="00025D29"/>
    <w:rsid w:val="0002687A"/>
    <w:rsid w:val="00026C04"/>
    <w:rsid w:val="000300AF"/>
    <w:rsid w:val="00030ABD"/>
    <w:rsid w:val="000331E4"/>
    <w:rsid w:val="0003338D"/>
    <w:rsid w:val="00033619"/>
    <w:rsid w:val="00033D4A"/>
    <w:rsid w:val="000363B2"/>
    <w:rsid w:val="000370F0"/>
    <w:rsid w:val="000379D6"/>
    <w:rsid w:val="00037ABF"/>
    <w:rsid w:val="0004044A"/>
    <w:rsid w:val="00041EB5"/>
    <w:rsid w:val="00043E37"/>
    <w:rsid w:val="000452F4"/>
    <w:rsid w:val="0004561A"/>
    <w:rsid w:val="00045A43"/>
    <w:rsid w:val="00047894"/>
    <w:rsid w:val="000510C5"/>
    <w:rsid w:val="0005151B"/>
    <w:rsid w:val="00054C95"/>
    <w:rsid w:val="000557FD"/>
    <w:rsid w:val="000561CF"/>
    <w:rsid w:val="00056FDA"/>
    <w:rsid w:val="0005763F"/>
    <w:rsid w:val="0005774F"/>
    <w:rsid w:val="00057DA6"/>
    <w:rsid w:val="00057E0B"/>
    <w:rsid w:val="00062A44"/>
    <w:rsid w:val="00063BE3"/>
    <w:rsid w:val="000671CD"/>
    <w:rsid w:val="00070242"/>
    <w:rsid w:val="00070F03"/>
    <w:rsid w:val="00072247"/>
    <w:rsid w:val="000724AE"/>
    <w:rsid w:val="00073388"/>
    <w:rsid w:val="00074C4B"/>
    <w:rsid w:val="000753D1"/>
    <w:rsid w:val="00076BE2"/>
    <w:rsid w:val="0007776A"/>
    <w:rsid w:val="00077A76"/>
    <w:rsid w:val="0008037D"/>
    <w:rsid w:val="00081067"/>
    <w:rsid w:val="00083EC4"/>
    <w:rsid w:val="00084660"/>
    <w:rsid w:val="00084EB9"/>
    <w:rsid w:val="00084EE4"/>
    <w:rsid w:val="00085FB9"/>
    <w:rsid w:val="00086B13"/>
    <w:rsid w:val="00086C21"/>
    <w:rsid w:val="00086D0C"/>
    <w:rsid w:val="00086FB2"/>
    <w:rsid w:val="00087C17"/>
    <w:rsid w:val="000911A0"/>
    <w:rsid w:val="00091286"/>
    <w:rsid w:val="000972AE"/>
    <w:rsid w:val="00097793"/>
    <w:rsid w:val="00097F2B"/>
    <w:rsid w:val="00097F6F"/>
    <w:rsid w:val="000A0694"/>
    <w:rsid w:val="000A0F08"/>
    <w:rsid w:val="000A1839"/>
    <w:rsid w:val="000A29A4"/>
    <w:rsid w:val="000A38AA"/>
    <w:rsid w:val="000A5344"/>
    <w:rsid w:val="000A6931"/>
    <w:rsid w:val="000B12AA"/>
    <w:rsid w:val="000B20EF"/>
    <w:rsid w:val="000B497F"/>
    <w:rsid w:val="000B4A72"/>
    <w:rsid w:val="000B4EA8"/>
    <w:rsid w:val="000B5105"/>
    <w:rsid w:val="000B7FC7"/>
    <w:rsid w:val="000C03C1"/>
    <w:rsid w:val="000C04D7"/>
    <w:rsid w:val="000C49C3"/>
    <w:rsid w:val="000C62BD"/>
    <w:rsid w:val="000C674D"/>
    <w:rsid w:val="000C6B77"/>
    <w:rsid w:val="000D02B6"/>
    <w:rsid w:val="000D279B"/>
    <w:rsid w:val="000D2A2C"/>
    <w:rsid w:val="000D389F"/>
    <w:rsid w:val="000D59FD"/>
    <w:rsid w:val="000D6D1F"/>
    <w:rsid w:val="000E0049"/>
    <w:rsid w:val="000E1A3C"/>
    <w:rsid w:val="000E1FDB"/>
    <w:rsid w:val="000E30C1"/>
    <w:rsid w:val="000E36B3"/>
    <w:rsid w:val="000E43B0"/>
    <w:rsid w:val="000E7B59"/>
    <w:rsid w:val="000F2D70"/>
    <w:rsid w:val="000F386E"/>
    <w:rsid w:val="000F4488"/>
    <w:rsid w:val="000F63FB"/>
    <w:rsid w:val="000F77F6"/>
    <w:rsid w:val="000F7DB8"/>
    <w:rsid w:val="00100FAB"/>
    <w:rsid w:val="001046F2"/>
    <w:rsid w:val="0010542D"/>
    <w:rsid w:val="0010598C"/>
    <w:rsid w:val="00106FC0"/>
    <w:rsid w:val="00107DA7"/>
    <w:rsid w:val="001113C5"/>
    <w:rsid w:val="0011217E"/>
    <w:rsid w:val="001124F3"/>
    <w:rsid w:val="0011273A"/>
    <w:rsid w:val="00112E8F"/>
    <w:rsid w:val="00113479"/>
    <w:rsid w:val="00113925"/>
    <w:rsid w:val="00114BEC"/>
    <w:rsid w:val="00114C1E"/>
    <w:rsid w:val="0011638A"/>
    <w:rsid w:val="0011653C"/>
    <w:rsid w:val="0011772B"/>
    <w:rsid w:val="00120792"/>
    <w:rsid w:val="00122CE6"/>
    <w:rsid w:val="0012493A"/>
    <w:rsid w:val="00125354"/>
    <w:rsid w:val="001268BC"/>
    <w:rsid w:val="0012795B"/>
    <w:rsid w:val="00131DD2"/>
    <w:rsid w:val="00131E98"/>
    <w:rsid w:val="00133A91"/>
    <w:rsid w:val="00133CC2"/>
    <w:rsid w:val="00134511"/>
    <w:rsid w:val="0013722E"/>
    <w:rsid w:val="00137E13"/>
    <w:rsid w:val="00137FAB"/>
    <w:rsid w:val="00141873"/>
    <w:rsid w:val="00141D78"/>
    <w:rsid w:val="0014354A"/>
    <w:rsid w:val="00146717"/>
    <w:rsid w:val="00151FD9"/>
    <w:rsid w:val="00152DF9"/>
    <w:rsid w:val="0015352A"/>
    <w:rsid w:val="00153AD4"/>
    <w:rsid w:val="00154E0D"/>
    <w:rsid w:val="00156376"/>
    <w:rsid w:val="001567F6"/>
    <w:rsid w:val="00156B3A"/>
    <w:rsid w:val="00156F2D"/>
    <w:rsid w:val="001575BF"/>
    <w:rsid w:val="00157E08"/>
    <w:rsid w:val="001600E9"/>
    <w:rsid w:val="00160FEC"/>
    <w:rsid w:val="001610E5"/>
    <w:rsid w:val="001612AE"/>
    <w:rsid w:val="00161BC8"/>
    <w:rsid w:val="00165125"/>
    <w:rsid w:val="00166C0C"/>
    <w:rsid w:val="001679ED"/>
    <w:rsid w:val="00167E83"/>
    <w:rsid w:val="001714F3"/>
    <w:rsid w:val="00172A67"/>
    <w:rsid w:val="0017306D"/>
    <w:rsid w:val="00173296"/>
    <w:rsid w:val="0017378B"/>
    <w:rsid w:val="0017521B"/>
    <w:rsid w:val="0017584F"/>
    <w:rsid w:val="001765AB"/>
    <w:rsid w:val="0018047F"/>
    <w:rsid w:val="0018068C"/>
    <w:rsid w:val="001806D5"/>
    <w:rsid w:val="00181B5D"/>
    <w:rsid w:val="00182B22"/>
    <w:rsid w:val="00182FE6"/>
    <w:rsid w:val="001832B1"/>
    <w:rsid w:val="001856F5"/>
    <w:rsid w:val="00185E9E"/>
    <w:rsid w:val="00186768"/>
    <w:rsid w:val="00187F05"/>
    <w:rsid w:val="001938F6"/>
    <w:rsid w:val="00193B03"/>
    <w:rsid w:val="001957BF"/>
    <w:rsid w:val="001969EE"/>
    <w:rsid w:val="00196B21"/>
    <w:rsid w:val="00196ECB"/>
    <w:rsid w:val="00197CC7"/>
    <w:rsid w:val="001A0D77"/>
    <w:rsid w:val="001A0DFA"/>
    <w:rsid w:val="001A196A"/>
    <w:rsid w:val="001A1D95"/>
    <w:rsid w:val="001A2565"/>
    <w:rsid w:val="001A3CF4"/>
    <w:rsid w:val="001A45C1"/>
    <w:rsid w:val="001A47B8"/>
    <w:rsid w:val="001A5A08"/>
    <w:rsid w:val="001A6E35"/>
    <w:rsid w:val="001A7CE7"/>
    <w:rsid w:val="001B0B3B"/>
    <w:rsid w:val="001B1762"/>
    <w:rsid w:val="001B17AC"/>
    <w:rsid w:val="001B21A2"/>
    <w:rsid w:val="001B2C33"/>
    <w:rsid w:val="001B3B17"/>
    <w:rsid w:val="001B4A34"/>
    <w:rsid w:val="001B588D"/>
    <w:rsid w:val="001B59DC"/>
    <w:rsid w:val="001B5ED5"/>
    <w:rsid w:val="001B5F4E"/>
    <w:rsid w:val="001B767E"/>
    <w:rsid w:val="001C0DCE"/>
    <w:rsid w:val="001C2F7A"/>
    <w:rsid w:val="001C3263"/>
    <w:rsid w:val="001C57F4"/>
    <w:rsid w:val="001C6E62"/>
    <w:rsid w:val="001C6F56"/>
    <w:rsid w:val="001C7835"/>
    <w:rsid w:val="001C7B56"/>
    <w:rsid w:val="001C7E5C"/>
    <w:rsid w:val="001D0B84"/>
    <w:rsid w:val="001D4050"/>
    <w:rsid w:val="001D4CFC"/>
    <w:rsid w:val="001D4DCB"/>
    <w:rsid w:val="001D5B86"/>
    <w:rsid w:val="001D62D3"/>
    <w:rsid w:val="001D62E2"/>
    <w:rsid w:val="001D7D9B"/>
    <w:rsid w:val="001E4197"/>
    <w:rsid w:val="001E4337"/>
    <w:rsid w:val="001E60E6"/>
    <w:rsid w:val="001E6D27"/>
    <w:rsid w:val="001F0BD1"/>
    <w:rsid w:val="001F13C1"/>
    <w:rsid w:val="001F1D12"/>
    <w:rsid w:val="001F1E9A"/>
    <w:rsid w:val="001F446D"/>
    <w:rsid w:val="001F6B0A"/>
    <w:rsid w:val="001F7C39"/>
    <w:rsid w:val="002000E1"/>
    <w:rsid w:val="00201320"/>
    <w:rsid w:val="0020204A"/>
    <w:rsid w:val="00202B90"/>
    <w:rsid w:val="00203302"/>
    <w:rsid w:val="00203ECD"/>
    <w:rsid w:val="00204510"/>
    <w:rsid w:val="00204858"/>
    <w:rsid w:val="00205124"/>
    <w:rsid w:val="00205F63"/>
    <w:rsid w:val="002071F0"/>
    <w:rsid w:val="00207BB1"/>
    <w:rsid w:val="00210A21"/>
    <w:rsid w:val="002112EC"/>
    <w:rsid w:val="002120E9"/>
    <w:rsid w:val="0021390A"/>
    <w:rsid w:val="00214EA2"/>
    <w:rsid w:val="00215D18"/>
    <w:rsid w:val="002167DA"/>
    <w:rsid w:val="002169A3"/>
    <w:rsid w:val="00216CF6"/>
    <w:rsid w:val="0021703F"/>
    <w:rsid w:val="00217A3C"/>
    <w:rsid w:val="0022103C"/>
    <w:rsid w:val="00221800"/>
    <w:rsid w:val="00221AB7"/>
    <w:rsid w:val="00221D53"/>
    <w:rsid w:val="00224087"/>
    <w:rsid w:val="00225372"/>
    <w:rsid w:val="002274A6"/>
    <w:rsid w:val="00227712"/>
    <w:rsid w:val="002334F7"/>
    <w:rsid w:val="00234495"/>
    <w:rsid w:val="00235543"/>
    <w:rsid w:val="00235C53"/>
    <w:rsid w:val="00235E48"/>
    <w:rsid w:val="00237C0B"/>
    <w:rsid w:val="0024041D"/>
    <w:rsid w:val="002412E0"/>
    <w:rsid w:val="002449E5"/>
    <w:rsid w:val="002457DE"/>
    <w:rsid w:val="00246435"/>
    <w:rsid w:val="00246932"/>
    <w:rsid w:val="00246BCF"/>
    <w:rsid w:val="00246F2D"/>
    <w:rsid w:val="00250BD6"/>
    <w:rsid w:val="00250DB5"/>
    <w:rsid w:val="00251245"/>
    <w:rsid w:val="00251CA2"/>
    <w:rsid w:val="00253231"/>
    <w:rsid w:val="00253EB6"/>
    <w:rsid w:val="00253F0E"/>
    <w:rsid w:val="00257DA6"/>
    <w:rsid w:val="00257E2D"/>
    <w:rsid w:val="002601BB"/>
    <w:rsid w:val="002610D8"/>
    <w:rsid w:val="0026130B"/>
    <w:rsid w:val="00261F6B"/>
    <w:rsid w:val="00262C57"/>
    <w:rsid w:val="00264827"/>
    <w:rsid w:val="00265918"/>
    <w:rsid w:val="0026596A"/>
    <w:rsid w:val="0026672C"/>
    <w:rsid w:val="0026780D"/>
    <w:rsid w:val="00270834"/>
    <w:rsid w:val="00271E2E"/>
    <w:rsid w:val="00273E86"/>
    <w:rsid w:val="002750E5"/>
    <w:rsid w:val="00275638"/>
    <w:rsid w:val="00275EDD"/>
    <w:rsid w:val="00276891"/>
    <w:rsid w:val="00276D96"/>
    <w:rsid w:val="00277D02"/>
    <w:rsid w:val="002814E6"/>
    <w:rsid w:val="0028182F"/>
    <w:rsid w:val="00281A54"/>
    <w:rsid w:val="00282AE5"/>
    <w:rsid w:val="00283879"/>
    <w:rsid w:val="002846A2"/>
    <w:rsid w:val="00285CB8"/>
    <w:rsid w:val="00286613"/>
    <w:rsid w:val="0028675C"/>
    <w:rsid w:val="00287114"/>
    <w:rsid w:val="00290E7B"/>
    <w:rsid w:val="002916B8"/>
    <w:rsid w:val="00291DAC"/>
    <w:rsid w:val="0029317F"/>
    <w:rsid w:val="0029341C"/>
    <w:rsid w:val="002936B4"/>
    <w:rsid w:val="002951E6"/>
    <w:rsid w:val="00295330"/>
    <w:rsid w:val="002963E2"/>
    <w:rsid w:val="0029771B"/>
    <w:rsid w:val="002A0F3D"/>
    <w:rsid w:val="002A4107"/>
    <w:rsid w:val="002A4108"/>
    <w:rsid w:val="002A5438"/>
    <w:rsid w:val="002A56F3"/>
    <w:rsid w:val="002A60E6"/>
    <w:rsid w:val="002A65BF"/>
    <w:rsid w:val="002A664E"/>
    <w:rsid w:val="002A666E"/>
    <w:rsid w:val="002B0577"/>
    <w:rsid w:val="002B0743"/>
    <w:rsid w:val="002B157D"/>
    <w:rsid w:val="002B407B"/>
    <w:rsid w:val="002B6257"/>
    <w:rsid w:val="002B7025"/>
    <w:rsid w:val="002C1A26"/>
    <w:rsid w:val="002C2A49"/>
    <w:rsid w:val="002C41B0"/>
    <w:rsid w:val="002C56EE"/>
    <w:rsid w:val="002C65A4"/>
    <w:rsid w:val="002C797E"/>
    <w:rsid w:val="002D0519"/>
    <w:rsid w:val="002D18A5"/>
    <w:rsid w:val="002D357C"/>
    <w:rsid w:val="002D50CB"/>
    <w:rsid w:val="002E05A2"/>
    <w:rsid w:val="002E3BF3"/>
    <w:rsid w:val="002E3F19"/>
    <w:rsid w:val="002E4D92"/>
    <w:rsid w:val="002E51D2"/>
    <w:rsid w:val="002E6226"/>
    <w:rsid w:val="002E6289"/>
    <w:rsid w:val="002E7A0E"/>
    <w:rsid w:val="002E7BEB"/>
    <w:rsid w:val="002E7D01"/>
    <w:rsid w:val="002E7EFA"/>
    <w:rsid w:val="002F04F0"/>
    <w:rsid w:val="002F3B8C"/>
    <w:rsid w:val="002F4FE9"/>
    <w:rsid w:val="002F6386"/>
    <w:rsid w:val="002F64E2"/>
    <w:rsid w:val="002F6CE6"/>
    <w:rsid w:val="002F6FB4"/>
    <w:rsid w:val="002F70FC"/>
    <w:rsid w:val="00301359"/>
    <w:rsid w:val="003029CC"/>
    <w:rsid w:val="00302AC4"/>
    <w:rsid w:val="00302B32"/>
    <w:rsid w:val="00302EE8"/>
    <w:rsid w:val="00303704"/>
    <w:rsid w:val="00305171"/>
    <w:rsid w:val="003130D6"/>
    <w:rsid w:val="003143AD"/>
    <w:rsid w:val="0031503B"/>
    <w:rsid w:val="00315279"/>
    <w:rsid w:val="00316524"/>
    <w:rsid w:val="003168D7"/>
    <w:rsid w:val="00316DD9"/>
    <w:rsid w:val="003209C1"/>
    <w:rsid w:val="00321011"/>
    <w:rsid w:val="0032160C"/>
    <w:rsid w:val="00323400"/>
    <w:rsid w:val="0032366D"/>
    <w:rsid w:val="00323E11"/>
    <w:rsid w:val="00325919"/>
    <w:rsid w:val="00326A36"/>
    <w:rsid w:val="00326E57"/>
    <w:rsid w:val="0032708B"/>
    <w:rsid w:val="003274B6"/>
    <w:rsid w:val="00327B03"/>
    <w:rsid w:val="0033288A"/>
    <w:rsid w:val="00332E6E"/>
    <w:rsid w:val="003337BA"/>
    <w:rsid w:val="00333D4A"/>
    <w:rsid w:val="0033504F"/>
    <w:rsid w:val="00336ECB"/>
    <w:rsid w:val="0033701C"/>
    <w:rsid w:val="0034039A"/>
    <w:rsid w:val="0034067F"/>
    <w:rsid w:val="00340F75"/>
    <w:rsid w:val="00341BAA"/>
    <w:rsid w:val="00341D21"/>
    <w:rsid w:val="003426D4"/>
    <w:rsid w:val="00343FFF"/>
    <w:rsid w:val="00345558"/>
    <w:rsid w:val="0034680A"/>
    <w:rsid w:val="0035043A"/>
    <w:rsid w:val="00350B95"/>
    <w:rsid w:val="0035224B"/>
    <w:rsid w:val="00352368"/>
    <w:rsid w:val="00354696"/>
    <w:rsid w:val="00354CE0"/>
    <w:rsid w:val="0035519A"/>
    <w:rsid w:val="00355636"/>
    <w:rsid w:val="0035698D"/>
    <w:rsid w:val="00357409"/>
    <w:rsid w:val="00357689"/>
    <w:rsid w:val="00357A3A"/>
    <w:rsid w:val="0036007E"/>
    <w:rsid w:val="0036059A"/>
    <w:rsid w:val="003607E6"/>
    <w:rsid w:val="00360CF8"/>
    <w:rsid w:val="003613AF"/>
    <w:rsid w:val="00361411"/>
    <w:rsid w:val="00361FE9"/>
    <w:rsid w:val="00363CB8"/>
    <w:rsid w:val="00363FF8"/>
    <w:rsid w:val="003640E1"/>
    <w:rsid w:val="0036437B"/>
    <w:rsid w:val="00364DCA"/>
    <w:rsid w:val="00366AFA"/>
    <w:rsid w:val="00366D63"/>
    <w:rsid w:val="0036732A"/>
    <w:rsid w:val="003703EA"/>
    <w:rsid w:val="0037087F"/>
    <w:rsid w:val="0037287B"/>
    <w:rsid w:val="00373A11"/>
    <w:rsid w:val="00375E2B"/>
    <w:rsid w:val="00376491"/>
    <w:rsid w:val="0037721D"/>
    <w:rsid w:val="003779C0"/>
    <w:rsid w:val="00377F07"/>
    <w:rsid w:val="0038102A"/>
    <w:rsid w:val="003828D6"/>
    <w:rsid w:val="0038307B"/>
    <w:rsid w:val="003833B4"/>
    <w:rsid w:val="00384F89"/>
    <w:rsid w:val="00385832"/>
    <w:rsid w:val="00385943"/>
    <w:rsid w:val="00385D37"/>
    <w:rsid w:val="003873BC"/>
    <w:rsid w:val="003902F1"/>
    <w:rsid w:val="00390416"/>
    <w:rsid w:val="0039126B"/>
    <w:rsid w:val="00391962"/>
    <w:rsid w:val="00392FE3"/>
    <w:rsid w:val="0039509C"/>
    <w:rsid w:val="0039593B"/>
    <w:rsid w:val="00395D77"/>
    <w:rsid w:val="003967D2"/>
    <w:rsid w:val="003968D7"/>
    <w:rsid w:val="003A452C"/>
    <w:rsid w:val="003A4533"/>
    <w:rsid w:val="003A5DC2"/>
    <w:rsid w:val="003A743E"/>
    <w:rsid w:val="003A7ADE"/>
    <w:rsid w:val="003A7CBE"/>
    <w:rsid w:val="003B1214"/>
    <w:rsid w:val="003B12E1"/>
    <w:rsid w:val="003B18C4"/>
    <w:rsid w:val="003B2A34"/>
    <w:rsid w:val="003B4598"/>
    <w:rsid w:val="003B6153"/>
    <w:rsid w:val="003B67A1"/>
    <w:rsid w:val="003B6E2C"/>
    <w:rsid w:val="003B7DB1"/>
    <w:rsid w:val="003C01D4"/>
    <w:rsid w:val="003C289E"/>
    <w:rsid w:val="003C2CC0"/>
    <w:rsid w:val="003C2CC3"/>
    <w:rsid w:val="003C42A6"/>
    <w:rsid w:val="003C4481"/>
    <w:rsid w:val="003C45F6"/>
    <w:rsid w:val="003C5319"/>
    <w:rsid w:val="003C6086"/>
    <w:rsid w:val="003C69BF"/>
    <w:rsid w:val="003D080E"/>
    <w:rsid w:val="003D096A"/>
    <w:rsid w:val="003D09EE"/>
    <w:rsid w:val="003D23A3"/>
    <w:rsid w:val="003D3688"/>
    <w:rsid w:val="003D3CB5"/>
    <w:rsid w:val="003D4AF5"/>
    <w:rsid w:val="003D4E4B"/>
    <w:rsid w:val="003D5856"/>
    <w:rsid w:val="003D5BA4"/>
    <w:rsid w:val="003D5FFB"/>
    <w:rsid w:val="003D66D6"/>
    <w:rsid w:val="003E05C8"/>
    <w:rsid w:val="003E2384"/>
    <w:rsid w:val="003E2453"/>
    <w:rsid w:val="003E3754"/>
    <w:rsid w:val="003E6055"/>
    <w:rsid w:val="003E62DA"/>
    <w:rsid w:val="003F3070"/>
    <w:rsid w:val="003F3B2E"/>
    <w:rsid w:val="003F46D6"/>
    <w:rsid w:val="003F5214"/>
    <w:rsid w:val="003F55B5"/>
    <w:rsid w:val="003F5A13"/>
    <w:rsid w:val="003F6F1A"/>
    <w:rsid w:val="0040060F"/>
    <w:rsid w:val="004035F3"/>
    <w:rsid w:val="00403A26"/>
    <w:rsid w:val="00404E4F"/>
    <w:rsid w:val="004064F7"/>
    <w:rsid w:val="00406BD0"/>
    <w:rsid w:val="00406DA2"/>
    <w:rsid w:val="00407DAD"/>
    <w:rsid w:val="0041317D"/>
    <w:rsid w:val="004132E2"/>
    <w:rsid w:val="00413536"/>
    <w:rsid w:val="0041603B"/>
    <w:rsid w:val="0041785A"/>
    <w:rsid w:val="00420AFA"/>
    <w:rsid w:val="00420F0E"/>
    <w:rsid w:val="00421451"/>
    <w:rsid w:val="004220DB"/>
    <w:rsid w:val="0042244D"/>
    <w:rsid w:val="00422A94"/>
    <w:rsid w:val="0042339A"/>
    <w:rsid w:val="00423B15"/>
    <w:rsid w:val="00424012"/>
    <w:rsid w:val="00424545"/>
    <w:rsid w:val="00424CB8"/>
    <w:rsid w:val="0042508F"/>
    <w:rsid w:val="004253CD"/>
    <w:rsid w:val="004307B0"/>
    <w:rsid w:val="00430927"/>
    <w:rsid w:val="00430C05"/>
    <w:rsid w:val="00431295"/>
    <w:rsid w:val="00432060"/>
    <w:rsid w:val="0043241A"/>
    <w:rsid w:val="00432D2C"/>
    <w:rsid w:val="0043326D"/>
    <w:rsid w:val="00434B31"/>
    <w:rsid w:val="00434E55"/>
    <w:rsid w:val="00435AB4"/>
    <w:rsid w:val="00435CDD"/>
    <w:rsid w:val="00437469"/>
    <w:rsid w:val="004379C2"/>
    <w:rsid w:val="004400E8"/>
    <w:rsid w:val="0044042C"/>
    <w:rsid w:val="0044253D"/>
    <w:rsid w:val="00444911"/>
    <w:rsid w:val="00450C80"/>
    <w:rsid w:val="00451629"/>
    <w:rsid w:val="004544D6"/>
    <w:rsid w:val="00454C46"/>
    <w:rsid w:val="00455127"/>
    <w:rsid w:val="00455816"/>
    <w:rsid w:val="004559DE"/>
    <w:rsid w:val="00461CE9"/>
    <w:rsid w:val="00462407"/>
    <w:rsid w:val="004631DD"/>
    <w:rsid w:val="004635FD"/>
    <w:rsid w:val="00463BEA"/>
    <w:rsid w:val="00464097"/>
    <w:rsid w:val="00466393"/>
    <w:rsid w:val="00470129"/>
    <w:rsid w:val="0047127B"/>
    <w:rsid w:val="00471294"/>
    <w:rsid w:val="004728A0"/>
    <w:rsid w:val="00473ED7"/>
    <w:rsid w:val="004742DD"/>
    <w:rsid w:val="00475231"/>
    <w:rsid w:val="00477AC8"/>
    <w:rsid w:val="00477CDD"/>
    <w:rsid w:val="0048022C"/>
    <w:rsid w:val="004804F9"/>
    <w:rsid w:val="00480571"/>
    <w:rsid w:val="004829D6"/>
    <w:rsid w:val="00482CF4"/>
    <w:rsid w:val="00484E96"/>
    <w:rsid w:val="00485CFE"/>
    <w:rsid w:val="00486052"/>
    <w:rsid w:val="0048757F"/>
    <w:rsid w:val="0049182E"/>
    <w:rsid w:val="00491C5F"/>
    <w:rsid w:val="00491F98"/>
    <w:rsid w:val="00492712"/>
    <w:rsid w:val="00493A94"/>
    <w:rsid w:val="00494058"/>
    <w:rsid w:val="00494D37"/>
    <w:rsid w:val="00496700"/>
    <w:rsid w:val="0049695F"/>
    <w:rsid w:val="004A0247"/>
    <w:rsid w:val="004A0DF7"/>
    <w:rsid w:val="004A1D31"/>
    <w:rsid w:val="004A20C7"/>
    <w:rsid w:val="004A2FB8"/>
    <w:rsid w:val="004A40A7"/>
    <w:rsid w:val="004A4D46"/>
    <w:rsid w:val="004A5586"/>
    <w:rsid w:val="004A59D5"/>
    <w:rsid w:val="004A6365"/>
    <w:rsid w:val="004A7139"/>
    <w:rsid w:val="004B1460"/>
    <w:rsid w:val="004B14B3"/>
    <w:rsid w:val="004B1531"/>
    <w:rsid w:val="004B193B"/>
    <w:rsid w:val="004B1DE7"/>
    <w:rsid w:val="004B1E5B"/>
    <w:rsid w:val="004B2D0E"/>
    <w:rsid w:val="004B3031"/>
    <w:rsid w:val="004B31F4"/>
    <w:rsid w:val="004B53EB"/>
    <w:rsid w:val="004B609E"/>
    <w:rsid w:val="004B6101"/>
    <w:rsid w:val="004B70C8"/>
    <w:rsid w:val="004C231E"/>
    <w:rsid w:val="004C3498"/>
    <w:rsid w:val="004C34D2"/>
    <w:rsid w:val="004C4823"/>
    <w:rsid w:val="004C4BD4"/>
    <w:rsid w:val="004C4FDD"/>
    <w:rsid w:val="004C58E3"/>
    <w:rsid w:val="004D2BB0"/>
    <w:rsid w:val="004D3DCB"/>
    <w:rsid w:val="004D56CD"/>
    <w:rsid w:val="004D6A45"/>
    <w:rsid w:val="004D72D4"/>
    <w:rsid w:val="004D761B"/>
    <w:rsid w:val="004D76ED"/>
    <w:rsid w:val="004E07F1"/>
    <w:rsid w:val="004E11E7"/>
    <w:rsid w:val="004E1233"/>
    <w:rsid w:val="004E18F2"/>
    <w:rsid w:val="004E28C6"/>
    <w:rsid w:val="004E4425"/>
    <w:rsid w:val="004E5A6B"/>
    <w:rsid w:val="004E68C7"/>
    <w:rsid w:val="004E6AD8"/>
    <w:rsid w:val="004E6DE1"/>
    <w:rsid w:val="004E7BEE"/>
    <w:rsid w:val="004F10E0"/>
    <w:rsid w:val="004F138F"/>
    <w:rsid w:val="004F1824"/>
    <w:rsid w:val="004F2D0A"/>
    <w:rsid w:val="004F3E31"/>
    <w:rsid w:val="004F420C"/>
    <w:rsid w:val="004F4755"/>
    <w:rsid w:val="004F5A4A"/>
    <w:rsid w:val="004F6096"/>
    <w:rsid w:val="004F6272"/>
    <w:rsid w:val="004F75B2"/>
    <w:rsid w:val="004F7CD4"/>
    <w:rsid w:val="00500123"/>
    <w:rsid w:val="005016AB"/>
    <w:rsid w:val="00502E16"/>
    <w:rsid w:val="00503802"/>
    <w:rsid w:val="00503FF2"/>
    <w:rsid w:val="00504789"/>
    <w:rsid w:val="00504DD6"/>
    <w:rsid w:val="0050670B"/>
    <w:rsid w:val="0050684F"/>
    <w:rsid w:val="00506987"/>
    <w:rsid w:val="00506FC4"/>
    <w:rsid w:val="005070CE"/>
    <w:rsid w:val="00507DA5"/>
    <w:rsid w:val="00511347"/>
    <w:rsid w:val="00511B29"/>
    <w:rsid w:val="005124ED"/>
    <w:rsid w:val="005141E8"/>
    <w:rsid w:val="00514F00"/>
    <w:rsid w:val="00516A89"/>
    <w:rsid w:val="005170BC"/>
    <w:rsid w:val="00517257"/>
    <w:rsid w:val="005176EF"/>
    <w:rsid w:val="00520BCE"/>
    <w:rsid w:val="005211FD"/>
    <w:rsid w:val="00521EAB"/>
    <w:rsid w:val="005221D4"/>
    <w:rsid w:val="00522278"/>
    <w:rsid w:val="005225FA"/>
    <w:rsid w:val="00524FEE"/>
    <w:rsid w:val="00525D3F"/>
    <w:rsid w:val="00526FF2"/>
    <w:rsid w:val="00527A18"/>
    <w:rsid w:val="005314AD"/>
    <w:rsid w:val="0053359C"/>
    <w:rsid w:val="00533D10"/>
    <w:rsid w:val="00534809"/>
    <w:rsid w:val="00534A07"/>
    <w:rsid w:val="00536F62"/>
    <w:rsid w:val="00540B70"/>
    <w:rsid w:val="00543616"/>
    <w:rsid w:val="00544511"/>
    <w:rsid w:val="00545708"/>
    <w:rsid w:val="00545ED8"/>
    <w:rsid w:val="00550975"/>
    <w:rsid w:val="00550C99"/>
    <w:rsid w:val="00553413"/>
    <w:rsid w:val="00553CF5"/>
    <w:rsid w:val="005553F2"/>
    <w:rsid w:val="00555AB2"/>
    <w:rsid w:val="00561129"/>
    <w:rsid w:val="00562410"/>
    <w:rsid w:val="00563E46"/>
    <w:rsid w:val="00563FD7"/>
    <w:rsid w:val="005703C0"/>
    <w:rsid w:val="005705D2"/>
    <w:rsid w:val="00571371"/>
    <w:rsid w:val="00571C54"/>
    <w:rsid w:val="005720EF"/>
    <w:rsid w:val="00572DFD"/>
    <w:rsid w:val="00573D95"/>
    <w:rsid w:val="005750A7"/>
    <w:rsid w:val="005754AB"/>
    <w:rsid w:val="00575C99"/>
    <w:rsid w:val="00581B39"/>
    <w:rsid w:val="005826F4"/>
    <w:rsid w:val="0058369E"/>
    <w:rsid w:val="00583BEF"/>
    <w:rsid w:val="005841E8"/>
    <w:rsid w:val="00585395"/>
    <w:rsid w:val="00585C4D"/>
    <w:rsid w:val="00586206"/>
    <w:rsid w:val="0058657F"/>
    <w:rsid w:val="0058746A"/>
    <w:rsid w:val="00587944"/>
    <w:rsid w:val="005905C1"/>
    <w:rsid w:val="00590D09"/>
    <w:rsid w:val="005914ED"/>
    <w:rsid w:val="0059156A"/>
    <w:rsid w:val="00592E2F"/>
    <w:rsid w:val="00593314"/>
    <w:rsid w:val="0059368E"/>
    <w:rsid w:val="00593BF5"/>
    <w:rsid w:val="00593C8D"/>
    <w:rsid w:val="00594059"/>
    <w:rsid w:val="00594496"/>
    <w:rsid w:val="00594883"/>
    <w:rsid w:val="00594E0E"/>
    <w:rsid w:val="00594E26"/>
    <w:rsid w:val="0059512B"/>
    <w:rsid w:val="005956D3"/>
    <w:rsid w:val="00596365"/>
    <w:rsid w:val="005965BC"/>
    <w:rsid w:val="005A04D8"/>
    <w:rsid w:val="005A395B"/>
    <w:rsid w:val="005A5676"/>
    <w:rsid w:val="005A5FD4"/>
    <w:rsid w:val="005A65C0"/>
    <w:rsid w:val="005A6ED5"/>
    <w:rsid w:val="005A758C"/>
    <w:rsid w:val="005A7E78"/>
    <w:rsid w:val="005B03ED"/>
    <w:rsid w:val="005B0B39"/>
    <w:rsid w:val="005B1776"/>
    <w:rsid w:val="005B1BA3"/>
    <w:rsid w:val="005B32FB"/>
    <w:rsid w:val="005B37CA"/>
    <w:rsid w:val="005B3E97"/>
    <w:rsid w:val="005B4286"/>
    <w:rsid w:val="005B440B"/>
    <w:rsid w:val="005B4EA4"/>
    <w:rsid w:val="005B594D"/>
    <w:rsid w:val="005B6D37"/>
    <w:rsid w:val="005B7215"/>
    <w:rsid w:val="005B7B72"/>
    <w:rsid w:val="005B7FE4"/>
    <w:rsid w:val="005C05E0"/>
    <w:rsid w:val="005C1350"/>
    <w:rsid w:val="005C32D1"/>
    <w:rsid w:val="005C3338"/>
    <w:rsid w:val="005C3523"/>
    <w:rsid w:val="005C37E0"/>
    <w:rsid w:val="005C3A47"/>
    <w:rsid w:val="005C3FDA"/>
    <w:rsid w:val="005C54B9"/>
    <w:rsid w:val="005C5A1C"/>
    <w:rsid w:val="005C64D2"/>
    <w:rsid w:val="005C6618"/>
    <w:rsid w:val="005D0189"/>
    <w:rsid w:val="005D0A81"/>
    <w:rsid w:val="005D18D6"/>
    <w:rsid w:val="005D2997"/>
    <w:rsid w:val="005D4958"/>
    <w:rsid w:val="005D6197"/>
    <w:rsid w:val="005E06F0"/>
    <w:rsid w:val="005E37E8"/>
    <w:rsid w:val="005E4470"/>
    <w:rsid w:val="005E54A6"/>
    <w:rsid w:val="005E5794"/>
    <w:rsid w:val="005E6C9F"/>
    <w:rsid w:val="005E7E07"/>
    <w:rsid w:val="005E7E76"/>
    <w:rsid w:val="005F31CA"/>
    <w:rsid w:val="005F3D5A"/>
    <w:rsid w:val="005F56D5"/>
    <w:rsid w:val="005F7E54"/>
    <w:rsid w:val="00600B52"/>
    <w:rsid w:val="00600F4E"/>
    <w:rsid w:val="00603FD5"/>
    <w:rsid w:val="0060454E"/>
    <w:rsid w:val="0060637C"/>
    <w:rsid w:val="00606A92"/>
    <w:rsid w:val="00606DEF"/>
    <w:rsid w:val="00607F03"/>
    <w:rsid w:val="00610627"/>
    <w:rsid w:val="00610F6C"/>
    <w:rsid w:val="00611A91"/>
    <w:rsid w:val="00611E66"/>
    <w:rsid w:val="00614697"/>
    <w:rsid w:val="006158B6"/>
    <w:rsid w:val="00616728"/>
    <w:rsid w:val="00616DC8"/>
    <w:rsid w:val="0061782F"/>
    <w:rsid w:val="00617DCC"/>
    <w:rsid w:val="0062031E"/>
    <w:rsid w:val="006203A5"/>
    <w:rsid w:val="00620548"/>
    <w:rsid w:val="00624B90"/>
    <w:rsid w:val="00625EAA"/>
    <w:rsid w:val="0063043E"/>
    <w:rsid w:val="00630992"/>
    <w:rsid w:val="00630AA1"/>
    <w:rsid w:val="00630F02"/>
    <w:rsid w:val="0063105F"/>
    <w:rsid w:val="00631104"/>
    <w:rsid w:val="00631144"/>
    <w:rsid w:val="00633725"/>
    <w:rsid w:val="006341EA"/>
    <w:rsid w:val="00634B27"/>
    <w:rsid w:val="006379EF"/>
    <w:rsid w:val="00637DBB"/>
    <w:rsid w:val="00641F65"/>
    <w:rsid w:val="00644AA2"/>
    <w:rsid w:val="00644F9A"/>
    <w:rsid w:val="006475BD"/>
    <w:rsid w:val="006503EF"/>
    <w:rsid w:val="006527FF"/>
    <w:rsid w:val="0065350F"/>
    <w:rsid w:val="006535DE"/>
    <w:rsid w:val="00653C44"/>
    <w:rsid w:val="00654690"/>
    <w:rsid w:val="006547F5"/>
    <w:rsid w:val="00654E74"/>
    <w:rsid w:val="00656940"/>
    <w:rsid w:val="00656A1C"/>
    <w:rsid w:val="00656A8A"/>
    <w:rsid w:val="0066085B"/>
    <w:rsid w:val="006608F9"/>
    <w:rsid w:val="00662209"/>
    <w:rsid w:val="006622F7"/>
    <w:rsid w:val="006626D2"/>
    <w:rsid w:val="0066381C"/>
    <w:rsid w:val="00663DA7"/>
    <w:rsid w:val="00663F66"/>
    <w:rsid w:val="0066484E"/>
    <w:rsid w:val="00664BA7"/>
    <w:rsid w:val="00665D92"/>
    <w:rsid w:val="00666A6F"/>
    <w:rsid w:val="00670D9F"/>
    <w:rsid w:val="0067114E"/>
    <w:rsid w:val="006713B5"/>
    <w:rsid w:val="00671E91"/>
    <w:rsid w:val="00672092"/>
    <w:rsid w:val="006737B4"/>
    <w:rsid w:val="00674296"/>
    <w:rsid w:val="00674AF8"/>
    <w:rsid w:val="00681434"/>
    <w:rsid w:val="00681C7C"/>
    <w:rsid w:val="006841AE"/>
    <w:rsid w:val="006856A6"/>
    <w:rsid w:val="00686678"/>
    <w:rsid w:val="0068724F"/>
    <w:rsid w:val="00690C3A"/>
    <w:rsid w:val="00691C66"/>
    <w:rsid w:val="00691EE4"/>
    <w:rsid w:val="006922B9"/>
    <w:rsid w:val="00694574"/>
    <w:rsid w:val="00694AF1"/>
    <w:rsid w:val="006964F3"/>
    <w:rsid w:val="006A08BA"/>
    <w:rsid w:val="006A1DEF"/>
    <w:rsid w:val="006A289E"/>
    <w:rsid w:val="006A2DC2"/>
    <w:rsid w:val="006A3257"/>
    <w:rsid w:val="006A47D7"/>
    <w:rsid w:val="006A4881"/>
    <w:rsid w:val="006A5E07"/>
    <w:rsid w:val="006A7069"/>
    <w:rsid w:val="006A7A62"/>
    <w:rsid w:val="006B1395"/>
    <w:rsid w:val="006B2B1A"/>
    <w:rsid w:val="006B4B20"/>
    <w:rsid w:val="006B523D"/>
    <w:rsid w:val="006B551A"/>
    <w:rsid w:val="006B6B82"/>
    <w:rsid w:val="006C0141"/>
    <w:rsid w:val="006C36D5"/>
    <w:rsid w:val="006C3C39"/>
    <w:rsid w:val="006C40F5"/>
    <w:rsid w:val="006C4AF4"/>
    <w:rsid w:val="006C4C82"/>
    <w:rsid w:val="006C7BA1"/>
    <w:rsid w:val="006D095B"/>
    <w:rsid w:val="006D178E"/>
    <w:rsid w:val="006D228C"/>
    <w:rsid w:val="006D36F1"/>
    <w:rsid w:val="006D3F2F"/>
    <w:rsid w:val="006D4F09"/>
    <w:rsid w:val="006D5F4F"/>
    <w:rsid w:val="006D7B5C"/>
    <w:rsid w:val="006E197B"/>
    <w:rsid w:val="006E3536"/>
    <w:rsid w:val="006E5EFC"/>
    <w:rsid w:val="006E6470"/>
    <w:rsid w:val="006E64E7"/>
    <w:rsid w:val="006F541C"/>
    <w:rsid w:val="006F7863"/>
    <w:rsid w:val="00701100"/>
    <w:rsid w:val="00701D57"/>
    <w:rsid w:val="007021E7"/>
    <w:rsid w:val="007035E0"/>
    <w:rsid w:val="00705E82"/>
    <w:rsid w:val="00711454"/>
    <w:rsid w:val="007116CE"/>
    <w:rsid w:val="007121F4"/>
    <w:rsid w:val="007126BB"/>
    <w:rsid w:val="00712917"/>
    <w:rsid w:val="0071345B"/>
    <w:rsid w:val="00713D09"/>
    <w:rsid w:val="00714045"/>
    <w:rsid w:val="00714488"/>
    <w:rsid w:val="007158C6"/>
    <w:rsid w:val="00716866"/>
    <w:rsid w:val="007170C3"/>
    <w:rsid w:val="00717C18"/>
    <w:rsid w:val="00720507"/>
    <w:rsid w:val="007215EF"/>
    <w:rsid w:val="00723EBE"/>
    <w:rsid w:val="0072790B"/>
    <w:rsid w:val="00727AAC"/>
    <w:rsid w:val="00727B44"/>
    <w:rsid w:val="007301C9"/>
    <w:rsid w:val="0073052D"/>
    <w:rsid w:val="00730F7E"/>
    <w:rsid w:val="00735139"/>
    <w:rsid w:val="007369B7"/>
    <w:rsid w:val="007373F6"/>
    <w:rsid w:val="00740FFF"/>
    <w:rsid w:val="00741A71"/>
    <w:rsid w:val="0074214B"/>
    <w:rsid w:val="00742F0D"/>
    <w:rsid w:val="00743548"/>
    <w:rsid w:val="00744031"/>
    <w:rsid w:val="00744120"/>
    <w:rsid w:val="00745681"/>
    <w:rsid w:val="00745CD9"/>
    <w:rsid w:val="007462FB"/>
    <w:rsid w:val="0074687A"/>
    <w:rsid w:val="00751116"/>
    <w:rsid w:val="00753677"/>
    <w:rsid w:val="0075386F"/>
    <w:rsid w:val="007549B1"/>
    <w:rsid w:val="00755C0C"/>
    <w:rsid w:val="0075659F"/>
    <w:rsid w:val="00760304"/>
    <w:rsid w:val="00760E1B"/>
    <w:rsid w:val="00761BA7"/>
    <w:rsid w:val="00762F69"/>
    <w:rsid w:val="00764B58"/>
    <w:rsid w:val="00764FE1"/>
    <w:rsid w:val="00765143"/>
    <w:rsid w:val="0076627C"/>
    <w:rsid w:val="007669DE"/>
    <w:rsid w:val="00767EAE"/>
    <w:rsid w:val="007707A0"/>
    <w:rsid w:val="00770DB0"/>
    <w:rsid w:val="0077164C"/>
    <w:rsid w:val="007721FB"/>
    <w:rsid w:val="007722C4"/>
    <w:rsid w:val="00775165"/>
    <w:rsid w:val="00780B0E"/>
    <w:rsid w:val="007831EE"/>
    <w:rsid w:val="0078533C"/>
    <w:rsid w:val="00786D3A"/>
    <w:rsid w:val="0078760F"/>
    <w:rsid w:val="00790A00"/>
    <w:rsid w:val="007920AD"/>
    <w:rsid w:val="0079223E"/>
    <w:rsid w:val="00792C63"/>
    <w:rsid w:val="007930F2"/>
    <w:rsid w:val="007947C2"/>
    <w:rsid w:val="00794AF1"/>
    <w:rsid w:val="00796391"/>
    <w:rsid w:val="00796956"/>
    <w:rsid w:val="00796B7C"/>
    <w:rsid w:val="007A0363"/>
    <w:rsid w:val="007A3141"/>
    <w:rsid w:val="007A5B9A"/>
    <w:rsid w:val="007A73D8"/>
    <w:rsid w:val="007A7582"/>
    <w:rsid w:val="007B0BD6"/>
    <w:rsid w:val="007B0EA8"/>
    <w:rsid w:val="007B1608"/>
    <w:rsid w:val="007B1A51"/>
    <w:rsid w:val="007B2099"/>
    <w:rsid w:val="007B2C68"/>
    <w:rsid w:val="007B5EFC"/>
    <w:rsid w:val="007B6A93"/>
    <w:rsid w:val="007B7198"/>
    <w:rsid w:val="007C0C8F"/>
    <w:rsid w:val="007C16C9"/>
    <w:rsid w:val="007C1B8F"/>
    <w:rsid w:val="007C2CF5"/>
    <w:rsid w:val="007C3475"/>
    <w:rsid w:val="007C3E42"/>
    <w:rsid w:val="007C7265"/>
    <w:rsid w:val="007C75C7"/>
    <w:rsid w:val="007D05E4"/>
    <w:rsid w:val="007D07AA"/>
    <w:rsid w:val="007D1569"/>
    <w:rsid w:val="007D201A"/>
    <w:rsid w:val="007D25EB"/>
    <w:rsid w:val="007D5558"/>
    <w:rsid w:val="007D5EE3"/>
    <w:rsid w:val="007D6444"/>
    <w:rsid w:val="007D657E"/>
    <w:rsid w:val="007D6E8C"/>
    <w:rsid w:val="007E0309"/>
    <w:rsid w:val="007E1A38"/>
    <w:rsid w:val="007E426C"/>
    <w:rsid w:val="007E4CCB"/>
    <w:rsid w:val="007E5F97"/>
    <w:rsid w:val="007E64AA"/>
    <w:rsid w:val="007E76C2"/>
    <w:rsid w:val="007F07A0"/>
    <w:rsid w:val="007F2CDE"/>
    <w:rsid w:val="007F4777"/>
    <w:rsid w:val="007F487A"/>
    <w:rsid w:val="007F57D8"/>
    <w:rsid w:val="007F719F"/>
    <w:rsid w:val="007F7D8C"/>
    <w:rsid w:val="008017BC"/>
    <w:rsid w:val="00802F30"/>
    <w:rsid w:val="0080322B"/>
    <w:rsid w:val="008035C3"/>
    <w:rsid w:val="0080370E"/>
    <w:rsid w:val="00803C3F"/>
    <w:rsid w:val="00803F26"/>
    <w:rsid w:val="00804100"/>
    <w:rsid w:val="0080465D"/>
    <w:rsid w:val="00804891"/>
    <w:rsid w:val="00804B8B"/>
    <w:rsid w:val="00805EC4"/>
    <w:rsid w:val="008060F8"/>
    <w:rsid w:val="00806F63"/>
    <w:rsid w:val="0080759B"/>
    <w:rsid w:val="00807729"/>
    <w:rsid w:val="00807F06"/>
    <w:rsid w:val="00810490"/>
    <w:rsid w:val="00811196"/>
    <w:rsid w:val="008117C6"/>
    <w:rsid w:val="00813C0D"/>
    <w:rsid w:val="008147ED"/>
    <w:rsid w:val="00814EA0"/>
    <w:rsid w:val="0081533C"/>
    <w:rsid w:val="008161D7"/>
    <w:rsid w:val="008174B0"/>
    <w:rsid w:val="0081786F"/>
    <w:rsid w:val="00817E7A"/>
    <w:rsid w:val="00820661"/>
    <w:rsid w:val="00821CF8"/>
    <w:rsid w:val="008236E1"/>
    <w:rsid w:val="00823B3B"/>
    <w:rsid w:val="00823E73"/>
    <w:rsid w:val="008240FC"/>
    <w:rsid w:val="0082437F"/>
    <w:rsid w:val="0082727E"/>
    <w:rsid w:val="00827537"/>
    <w:rsid w:val="008312D9"/>
    <w:rsid w:val="00831E3D"/>
    <w:rsid w:val="00832B46"/>
    <w:rsid w:val="008343F5"/>
    <w:rsid w:val="00836262"/>
    <w:rsid w:val="00836E3A"/>
    <w:rsid w:val="00837210"/>
    <w:rsid w:val="00840CAD"/>
    <w:rsid w:val="00841224"/>
    <w:rsid w:val="0084238D"/>
    <w:rsid w:val="00843485"/>
    <w:rsid w:val="00846A79"/>
    <w:rsid w:val="008472B8"/>
    <w:rsid w:val="008502CB"/>
    <w:rsid w:val="008529A2"/>
    <w:rsid w:val="0085439B"/>
    <w:rsid w:val="008565E8"/>
    <w:rsid w:val="0085732F"/>
    <w:rsid w:val="008579B4"/>
    <w:rsid w:val="008607C6"/>
    <w:rsid w:val="0086099C"/>
    <w:rsid w:val="00860C3C"/>
    <w:rsid w:val="00860FF9"/>
    <w:rsid w:val="00862022"/>
    <w:rsid w:val="00865C3A"/>
    <w:rsid w:val="00867773"/>
    <w:rsid w:val="008679F6"/>
    <w:rsid w:val="00870152"/>
    <w:rsid w:val="00871A6C"/>
    <w:rsid w:val="00871AA7"/>
    <w:rsid w:val="00872A6F"/>
    <w:rsid w:val="008730FD"/>
    <w:rsid w:val="0087380C"/>
    <w:rsid w:val="0087519B"/>
    <w:rsid w:val="00875CCB"/>
    <w:rsid w:val="008761DA"/>
    <w:rsid w:val="0088041D"/>
    <w:rsid w:val="00881007"/>
    <w:rsid w:val="008833F3"/>
    <w:rsid w:val="008838A9"/>
    <w:rsid w:val="008840F6"/>
    <w:rsid w:val="0088474C"/>
    <w:rsid w:val="008849FE"/>
    <w:rsid w:val="00890154"/>
    <w:rsid w:val="008908F1"/>
    <w:rsid w:val="00890B62"/>
    <w:rsid w:val="008931A5"/>
    <w:rsid w:val="0089580A"/>
    <w:rsid w:val="0089652E"/>
    <w:rsid w:val="00896993"/>
    <w:rsid w:val="00897466"/>
    <w:rsid w:val="00897793"/>
    <w:rsid w:val="008A15B8"/>
    <w:rsid w:val="008A1632"/>
    <w:rsid w:val="008A21DB"/>
    <w:rsid w:val="008A32EA"/>
    <w:rsid w:val="008A50CF"/>
    <w:rsid w:val="008A5E0C"/>
    <w:rsid w:val="008A6F83"/>
    <w:rsid w:val="008B05C3"/>
    <w:rsid w:val="008B164B"/>
    <w:rsid w:val="008B2297"/>
    <w:rsid w:val="008B2B83"/>
    <w:rsid w:val="008B34DD"/>
    <w:rsid w:val="008B4965"/>
    <w:rsid w:val="008B4C16"/>
    <w:rsid w:val="008B4D32"/>
    <w:rsid w:val="008B5719"/>
    <w:rsid w:val="008B7732"/>
    <w:rsid w:val="008B78B1"/>
    <w:rsid w:val="008B7D2C"/>
    <w:rsid w:val="008C0356"/>
    <w:rsid w:val="008C09DA"/>
    <w:rsid w:val="008C1CCF"/>
    <w:rsid w:val="008C291F"/>
    <w:rsid w:val="008C447F"/>
    <w:rsid w:val="008C5469"/>
    <w:rsid w:val="008C5C93"/>
    <w:rsid w:val="008C71E9"/>
    <w:rsid w:val="008D005D"/>
    <w:rsid w:val="008D060D"/>
    <w:rsid w:val="008D0888"/>
    <w:rsid w:val="008D09F3"/>
    <w:rsid w:val="008D1004"/>
    <w:rsid w:val="008D18FA"/>
    <w:rsid w:val="008D19FD"/>
    <w:rsid w:val="008D1ABD"/>
    <w:rsid w:val="008D3A0D"/>
    <w:rsid w:val="008D3E3D"/>
    <w:rsid w:val="008D40B0"/>
    <w:rsid w:val="008D55D2"/>
    <w:rsid w:val="008D6B04"/>
    <w:rsid w:val="008E0F07"/>
    <w:rsid w:val="008E1260"/>
    <w:rsid w:val="008E17E5"/>
    <w:rsid w:val="008E25D6"/>
    <w:rsid w:val="008E6CA4"/>
    <w:rsid w:val="008E7336"/>
    <w:rsid w:val="008E73AB"/>
    <w:rsid w:val="008E7704"/>
    <w:rsid w:val="008E7BD4"/>
    <w:rsid w:val="008E7E9D"/>
    <w:rsid w:val="008F0A95"/>
    <w:rsid w:val="008F30D5"/>
    <w:rsid w:val="008F567D"/>
    <w:rsid w:val="008F5861"/>
    <w:rsid w:val="008F6F1A"/>
    <w:rsid w:val="008F7809"/>
    <w:rsid w:val="008F7897"/>
    <w:rsid w:val="00900632"/>
    <w:rsid w:val="00900DAA"/>
    <w:rsid w:val="0090137A"/>
    <w:rsid w:val="00903370"/>
    <w:rsid w:val="00904B02"/>
    <w:rsid w:val="00907019"/>
    <w:rsid w:val="00907482"/>
    <w:rsid w:val="00911554"/>
    <w:rsid w:val="00912911"/>
    <w:rsid w:val="00912A84"/>
    <w:rsid w:val="0091349A"/>
    <w:rsid w:val="009136D6"/>
    <w:rsid w:val="009136F0"/>
    <w:rsid w:val="009140AF"/>
    <w:rsid w:val="00914399"/>
    <w:rsid w:val="0091530C"/>
    <w:rsid w:val="009158BF"/>
    <w:rsid w:val="009159A3"/>
    <w:rsid w:val="00921FD1"/>
    <w:rsid w:val="0092219E"/>
    <w:rsid w:val="00922992"/>
    <w:rsid w:val="00925A79"/>
    <w:rsid w:val="00925AEC"/>
    <w:rsid w:val="00926BAE"/>
    <w:rsid w:val="009271B6"/>
    <w:rsid w:val="009271D6"/>
    <w:rsid w:val="0092799C"/>
    <w:rsid w:val="00927EB3"/>
    <w:rsid w:val="009302DD"/>
    <w:rsid w:val="009311A8"/>
    <w:rsid w:val="00931EBF"/>
    <w:rsid w:val="0093368F"/>
    <w:rsid w:val="00933E08"/>
    <w:rsid w:val="009342FC"/>
    <w:rsid w:val="009353BA"/>
    <w:rsid w:val="00935B47"/>
    <w:rsid w:val="00936068"/>
    <w:rsid w:val="00937A48"/>
    <w:rsid w:val="00937EDD"/>
    <w:rsid w:val="00940AC8"/>
    <w:rsid w:val="00940B32"/>
    <w:rsid w:val="00942E76"/>
    <w:rsid w:val="009430F5"/>
    <w:rsid w:val="0094371E"/>
    <w:rsid w:val="00943806"/>
    <w:rsid w:val="00943901"/>
    <w:rsid w:val="009459A9"/>
    <w:rsid w:val="00946351"/>
    <w:rsid w:val="009466E5"/>
    <w:rsid w:val="00950ADB"/>
    <w:rsid w:val="00950D44"/>
    <w:rsid w:val="009516AD"/>
    <w:rsid w:val="009517CC"/>
    <w:rsid w:val="0095224D"/>
    <w:rsid w:val="00954641"/>
    <w:rsid w:val="00954C66"/>
    <w:rsid w:val="009563D5"/>
    <w:rsid w:val="00957084"/>
    <w:rsid w:val="00961175"/>
    <w:rsid w:val="009615D4"/>
    <w:rsid w:val="00962905"/>
    <w:rsid w:val="00962A2F"/>
    <w:rsid w:val="00964102"/>
    <w:rsid w:val="0096473B"/>
    <w:rsid w:val="00964800"/>
    <w:rsid w:val="00970A20"/>
    <w:rsid w:val="0097163D"/>
    <w:rsid w:val="009721F8"/>
    <w:rsid w:val="009744DD"/>
    <w:rsid w:val="00974677"/>
    <w:rsid w:val="00975563"/>
    <w:rsid w:val="00976023"/>
    <w:rsid w:val="00980461"/>
    <w:rsid w:val="00983A02"/>
    <w:rsid w:val="009842D2"/>
    <w:rsid w:val="009864AF"/>
    <w:rsid w:val="0098684B"/>
    <w:rsid w:val="0098752C"/>
    <w:rsid w:val="009876E7"/>
    <w:rsid w:val="009901F4"/>
    <w:rsid w:val="009905EB"/>
    <w:rsid w:val="00993248"/>
    <w:rsid w:val="00995A65"/>
    <w:rsid w:val="00995DC4"/>
    <w:rsid w:val="00995ECB"/>
    <w:rsid w:val="00995FB5"/>
    <w:rsid w:val="009967DB"/>
    <w:rsid w:val="009969C3"/>
    <w:rsid w:val="009971D3"/>
    <w:rsid w:val="00997354"/>
    <w:rsid w:val="00997CD5"/>
    <w:rsid w:val="009A00E5"/>
    <w:rsid w:val="009A11C8"/>
    <w:rsid w:val="009A1B49"/>
    <w:rsid w:val="009A1D30"/>
    <w:rsid w:val="009A2A0A"/>
    <w:rsid w:val="009A2F17"/>
    <w:rsid w:val="009A3C2B"/>
    <w:rsid w:val="009A54B9"/>
    <w:rsid w:val="009A598B"/>
    <w:rsid w:val="009A61B6"/>
    <w:rsid w:val="009A61E0"/>
    <w:rsid w:val="009A7238"/>
    <w:rsid w:val="009B3173"/>
    <w:rsid w:val="009B33D1"/>
    <w:rsid w:val="009C078C"/>
    <w:rsid w:val="009C0E42"/>
    <w:rsid w:val="009C16B8"/>
    <w:rsid w:val="009C1EA7"/>
    <w:rsid w:val="009C5179"/>
    <w:rsid w:val="009C6075"/>
    <w:rsid w:val="009C6B5C"/>
    <w:rsid w:val="009D24F5"/>
    <w:rsid w:val="009D27E6"/>
    <w:rsid w:val="009D360D"/>
    <w:rsid w:val="009D4750"/>
    <w:rsid w:val="009D4AD5"/>
    <w:rsid w:val="009D6206"/>
    <w:rsid w:val="009D7F4D"/>
    <w:rsid w:val="009E08ED"/>
    <w:rsid w:val="009E19A3"/>
    <w:rsid w:val="009E1D51"/>
    <w:rsid w:val="009E2BF5"/>
    <w:rsid w:val="009E2E03"/>
    <w:rsid w:val="009E3B49"/>
    <w:rsid w:val="009E4267"/>
    <w:rsid w:val="009E4DC0"/>
    <w:rsid w:val="009E4E69"/>
    <w:rsid w:val="009E568A"/>
    <w:rsid w:val="009E6047"/>
    <w:rsid w:val="009E64B4"/>
    <w:rsid w:val="009E66D6"/>
    <w:rsid w:val="009E706D"/>
    <w:rsid w:val="009F1318"/>
    <w:rsid w:val="009F18F7"/>
    <w:rsid w:val="009F2251"/>
    <w:rsid w:val="009F2F95"/>
    <w:rsid w:val="009F31C4"/>
    <w:rsid w:val="009F3E52"/>
    <w:rsid w:val="009F4E8C"/>
    <w:rsid w:val="009F578D"/>
    <w:rsid w:val="00A0099A"/>
    <w:rsid w:val="00A038E3"/>
    <w:rsid w:val="00A03D27"/>
    <w:rsid w:val="00A0534F"/>
    <w:rsid w:val="00A056EF"/>
    <w:rsid w:val="00A06B10"/>
    <w:rsid w:val="00A072C3"/>
    <w:rsid w:val="00A0757A"/>
    <w:rsid w:val="00A115D6"/>
    <w:rsid w:val="00A1171F"/>
    <w:rsid w:val="00A11A3E"/>
    <w:rsid w:val="00A128B7"/>
    <w:rsid w:val="00A12DFB"/>
    <w:rsid w:val="00A12E56"/>
    <w:rsid w:val="00A13615"/>
    <w:rsid w:val="00A13664"/>
    <w:rsid w:val="00A17073"/>
    <w:rsid w:val="00A175AE"/>
    <w:rsid w:val="00A177A4"/>
    <w:rsid w:val="00A207F9"/>
    <w:rsid w:val="00A22999"/>
    <w:rsid w:val="00A2327B"/>
    <w:rsid w:val="00A24005"/>
    <w:rsid w:val="00A2437B"/>
    <w:rsid w:val="00A25C86"/>
    <w:rsid w:val="00A2624C"/>
    <w:rsid w:val="00A26336"/>
    <w:rsid w:val="00A26636"/>
    <w:rsid w:val="00A26F6D"/>
    <w:rsid w:val="00A27450"/>
    <w:rsid w:val="00A3032F"/>
    <w:rsid w:val="00A30594"/>
    <w:rsid w:val="00A31566"/>
    <w:rsid w:val="00A3296B"/>
    <w:rsid w:val="00A34959"/>
    <w:rsid w:val="00A3588B"/>
    <w:rsid w:val="00A378E3"/>
    <w:rsid w:val="00A40C8F"/>
    <w:rsid w:val="00A416AD"/>
    <w:rsid w:val="00A42C16"/>
    <w:rsid w:val="00A42D9D"/>
    <w:rsid w:val="00A44175"/>
    <w:rsid w:val="00A45BA2"/>
    <w:rsid w:val="00A471AE"/>
    <w:rsid w:val="00A5005E"/>
    <w:rsid w:val="00A50CD9"/>
    <w:rsid w:val="00A511B8"/>
    <w:rsid w:val="00A51374"/>
    <w:rsid w:val="00A51809"/>
    <w:rsid w:val="00A51DB7"/>
    <w:rsid w:val="00A52714"/>
    <w:rsid w:val="00A54E95"/>
    <w:rsid w:val="00A5529A"/>
    <w:rsid w:val="00A5703F"/>
    <w:rsid w:val="00A60FC4"/>
    <w:rsid w:val="00A6150F"/>
    <w:rsid w:val="00A615D8"/>
    <w:rsid w:val="00A61AFE"/>
    <w:rsid w:val="00A63746"/>
    <w:rsid w:val="00A641DE"/>
    <w:rsid w:val="00A65DCB"/>
    <w:rsid w:val="00A666F4"/>
    <w:rsid w:val="00A7024E"/>
    <w:rsid w:val="00A71455"/>
    <w:rsid w:val="00A72EB4"/>
    <w:rsid w:val="00A739DF"/>
    <w:rsid w:val="00A75A00"/>
    <w:rsid w:val="00A75DCB"/>
    <w:rsid w:val="00A7784D"/>
    <w:rsid w:val="00A77A08"/>
    <w:rsid w:val="00A8183A"/>
    <w:rsid w:val="00A86051"/>
    <w:rsid w:val="00A8625F"/>
    <w:rsid w:val="00A87AB4"/>
    <w:rsid w:val="00A87B2E"/>
    <w:rsid w:val="00A90151"/>
    <w:rsid w:val="00A90256"/>
    <w:rsid w:val="00A90858"/>
    <w:rsid w:val="00A916CE"/>
    <w:rsid w:val="00A92511"/>
    <w:rsid w:val="00A92B0C"/>
    <w:rsid w:val="00A9359B"/>
    <w:rsid w:val="00A9545C"/>
    <w:rsid w:val="00A970A6"/>
    <w:rsid w:val="00A97949"/>
    <w:rsid w:val="00A97DE9"/>
    <w:rsid w:val="00A97F86"/>
    <w:rsid w:val="00AA020C"/>
    <w:rsid w:val="00AA03DF"/>
    <w:rsid w:val="00AA163B"/>
    <w:rsid w:val="00AA17E5"/>
    <w:rsid w:val="00AA2255"/>
    <w:rsid w:val="00AA268D"/>
    <w:rsid w:val="00AA2834"/>
    <w:rsid w:val="00AA2E58"/>
    <w:rsid w:val="00AA3569"/>
    <w:rsid w:val="00AA38B7"/>
    <w:rsid w:val="00AA5CE5"/>
    <w:rsid w:val="00AA60CD"/>
    <w:rsid w:val="00AA657D"/>
    <w:rsid w:val="00AA7CF1"/>
    <w:rsid w:val="00AB0038"/>
    <w:rsid w:val="00AB030C"/>
    <w:rsid w:val="00AB072C"/>
    <w:rsid w:val="00AB0912"/>
    <w:rsid w:val="00AB10F4"/>
    <w:rsid w:val="00AB2D17"/>
    <w:rsid w:val="00AB34AD"/>
    <w:rsid w:val="00AB46E2"/>
    <w:rsid w:val="00AB6063"/>
    <w:rsid w:val="00AB6C7F"/>
    <w:rsid w:val="00AB7306"/>
    <w:rsid w:val="00AC0317"/>
    <w:rsid w:val="00AC15B6"/>
    <w:rsid w:val="00AC4EB9"/>
    <w:rsid w:val="00AC4F7C"/>
    <w:rsid w:val="00AC587D"/>
    <w:rsid w:val="00AC734E"/>
    <w:rsid w:val="00AC7481"/>
    <w:rsid w:val="00AD0FB9"/>
    <w:rsid w:val="00AD1AA2"/>
    <w:rsid w:val="00AD31DF"/>
    <w:rsid w:val="00AD39DD"/>
    <w:rsid w:val="00AD41CC"/>
    <w:rsid w:val="00AD5264"/>
    <w:rsid w:val="00AD5690"/>
    <w:rsid w:val="00AD7878"/>
    <w:rsid w:val="00AD7899"/>
    <w:rsid w:val="00AD7A30"/>
    <w:rsid w:val="00AE1C68"/>
    <w:rsid w:val="00AE31BF"/>
    <w:rsid w:val="00AE44E4"/>
    <w:rsid w:val="00AE4607"/>
    <w:rsid w:val="00AE47DF"/>
    <w:rsid w:val="00AE533F"/>
    <w:rsid w:val="00AE7132"/>
    <w:rsid w:val="00AE72E1"/>
    <w:rsid w:val="00AF28A2"/>
    <w:rsid w:val="00AF35EE"/>
    <w:rsid w:val="00AF3BD9"/>
    <w:rsid w:val="00AF479F"/>
    <w:rsid w:val="00AF6BCF"/>
    <w:rsid w:val="00AF6F54"/>
    <w:rsid w:val="00B0042D"/>
    <w:rsid w:val="00B00A7A"/>
    <w:rsid w:val="00B03205"/>
    <w:rsid w:val="00B0320C"/>
    <w:rsid w:val="00B044BC"/>
    <w:rsid w:val="00B053C8"/>
    <w:rsid w:val="00B107BE"/>
    <w:rsid w:val="00B111F9"/>
    <w:rsid w:val="00B114D8"/>
    <w:rsid w:val="00B11E1C"/>
    <w:rsid w:val="00B11F80"/>
    <w:rsid w:val="00B120C9"/>
    <w:rsid w:val="00B12141"/>
    <w:rsid w:val="00B12756"/>
    <w:rsid w:val="00B1314E"/>
    <w:rsid w:val="00B1502A"/>
    <w:rsid w:val="00B16511"/>
    <w:rsid w:val="00B17183"/>
    <w:rsid w:val="00B20E4A"/>
    <w:rsid w:val="00B23258"/>
    <w:rsid w:val="00B23603"/>
    <w:rsid w:val="00B25C18"/>
    <w:rsid w:val="00B25C73"/>
    <w:rsid w:val="00B302FA"/>
    <w:rsid w:val="00B30A76"/>
    <w:rsid w:val="00B310CE"/>
    <w:rsid w:val="00B31374"/>
    <w:rsid w:val="00B3154F"/>
    <w:rsid w:val="00B31653"/>
    <w:rsid w:val="00B31BD5"/>
    <w:rsid w:val="00B32D6C"/>
    <w:rsid w:val="00B331F9"/>
    <w:rsid w:val="00B34048"/>
    <w:rsid w:val="00B342E3"/>
    <w:rsid w:val="00B35BD1"/>
    <w:rsid w:val="00B3749D"/>
    <w:rsid w:val="00B37B6B"/>
    <w:rsid w:val="00B40730"/>
    <w:rsid w:val="00B40790"/>
    <w:rsid w:val="00B4200E"/>
    <w:rsid w:val="00B42010"/>
    <w:rsid w:val="00B4223C"/>
    <w:rsid w:val="00B424AD"/>
    <w:rsid w:val="00B42704"/>
    <w:rsid w:val="00B42FBC"/>
    <w:rsid w:val="00B443CC"/>
    <w:rsid w:val="00B456BD"/>
    <w:rsid w:val="00B45843"/>
    <w:rsid w:val="00B46917"/>
    <w:rsid w:val="00B47143"/>
    <w:rsid w:val="00B47918"/>
    <w:rsid w:val="00B50B06"/>
    <w:rsid w:val="00B524D0"/>
    <w:rsid w:val="00B527CB"/>
    <w:rsid w:val="00B541D5"/>
    <w:rsid w:val="00B549D0"/>
    <w:rsid w:val="00B556C5"/>
    <w:rsid w:val="00B55A32"/>
    <w:rsid w:val="00B55FFD"/>
    <w:rsid w:val="00B578A3"/>
    <w:rsid w:val="00B57B58"/>
    <w:rsid w:val="00B600D7"/>
    <w:rsid w:val="00B60D5E"/>
    <w:rsid w:val="00B611F9"/>
    <w:rsid w:val="00B655BD"/>
    <w:rsid w:val="00B65C5E"/>
    <w:rsid w:val="00B65DAA"/>
    <w:rsid w:val="00B66B2F"/>
    <w:rsid w:val="00B670B1"/>
    <w:rsid w:val="00B720EC"/>
    <w:rsid w:val="00B738C8"/>
    <w:rsid w:val="00B74AA7"/>
    <w:rsid w:val="00B74F7F"/>
    <w:rsid w:val="00B75B08"/>
    <w:rsid w:val="00B7663C"/>
    <w:rsid w:val="00B76FED"/>
    <w:rsid w:val="00B81174"/>
    <w:rsid w:val="00B81D57"/>
    <w:rsid w:val="00B84869"/>
    <w:rsid w:val="00B85C02"/>
    <w:rsid w:val="00B85D41"/>
    <w:rsid w:val="00B85D7A"/>
    <w:rsid w:val="00B85E56"/>
    <w:rsid w:val="00B86607"/>
    <w:rsid w:val="00B87859"/>
    <w:rsid w:val="00B91D47"/>
    <w:rsid w:val="00B9226C"/>
    <w:rsid w:val="00B925DF"/>
    <w:rsid w:val="00B953E2"/>
    <w:rsid w:val="00B956EE"/>
    <w:rsid w:val="00B966F9"/>
    <w:rsid w:val="00BA035A"/>
    <w:rsid w:val="00BA06C5"/>
    <w:rsid w:val="00BA3CB8"/>
    <w:rsid w:val="00BA6F33"/>
    <w:rsid w:val="00BA7623"/>
    <w:rsid w:val="00BB0B11"/>
    <w:rsid w:val="00BB0DC3"/>
    <w:rsid w:val="00BB2D64"/>
    <w:rsid w:val="00BB59EC"/>
    <w:rsid w:val="00BB5C31"/>
    <w:rsid w:val="00BB6042"/>
    <w:rsid w:val="00BB775E"/>
    <w:rsid w:val="00BC0C2C"/>
    <w:rsid w:val="00BC0DCE"/>
    <w:rsid w:val="00BC127C"/>
    <w:rsid w:val="00BC3C09"/>
    <w:rsid w:val="00BC4F36"/>
    <w:rsid w:val="00BC6606"/>
    <w:rsid w:val="00BC72F7"/>
    <w:rsid w:val="00BC77C4"/>
    <w:rsid w:val="00BC7C1B"/>
    <w:rsid w:val="00BD01DB"/>
    <w:rsid w:val="00BD0872"/>
    <w:rsid w:val="00BD190D"/>
    <w:rsid w:val="00BD2835"/>
    <w:rsid w:val="00BD3631"/>
    <w:rsid w:val="00BD5549"/>
    <w:rsid w:val="00BE1537"/>
    <w:rsid w:val="00BE1797"/>
    <w:rsid w:val="00BE220A"/>
    <w:rsid w:val="00BE2BF0"/>
    <w:rsid w:val="00BE2F8F"/>
    <w:rsid w:val="00BE3517"/>
    <w:rsid w:val="00BE416B"/>
    <w:rsid w:val="00BE54B7"/>
    <w:rsid w:val="00BE6C55"/>
    <w:rsid w:val="00BE6EC6"/>
    <w:rsid w:val="00BE7A37"/>
    <w:rsid w:val="00BF006B"/>
    <w:rsid w:val="00BF0EF2"/>
    <w:rsid w:val="00BF11A0"/>
    <w:rsid w:val="00BF132C"/>
    <w:rsid w:val="00BF1426"/>
    <w:rsid w:val="00BF1C9E"/>
    <w:rsid w:val="00BF1F24"/>
    <w:rsid w:val="00BF34BB"/>
    <w:rsid w:val="00BF3765"/>
    <w:rsid w:val="00BF4AD6"/>
    <w:rsid w:val="00BF5A57"/>
    <w:rsid w:val="00BF6220"/>
    <w:rsid w:val="00BF68C8"/>
    <w:rsid w:val="00BF7348"/>
    <w:rsid w:val="00C016A3"/>
    <w:rsid w:val="00C01E68"/>
    <w:rsid w:val="00C02747"/>
    <w:rsid w:val="00C04BB8"/>
    <w:rsid w:val="00C06F23"/>
    <w:rsid w:val="00C07F82"/>
    <w:rsid w:val="00C11594"/>
    <w:rsid w:val="00C115FB"/>
    <w:rsid w:val="00C11924"/>
    <w:rsid w:val="00C12324"/>
    <w:rsid w:val="00C12EE2"/>
    <w:rsid w:val="00C13548"/>
    <w:rsid w:val="00C13D91"/>
    <w:rsid w:val="00C14016"/>
    <w:rsid w:val="00C14BF1"/>
    <w:rsid w:val="00C14C89"/>
    <w:rsid w:val="00C15157"/>
    <w:rsid w:val="00C15337"/>
    <w:rsid w:val="00C1552D"/>
    <w:rsid w:val="00C17B40"/>
    <w:rsid w:val="00C205CE"/>
    <w:rsid w:val="00C20A53"/>
    <w:rsid w:val="00C20AD0"/>
    <w:rsid w:val="00C221A0"/>
    <w:rsid w:val="00C238D1"/>
    <w:rsid w:val="00C24247"/>
    <w:rsid w:val="00C25C46"/>
    <w:rsid w:val="00C31576"/>
    <w:rsid w:val="00C315DF"/>
    <w:rsid w:val="00C31C7F"/>
    <w:rsid w:val="00C31E23"/>
    <w:rsid w:val="00C326F9"/>
    <w:rsid w:val="00C3382F"/>
    <w:rsid w:val="00C33FE5"/>
    <w:rsid w:val="00C36FFC"/>
    <w:rsid w:val="00C37A29"/>
    <w:rsid w:val="00C426B5"/>
    <w:rsid w:val="00C43025"/>
    <w:rsid w:val="00C43B73"/>
    <w:rsid w:val="00C44433"/>
    <w:rsid w:val="00C44D53"/>
    <w:rsid w:val="00C46EF9"/>
    <w:rsid w:val="00C5047E"/>
    <w:rsid w:val="00C52ED7"/>
    <w:rsid w:val="00C537AA"/>
    <w:rsid w:val="00C54EDF"/>
    <w:rsid w:val="00C5658A"/>
    <w:rsid w:val="00C60FE5"/>
    <w:rsid w:val="00C6103D"/>
    <w:rsid w:val="00C610D8"/>
    <w:rsid w:val="00C622AF"/>
    <w:rsid w:val="00C622D9"/>
    <w:rsid w:val="00C62EE4"/>
    <w:rsid w:val="00C630B8"/>
    <w:rsid w:val="00C642D3"/>
    <w:rsid w:val="00C65CE3"/>
    <w:rsid w:val="00C709DB"/>
    <w:rsid w:val="00C70CA9"/>
    <w:rsid w:val="00C70D80"/>
    <w:rsid w:val="00C70EFC"/>
    <w:rsid w:val="00C71688"/>
    <w:rsid w:val="00C75C56"/>
    <w:rsid w:val="00C771C6"/>
    <w:rsid w:val="00C776C7"/>
    <w:rsid w:val="00C81B0E"/>
    <w:rsid w:val="00C82C27"/>
    <w:rsid w:val="00C832BF"/>
    <w:rsid w:val="00C85FEA"/>
    <w:rsid w:val="00C86FBC"/>
    <w:rsid w:val="00C87B5E"/>
    <w:rsid w:val="00C9073F"/>
    <w:rsid w:val="00C90E9F"/>
    <w:rsid w:val="00C91FCE"/>
    <w:rsid w:val="00C9278B"/>
    <w:rsid w:val="00C92B91"/>
    <w:rsid w:val="00C932F3"/>
    <w:rsid w:val="00C95621"/>
    <w:rsid w:val="00C96197"/>
    <w:rsid w:val="00C96927"/>
    <w:rsid w:val="00CA0B3F"/>
    <w:rsid w:val="00CA2BE5"/>
    <w:rsid w:val="00CA495A"/>
    <w:rsid w:val="00CA5888"/>
    <w:rsid w:val="00CA704C"/>
    <w:rsid w:val="00CA77EB"/>
    <w:rsid w:val="00CA7CE8"/>
    <w:rsid w:val="00CB0F6A"/>
    <w:rsid w:val="00CB3A02"/>
    <w:rsid w:val="00CB57D2"/>
    <w:rsid w:val="00CC3DE4"/>
    <w:rsid w:val="00CC459B"/>
    <w:rsid w:val="00CC57E4"/>
    <w:rsid w:val="00CC59D7"/>
    <w:rsid w:val="00CC5F5B"/>
    <w:rsid w:val="00CC674D"/>
    <w:rsid w:val="00CC72FA"/>
    <w:rsid w:val="00CC7ED7"/>
    <w:rsid w:val="00CD0243"/>
    <w:rsid w:val="00CD0CC2"/>
    <w:rsid w:val="00CD0ECA"/>
    <w:rsid w:val="00CD1AAD"/>
    <w:rsid w:val="00CD2818"/>
    <w:rsid w:val="00CD3A4D"/>
    <w:rsid w:val="00CD3A52"/>
    <w:rsid w:val="00CD3FEE"/>
    <w:rsid w:val="00CD45C5"/>
    <w:rsid w:val="00CD499B"/>
    <w:rsid w:val="00CD4A06"/>
    <w:rsid w:val="00CD5930"/>
    <w:rsid w:val="00CD5BF0"/>
    <w:rsid w:val="00CD5DE3"/>
    <w:rsid w:val="00CD61EB"/>
    <w:rsid w:val="00CD73AA"/>
    <w:rsid w:val="00CD7F44"/>
    <w:rsid w:val="00CE0AE1"/>
    <w:rsid w:val="00CE3FB2"/>
    <w:rsid w:val="00CE43AF"/>
    <w:rsid w:val="00CE4759"/>
    <w:rsid w:val="00CE4D3A"/>
    <w:rsid w:val="00CE64FD"/>
    <w:rsid w:val="00CE7236"/>
    <w:rsid w:val="00CE747D"/>
    <w:rsid w:val="00CF02F0"/>
    <w:rsid w:val="00CF3071"/>
    <w:rsid w:val="00CF327F"/>
    <w:rsid w:val="00CF3343"/>
    <w:rsid w:val="00CF3639"/>
    <w:rsid w:val="00CF3D2A"/>
    <w:rsid w:val="00CF471C"/>
    <w:rsid w:val="00CF4953"/>
    <w:rsid w:val="00CF4BC6"/>
    <w:rsid w:val="00CF4C05"/>
    <w:rsid w:val="00CF60A1"/>
    <w:rsid w:val="00CF62BE"/>
    <w:rsid w:val="00CF7D4E"/>
    <w:rsid w:val="00CF7F06"/>
    <w:rsid w:val="00D00BC3"/>
    <w:rsid w:val="00D015EC"/>
    <w:rsid w:val="00D01615"/>
    <w:rsid w:val="00D02433"/>
    <w:rsid w:val="00D0352E"/>
    <w:rsid w:val="00D03B50"/>
    <w:rsid w:val="00D04D6A"/>
    <w:rsid w:val="00D04EEF"/>
    <w:rsid w:val="00D0535B"/>
    <w:rsid w:val="00D0557F"/>
    <w:rsid w:val="00D061EA"/>
    <w:rsid w:val="00D06982"/>
    <w:rsid w:val="00D10F14"/>
    <w:rsid w:val="00D12493"/>
    <w:rsid w:val="00D12E30"/>
    <w:rsid w:val="00D13400"/>
    <w:rsid w:val="00D14D53"/>
    <w:rsid w:val="00D14E4B"/>
    <w:rsid w:val="00D15113"/>
    <w:rsid w:val="00D15B7C"/>
    <w:rsid w:val="00D15B7D"/>
    <w:rsid w:val="00D15CD1"/>
    <w:rsid w:val="00D16838"/>
    <w:rsid w:val="00D16F74"/>
    <w:rsid w:val="00D17C74"/>
    <w:rsid w:val="00D17FC8"/>
    <w:rsid w:val="00D20D95"/>
    <w:rsid w:val="00D20E94"/>
    <w:rsid w:val="00D219DC"/>
    <w:rsid w:val="00D2280E"/>
    <w:rsid w:val="00D23969"/>
    <w:rsid w:val="00D30791"/>
    <w:rsid w:val="00D31E3E"/>
    <w:rsid w:val="00D32769"/>
    <w:rsid w:val="00D3293C"/>
    <w:rsid w:val="00D330CA"/>
    <w:rsid w:val="00D3316D"/>
    <w:rsid w:val="00D33C2E"/>
    <w:rsid w:val="00D33D73"/>
    <w:rsid w:val="00D35402"/>
    <w:rsid w:val="00D36869"/>
    <w:rsid w:val="00D36DD0"/>
    <w:rsid w:val="00D37322"/>
    <w:rsid w:val="00D37882"/>
    <w:rsid w:val="00D41676"/>
    <w:rsid w:val="00D43250"/>
    <w:rsid w:val="00D43371"/>
    <w:rsid w:val="00D4340B"/>
    <w:rsid w:val="00D43DC0"/>
    <w:rsid w:val="00D45EA2"/>
    <w:rsid w:val="00D45F4F"/>
    <w:rsid w:val="00D46FD9"/>
    <w:rsid w:val="00D47E49"/>
    <w:rsid w:val="00D50ABC"/>
    <w:rsid w:val="00D51400"/>
    <w:rsid w:val="00D5186B"/>
    <w:rsid w:val="00D524DA"/>
    <w:rsid w:val="00D52F55"/>
    <w:rsid w:val="00D534EA"/>
    <w:rsid w:val="00D5406D"/>
    <w:rsid w:val="00D5409A"/>
    <w:rsid w:val="00D54515"/>
    <w:rsid w:val="00D60296"/>
    <w:rsid w:val="00D60649"/>
    <w:rsid w:val="00D61E88"/>
    <w:rsid w:val="00D62C00"/>
    <w:rsid w:val="00D6347D"/>
    <w:rsid w:val="00D65896"/>
    <w:rsid w:val="00D6655A"/>
    <w:rsid w:val="00D66920"/>
    <w:rsid w:val="00D66DD1"/>
    <w:rsid w:val="00D7064E"/>
    <w:rsid w:val="00D718F8"/>
    <w:rsid w:val="00D74317"/>
    <w:rsid w:val="00D744B8"/>
    <w:rsid w:val="00D76629"/>
    <w:rsid w:val="00D81415"/>
    <w:rsid w:val="00D81CAC"/>
    <w:rsid w:val="00D82311"/>
    <w:rsid w:val="00D825F1"/>
    <w:rsid w:val="00D83923"/>
    <w:rsid w:val="00D83D67"/>
    <w:rsid w:val="00D91E60"/>
    <w:rsid w:val="00D933C3"/>
    <w:rsid w:val="00D9419D"/>
    <w:rsid w:val="00D94630"/>
    <w:rsid w:val="00D9679E"/>
    <w:rsid w:val="00D96F65"/>
    <w:rsid w:val="00DA01F2"/>
    <w:rsid w:val="00DA136C"/>
    <w:rsid w:val="00DA1A58"/>
    <w:rsid w:val="00DA1CB5"/>
    <w:rsid w:val="00DA2A98"/>
    <w:rsid w:val="00DA2E4D"/>
    <w:rsid w:val="00DA3017"/>
    <w:rsid w:val="00DA3095"/>
    <w:rsid w:val="00DA3786"/>
    <w:rsid w:val="00DA3BD2"/>
    <w:rsid w:val="00DA3D85"/>
    <w:rsid w:val="00DA5484"/>
    <w:rsid w:val="00DA6CC9"/>
    <w:rsid w:val="00DB0ADD"/>
    <w:rsid w:val="00DB417F"/>
    <w:rsid w:val="00DB7E8D"/>
    <w:rsid w:val="00DC00F6"/>
    <w:rsid w:val="00DC09E2"/>
    <w:rsid w:val="00DC1012"/>
    <w:rsid w:val="00DC18D8"/>
    <w:rsid w:val="00DC1B37"/>
    <w:rsid w:val="00DC29A6"/>
    <w:rsid w:val="00DC33B3"/>
    <w:rsid w:val="00DC33F7"/>
    <w:rsid w:val="00DC526A"/>
    <w:rsid w:val="00DC5DFF"/>
    <w:rsid w:val="00DC74CB"/>
    <w:rsid w:val="00DD0A0C"/>
    <w:rsid w:val="00DD1208"/>
    <w:rsid w:val="00DD134A"/>
    <w:rsid w:val="00DD14E4"/>
    <w:rsid w:val="00DD2A95"/>
    <w:rsid w:val="00DD4DF7"/>
    <w:rsid w:val="00DD5264"/>
    <w:rsid w:val="00DD5DB8"/>
    <w:rsid w:val="00DD6473"/>
    <w:rsid w:val="00DD7132"/>
    <w:rsid w:val="00DE035B"/>
    <w:rsid w:val="00DE56F4"/>
    <w:rsid w:val="00DE5B96"/>
    <w:rsid w:val="00DE728F"/>
    <w:rsid w:val="00DF0154"/>
    <w:rsid w:val="00DF4E3E"/>
    <w:rsid w:val="00DF57D9"/>
    <w:rsid w:val="00DF60B9"/>
    <w:rsid w:val="00DF63B7"/>
    <w:rsid w:val="00DF7005"/>
    <w:rsid w:val="00DF7FA5"/>
    <w:rsid w:val="00E004D2"/>
    <w:rsid w:val="00E010CD"/>
    <w:rsid w:val="00E017FE"/>
    <w:rsid w:val="00E01A04"/>
    <w:rsid w:val="00E02F6D"/>
    <w:rsid w:val="00E03C8C"/>
    <w:rsid w:val="00E0453D"/>
    <w:rsid w:val="00E047AE"/>
    <w:rsid w:val="00E04E51"/>
    <w:rsid w:val="00E05FA6"/>
    <w:rsid w:val="00E064AC"/>
    <w:rsid w:val="00E110A5"/>
    <w:rsid w:val="00E14D36"/>
    <w:rsid w:val="00E15A2F"/>
    <w:rsid w:val="00E17209"/>
    <w:rsid w:val="00E209E1"/>
    <w:rsid w:val="00E213B4"/>
    <w:rsid w:val="00E218EC"/>
    <w:rsid w:val="00E222EB"/>
    <w:rsid w:val="00E2293A"/>
    <w:rsid w:val="00E22CC3"/>
    <w:rsid w:val="00E23578"/>
    <w:rsid w:val="00E250FE"/>
    <w:rsid w:val="00E25474"/>
    <w:rsid w:val="00E25630"/>
    <w:rsid w:val="00E25AB0"/>
    <w:rsid w:val="00E25C25"/>
    <w:rsid w:val="00E27011"/>
    <w:rsid w:val="00E2730B"/>
    <w:rsid w:val="00E2751D"/>
    <w:rsid w:val="00E2791A"/>
    <w:rsid w:val="00E31893"/>
    <w:rsid w:val="00E32112"/>
    <w:rsid w:val="00E32765"/>
    <w:rsid w:val="00E32EE5"/>
    <w:rsid w:val="00E32F93"/>
    <w:rsid w:val="00E349E9"/>
    <w:rsid w:val="00E37755"/>
    <w:rsid w:val="00E379F7"/>
    <w:rsid w:val="00E41066"/>
    <w:rsid w:val="00E428AB"/>
    <w:rsid w:val="00E430DF"/>
    <w:rsid w:val="00E47107"/>
    <w:rsid w:val="00E51BB1"/>
    <w:rsid w:val="00E52138"/>
    <w:rsid w:val="00E54ACD"/>
    <w:rsid w:val="00E54B2B"/>
    <w:rsid w:val="00E56264"/>
    <w:rsid w:val="00E56961"/>
    <w:rsid w:val="00E57052"/>
    <w:rsid w:val="00E572D0"/>
    <w:rsid w:val="00E57F12"/>
    <w:rsid w:val="00E613A8"/>
    <w:rsid w:val="00E61632"/>
    <w:rsid w:val="00E61947"/>
    <w:rsid w:val="00E62A8E"/>
    <w:rsid w:val="00E6316B"/>
    <w:rsid w:val="00E6701E"/>
    <w:rsid w:val="00E67B8A"/>
    <w:rsid w:val="00E70DD7"/>
    <w:rsid w:val="00E7198F"/>
    <w:rsid w:val="00E72859"/>
    <w:rsid w:val="00E72B3E"/>
    <w:rsid w:val="00E72E7C"/>
    <w:rsid w:val="00E72EE0"/>
    <w:rsid w:val="00E741FB"/>
    <w:rsid w:val="00E7447C"/>
    <w:rsid w:val="00E80349"/>
    <w:rsid w:val="00E80631"/>
    <w:rsid w:val="00E82948"/>
    <w:rsid w:val="00E832D3"/>
    <w:rsid w:val="00E839CA"/>
    <w:rsid w:val="00E83C1B"/>
    <w:rsid w:val="00E842F4"/>
    <w:rsid w:val="00E860B1"/>
    <w:rsid w:val="00E8611E"/>
    <w:rsid w:val="00E87ED2"/>
    <w:rsid w:val="00E91A7E"/>
    <w:rsid w:val="00E91FED"/>
    <w:rsid w:val="00E92648"/>
    <w:rsid w:val="00E960A4"/>
    <w:rsid w:val="00EA0528"/>
    <w:rsid w:val="00EA1147"/>
    <w:rsid w:val="00EA1943"/>
    <w:rsid w:val="00EA2DF2"/>
    <w:rsid w:val="00EA2F29"/>
    <w:rsid w:val="00EA3D1E"/>
    <w:rsid w:val="00EA42DD"/>
    <w:rsid w:val="00EA4A23"/>
    <w:rsid w:val="00EA4B69"/>
    <w:rsid w:val="00EA5D41"/>
    <w:rsid w:val="00EA6325"/>
    <w:rsid w:val="00EA6A47"/>
    <w:rsid w:val="00EA6B15"/>
    <w:rsid w:val="00EA6DFE"/>
    <w:rsid w:val="00EA760E"/>
    <w:rsid w:val="00EA7EEA"/>
    <w:rsid w:val="00EB2D95"/>
    <w:rsid w:val="00EB34CE"/>
    <w:rsid w:val="00EB3F9D"/>
    <w:rsid w:val="00EB403B"/>
    <w:rsid w:val="00EB5DC6"/>
    <w:rsid w:val="00EB7D70"/>
    <w:rsid w:val="00EC1161"/>
    <w:rsid w:val="00EC155F"/>
    <w:rsid w:val="00EC2D90"/>
    <w:rsid w:val="00EC5C85"/>
    <w:rsid w:val="00EC61F0"/>
    <w:rsid w:val="00ED0C82"/>
    <w:rsid w:val="00ED15BE"/>
    <w:rsid w:val="00ED3EBE"/>
    <w:rsid w:val="00ED4983"/>
    <w:rsid w:val="00EE123B"/>
    <w:rsid w:val="00EE26C2"/>
    <w:rsid w:val="00EE4630"/>
    <w:rsid w:val="00EE6F14"/>
    <w:rsid w:val="00EF31AD"/>
    <w:rsid w:val="00EF3400"/>
    <w:rsid w:val="00EF3DEF"/>
    <w:rsid w:val="00EF3F23"/>
    <w:rsid w:val="00EF42EA"/>
    <w:rsid w:val="00EF4EA1"/>
    <w:rsid w:val="00EF6311"/>
    <w:rsid w:val="00EF7EAD"/>
    <w:rsid w:val="00F022FB"/>
    <w:rsid w:val="00F03BBA"/>
    <w:rsid w:val="00F04EA7"/>
    <w:rsid w:val="00F0584E"/>
    <w:rsid w:val="00F07F66"/>
    <w:rsid w:val="00F116B6"/>
    <w:rsid w:val="00F1407C"/>
    <w:rsid w:val="00F141AC"/>
    <w:rsid w:val="00F15841"/>
    <w:rsid w:val="00F15AA6"/>
    <w:rsid w:val="00F1611F"/>
    <w:rsid w:val="00F162D4"/>
    <w:rsid w:val="00F175AB"/>
    <w:rsid w:val="00F17719"/>
    <w:rsid w:val="00F2058B"/>
    <w:rsid w:val="00F25452"/>
    <w:rsid w:val="00F25AE6"/>
    <w:rsid w:val="00F265EA"/>
    <w:rsid w:val="00F3008D"/>
    <w:rsid w:val="00F30A04"/>
    <w:rsid w:val="00F31850"/>
    <w:rsid w:val="00F3209B"/>
    <w:rsid w:val="00F3214C"/>
    <w:rsid w:val="00F322B1"/>
    <w:rsid w:val="00F33085"/>
    <w:rsid w:val="00F33F8D"/>
    <w:rsid w:val="00F368A2"/>
    <w:rsid w:val="00F36D07"/>
    <w:rsid w:val="00F37857"/>
    <w:rsid w:val="00F37CB6"/>
    <w:rsid w:val="00F37F65"/>
    <w:rsid w:val="00F4010B"/>
    <w:rsid w:val="00F41F88"/>
    <w:rsid w:val="00F429B6"/>
    <w:rsid w:val="00F431FF"/>
    <w:rsid w:val="00F433BE"/>
    <w:rsid w:val="00F46E42"/>
    <w:rsid w:val="00F4702C"/>
    <w:rsid w:val="00F47241"/>
    <w:rsid w:val="00F47A8F"/>
    <w:rsid w:val="00F47EA9"/>
    <w:rsid w:val="00F505B8"/>
    <w:rsid w:val="00F51433"/>
    <w:rsid w:val="00F51AB5"/>
    <w:rsid w:val="00F527B6"/>
    <w:rsid w:val="00F52D35"/>
    <w:rsid w:val="00F53EFE"/>
    <w:rsid w:val="00F5592A"/>
    <w:rsid w:val="00F56157"/>
    <w:rsid w:val="00F57D23"/>
    <w:rsid w:val="00F60BA2"/>
    <w:rsid w:val="00F61CDE"/>
    <w:rsid w:val="00F632DA"/>
    <w:rsid w:val="00F634F6"/>
    <w:rsid w:val="00F65B85"/>
    <w:rsid w:val="00F6635C"/>
    <w:rsid w:val="00F703A6"/>
    <w:rsid w:val="00F726BD"/>
    <w:rsid w:val="00F734C3"/>
    <w:rsid w:val="00F73F98"/>
    <w:rsid w:val="00F75864"/>
    <w:rsid w:val="00F77B4D"/>
    <w:rsid w:val="00F815F5"/>
    <w:rsid w:val="00F834DC"/>
    <w:rsid w:val="00F84C5B"/>
    <w:rsid w:val="00F86C98"/>
    <w:rsid w:val="00F86CF1"/>
    <w:rsid w:val="00F87B07"/>
    <w:rsid w:val="00F90546"/>
    <w:rsid w:val="00F90577"/>
    <w:rsid w:val="00F9260F"/>
    <w:rsid w:val="00F929E7"/>
    <w:rsid w:val="00F94880"/>
    <w:rsid w:val="00F976F7"/>
    <w:rsid w:val="00F97AAD"/>
    <w:rsid w:val="00FA33D2"/>
    <w:rsid w:val="00FA33DD"/>
    <w:rsid w:val="00FA57C0"/>
    <w:rsid w:val="00FA6EBE"/>
    <w:rsid w:val="00FB016C"/>
    <w:rsid w:val="00FB0D61"/>
    <w:rsid w:val="00FB2664"/>
    <w:rsid w:val="00FB3212"/>
    <w:rsid w:val="00FB382B"/>
    <w:rsid w:val="00FB4B01"/>
    <w:rsid w:val="00FB4E93"/>
    <w:rsid w:val="00FB53CA"/>
    <w:rsid w:val="00FB5BA2"/>
    <w:rsid w:val="00FB647A"/>
    <w:rsid w:val="00FB70D3"/>
    <w:rsid w:val="00FC075A"/>
    <w:rsid w:val="00FC2D8B"/>
    <w:rsid w:val="00FC4A4E"/>
    <w:rsid w:val="00FC4E9B"/>
    <w:rsid w:val="00FC592D"/>
    <w:rsid w:val="00FC5DBE"/>
    <w:rsid w:val="00FC654C"/>
    <w:rsid w:val="00FC7D18"/>
    <w:rsid w:val="00FD0874"/>
    <w:rsid w:val="00FD0BA9"/>
    <w:rsid w:val="00FD1D68"/>
    <w:rsid w:val="00FD22FD"/>
    <w:rsid w:val="00FD24BE"/>
    <w:rsid w:val="00FD293F"/>
    <w:rsid w:val="00FD2D53"/>
    <w:rsid w:val="00FD3306"/>
    <w:rsid w:val="00FD36B1"/>
    <w:rsid w:val="00FD3FED"/>
    <w:rsid w:val="00FD45D2"/>
    <w:rsid w:val="00FE0964"/>
    <w:rsid w:val="00FE1088"/>
    <w:rsid w:val="00FE505F"/>
    <w:rsid w:val="00FE59FD"/>
    <w:rsid w:val="00FE6968"/>
    <w:rsid w:val="00FE6BC6"/>
    <w:rsid w:val="00FE7F98"/>
    <w:rsid w:val="00FF2E7F"/>
    <w:rsid w:val="00FF306D"/>
    <w:rsid w:val="00FF35F3"/>
    <w:rsid w:val="00FF76DF"/>
    <w:rsid w:val="00FF793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81C0A"/>
  <w15:chartTrackingRefBased/>
  <w15:docId w15:val="{A1DF3E25-CB4D-457D-B952-D6C679E7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1B3B17"/>
    <w:pPr>
      <w:spacing w:before="120" w:after="120" w:line="280" w:lineRule="atLeast"/>
    </w:pPr>
    <w:rPr>
      <w:sz w:val="20"/>
      <w:szCs w:val="20"/>
    </w:rPr>
  </w:style>
  <w:style w:type="paragraph" w:styleId="Heading1">
    <w:name w:val="heading 1"/>
    <w:basedOn w:val="Normal"/>
    <w:next w:val="BodyText"/>
    <w:link w:val="Heading1Char"/>
    <w:uiPriority w:val="1"/>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1"/>
    <w:qFormat/>
    <w:rsid w:val="00B81D57"/>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1"/>
    <w:qFormat/>
    <w:rsid w:val="00B81D57"/>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1"/>
    <w:qFormat/>
    <w:rsid w:val="00B81D57"/>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1"/>
    <w:qFormat/>
    <w:rsid w:val="00B81D57"/>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1"/>
    <w:rsid w:val="00B81D57"/>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B81D57"/>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B81D57"/>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B81D57"/>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1D57"/>
    <w:rPr>
      <w:color w:val="808080"/>
    </w:rPr>
  </w:style>
  <w:style w:type="paragraph" w:styleId="Date">
    <w:name w:val="Date"/>
    <w:basedOn w:val="Normal"/>
    <w:next w:val="Normal"/>
    <w:link w:val="DateChar"/>
    <w:uiPriority w:val="99"/>
    <w:unhideWhenUsed/>
    <w:rsid w:val="00B81D57"/>
    <w:pPr>
      <w:spacing w:after="360" w:line="293" w:lineRule="auto"/>
    </w:pPr>
  </w:style>
  <w:style w:type="character" w:customStyle="1" w:styleId="DateChar">
    <w:name w:val="Date Char"/>
    <w:basedOn w:val="DefaultParagraphFont"/>
    <w:link w:val="Date"/>
    <w:uiPriority w:val="99"/>
    <w:rsid w:val="00B81D57"/>
    <w:rPr>
      <w:sz w:val="20"/>
      <w:szCs w:val="20"/>
    </w:rPr>
  </w:style>
  <w:style w:type="paragraph" w:styleId="NoSpacing">
    <w:name w:val="No Spacing"/>
    <w:basedOn w:val="Normal"/>
    <w:link w:val="NoSpacingChar"/>
    <w:uiPriority w:val="1"/>
    <w:qFormat/>
    <w:rsid w:val="00B81D57"/>
    <w:pPr>
      <w:spacing w:before="0" w:after="0"/>
    </w:pPr>
  </w:style>
  <w:style w:type="paragraph" w:styleId="ListBullet">
    <w:name w:val="List Bullet"/>
    <w:basedOn w:val="Normal"/>
    <w:link w:val="ListBulletChar"/>
    <w:uiPriority w:val="1"/>
    <w:qFormat/>
    <w:rsid w:val="00927EB3"/>
    <w:pPr>
      <w:numPr>
        <w:numId w:val="45"/>
      </w:numPr>
      <w:contextualSpacing/>
    </w:pPr>
  </w:style>
  <w:style w:type="paragraph" w:styleId="ListBullet2">
    <w:name w:val="List Bullet 2"/>
    <w:basedOn w:val="Normal"/>
    <w:uiPriority w:val="99"/>
    <w:qFormat/>
    <w:rsid w:val="00B81D57"/>
    <w:pPr>
      <w:numPr>
        <w:ilvl w:val="1"/>
        <w:numId w:val="45"/>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B81D57"/>
    <w:pPr>
      <w:numPr>
        <w:numId w:val="5"/>
      </w:numPr>
    </w:pPr>
  </w:style>
  <w:style w:type="character" w:customStyle="1" w:styleId="Heading1Char">
    <w:name w:val="Heading 1 Char"/>
    <w:basedOn w:val="DefaultParagraphFont"/>
    <w:link w:val="Heading1"/>
    <w:uiPriority w:val="1"/>
    <w:rsid w:val="00B81D57"/>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B81D57"/>
    <w:pPr>
      <w:numPr>
        <w:ilvl w:val="1"/>
        <w:numId w:val="21"/>
      </w:numPr>
      <w:spacing w:before="60"/>
      <w:contextualSpacing/>
    </w:pPr>
  </w:style>
  <w:style w:type="character" w:customStyle="1" w:styleId="Heading2Char">
    <w:name w:val="Heading 2 Char"/>
    <w:basedOn w:val="DefaultParagraphFont"/>
    <w:link w:val="Heading2"/>
    <w:uiPriority w:val="1"/>
    <w:rsid w:val="00B81D57"/>
    <w:rPr>
      <w:rFonts w:asciiTheme="majorHAnsi" w:eastAsiaTheme="majorEastAsia" w:hAnsiTheme="majorHAnsi" w:cstheme="majorBidi"/>
      <w:sz w:val="30"/>
      <w:szCs w:val="60"/>
    </w:rPr>
  </w:style>
  <w:style w:type="paragraph" w:styleId="ListParagraph">
    <w:name w:val="List Paragraph"/>
    <w:basedOn w:val="Normal"/>
    <w:uiPriority w:val="34"/>
    <w:rsid w:val="00B81D57"/>
    <w:pPr>
      <w:spacing w:line="293" w:lineRule="auto"/>
      <w:ind w:left="284"/>
      <w:contextualSpacing/>
    </w:pPr>
  </w:style>
  <w:style w:type="paragraph" w:styleId="Header">
    <w:name w:val="header"/>
    <w:basedOn w:val="Normal"/>
    <w:link w:val="HeaderChar"/>
    <w:uiPriority w:val="99"/>
    <w:unhideWhenUsed/>
    <w:rsid w:val="00B81D57"/>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B81D57"/>
    <w:rPr>
      <w:sz w:val="16"/>
      <w:szCs w:val="20"/>
    </w:rPr>
  </w:style>
  <w:style w:type="paragraph" w:styleId="Footer">
    <w:name w:val="footer"/>
    <w:basedOn w:val="Normal"/>
    <w:link w:val="FooterChar"/>
    <w:uiPriority w:val="99"/>
    <w:rsid w:val="00B81D57"/>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B81D57"/>
    <w:rPr>
      <w:rFonts w:asciiTheme="majorHAnsi" w:hAnsiTheme="majorHAnsi"/>
      <w:sz w:val="17"/>
    </w:rPr>
  </w:style>
  <w:style w:type="numbering" w:customStyle="1" w:styleId="Numbering">
    <w:name w:val="Numbering"/>
    <w:uiPriority w:val="99"/>
    <w:rsid w:val="00B81D57"/>
    <w:pPr>
      <w:numPr>
        <w:numId w:val="14"/>
      </w:numPr>
    </w:pPr>
  </w:style>
  <w:style w:type="paragraph" w:styleId="ListBullet3">
    <w:name w:val="List Bullet 3"/>
    <w:basedOn w:val="Normal"/>
    <w:uiPriority w:val="99"/>
    <w:qFormat/>
    <w:rsid w:val="00B81D57"/>
    <w:pPr>
      <w:numPr>
        <w:ilvl w:val="2"/>
        <w:numId w:val="45"/>
      </w:numPr>
      <w:contextualSpacing/>
    </w:pPr>
  </w:style>
  <w:style w:type="paragraph" w:styleId="ListContinue2">
    <w:name w:val="List Continue 2"/>
    <w:basedOn w:val="Normal"/>
    <w:uiPriority w:val="3"/>
    <w:unhideWhenUsed/>
    <w:qFormat/>
    <w:rsid w:val="00B81D57"/>
    <w:pPr>
      <w:spacing w:before="60"/>
      <w:ind w:left="454"/>
    </w:pPr>
  </w:style>
  <w:style w:type="paragraph" w:styleId="ListNumber3">
    <w:name w:val="List Number 3"/>
    <w:basedOn w:val="Normal"/>
    <w:uiPriority w:val="13"/>
    <w:semiHidden/>
    <w:qFormat/>
    <w:rsid w:val="00B81D57"/>
    <w:pPr>
      <w:numPr>
        <w:ilvl w:val="2"/>
        <w:numId w:val="21"/>
      </w:numPr>
      <w:spacing w:before="60"/>
      <w:contextualSpacing/>
    </w:pPr>
  </w:style>
  <w:style w:type="paragraph" w:styleId="ListNumber4">
    <w:name w:val="List Number 4"/>
    <w:basedOn w:val="Normal"/>
    <w:uiPriority w:val="13"/>
    <w:semiHidden/>
    <w:qFormat/>
    <w:rsid w:val="00B81D57"/>
    <w:pPr>
      <w:numPr>
        <w:ilvl w:val="3"/>
        <w:numId w:val="21"/>
      </w:numPr>
      <w:spacing w:after="200" w:line="293" w:lineRule="auto"/>
      <w:contextualSpacing/>
    </w:pPr>
  </w:style>
  <w:style w:type="paragraph" w:styleId="ListNumber5">
    <w:name w:val="List Number 5"/>
    <w:basedOn w:val="Normal"/>
    <w:uiPriority w:val="13"/>
    <w:semiHidden/>
    <w:rsid w:val="00B81D57"/>
    <w:pPr>
      <w:numPr>
        <w:ilvl w:val="4"/>
        <w:numId w:val="21"/>
      </w:numPr>
      <w:spacing w:after="200" w:line="293" w:lineRule="auto"/>
      <w:contextualSpacing/>
    </w:pPr>
  </w:style>
  <w:style w:type="paragraph" w:styleId="ListContinue">
    <w:name w:val="List Continue"/>
    <w:basedOn w:val="Normal"/>
    <w:uiPriority w:val="3"/>
    <w:unhideWhenUsed/>
    <w:qFormat/>
    <w:rsid w:val="00B81D57"/>
    <w:pPr>
      <w:spacing w:before="60"/>
      <w:ind w:left="227"/>
    </w:pPr>
  </w:style>
  <w:style w:type="paragraph" w:styleId="ListContinue3">
    <w:name w:val="List Continue 3"/>
    <w:basedOn w:val="Normal"/>
    <w:uiPriority w:val="3"/>
    <w:unhideWhenUsed/>
    <w:qFormat/>
    <w:rsid w:val="00B81D57"/>
    <w:pPr>
      <w:spacing w:before="60"/>
      <w:ind w:left="907"/>
    </w:pPr>
  </w:style>
  <w:style w:type="paragraph" w:styleId="ListContinue4">
    <w:name w:val="List Continue 4"/>
    <w:basedOn w:val="Normal"/>
    <w:uiPriority w:val="3"/>
    <w:unhideWhenUsed/>
    <w:qFormat/>
    <w:rsid w:val="00B81D57"/>
    <w:pPr>
      <w:spacing w:line="293" w:lineRule="auto"/>
      <w:ind w:left="907"/>
      <w:contextualSpacing/>
    </w:pPr>
  </w:style>
  <w:style w:type="character" w:customStyle="1" w:styleId="Heading3Char">
    <w:name w:val="Heading 3 Char"/>
    <w:basedOn w:val="DefaultParagraphFont"/>
    <w:link w:val="Heading3"/>
    <w:uiPriority w:val="1"/>
    <w:rsid w:val="00B81D57"/>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1"/>
    <w:rsid w:val="00B81D57"/>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1"/>
    <w:rsid w:val="00B81D57"/>
    <w:rPr>
      <w:rFonts w:eastAsiaTheme="majorEastAsia" w:cstheme="majorBidi"/>
      <w:b/>
      <w:color w:val="265A9A" w:themeColor="background2"/>
      <w:szCs w:val="29"/>
    </w:rPr>
  </w:style>
  <w:style w:type="numbering" w:customStyle="1" w:styleId="ListHeadings">
    <w:name w:val="List Headings"/>
    <w:uiPriority w:val="99"/>
    <w:rsid w:val="00B81D57"/>
    <w:pPr>
      <w:numPr>
        <w:numId w:val="12"/>
      </w:numPr>
    </w:pPr>
  </w:style>
  <w:style w:type="paragraph" w:styleId="Title">
    <w:name w:val="Title"/>
    <w:basedOn w:val="Heading1"/>
    <w:next w:val="Normal"/>
    <w:link w:val="TitleChar"/>
    <w:uiPriority w:val="10"/>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10"/>
    <w:rsid w:val="00B81D57"/>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B81D57"/>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B81D57"/>
    <w:rPr>
      <w:b/>
    </w:rPr>
  </w:style>
  <w:style w:type="character" w:customStyle="1" w:styleId="Pull-outQuoteChar">
    <w:name w:val="Pull-out Quote Char"/>
    <w:basedOn w:val="DefaultParagraphFont"/>
    <w:link w:val="Pull-outQuote"/>
    <w:uiPriority w:val="99"/>
    <w:semiHidden/>
    <w:rsid w:val="00B81D57"/>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B81D57"/>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B81D57"/>
  </w:style>
  <w:style w:type="paragraph" w:customStyle="1" w:styleId="NumberedHeading2">
    <w:name w:val="Numbered Heading 2"/>
    <w:basedOn w:val="Heading2"/>
    <w:next w:val="Normal"/>
    <w:link w:val="NumberedHeading2Char"/>
    <w:uiPriority w:val="9"/>
    <w:semiHidden/>
    <w:rsid w:val="00B81D57"/>
  </w:style>
  <w:style w:type="character" w:customStyle="1" w:styleId="NumberedHeading1Char">
    <w:name w:val="Numbered Heading 1 Char"/>
    <w:basedOn w:val="Heading1Char"/>
    <w:link w:val="NumberedHeading1"/>
    <w:uiPriority w:val="9"/>
    <w:semiHidden/>
    <w:rsid w:val="00B81D57"/>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B81D57"/>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B81D57"/>
    <w:pPr>
      <w:ind w:left="1134"/>
      <w:contextualSpacing/>
    </w:pPr>
  </w:style>
  <w:style w:type="table" w:styleId="TableGrid">
    <w:name w:val="Table Grid"/>
    <w:basedOn w:val="TableNormal"/>
    <w:uiPriority w:val="39"/>
    <w:rsid w:val="00B81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B81D57"/>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B81D57"/>
    <w:pPr>
      <w:numPr>
        <w:ilvl w:val="1"/>
        <w:numId w:val="19"/>
      </w:numPr>
      <w:spacing w:before="60"/>
    </w:pPr>
  </w:style>
  <w:style w:type="numbering" w:customStyle="1" w:styleId="LetteredList">
    <w:name w:val="Lettered List"/>
    <w:uiPriority w:val="99"/>
    <w:rsid w:val="00B81D57"/>
    <w:pPr>
      <w:numPr>
        <w:numId w:val="8"/>
      </w:numPr>
    </w:pPr>
  </w:style>
  <w:style w:type="paragraph" w:styleId="Subtitle">
    <w:name w:val="Subtitle"/>
    <w:basedOn w:val="Normal"/>
    <w:next w:val="Normal"/>
    <w:link w:val="SubtitleChar"/>
    <w:uiPriority w:val="11"/>
    <w:rsid w:val="00B81D57"/>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11"/>
    <w:rsid w:val="00B81D57"/>
    <w:rPr>
      <w:rFonts w:eastAsiaTheme="minorEastAsia"/>
      <w:color w:val="FFFFFF" w:themeColor="background1"/>
      <w:sz w:val="52"/>
      <w:szCs w:val="20"/>
    </w:rPr>
  </w:style>
  <w:style w:type="character" w:styleId="Strong">
    <w:name w:val="Strong"/>
    <w:basedOn w:val="DefaultParagraphFont"/>
    <w:uiPriority w:val="22"/>
    <w:qFormat/>
    <w:rsid w:val="00B81D57"/>
    <w:rPr>
      <w:rFonts w:asciiTheme="minorHAnsi" w:hAnsiTheme="minorHAnsi"/>
      <w:b/>
      <w:bCs/>
    </w:rPr>
  </w:style>
  <w:style w:type="paragraph" w:customStyle="1" w:styleId="Header-Keyline">
    <w:name w:val="Header - Keyline"/>
    <w:basedOn w:val="Header"/>
    <w:link w:val="Header-KeylineChar"/>
    <w:uiPriority w:val="99"/>
    <w:rsid w:val="00B81D57"/>
    <w:pPr>
      <w:pBdr>
        <w:bottom w:val="single" w:sz="4" w:space="31" w:color="66BCDB" w:themeColor="text2"/>
      </w:pBdr>
      <w:spacing w:after="600"/>
    </w:pPr>
  </w:style>
  <w:style w:type="character" w:customStyle="1" w:styleId="Heading6Char">
    <w:name w:val="Heading 6 Char"/>
    <w:basedOn w:val="DefaultParagraphFont"/>
    <w:link w:val="Heading6"/>
    <w:uiPriority w:val="1"/>
    <w:rsid w:val="00B81D57"/>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B81D57"/>
    <w:rPr>
      <w:sz w:val="16"/>
      <w:szCs w:val="20"/>
    </w:rPr>
  </w:style>
  <w:style w:type="character" w:customStyle="1" w:styleId="Heading7Char">
    <w:name w:val="Heading 7 Char"/>
    <w:basedOn w:val="DefaultParagraphFont"/>
    <w:link w:val="Heading7"/>
    <w:uiPriority w:val="9"/>
    <w:semiHidden/>
    <w:rsid w:val="00B81D57"/>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B81D57"/>
    <w:rPr>
      <w:rFonts w:eastAsiaTheme="majorEastAsia" w:cstheme="majorBidi"/>
      <w:b/>
      <w:sz w:val="18"/>
      <w:szCs w:val="21"/>
    </w:rPr>
  </w:style>
  <w:style w:type="table" w:customStyle="1" w:styleId="ProductivityCommissionTable1">
    <w:name w:val="Productivity Commission Table 1"/>
    <w:basedOn w:val="TableNormal"/>
    <w:uiPriority w:val="99"/>
    <w:rsid w:val="00B81D57"/>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B81D57"/>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B81D57"/>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B81D5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B81D57"/>
    <w:pPr>
      <w:spacing w:before="60" w:after="60" w:line="293" w:lineRule="auto"/>
      <w:contextualSpacing/>
    </w:pPr>
    <w:rPr>
      <w:sz w:val="18"/>
    </w:rPr>
  </w:style>
  <w:style w:type="paragraph" w:styleId="TOC1">
    <w:name w:val="toc 1"/>
    <w:basedOn w:val="Normal"/>
    <w:next w:val="BodyText"/>
    <w:autoRedefine/>
    <w:uiPriority w:val="39"/>
    <w:unhideWhenUsed/>
    <w:rsid w:val="00023FB4"/>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B81D57"/>
    <w:rPr>
      <w:sz w:val="18"/>
      <w:szCs w:val="20"/>
    </w:rPr>
  </w:style>
  <w:style w:type="character" w:styleId="FootnoteReference">
    <w:name w:val="footnote reference"/>
    <w:basedOn w:val="DefaultParagraphFont"/>
    <w:uiPriority w:val="99"/>
    <w:unhideWhenUsed/>
    <w:rsid w:val="00B81D57"/>
    <w:rPr>
      <w:vertAlign w:val="superscript"/>
    </w:rPr>
  </w:style>
  <w:style w:type="character" w:styleId="Hyperlink">
    <w:name w:val="Hyperlink"/>
    <w:basedOn w:val="DefaultParagraphFont"/>
    <w:uiPriority w:val="99"/>
    <w:unhideWhenUsed/>
    <w:rsid w:val="00B81D57"/>
    <w:rPr>
      <w:color w:val="000000" w:themeColor="hyperlink"/>
      <w:u w:val="single"/>
    </w:rPr>
  </w:style>
  <w:style w:type="character" w:styleId="HTMLVariable">
    <w:name w:val="HTML Variable"/>
    <w:basedOn w:val="DefaultParagraphFont"/>
    <w:uiPriority w:val="99"/>
    <w:unhideWhenUsed/>
    <w:rsid w:val="00B81D57"/>
    <w:rPr>
      <w:i/>
      <w:iCs/>
    </w:rPr>
  </w:style>
  <w:style w:type="paragraph" w:styleId="TOC2">
    <w:name w:val="toc 2"/>
    <w:basedOn w:val="Normal"/>
    <w:next w:val="Normal"/>
    <w:autoRedefine/>
    <w:uiPriority w:val="39"/>
    <w:unhideWhenUsed/>
    <w:rsid w:val="00432060"/>
    <w:pPr>
      <w:tabs>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B81D57"/>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B81D57"/>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B81D57"/>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B81D57"/>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B81D57"/>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
    <w:rsid w:val="00B81D57"/>
    <w:rPr>
      <w:sz w:val="20"/>
      <w:szCs w:val="20"/>
    </w:rPr>
  </w:style>
  <w:style w:type="character" w:customStyle="1" w:styleId="Copyrightpage-Heading2Char">
    <w:name w:val="Copyright page-Heading 2 Char"/>
    <w:basedOn w:val="NoSpacingChar"/>
    <w:link w:val="Copyrightpage-Heading2"/>
    <w:uiPriority w:val="19"/>
    <w:rsid w:val="00B81D57"/>
    <w:rPr>
      <w:b/>
      <w:color w:val="FFFFFF" w:themeColor="background1"/>
      <w:sz w:val="16"/>
      <w:szCs w:val="16"/>
    </w:rPr>
  </w:style>
  <w:style w:type="paragraph" w:customStyle="1" w:styleId="Copyrightpage-Heading">
    <w:name w:val="Copyright page-Heading"/>
    <w:basedOn w:val="Subtitle2"/>
    <w:link w:val="Copyrightpage-HeadingChar"/>
    <w:uiPriority w:val="19"/>
    <w:rsid w:val="00B81D57"/>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B81D57"/>
    <w:rPr>
      <w:color w:val="FFFFFF" w:themeColor="background1"/>
      <w:sz w:val="16"/>
      <w:szCs w:val="20"/>
    </w:rPr>
  </w:style>
  <w:style w:type="paragraph" w:customStyle="1" w:styleId="Subtitle4">
    <w:name w:val="Subtitle 4"/>
    <w:basedOn w:val="Copyrightpage-Heading"/>
    <w:link w:val="Subtitle4Char"/>
    <w:uiPriority w:val="39"/>
    <w:rsid w:val="00B81D57"/>
    <w:pPr>
      <w:spacing w:after="40"/>
    </w:pPr>
    <w:rPr>
      <w:b/>
      <w:sz w:val="16"/>
    </w:rPr>
  </w:style>
  <w:style w:type="character" w:customStyle="1" w:styleId="Copyrightpage-HeadingChar">
    <w:name w:val="Copyright page-Heading Char"/>
    <w:basedOn w:val="Subtitle2Char"/>
    <w:link w:val="Copyrightpage-Heading"/>
    <w:uiPriority w:val="19"/>
    <w:rsid w:val="00B81D57"/>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B81D57"/>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B81D57"/>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B81D57"/>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B81D57"/>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B81D57"/>
    <w:pPr>
      <w:spacing w:line="360" w:lineRule="auto"/>
      <w:jc w:val="right"/>
    </w:pPr>
    <w:rPr>
      <w:sz w:val="16"/>
    </w:rPr>
  </w:style>
  <w:style w:type="paragraph" w:customStyle="1" w:styleId="Letterlogo">
    <w:name w:val="Letter logo"/>
    <w:basedOn w:val="LetterRight"/>
    <w:uiPriority w:val="99"/>
    <w:rsid w:val="00B81D57"/>
    <w:pPr>
      <w:spacing w:after="320"/>
    </w:pPr>
  </w:style>
  <w:style w:type="character" w:customStyle="1" w:styleId="LetterRightChar">
    <w:name w:val="Letter Right Char"/>
    <w:basedOn w:val="DefaultParagraphFont"/>
    <w:link w:val="LetterRight"/>
    <w:uiPriority w:val="99"/>
    <w:rsid w:val="00B81D57"/>
    <w:rPr>
      <w:sz w:val="16"/>
      <w:szCs w:val="20"/>
    </w:rPr>
  </w:style>
  <w:style w:type="character" w:styleId="UnresolvedMention">
    <w:name w:val="Unresolved Mention"/>
    <w:basedOn w:val="DefaultParagraphFont"/>
    <w:uiPriority w:val="99"/>
    <w:semiHidden/>
    <w:unhideWhenUsed/>
    <w:rsid w:val="00B81D57"/>
    <w:rPr>
      <w:color w:val="605E5C"/>
      <w:shd w:val="clear" w:color="auto" w:fill="E1DFDD"/>
    </w:rPr>
  </w:style>
  <w:style w:type="paragraph" w:customStyle="1" w:styleId="LetterRight-NoSpace">
    <w:name w:val="Letter Right-No Space"/>
    <w:basedOn w:val="LetterRight"/>
    <w:uiPriority w:val="99"/>
    <w:rsid w:val="00B81D57"/>
    <w:pPr>
      <w:spacing w:after="0"/>
    </w:pPr>
  </w:style>
  <w:style w:type="table" w:customStyle="1" w:styleId="Blank">
    <w:name w:val="Blank"/>
    <w:basedOn w:val="TableNormal"/>
    <w:uiPriority w:val="99"/>
    <w:rsid w:val="00B81D57"/>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B81D57"/>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B81D57"/>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B81D57"/>
    <w:rPr>
      <w:color w:val="FFFFFF" w:themeColor="background1"/>
    </w:rPr>
  </w:style>
  <w:style w:type="paragraph" w:customStyle="1" w:styleId="Copyrightpage-Keylinenotext">
    <w:name w:val="Copyright page-Keyline (no text)"/>
    <w:basedOn w:val="Copyrightpage-Heading2"/>
    <w:uiPriority w:val="19"/>
    <w:rsid w:val="00B81D57"/>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B81D57"/>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B81D57"/>
    <w:rPr>
      <w:b/>
    </w:rPr>
  </w:style>
  <w:style w:type="paragraph" w:customStyle="1" w:styleId="CoverImage">
    <w:name w:val="Cover Image"/>
    <w:basedOn w:val="Normal"/>
    <w:uiPriority w:val="29"/>
    <w:rsid w:val="00B81D57"/>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B81D57"/>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B81D57"/>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99"/>
    <w:qFormat/>
    <w:rsid w:val="00B81D57"/>
    <w:pPr>
      <w:spacing w:before="60"/>
      <w:ind w:left="113" w:right="851"/>
    </w:pPr>
    <w:rPr>
      <w:color w:val="58585B"/>
    </w:rPr>
  </w:style>
  <w:style w:type="numbering" w:customStyle="1" w:styleId="TOCList">
    <w:name w:val="TOC List"/>
    <w:uiPriority w:val="99"/>
    <w:rsid w:val="00B81D57"/>
    <w:pPr>
      <w:numPr>
        <w:numId w:val="16"/>
      </w:numPr>
    </w:pPr>
  </w:style>
  <w:style w:type="paragraph" w:customStyle="1" w:styleId="Heading1-Section-fullpage">
    <w:name w:val="Heading 1-Section-full page"/>
    <w:basedOn w:val="Heading1-nobackground"/>
    <w:uiPriority w:val="9"/>
    <w:qFormat/>
    <w:rsid w:val="00B81D57"/>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B81D57"/>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B81D57"/>
    <w:pPr>
      <w:keepNext/>
      <w:spacing w:before="240"/>
    </w:pPr>
  </w:style>
  <w:style w:type="paragraph" w:customStyle="1" w:styleId="Source">
    <w:name w:val="Source"/>
    <w:basedOn w:val="Normal"/>
    <w:uiPriority w:val="9"/>
    <w:qFormat/>
    <w:rsid w:val="00B81D57"/>
    <w:pPr>
      <w:spacing w:before="80" w:after="240" w:line="216" w:lineRule="atLeast"/>
    </w:pPr>
    <w:rPr>
      <w:sz w:val="18"/>
    </w:rPr>
  </w:style>
  <w:style w:type="paragraph" w:customStyle="1" w:styleId="Note">
    <w:name w:val="Note"/>
    <w:basedOn w:val="Source"/>
    <w:uiPriority w:val="9"/>
    <w:qFormat/>
    <w:rsid w:val="00B81D57"/>
    <w:pPr>
      <w:spacing w:after="20"/>
    </w:pPr>
  </w:style>
  <w:style w:type="numbering" w:customStyle="1" w:styleId="Figure">
    <w:name w:val="Figure"/>
    <w:uiPriority w:val="99"/>
    <w:rsid w:val="00B81D57"/>
    <w:pPr>
      <w:numPr>
        <w:numId w:val="6"/>
      </w:numPr>
    </w:pPr>
  </w:style>
  <w:style w:type="table" w:customStyle="1" w:styleId="Boxtable">
    <w:name w:val="Box table"/>
    <w:basedOn w:val="Texttable-Paleblue"/>
    <w:uiPriority w:val="99"/>
    <w:rsid w:val="00B81D57"/>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B81D57"/>
    <w:pPr>
      <w:numPr>
        <w:numId w:val="4"/>
      </w:numPr>
    </w:pPr>
  </w:style>
  <w:style w:type="paragraph" w:customStyle="1" w:styleId="BoxHeading2">
    <w:name w:val="Box Heading 2"/>
    <w:basedOn w:val="Normal"/>
    <w:next w:val="BodyText"/>
    <w:uiPriority w:val="4"/>
    <w:qFormat/>
    <w:rsid w:val="00B81D57"/>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B81D57"/>
    <w:rPr>
      <w:i/>
    </w:rPr>
  </w:style>
  <w:style w:type="paragraph" w:customStyle="1" w:styleId="TableHeading">
    <w:name w:val="Table Heading"/>
    <w:basedOn w:val="NoSpacing"/>
    <w:uiPriority w:val="4"/>
    <w:qFormat/>
    <w:rsid w:val="00B81D57"/>
    <w:pPr>
      <w:spacing w:after="20"/>
      <w:ind w:left="57"/>
    </w:pPr>
    <w:rPr>
      <w:b/>
      <w:color w:val="265A9A" w:themeColor="background2"/>
      <w:sz w:val="18"/>
    </w:rPr>
  </w:style>
  <w:style w:type="paragraph" w:customStyle="1" w:styleId="BodyText-Blue">
    <w:name w:val="Body Text-Blue"/>
    <w:basedOn w:val="BodyText"/>
    <w:link w:val="BodyText-BlueChar"/>
    <w:semiHidden/>
    <w:qFormat/>
    <w:rsid w:val="00B81D57"/>
    <w:rPr>
      <w:color w:val="265A9A" w:themeColor="background2"/>
    </w:rPr>
  </w:style>
  <w:style w:type="table" w:customStyle="1" w:styleId="Texttable-Keyline">
    <w:name w:val="Text table-Keyline"/>
    <w:basedOn w:val="Texttable-Paleblue"/>
    <w:uiPriority w:val="99"/>
    <w:rsid w:val="00B81D57"/>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B81D57"/>
    <w:pPr>
      <w:jc w:val="right"/>
    </w:pPr>
  </w:style>
  <w:style w:type="table" w:customStyle="1" w:styleId="CopyrightPage">
    <w:name w:val="Copyright Page"/>
    <w:basedOn w:val="OverviewPageBannerTableStyle"/>
    <w:uiPriority w:val="99"/>
    <w:rsid w:val="00B81D57"/>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B81D57"/>
    <w:pPr>
      <w:spacing w:line="312" w:lineRule="atLeast"/>
    </w:pPr>
    <w:rPr>
      <w:color w:val="2C9BC2"/>
    </w:rPr>
  </w:style>
  <w:style w:type="paragraph" w:styleId="BodyText">
    <w:name w:val="Body Text"/>
    <w:basedOn w:val="Normal"/>
    <w:link w:val="BodyTextChar"/>
    <w:qFormat/>
    <w:rsid w:val="00B81D57"/>
  </w:style>
  <w:style w:type="character" w:customStyle="1" w:styleId="BodyTextChar">
    <w:name w:val="Body Text Char"/>
    <w:basedOn w:val="DefaultParagraphFont"/>
    <w:link w:val="BodyText"/>
    <w:rsid w:val="00B81D57"/>
    <w:rPr>
      <w:sz w:val="20"/>
      <w:szCs w:val="20"/>
    </w:rPr>
  </w:style>
  <w:style w:type="paragraph" w:styleId="List4">
    <w:name w:val="List 4"/>
    <w:basedOn w:val="Normal"/>
    <w:uiPriority w:val="99"/>
    <w:semiHidden/>
    <w:rsid w:val="00B81D57"/>
    <w:pPr>
      <w:numPr>
        <w:ilvl w:val="3"/>
        <w:numId w:val="19"/>
      </w:numPr>
      <w:contextualSpacing/>
    </w:pPr>
  </w:style>
  <w:style w:type="paragraph" w:styleId="List3">
    <w:name w:val="List 3"/>
    <w:basedOn w:val="Normal"/>
    <w:uiPriority w:val="99"/>
    <w:semiHidden/>
    <w:rsid w:val="00B81D57"/>
    <w:pPr>
      <w:numPr>
        <w:ilvl w:val="2"/>
        <w:numId w:val="1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pPr>
  </w:style>
  <w:style w:type="numbering" w:customStyle="1" w:styleId="Alphalist">
    <w:name w:val="Alpha list"/>
    <w:uiPriority w:val="99"/>
    <w:rsid w:val="00B81D57"/>
    <w:pPr>
      <w:numPr>
        <w:numId w:val="1"/>
      </w:numPr>
    </w:pPr>
  </w:style>
  <w:style w:type="paragraph" w:customStyle="1" w:styleId="KeyPoints-Bold">
    <w:name w:val="Key Points-Bold"/>
    <w:basedOn w:val="Normal"/>
    <w:uiPriority w:val="10"/>
    <w:qFormat/>
    <w:rsid w:val="00B81D57"/>
    <w:pPr>
      <w:spacing w:before="40" w:after="60" w:line="274" w:lineRule="atLeast"/>
    </w:pPr>
    <w:rPr>
      <w:b/>
      <w:sz w:val="18"/>
    </w:rPr>
  </w:style>
  <w:style w:type="paragraph" w:customStyle="1" w:styleId="Copyrightpage-BodyBold">
    <w:name w:val="Copyright page-Body Bold"/>
    <w:basedOn w:val="Copyrightpage-BodyText"/>
    <w:uiPriority w:val="19"/>
    <w:rsid w:val="00B81D57"/>
    <w:rPr>
      <w:b/>
    </w:rPr>
  </w:style>
  <w:style w:type="paragraph" w:customStyle="1" w:styleId="KeyPoints-Bullet">
    <w:name w:val="Key Points-Bullet"/>
    <w:basedOn w:val="ListBullet"/>
    <w:uiPriority w:val="10"/>
    <w:qFormat/>
    <w:rsid w:val="00182FE6"/>
    <w:pPr>
      <w:spacing w:after="60" w:line="274" w:lineRule="atLeast"/>
    </w:pPr>
    <w:rPr>
      <w:sz w:val="18"/>
    </w:rPr>
  </w:style>
  <w:style w:type="paragraph" w:customStyle="1" w:styleId="BodyText-Grey">
    <w:name w:val="Body Text-Grey"/>
    <w:basedOn w:val="BodyText"/>
    <w:link w:val="BodyText-GreyChar"/>
    <w:semiHidden/>
    <w:qFormat/>
    <w:rsid w:val="00B81D57"/>
    <w:rPr>
      <w:color w:val="58585B"/>
    </w:rPr>
  </w:style>
  <w:style w:type="character" w:customStyle="1" w:styleId="BodyText-GreyChar">
    <w:name w:val="Body Text-Grey Char"/>
    <w:basedOn w:val="BodyTextChar"/>
    <w:link w:val="BodyText-Grey"/>
    <w:semiHidden/>
    <w:rsid w:val="00B81D57"/>
    <w:rPr>
      <w:color w:val="58585B"/>
      <w:sz w:val="20"/>
      <w:szCs w:val="20"/>
    </w:rPr>
  </w:style>
  <w:style w:type="paragraph" w:styleId="BalloonText">
    <w:name w:val="Balloon Text"/>
    <w:basedOn w:val="Normal"/>
    <w:link w:val="BalloonTextChar"/>
    <w:uiPriority w:val="99"/>
    <w:semiHidden/>
    <w:unhideWhenUsed/>
    <w:rsid w:val="00B81D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D57"/>
    <w:rPr>
      <w:rFonts w:ascii="Segoe UI" w:hAnsi="Segoe UI" w:cs="Segoe UI"/>
      <w:sz w:val="18"/>
      <w:szCs w:val="18"/>
    </w:rPr>
  </w:style>
  <w:style w:type="character" w:styleId="CommentReference">
    <w:name w:val="annotation reference"/>
    <w:basedOn w:val="DefaultParagraphFont"/>
    <w:uiPriority w:val="99"/>
    <w:semiHidden/>
    <w:unhideWhenUsed/>
    <w:rsid w:val="00B81D57"/>
    <w:rPr>
      <w:sz w:val="16"/>
      <w:szCs w:val="16"/>
    </w:rPr>
  </w:style>
  <w:style w:type="paragraph" w:styleId="CommentText">
    <w:name w:val="annotation text"/>
    <w:basedOn w:val="Normal"/>
    <w:link w:val="CommentTextChar"/>
    <w:uiPriority w:val="99"/>
    <w:unhideWhenUsed/>
    <w:rsid w:val="00B81D57"/>
    <w:pPr>
      <w:spacing w:line="240" w:lineRule="auto"/>
    </w:pPr>
  </w:style>
  <w:style w:type="character" w:customStyle="1" w:styleId="CommentTextChar">
    <w:name w:val="Comment Text Char"/>
    <w:basedOn w:val="DefaultParagraphFont"/>
    <w:link w:val="CommentText"/>
    <w:uiPriority w:val="99"/>
    <w:rsid w:val="00B81D57"/>
    <w:rPr>
      <w:sz w:val="20"/>
      <w:szCs w:val="20"/>
    </w:rPr>
  </w:style>
  <w:style w:type="paragraph" w:styleId="CommentSubject">
    <w:name w:val="annotation subject"/>
    <w:basedOn w:val="CommentText"/>
    <w:next w:val="CommentText"/>
    <w:link w:val="CommentSubjectChar"/>
    <w:uiPriority w:val="99"/>
    <w:semiHidden/>
    <w:unhideWhenUsed/>
    <w:rsid w:val="00B81D57"/>
    <w:rPr>
      <w:b/>
      <w:bCs/>
    </w:rPr>
  </w:style>
  <w:style w:type="character" w:customStyle="1" w:styleId="CommentSubjectChar">
    <w:name w:val="Comment Subject Char"/>
    <w:basedOn w:val="CommentTextChar"/>
    <w:link w:val="CommentSubject"/>
    <w:uiPriority w:val="99"/>
    <w:semiHidden/>
    <w:rsid w:val="00B81D57"/>
    <w:rPr>
      <w:b/>
      <w:bCs/>
      <w:sz w:val="20"/>
      <w:szCs w:val="20"/>
    </w:rPr>
  </w:style>
  <w:style w:type="character" w:customStyle="1" w:styleId="ColourBlue">
    <w:name w:val="Colour Blue"/>
    <w:basedOn w:val="DefaultParagraphFont"/>
    <w:uiPriority w:val="22"/>
    <w:qFormat/>
    <w:rsid w:val="00B81D57"/>
    <w:rPr>
      <w:color w:val="66BCDB" w:themeColor="text2"/>
    </w:rPr>
  </w:style>
  <w:style w:type="character" w:customStyle="1" w:styleId="ColourDarkBlue">
    <w:name w:val="Colour Dark Blue"/>
    <w:basedOn w:val="ColourBlue"/>
    <w:uiPriority w:val="22"/>
    <w:qFormat/>
    <w:rsid w:val="00B81D57"/>
    <w:rPr>
      <w:color w:val="265A9A" w:themeColor="background2"/>
    </w:rPr>
  </w:style>
  <w:style w:type="paragraph" w:customStyle="1" w:styleId="BodyText-Beforebullet">
    <w:name w:val="Body Text-Before bullet"/>
    <w:basedOn w:val="BodyText"/>
    <w:link w:val="BodyText-BeforebulletChar"/>
    <w:semiHidden/>
    <w:unhideWhenUsed/>
    <w:rsid w:val="00B81D57"/>
    <w:pPr>
      <w:spacing w:after="20"/>
    </w:pPr>
  </w:style>
  <w:style w:type="paragraph" w:customStyle="1" w:styleId="PullQuote">
    <w:name w:val="Pull Quote"/>
    <w:basedOn w:val="BodyText"/>
    <w:next w:val="BodyText"/>
    <w:uiPriority w:val="10"/>
    <w:qFormat/>
    <w:rsid w:val="00B81D57"/>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B81D57"/>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B81D57"/>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B81D57"/>
    <w:pPr>
      <w:spacing w:before="60"/>
      <w:jc w:val="right"/>
    </w:pPr>
  </w:style>
  <w:style w:type="paragraph" w:customStyle="1" w:styleId="FigureTableSubheading">
    <w:name w:val="Figure/Table Subheading"/>
    <w:basedOn w:val="FigureTableHeading"/>
    <w:uiPriority w:val="4"/>
    <w:qFormat/>
    <w:rsid w:val="00B81D57"/>
    <w:pPr>
      <w:spacing w:before="40"/>
    </w:pPr>
    <w:rPr>
      <w:color w:val="58585B"/>
    </w:rPr>
  </w:style>
  <w:style w:type="table" w:customStyle="1" w:styleId="TextTable-Grey">
    <w:name w:val="Text Table-Grey"/>
    <w:basedOn w:val="Texttable-Paleblue"/>
    <w:uiPriority w:val="99"/>
    <w:rsid w:val="00B81D57"/>
    <w:rPr>
      <w:color w:val="265A9A" w:themeColor="background2"/>
    </w:rPr>
    <w:tblPr/>
    <w:tcPr>
      <w:shd w:val="clear" w:color="auto" w:fill="F2F2F2"/>
    </w:tcPr>
  </w:style>
  <w:style w:type="character" w:customStyle="1" w:styleId="BodyText-BlueChar">
    <w:name w:val="Body Text-Blue Char"/>
    <w:basedOn w:val="BodyTextChar"/>
    <w:link w:val="BodyText-Blue"/>
    <w:semiHidden/>
    <w:rsid w:val="00B81D57"/>
    <w:rPr>
      <w:color w:val="265A9A" w:themeColor="background2"/>
      <w:sz w:val="20"/>
      <w:szCs w:val="20"/>
    </w:rPr>
  </w:style>
  <w:style w:type="paragraph" w:customStyle="1" w:styleId="Heading3-nonumber">
    <w:name w:val="Heading 3-no number"/>
    <w:basedOn w:val="Heading3"/>
    <w:uiPriority w:val="9"/>
    <w:semiHidden/>
    <w:qFormat/>
    <w:rsid w:val="00B81D57"/>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99"/>
    <w:rsid w:val="00B81D57"/>
    <w:rPr>
      <w:color w:val="58585B"/>
      <w:sz w:val="20"/>
      <w:szCs w:val="20"/>
    </w:rPr>
  </w:style>
  <w:style w:type="paragraph" w:customStyle="1" w:styleId="TableHeading-numbered">
    <w:name w:val="Table Heading-numbered"/>
    <w:basedOn w:val="Normal"/>
    <w:semiHidden/>
    <w:qFormat/>
    <w:rsid w:val="007947C2"/>
    <w:pPr>
      <w:numPr>
        <w:numId w:val="15"/>
      </w:numPr>
      <w:spacing w:before="60"/>
      <w:contextualSpacing/>
    </w:pPr>
    <w:rPr>
      <w:b/>
      <w:color w:val="265A9A" w:themeColor="background2"/>
    </w:rPr>
  </w:style>
  <w:style w:type="numbering" w:customStyle="1" w:styleId="TableList">
    <w:name w:val="TableList"/>
    <w:uiPriority w:val="99"/>
    <w:rsid w:val="00B81D57"/>
    <w:pPr>
      <w:numPr>
        <w:numId w:val="15"/>
      </w:numPr>
    </w:pPr>
  </w:style>
  <w:style w:type="paragraph" w:customStyle="1" w:styleId="Footer-right">
    <w:name w:val="Footer-right"/>
    <w:basedOn w:val="Footer"/>
    <w:uiPriority w:val="11"/>
    <w:rsid w:val="00B81D57"/>
    <w:pPr>
      <w:jc w:val="right"/>
    </w:pPr>
    <w:rPr>
      <w:szCs w:val="24"/>
    </w:rPr>
  </w:style>
  <w:style w:type="paragraph" w:customStyle="1" w:styleId="Heading2-nonumber">
    <w:name w:val="Heading 2-no number"/>
    <w:basedOn w:val="Heading2"/>
    <w:uiPriority w:val="9"/>
    <w:qFormat/>
    <w:rsid w:val="00B81D57"/>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B81D57"/>
    <w:pPr>
      <w:numPr>
        <w:numId w:val="3"/>
      </w:numPr>
    </w:pPr>
  </w:style>
  <w:style w:type="paragraph" w:customStyle="1" w:styleId="DraftingNote">
    <w:name w:val="Drafting Note"/>
    <w:basedOn w:val="BodyText"/>
    <w:link w:val="DraftingNoteChar"/>
    <w:qFormat/>
    <w:rsid w:val="00B81D57"/>
    <w:pPr>
      <w:contextualSpacing/>
    </w:pPr>
    <w:rPr>
      <w:color w:val="A22D2B"/>
      <w:sz w:val="24"/>
      <w:u w:val="dotted"/>
    </w:rPr>
  </w:style>
  <w:style w:type="character" w:customStyle="1" w:styleId="DraftingNoteChar">
    <w:name w:val="Drafting Note Char"/>
    <w:basedOn w:val="BodyTextChar"/>
    <w:link w:val="DraftingNote"/>
    <w:rsid w:val="00B81D57"/>
    <w:rPr>
      <w:color w:val="A22D2B"/>
      <w:sz w:val="24"/>
      <w:szCs w:val="20"/>
      <w:u w:val="dotted"/>
    </w:rPr>
  </w:style>
  <w:style w:type="paragraph" w:customStyle="1" w:styleId="BoxHeading1">
    <w:name w:val="Box Heading 1"/>
    <w:basedOn w:val="FigureTableHeading"/>
    <w:next w:val="BodyText"/>
    <w:uiPriority w:val="4"/>
    <w:qFormat/>
    <w:rsid w:val="00B81D57"/>
    <w:pPr>
      <w:spacing w:after="0"/>
    </w:pPr>
  </w:style>
  <w:style w:type="character" w:styleId="Emphasis">
    <w:name w:val="Emphasis"/>
    <w:basedOn w:val="DefaultParagraphFont"/>
    <w:uiPriority w:val="20"/>
    <w:qFormat/>
    <w:rsid w:val="00B81D57"/>
    <w:rPr>
      <w:i/>
      <w:iCs/>
    </w:rPr>
  </w:style>
  <w:style w:type="paragraph" w:customStyle="1" w:styleId="Reference">
    <w:name w:val="Reference"/>
    <w:basedOn w:val="BodyText"/>
    <w:qFormat/>
    <w:rsid w:val="00B81D57"/>
    <w:pPr>
      <w:spacing w:before="0" w:after="60" w:line="200" w:lineRule="exact"/>
    </w:pPr>
    <w:rPr>
      <w:sz w:val="16"/>
    </w:rPr>
  </w:style>
  <w:style w:type="paragraph" w:customStyle="1" w:styleId="Keypoints-heading">
    <w:name w:val="Key points-heading"/>
    <w:basedOn w:val="Heading3"/>
    <w:uiPriority w:val="10"/>
    <w:qFormat/>
    <w:rsid w:val="00B81D57"/>
    <w:rPr>
      <w:color w:val="auto"/>
    </w:rPr>
  </w:style>
  <w:style w:type="paragraph" w:customStyle="1" w:styleId="Heading2-Appendix">
    <w:name w:val="Heading 2-Appendix"/>
    <w:basedOn w:val="Heading2-nonumber"/>
    <w:next w:val="Normal"/>
    <w:uiPriority w:val="10"/>
    <w:qFormat/>
    <w:rsid w:val="00B81D57"/>
    <w:pPr>
      <w:numPr>
        <w:ilvl w:val="1"/>
        <w:numId w:val="17"/>
      </w:numPr>
    </w:pPr>
  </w:style>
  <w:style w:type="numbering" w:customStyle="1" w:styleId="AppendixHeadingList">
    <w:name w:val="Appendix Heading List"/>
    <w:uiPriority w:val="99"/>
    <w:rsid w:val="00B81D57"/>
    <w:pPr>
      <w:numPr>
        <w:numId w:val="2"/>
      </w:numPr>
    </w:pPr>
  </w:style>
  <w:style w:type="paragraph" w:customStyle="1" w:styleId="Space">
    <w:name w:val="Space"/>
    <w:basedOn w:val="BodyText"/>
    <w:rsid w:val="00B81D57"/>
    <w:pPr>
      <w:spacing w:before="0" w:after="0"/>
    </w:pPr>
  </w:style>
  <w:style w:type="paragraph" w:customStyle="1" w:styleId="QuoteBullet">
    <w:name w:val="Quote Bullet"/>
    <w:basedOn w:val="ListBullet"/>
    <w:link w:val="QuoteBulletChar"/>
    <w:uiPriority w:val="1"/>
    <w:qFormat/>
    <w:rsid w:val="00B81D57"/>
    <w:pPr>
      <w:spacing w:before="60"/>
      <w:ind w:left="340" w:right="851"/>
    </w:pPr>
    <w:rPr>
      <w:color w:val="58585B"/>
    </w:rPr>
  </w:style>
  <w:style w:type="character" w:customStyle="1" w:styleId="ListBulletChar">
    <w:name w:val="List Bullet Char"/>
    <w:basedOn w:val="DefaultParagraphFont"/>
    <w:link w:val="ListBullet"/>
    <w:uiPriority w:val="1"/>
    <w:rsid w:val="00927EB3"/>
    <w:rPr>
      <w:sz w:val="20"/>
      <w:szCs w:val="20"/>
    </w:rPr>
  </w:style>
  <w:style w:type="character" w:customStyle="1" w:styleId="QuoteBulletChar">
    <w:name w:val="Quote Bullet Char"/>
    <w:basedOn w:val="ListBulletChar"/>
    <w:link w:val="QuoteBullet"/>
    <w:uiPriority w:val="1"/>
    <w:rsid w:val="00B81D57"/>
    <w:rPr>
      <w:color w:val="58585B"/>
      <w:sz w:val="20"/>
      <w:szCs w:val="20"/>
    </w:rPr>
  </w:style>
  <w:style w:type="paragraph" w:customStyle="1" w:styleId="Figurecharttitle">
    <w:name w:val="Figure chart title"/>
    <w:basedOn w:val="BodyText"/>
    <w:uiPriority w:val="10"/>
    <w:qFormat/>
    <w:rsid w:val="00B81D57"/>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B81D57"/>
    <w:pPr>
      <w:spacing w:before="0" w:after="20"/>
    </w:pPr>
  </w:style>
  <w:style w:type="character" w:styleId="Mention">
    <w:name w:val="Mention"/>
    <w:basedOn w:val="DefaultParagraphFont"/>
    <w:uiPriority w:val="99"/>
    <w:unhideWhenUsed/>
    <w:rsid w:val="006203A5"/>
    <w:rPr>
      <w:color w:val="2B579A"/>
      <w:shd w:val="clear" w:color="auto" w:fill="E1DFDD"/>
    </w:rPr>
  </w:style>
  <w:style w:type="character" w:styleId="FollowedHyperlink">
    <w:name w:val="FollowedHyperlink"/>
    <w:basedOn w:val="DefaultParagraphFont"/>
    <w:uiPriority w:val="99"/>
    <w:semiHidden/>
    <w:unhideWhenUsed/>
    <w:rsid w:val="00EA2DF2"/>
    <w:rPr>
      <w:color w:val="BFBFBF" w:themeColor="followedHyperlink"/>
      <w:u w:val="single"/>
    </w:rPr>
  </w:style>
  <w:style w:type="paragraph" w:styleId="NormalWeb">
    <w:name w:val="Normal (Web)"/>
    <w:basedOn w:val="Normal"/>
    <w:uiPriority w:val="99"/>
    <w:semiHidden/>
    <w:unhideWhenUsed/>
    <w:rsid w:val="00EA2DF2"/>
    <w:rPr>
      <w:rFonts w:ascii="Times New Roman" w:hAnsi="Times New Roman" w:cs="Times New Roman"/>
      <w:sz w:val="24"/>
      <w:szCs w:val="24"/>
    </w:rPr>
  </w:style>
  <w:style w:type="character" w:styleId="EndnoteReference">
    <w:name w:val="endnote reference"/>
    <w:basedOn w:val="DefaultParagraphFont"/>
    <w:uiPriority w:val="99"/>
    <w:semiHidden/>
    <w:unhideWhenUsed/>
    <w:rsid w:val="00EA2DF2"/>
    <w:rPr>
      <w:vertAlign w:val="superscript"/>
    </w:rPr>
  </w:style>
  <w:style w:type="paragraph" w:styleId="Bibliography">
    <w:name w:val="Bibliography"/>
    <w:basedOn w:val="Normal"/>
    <w:next w:val="Normal"/>
    <w:uiPriority w:val="37"/>
    <w:unhideWhenUsed/>
    <w:rsid w:val="0041785A"/>
    <w:pPr>
      <w:spacing w:after="240" w:line="240" w:lineRule="atLeast"/>
      <w:ind w:left="720" w:hanging="720"/>
    </w:pPr>
  </w:style>
  <w:style w:type="paragraph" w:customStyle="1" w:styleId="Default">
    <w:name w:val="Default"/>
    <w:rsid w:val="004D6A45"/>
    <w:pPr>
      <w:autoSpaceDE w:val="0"/>
      <w:autoSpaceDN w:val="0"/>
      <w:adjustRightInd w:val="0"/>
      <w:spacing w:after="0" w:line="240" w:lineRule="auto"/>
    </w:pPr>
    <w:rPr>
      <w:rFonts w:ascii="Roboto" w:hAnsi="Roboto" w:cs="Roboto"/>
      <w:color w:val="000000"/>
      <w:sz w:val="24"/>
      <w:szCs w:val="24"/>
    </w:rPr>
  </w:style>
  <w:style w:type="paragraph" w:styleId="EndnoteText">
    <w:name w:val="endnote text"/>
    <w:basedOn w:val="Normal"/>
    <w:link w:val="EndnoteTextChar"/>
    <w:uiPriority w:val="99"/>
    <w:semiHidden/>
    <w:unhideWhenUsed/>
    <w:rsid w:val="00F56157"/>
    <w:pPr>
      <w:spacing w:before="0" w:after="0" w:line="240" w:lineRule="auto"/>
    </w:pPr>
  </w:style>
  <w:style w:type="character" w:customStyle="1" w:styleId="EndnoteTextChar">
    <w:name w:val="Endnote Text Char"/>
    <w:basedOn w:val="DefaultParagraphFont"/>
    <w:link w:val="EndnoteText"/>
    <w:uiPriority w:val="99"/>
    <w:semiHidden/>
    <w:rsid w:val="00F56157"/>
    <w:rPr>
      <w:sz w:val="20"/>
      <w:szCs w:val="20"/>
    </w:rPr>
  </w:style>
  <w:style w:type="table" w:styleId="ListTable4">
    <w:name w:val="List Table 4"/>
    <w:basedOn w:val="TableNormal"/>
    <w:uiPriority w:val="49"/>
    <w:rsid w:val="002A66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oterend">
    <w:name w:val="Footer end"/>
    <w:basedOn w:val="Footer"/>
    <w:uiPriority w:val="99"/>
    <w:unhideWhenUsed/>
    <w:rsid w:val="005D2997"/>
    <w:pPr>
      <w:spacing w:before="0" w:line="20" w:lineRule="exact"/>
      <w:contextualSpacing w:val="0"/>
    </w:pPr>
    <w:rPr>
      <w:rFonts w:ascii="Arial" w:hAnsi="Arial"/>
      <w:color w:val="595959" w:themeColor="text1" w:themeTint="A6"/>
      <w:sz w:val="18"/>
      <w:szCs w:val="18"/>
    </w:rPr>
  </w:style>
  <w:style w:type="paragraph" w:customStyle="1" w:styleId="Securitymarking">
    <w:name w:val="Security marking"/>
    <w:basedOn w:val="Normal"/>
    <w:uiPriority w:val="99"/>
    <w:unhideWhenUsed/>
    <w:rsid w:val="005D2997"/>
    <w:pPr>
      <w:spacing w:before="0" w:after="0" w:line="240" w:lineRule="auto"/>
      <w:jc w:val="center"/>
    </w:pPr>
    <w:rPr>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436696">
      <w:bodyDiv w:val="1"/>
      <w:marLeft w:val="0"/>
      <w:marRight w:val="0"/>
      <w:marTop w:val="0"/>
      <w:marBottom w:val="0"/>
      <w:divBdr>
        <w:top w:val="none" w:sz="0" w:space="0" w:color="auto"/>
        <w:left w:val="none" w:sz="0" w:space="0" w:color="auto"/>
        <w:bottom w:val="none" w:sz="0" w:space="0" w:color="auto"/>
        <w:right w:val="none" w:sz="0" w:space="0" w:color="auto"/>
      </w:divBdr>
      <w:divsChild>
        <w:div w:id="991759062">
          <w:marLeft w:val="0"/>
          <w:marRight w:val="0"/>
          <w:marTop w:val="0"/>
          <w:marBottom w:val="0"/>
          <w:divBdr>
            <w:top w:val="none" w:sz="0" w:space="0" w:color="auto"/>
            <w:left w:val="none" w:sz="0" w:space="0" w:color="auto"/>
            <w:bottom w:val="none" w:sz="0" w:space="0" w:color="auto"/>
            <w:right w:val="none" w:sz="0" w:space="0" w:color="auto"/>
          </w:divBdr>
          <w:divsChild>
            <w:div w:id="1157648765">
              <w:marLeft w:val="0"/>
              <w:marRight w:val="0"/>
              <w:marTop w:val="0"/>
              <w:marBottom w:val="0"/>
              <w:divBdr>
                <w:top w:val="none" w:sz="0" w:space="0" w:color="auto"/>
                <w:left w:val="none" w:sz="0" w:space="0" w:color="auto"/>
                <w:bottom w:val="none" w:sz="0" w:space="0" w:color="auto"/>
                <w:right w:val="none" w:sz="0" w:space="0" w:color="auto"/>
              </w:divBdr>
            </w:div>
          </w:divsChild>
        </w:div>
        <w:div w:id="804156478">
          <w:marLeft w:val="0"/>
          <w:marRight w:val="0"/>
          <w:marTop w:val="0"/>
          <w:marBottom w:val="0"/>
          <w:divBdr>
            <w:top w:val="none" w:sz="0" w:space="0" w:color="auto"/>
            <w:left w:val="none" w:sz="0" w:space="0" w:color="auto"/>
            <w:bottom w:val="none" w:sz="0" w:space="0" w:color="auto"/>
            <w:right w:val="none" w:sz="0" w:space="0" w:color="auto"/>
          </w:divBdr>
          <w:divsChild>
            <w:div w:id="1244025342">
              <w:marLeft w:val="0"/>
              <w:marRight w:val="0"/>
              <w:marTop w:val="0"/>
              <w:marBottom w:val="0"/>
              <w:divBdr>
                <w:top w:val="none" w:sz="0" w:space="0" w:color="auto"/>
                <w:left w:val="none" w:sz="0" w:space="0" w:color="auto"/>
                <w:bottom w:val="none" w:sz="0" w:space="0" w:color="auto"/>
                <w:right w:val="none" w:sz="0" w:space="0" w:color="auto"/>
              </w:divBdr>
            </w:div>
          </w:divsChild>
        </w:div>
        <w:div w:id="204373922">
          <w:marLeft w:val="0"/>
          <w:marRight w:val="0"/>
          <w:marTop w:val="0"/>
          <w:marBottom w:val="0"/>
          <w:divBdr>
            <w:top w:val="none" w:sz="0" w:space="0" w:color="auto"/>
            <w:left w:val="none" w:sz="0" w:space="0" w:color="auto"/>
            <w:bottom w:val="none" w:sz="0" w:space="0" w:color="auto"/>
            <w:right w:val="none" w:sz="0" w:space="0" w:color="auto"/>
          </w:divBdr>
          <w:divsChild>
            <w:div w:id="354038991">
              <w:marLeft w:val="0"/>
              <w:marRight w:val="0"/>
              <w:marTop w:val="0"/>
              <w:marBottom w:val="0"/>
              <w:divBdr>
                <w:top w:val="none" w:sz="0" w:space="0" w:color="auto"/>
                <w:left w:val="none" w:sz="0" w:space="0" w:color="auto"/>
                <w:bottom w:val="none" w:sz="0" w:space="0" w:color="auto"/>
                <w:right w:val="none" w:sz="0" w:space="0" w:color="auto"/>
              </w:divBdr>
            </w:div>
          </w:divsChild>
        </w:div>
        <w:div w:id="1427772027">
          <w:marLeft w:val="0"/>
          <w:marRight w:val="0"/>
          <w:marTop w:val="0"/>
          <w:marBottom w:val="0"/>
          <w:divBdr>
            <w:top w:val="none" w:sz="0" w:space="0" w:color="auto"/>
            <w:left w:val="none" w:sz="0" w:space="0" w:color="auto"/>
            <w:bottom w:val="none" w:sz="0" w:space="0" w:color="auto"/>
            <w:right w:val="none" w:sz="0" w:space="0" w:color="auto"/>
          </w:divBdr>
          <w:divsChild>
            <w:div w:id="631448194">
              <w:marLeft w:val="0"/>
              <w:marRight w:val="0"/>
              <w:marTop w:val="0"/>
              <w:marBottom w:val="0"/>
              <w:divBdr>
                <w:top w:val="none" w:sz="0" w:space="0" w:color="auto"/>
                <w:left w:val="none" w:sz="0" w:space="0" w:color="auto"/>
                <w:bottom w:val="none" w:sz="0" w:space="0" w:color="auto"/>
                <w:right w:val="none" w:sz="0" w:space="0" w:color="auto"/>
              </w:divBdr>
            </w:div>
          </w:divsChild>
        </w:div>
        <w:div w:id="1799689680">
          <w:marLeft w:val="0"/>
          <w:marRight w:val="0"/>
          <w:marTop w:val="0"/>
          <w:marBottom w:val="0"/>
          <w:divBdr>
            <w:top w:val="none" w:sz="0" w:space="0" w:color="auto"/>
            <w:left w:val="none" w:sz="0" w:space="0" w:color="auto"/>
            <w:bottom w:val="none" w:sz="0" w:space="0" w:color="auto"/>
            <w:right w:val="none" w:sz="0" w:space="0" w:color="auto"/>
          </w:divBdr>
          <w:divsChild>
            <w:div w:id="2017414869">
              <w:marLeft w:val="0"/>
              <w:marRight w:val="0"/>
              <w:marTop w:val="0"/>
              <w:marBottom w:val="0"/>
              <w:divBdr>
                <w:top w:val="none" w:sz="0" w:space="0" w:color="auto"/>
                <w:left w:val="none" w:sz="0" w:space="0" w:color="auto"/>
                <w:bottom w:val="none" w:sz="0" w:space="0" w:color="auto"/>
                <w:right w:val="none" w:sz="0" w:space="0" w:color="auto"/>
              </w:divBdr>
            </w:div>
          </w:divsChild>
        </w:div>
        <w:div w:id="814416982">
          <w:marLeft w:val="0"/>
          <w:marRight w:val="0"/>
          <w:marTop w:val="0"/>
          <w:marBottom w:val="0"/>
          <w:divBdr>
            <w:top w:val="none" w:sz="0" w:space="0" w:color="auto"/>
            <w:left w:val="none" w:sz="0" w:space="0" w:color="auto"/>
            <w:bottom w:val="none" w:sz="0" w:space="0" w:color="auto"/>
            <w:right w:val="none" w:sz="0" w:space="0" w:color="auto"/>
          </w:divBdr>
          <w:divsChild>
            <w:div w:id="1716392132">
              <w:marLeft w:val="0"/>
              <w:marRight w:val="0"/>
              <w:marTop w:val="0"/>
              <w:marBottom w:val="0"/>
              <w:divBdr>
                <w:top w:val="none" w:sz="0" w:space="0" w:color="auto"/>
                <w:left w:val="none" w:sz="0" w:space="0" w:color="auto"/>
                <w:bottom w:val="none" w:sz="0" w:space="0" w:color="auto"/>
                <w:right w:val="none" w:sz="0" w:space="0" w:color="auto"/>
              </w:divBdr>
            </w:div>
          </w:divsChild>
        </w:div>
        <w:div w:id="2116097162">
          <w:marLeft w:val="0"/>
          <w:marRight w:val="0"/>
          <w:marTop w:val="0"/>
          <w:marBottom w:val="0"/>
          <w:divBdr>
            <w:top w:val="none" w:sz="0" w:space="0" w:color="auto"/>
            <w:left w:val="none" w:sz="0" w:space="0" w:color="auto"/>
            <w:bottom w:val="none" w:sz="0" w:space="0" w:color="auto"/>
            <w:right w:val="none" w:sz="0" w:space="0" w:color="auto"/>
          </w:divBdr>
          <w:divsChild>
            <w:div w:id="1408379293">
              <w:marLeft w:val="0"/>
              <w:marRight w:val="0"/>
              <w:marTop w:val="0"/>
              <w:marBottom w:val="0"/>
              <w:divBdr>
                <w:top w:val="none" w:sz="0" w:space="0" w:color="auto"/>
                <w:left w:val="none" w:sz="0" w:space="0" w:color="auto"/>
                <w:bottom w:val="none" w:sz="0" w:space="0" w:color="auto"/>
                <w:right w:val="none" w:sz="0" w:space="0" w:color="auto"/>
              </w:divBdr>
            </w:div>
          </w:divsChild>
        </w:div>
        <w:div w:id="1984265839">
          <w:marLeft w:val="0"/>
          <w:marRight w:val="0"/>
          <w:marTop w:val="0"/>
          <w:marBottom w:val="0"/>
          <w:divBdr>
            <w:top w:val="none" w:sz="0" w:space="0" w:color="auto"/>
            <w:left w:val="none" w:sz="0" w:space="0" w:color="auto"/>
            <w:bottom w:val="none" w:sz="0" w:space="0" w:color="auto"/>
            <w:right w:val="none" w:sz="0" w:space="0" w:color="auto"/>
          </w:divBdr>
          <w:divsChild>
            <w:div w:id="2126151645">
              <w:marLeft w:val="0"/>
              <w:marRight w:val="0"/>
              <w:marTop w:val="0"/>
              <w:marBottom w:val="0"/>
              <w:divBdr>
                <w:top w:val="none" w:sz="0" w:space="0" w:color="auto"/>
                <w:left w:val="none" w:sz="0" w:space="0" w:color="auto"/>
                <w:bottom w:val="none" w:sz="0" w:space="0" w:color="auto"/>
                <w:right w:val="none" w:sz="0" w:space="0" w:color="auto"/>
              </w:divBdr>
            </w:div>
          </w:divsChild>
        </w:div>
        <w:div w:id="1184319100">
          <w:marLeft w:val="0"/>
          <w:marRight w:val="0"/>
          <w:marTop w:val="0"/>
          <w:marBottom w:val="0"/>
          <w:divBdr>
            <w:top w:val="none" w:sz="0" w:space="0" w:color="auto"/>
            <w:left w:val="none" w:sz="0" w:space="0" w:color="auto"/>
            <w:bottom w:val="none" w:sz="0" w:space="0" w:color="auto"/>
            <w:right w:val="none" w:sz="0" w:space="0" w:color="auto"/>
          </w:divBdr>
          <w:divsChild>
            <w:div w:id="150871117">
              <w:marLeft w:val="0"/>
              <w:marRight w:val="0"/>
              <w:marTop w:val="0"/>
              <w:marBottom w:val="0"/>
              <w:divBdr>
                <w:top w:val="none" w:sz="0" w:space="0" w:color="auto"/>
                <w:left w:val="none" w:sz="0" w:space="0" w:color="auto"/>
                <w:bottom w:val="none" w:sz="0" w:space="0" w:color="auto"/>
                <w:right w:val="none" w:sz="0" w:space="0" w:color="auto"/>
              </w:divBdr>
            </w:div>
          </w:divsChild>
        </w:div>
        <w:div w:id="929318305">
          <w:marLeft w:val="0"/>
          <w:marRight w:val="0"/>
          <w:marTop w:val="0"/>
          <w:marBottom w:val="0"/>
          <w:divBdr>
            <w:top w:val="none" w:sz="0" w:space="0" w:color="auto"/>
            <w:left w:val="none" w:sz="0" w:space="0" w:color="auto"/>
            <w:bottom w:val="none" w:sz="0" w:space="0" w:color="auto"/>
            <w:right w:val="none" w:sz="0" w:space="0" w:color="auto"/>
          </w:divBdr>
          <w:divsChild>
            <w:div w:id="560021827">
              <w:marLeft w:val="0"/>
              <w:marRight w:val="0"/>
              <w:marTop w:val="0"/>
              <w:marBottom w:val="0"/>
              <w:divBdr>
                <w:top w:val="none" w:sz="0" w:space="0" w:color="auto"/>
                <w:left w:val="none" w:sz="0" w:space="0" w:color="auto"/>
                <w:bottom w:val="none" w:sz="0" w:space="0" w:color="auto"/>
                <w:right w:val="none" w:sz="0" w:space="0" w:color="auto"/>
              </w:divBdr>
            </w:div>
          </w:divsChild>
        </w:div>
        <w:div w:id="1782186411">
          <w:marLeft w:val="0"/>
          <w:marRight w:val="0"/>
          <w:marTop w:val="0"/>
          <w:marBottom w:val="0"/>
          <w:divBdr>
            <w:top w:val="none" w:sz="0" w:space="0" w:color="auto"/>
            <w:left w:val="none" w:sz="0" w:space="0" w:color="auto"/>
            <w:bottom w:val="none" w:sz="0" w:space="0" w:color="auto"/>
            <w:right w:val="none" w:sz="0" w:space="0" w:color="auto"/>
          </w:divBdr>
          <w:divsChild>
            <w:div w:id="1177845178">
              <w:marLeft w:val="0"/>
              <w:marRight w:val="0"/>
              <w:marTop w:val="0"/>
              <w:marBottom w:val="0"/>
              <w:divBdr>
                <w:top w:val="none" w:sz="0" w:space="0" w:color="auto"/>
                <w:left w:val="none" w:sz="0" w:space="0" w:color="auto"/>
                <w:bottom w:val="none" w:sz="0" w:space="0" w:color="auto"/>
                <w:right w:val="none" w:sz="0" w:space="0" w:color="auto"/>
              </w:divBdr>
            </w:div>
          </w:divsChild>
        </w:div>
        <w:div w:id="194582055">
          <w:marLeft w:val="0"/>
          <w:marRight w:val="0"/>
          <w:marTop w:val="0"/>
          <w:marBottom w:val="0"/>
          <w:divBdr>
            <w:top w:val="none" w:sz="0" w:space="0" w:color="auto"/>
            <w:left w:val="none" w:sz="0" w:space="0" w:color="auto"/>
            <w:bottom w:val="none" w:sz="0" w:space="0" w:color="auto"/>
            <w:right w:val="none" w:sz="0" w:space="0" w:color="auto"/>
          </w:divBdr>
          <w:divsChild>
            <w:div w:id="2077581743">
              <w:marLeft w:val="0"/>
              <w:marRight w:val="0"/>
              <w:marTop w:val="0"/>
              <w:marBottom w:val="0"/>
              <w:divBdr>
                <w:top w:val="none" w:sz="0" w:space="0" w:color="auto"/>
                <w:left w:val="none" w:sz="0" w:space="0" w:color="auto"/>
                <w:bottom w:val="none" w:sz="0" w:space="0" w:color="auto"/>
                <w:right w:val="none" w:sz="0" w:space="0" w:color="auto"/>
              </w:divBdr>
            </w:div>
          </w:divsChild>
        </w:div>
        <w:div w:id="1454054102">
          <w:marLeft w:val="0"/>
          <w:marRight w:val="0"/>
          <w:marTop w:val="0"/>
          <w:marBottom w:val="0"/>
          <w:divBdr>
            <w:top w:val="none" w:sz="0" w:space="0" w:color="auto"/>
            <w:left w:val="none" w:sz="0" w:space="0" w:color="auto"/>
            <w:bottom w:val="none" w:sz="0" w:space="0" w:color="auto"/>
            <w:right w:val="none" w:sz="0" w:space="0" w:color="auto"/>
          </w:divBdr>
          <w:divsChild>
            <w:div w:id="1687295093">
              <w:marLeft w:val="0"/>
              <w:marRight w:val="0"/>
              <w:marTop w:val="0"/>
              <w:marBottom w:val="0"/>
              <w:divBdr>
                <w:top w:val="none" w:sz="0" w:space="0" w:color="auto"/>
                <w:left w:val="none" w:sz="0" w:space="0" w:color="auto"/>
                <w:bottom w:val="none" w:sz="0" w:space="0" w:color="auto"/>
                <w:right w:val="none" w:sz="0" w:space="0" w:color="auto"/>
              </w:divBdr>
            </w:div>
          </w:divsChild>
        </w:div>
        <w:div w:id="1117287868">
          <w:marLeft w:val="0"/>
          <w:marRight w:val="0"/>
          <w:marTop w:val="0"/>
          <w:marBottom w:val="0"/>
          <w:divBdr>
            <w:top w:val="none" w:sz="0" w:space="0" w:color="auto"/>
            <w:left w:val="none" w:sz="0" w:space="0" w:color="auto"/>
            <w:bottom w:val="none" w:sz="0" w:space="0" w:color="auto"/>
            <w:right w:val="none" w:sz="0" w:space="0" w:color="auto"/>
          </w:divBdr>
          <w:divsChild>
            <w:div w:id="243802002">
              <w:marLeft w:val="0"/>
              <w:marRight w:val="0"/>
              <w:marTop w:val="0"/>
              <w:marBottom w:val="0"/>
              <w:divBdr>
                <w:top w:val="none" w:sz="0" w:space="0" w:color="auto"/>
                <w:left w:val="none" w:sz="0" w:space="0" w:color="auto"/>
                <w:bottom w:val="none" w:sz="0" w:space="0" w:color="auto"/>
                <w:right w:val="none" w:sz="0" w:space="0" w:color="auto"/>
              </w:divBdr>
            </w:div>
          </w:divsChild>
        </w:div>
        <w:div w:id="973828298">
          <w:marLeft w:val="0"/>
          <w:marRight w:val="0"/>
          <w:marTop w:val="0"/>
          <w:marBottom w:val="0"/>
          <w:divBdr>
            <w:top w:val="none" w:sz="0" w:space="0" w:color="auto"/>
            <w:left w:val="none" w:sz="0" w:space="0" w:color="auto"/>
            <w:bottom w:val="none" w:sz="0" w:space="0" w:color="auto"/>
            <w:right w:val="none" w:sz="0" w:space="0" w:color="auto"/>
          </w:divBdr>
          <w:divsChild>
            <w:div w:id="1695963274">
              <w:marLeft w:val="0"/>
              <w:marRight w:val="0"/>
              <w:marTop w:val="0"/>
              <w:marBottom w:val="0"/>
              <w:divBdr>
                <w:top w:val="none" w:sz="0" w:space="0" w:color="auto"/>
                <w:left w:val="none" w:sz="0" w:space="0" w:color="auto"/>
                <w:bottom w:val="none" w:sz="0" w:space="0" w:color="auto"/>
                <w:right w:val="none" w:sz="0" w:space="0" w:color="auto"/>
              </w:divBdr>
            </w:div>
          </w:divsChild>
        </w:div>
        <w:div w:id="932397926">
          <w:marLeft w:val="0"/>
          <w:marRight w:val="0"/>
          <w:marTop w:val="0"/>
          <w:marBottom w:val="0"/>
          <w:divBdr>
            <w:top w:val="none" w:sz="0" w:space="0" w:color="auto"/>
            <w:left w:val="none" w:sz="0" w:space="0" w:color="auto"/>
            <w:bottom w:val="none" w:sz="0" w:space="0" w:color="auto"/>
            <w:right w:val="none" w:sz="0" w:space="0" w:color="auto"/>
          </w:divBdr>
          <w:divsChild>
            <w:div w:id="770665838">
              <w:marLeft w:val="0"/>
              <w:marRight w:val="0"/>
              <w:marTop w:val="0"/>
              <w:marBottom w:val="0"/>
              <w:divBdr>
                <w:top w:val="none" w:sz="0" w:space="0" w:color="auto"/>
                <w:left w:val="none" w:sz="0" w:space="0" w:color="auto"/>
                <w:bottom w:val="none" w:sz="0" w:space="0" w:color="auto"/>
                <w:right w:val="none" w:sz="0" w:space="0" w:color="auto"/>
              </w:divBdr>
            </w:div>
          </w:divsChild>
        </w:div>
        <w:div w:id="1779793586">
          <w:marLeft w:val="0"/>
          <w:marRight w:val="0"/>
          <w:marTop w:val="0"/>
          <w:marBottom w:val="0"/>
          <w:divBdr>
            <w:top w:val="none" w:sz="0" w:space="0" w:color="auto"/>
            <w:left w:val="none" w:sz="0" w:space="0" w:color="auto"/>
            <w:bottom w:val="none" w:sz="0" w:space="0" w:color="auto"/>
            <w:right w:val="none" w:sz="0" w:space="0" w:color="auto"/>
          </w:divBdr>
          <w:divsChild>
            <w:div w:id="994410317">
              <w:marLeft w:val="0"/>
              <w:marRight w:val="0"/>
              <w:marTop w:val="0"/>
              <w:marBottom w:val="0"/>
              <w:divBdr>
                <w:top w:val="none" w:sz="0" w:space="0" w:color="auto"/>
                <w:left w:val="none" w:sz="0" w:space="0" w:color="auto"/>
                <w:bottom w:val="none" w:sz="0" w:space="0" w:color="auto"/>
                <w:right w:val="none" w:sz="0" w:space="0" w:color="auto"/>
              </w:divBdr>
            </w:div>
          </w:divsChild>
        </w:div>
        <w:div w:id="315840229">
          <w:marLeft w:val="0"/>
          <w:marRight w:val="0"/>
          <w:marTop w:val="0"/>
          <w:marBottom w:val="0"/>
          <w:divBdr>
            <w:top w:val="none" w:sz="0" w:space="0" w:color="auto"/>
            <w:left w:val="none" w:sz="0" w:space="0" w:color="auto"/>
            <w:bottom w:val="none" w:sz="0" w:space="0" w:color="auto"/>
            <w:right w:val="none" w:sz="0" w:space="0" w:color="auto"/>
          </w:divBdr>
          <w:divsChild>
            <w:div w:id="767120097">
              <w:marLeft w:val="0"/>
              <w:marRight w:val="0"/>
              <w:marTop w:val="0"/>
              <w:marBottom w:val="0"/>
              <w:divBdr>
                <w:top w:val="none" w:sz="0" w:space="0" w:color="auto"/>
                <w:left w:val="none" w:sz="0" w:space="0" w:color="auto"/>
                <w:bottom w:val="none" w:sz="0" w:space="0" w:color="auto"/>
                <w:right w:val="none" w:sz="0" w:space="0" w:color="auto"/>
              </w:divBdr>
            </w:div>
          </w:divsChild>
        </w:div>
        <w:div w:id="830565091">
          <w:marLeft w:val="0"/>
          <w:marRight w:val="0"/>
          <w:marTop w:val="0"/>
          <w:marBottom w:val="0"/>
          <w:divBdr>
            <w:top w:val="none" w:sz="0" w:space="0" w:color="auto"/>
            <w:left w:val="none" w:sz="0" w:space="0" w:color="auto"/>
            <w:bottom w:val="none" w:sz="0" w:space="0" w:color="auto"/>
            <w:right w:val="none" w:sz="0" w:space="0" w:color="auto"/>
          </w:divBdr>
          <w:divsChild>
            <w:div w:id="636885248">
              <w:marLeft w:val="0"/>
              <w:marRight w:val="0"/>
              <w:marTop w:val="0"/>
              <w:marBottom w:val="0"/>
              <w:divBdr>
                <w:top w:val="none" w:sz="0" w:space="0" w:color="auto"/>
                <w:left w:val="none" w:sz="0" w:space="0" w:color="auto"/>
                <w:bottom w:val="none" w:sz="0" w:space="0" w:color="auto"/>
                <w:right w:val="none" w:sz="0" w:space="0" w:color="auto"/>
              </w:divBdr>
            </w:div>
          </w:divsChild>
        </w:div>
        <w:div w:id="1268542752">
          <w:marLeft w:val="0"/>
          <w:marRight w:val="0"/>
          <w:marTop w:val="0"/>
          <w:marBottom w:val="0"/>
          <w:divBdr>
            <w:top w:val="none" w:sz="0" w:space="0" w:color="auto"/>
            <w:left w:val="none" w:sz="0" w:space="0" w:color="auto"/>
            <w:bottom w:val="none" w:sz="0" w:space="0" w:color="auto"/>
            <w:right w:val="none" w:sz="0" w:space="0" w:color="auto"/>
          </w:divBdr>
          <w:divsChild>
            <w:div w:id="626162275">
              <w:marLeft w:val="0"/>
              <w:marRight w:val="0"/>
              <w:marTop w:val="0"/>
              <w:marBottom w:val="0"/>
              <w:divBdr>
                <w:top w:val="none" w:sz="0" w:space="0" w:color="auto"/>
                <w:left w:val="none" w:sz="0" w:space="0" w:color="auto"/>
                <w:bottom w:val="none" w:sz="0" w:space="0" w:color="auto"/>
                <w:right w:val="none" w:sz="0" w:space="0" w:color="auto"/>
              </w:divBdr>
            </w:div>
          </w:divsChild>
        </w:div>
        <w:div w:id="1966766814">
          <w:marLeft w:val="0"/>
          <w:marRight w:val="0"/>
          <w:marTop w:val="0"/>
          <w:marBottom w:val="0"/>
          <w:divBdr>
            <w:top w:val="none" w:sz="0" w:space="0" w:color="auto"/>
            <w:left w:val="none" w:sz="0" w:space="0" w:color="auto"/>
            <w:bottom w:val="none" w:sz="0" w:space="0" w:color="auto"/>
            <w:right w:val="none" w:sz="0" w:space="0" w:color="auto"/>
          </w:divBdr>
          <w:divsChild>
            <w:div w:id="175463670">
              <w:marLeft w:val="0"/>
              <w:marRight w:val="0"/>
              <w:marTop w:val="0"/>
              <w:marBottom w:val="0"/>
              <w:divBdr>
                <w:top w:val="none" w:sz="0" w:space="0" w:color="auto"/>
                <w:left w:val="none" w:sz="0" w:space="0" w:color="auto"/>
                <w:bottom w:val="none" w:sz="0" w:space="0" w:color="auto"/>
                <w:right w:val="none" w:sz="0" w:space="0" w:color="auto"/>
              </w:divBdr>
            </w:div>
          </w:divsChild>
        </w:div>
        <w:div w:id="1624651326">
          <w:marLeft w:val="0"/>
          <w:marRight w:val="0"/>
          <w:marTop w:val="0"/>
          <w:marBottom w:val="0"/>
          <w:divBdr>
            <w:top w:val="none" w:sz="0" w:space="0" w:color="auto"/>
            <w:left w:val="none" w:sz="0" w:space="0" w:color="auto"/>
            <w:bottom w:val="none" w:sz="0" w:space="0" w:color="auto"/>
            <w:right w:val="none" w:sz="0" w:space="0" w:color="auto"/>
          </w:divBdr>
          <w:divsChild>
            <w:div w:id="1298300075">
              <w:marLeft w:val="0"/>
              <w:marRight w:val="0"/>
              <w:marTop w:val="0"/>
              <w:marBottom w:val="0"/>
              <w:divBdr>
                <w:top w:val="none" w:sz="0" w:space="0" w:color="auto"/>
                <w:left w:val="none" w:sz="0" w:space="0" w:color="auto"/>
                <w:bottom w:val="none" w:sz="0" w:space="0" w:color="auto"/>
                <w:right w:val="none" w:sz="0" w:space="0" w:color="auto"/>
              </w:divBdr>
            </w:div>
          </w:divsChild>
        </w:div>
        <w:div w:id="296910521">
          <w:marLeft w:val="0"/>
          <w:marRight w:val="0"/>
          <w:marTop w:val="0"/>
          <w:marBottom w:val="0"/>
          <w:divBdr>
            <w:top w:val="none" w:sz="0" w:space="0" w:color="auto"/>
            <w:left w:val="none" w:sz="0" w:space="0" w:color="auto"/>
            <w:bottom w:val="none" w:sz="0" w:space="0" w:color="auto"/>
            <w:right w:val="none" w:sz="0" w:space="0" w:color="auto"/>
          </w:divBdr>
          <w:divsChild>
            <w:div w:id="2100442757">
              <w:marLeft w:val="0"/>
              <w:marRight w:val="0"/>
              <w:marTop w:val="0"/>
              <w:marBottom w:val="0"/>
              <w:divBdr>
                <w:top w:val="none" w:sz="0" w:space="0" w:color="auto"/>
                <w:left w:val="none" w:sz="0" w:space="0" w:color="auto"/>
                <w:bottom w:val="none" w:sz="0" w:space="0" w:color="auto"/>
                <w:right w:val="none" w:sz="0" w:space="0" w:color="auto"/>
              </w:divBdr>
            </w:div>
          </w:divsChild>
        </w:div>
        <w:div w:id="1595548326">
          <w:marLeft w:val="0"/>
          <w:marRight w:val="0"/>
          <w:marTop w:val="0"/>
          <w:marBottom w:val="0"/>
          <w:divBdr>
            <w:top w:val="none" w:sz="0" w:space="0" w:color="auto"/>
            <w:left w:val="none" w:sz="0" w:space="0" w:color="auto"/>
            <w:bottom w:val="none" w:sz="0" w:space="0" w:color="auto"/>
            <w:right w:val="none" w:sz="0" w:space="0" w:color="auto"/>
          </w:divBdr>
          <w:divsChild>
            <w:div w:id="591477046">
              <w:marLeft w:val="0"/>
              <w:marRight w:val="0"/>
              <w:marTop w:val="0"/>
              <w:marBottom w:val="0"/>
              <w:divBdr>
                <w:top w:val="none" w:sz="0" w:space="0" w:color="auto"/>
                <w:left w:val="none" w:sz="0" w:space="0" w:color="auto"/>
                <w:bottom w:val="none" w:sz="0" w:space="0" w:color="auto"/>
                <w:right w:val="none" w:sz="0" w:space="0" w:color="auto"/>
              </w:divBdr>
            </w:div>
          </w:divsChild>
        </w:div>
        <w:div w:id="994456927">
          <w:marLeft w:val="0"/>
          <w:marRight w:val="0"/>
          <w:marTop w:val="0"/>
          <w:marBottom w:val="0"/>
          <w:divBdr>
            <w:top w:val="none" w:sz="0" w:space="0" w:color="auto"/>
            <w:left w:val="none" w:sz="0" w:space="0" w:color="auto"/>
            <w:bottom w:val="none" w:sz="0" w:space="0" w:color="auto"/>
            <w:right w:val="none" w:sz="0" w:space="0" w:color="auto"/>
          </w:divBdr>
          <w:divsChild>
            <w:div w:id="1074204244">
              <w:marLeft w:val="0"/>
              <w:marRight w:val="0"/>
              <w:marTop w:val="0"/>
              <w:marBottom w:val="0"/>
              <w:divBdr>
                <w:top w:val="none" w:sz="0" w:space="0" w:color="auto"/>
                <w:left w:val="none" w:sz="0" w:space="0" w:color="auto"/>
                <w:bottom w:val="none" w:sz="0" w:space="0" w:color="auto"/>
                <w:right w:val="none" w:sz="0" w:space="0" w:color="auto"/>
              </w:divBdr>
            </w:div>
          </w:divsChild>
        </w:div>
        <w:div w:id="226039876">
          <w:marLeft w:val="0"/>
          <w:marRight w:val="0"/>
          <w:marTop w:val="0"/>
          <w:marBottom w:val="0"/>
          <w:divBdr>
            <w:top w:val="none" w:sz="0" w:space="0" w:color="auto"/>
            <w:left w:val="none" w:sz="0" w:space="0" w:color="auto"/>
            <w:bottom w:val="none" w:sz="0" w:space="0" w:color="auto"/>
            <w:right w:val="none" w:sz="0" w:space="0" w:color="auto"/>
          </w:divBdr>
          <w:divsChild>
            <w:div w:id="335154938">
              <w:marLeft w:val="0"/>
              <w:marRight w:val="0"/>
              <w:marTop w:val="0"/>
              <w:marBottom w:val="0"/>
              <w:divBdr>
                <w:top w:val="none" w:sz="0" w:space="0" w:color="auto"/>
                <w:left w:val="none" w:sz="0" w:space="0" w:color="auto"/>
                <w:bottom w:val="none" w:sz="0" w:space="0" w:color="auto"/>
                <w:right w:val="none" w:sz="0" w:space="0" w:color="auto"/>
              </w:divBdr>
            </w:div>
          </w:divsChild>
        </w:div>
        <w:div w:id="1684474577">
          <w:marLeft w:val="0"/>
          <w:marRight w:val="0"/>
          <w:marTop w:val="0"/>
          <w:marBottom w:val="0"/>
          <w:divBdr>
            <w:top w:val="none" w:sz="0" w:space="0" w:color="auto"/>
            <w:left w:val="none" w:sz="0" w:space="0" w:color="auto"/>
            <w:bottom w:val="none" w:sz="0" w:space="0" w:color="auto"/>
            <w:right w:val="none" w:sz="0" w:space="0" w:color="auto"/>
          </w:divBdr>
          <w:divsChild>
            <w:div w:id="1871189059">
              <w:marLeft w:val="0"/>
              <w:marRight w:val="0"/>
              <w:marTop w:val="0"/>
              <w:marBottom w:val="0"/>
              <w:divBdr>
                <w:top w:val="none" w:sz="0" w:space="0" w:color="auto"/>
                <w:left w:val="none" w:sz="0" w:space="0" w:color="auto"/>
                <w:bottom w:val="none" w:sz="0" w:space="0" w:color="auto"/>
                <w:right w:val="none" w:sz="0" w:space="0" w:color="auto"/>
              </w:divBdr>
            </w:div>
          </w:divsChild>
        </w:div>
        <w:div w:id="1929775730">
          <w:marLeft w:val="0"/>
          <w:marRight w:val="0"/>
          <w:marTop w:val="0"/>
          <w:marBottom w:val="0"/>
          <w:divBdr>
            <w:top w:val="none" w:sz="0" w:space="0" w:color="auto"/>
            <w:left w:val="none" w:sz="0" w:space="0" w:color="auto"/>
            <w:bottom w:val="none" w:sz="0" w:space="0" w:color="auto"/>
            <w:right w:val="none" w:sz="0" w:space="0" w:color="auto"/>
          </w:divBdr>
          <w:divsChild>
            <w:div w:id="1892620286">
              <w:marLeft w:val="0"/>
              <w:marRight w:val="0"/>
              <w:marTop w:val="0"/>
              <w:marBottom w:val="0"/>
              <w:divBdr>
                <w:top w:val="none" w:sz="0" w:space="0" w:color="auto"/>
                <w:left w:val="none" w:sz="0" w:space="0" w:color="auto"/>
                <w:bottom w:val="none" w:sz="0" w:space="0" w:color="auto"/>
                <w:right w:val="none" w:sz="0" w:space="0" w:color="auto"/>
              </w:divBdr>
            </w:div>
          </w:divsChild>
        </w:div>
        <w:div w:id="900561583">
          <w:marLeft w:val="0"/>
          <w:marRight w:val="0"/>
          <w:marTop w:val="0"/>
          <w:marBottom w:val="0"/>
          <w:divBdr>
            <w:top w:val="none" w:sz="0" w:space="0" w:color="auto"/>
            <w:left w:val="none" w:sz="0" w:space="0" w:color="auto"/>
            <w:bottom w:val="none" w:sz="0" w:space="0" w:color="auto"/>
            <w:right w:val="none" w:sz="0" w:space="0" w:color="auto"/>
          </w:divBdr>
          <w:divsChild>
            <w:div w:id="1239753278">
              <w:marLeft w:val="0"/>
              <w:marRight w:val="0"/>
              <w:marTop w:val="0"/>
              <w:marBottom w:val="0"/>
              <w:divBdr>
                <w:top w:val="none" w:sz="0" w:space="0" w:color="auto"/>
                <w:left w:val="none" w:sz="0" w:space="0" w:color="auto"/>
                <w:bottom w:val="none" w:sz="0" w:space="0" w:color="auto"/>
                <w:right w:val="none" w:sz="0" w:space="0" w:color="auto"/>
              </w:divBdr>
            </w:div>
          </w:divsChild>
        </w:div>
        <w:div w:id="1557201693">
          <w:marLeft w:val="0"/>
          <w:marRight w:val="0"/>
          <w:marTop w:val="0"/>
          <w:marBottom w:val="0"/>
          <w:divBdr>
            <w:top w:val="none" w:sz="0" w:space="0" w:color="auto"/>
            <w:left w:val="none" w:sz="0" w:space="0" w:color="auto"/>
            <w:bottom w:val="none" w:sz="0" w:space="0" w:color="auto"/>
            <w:right w:val="none" w:sz="0" w:space="0" w:color="auto"/>
          </w:divBdr>
          <w:divsChild>
            <w:div w:id="837890667">
              <w:marLeft w:val="0"/>
              <w:marRight w:val="0"/>
              <w:marTop w:val="0"/>
              <w:marBottom w:val="0"/>
              <w:divBdr>
                <w:top w:val="none" w:sz="0" w:space="0" w:color="auto"/>
                <w:left w:val="none" w:sz="0" w:space="0" w:color="auto"/>
                <w:bottom w:val="none" w:sz="0" w:space="0" w:color="auto"/>
                <w:right w:val="none" w:sz="0" w:space="0" w:color="auto"/>
              </w:divBdr>
            </w:div>
          </w:divsChild>
        </w:div>
        <w:div w:id="1713841410">
          <w:marLeft w:val="0"/>
          <w:marRight w:val="0"/>
          <w:marTop w:val="0"/>
          <w:marBottom w:val="0"/>
          <w:divBdr>
            <w:top w:val="none" w:sz="0" w:space="0" w:color="auto"/>
            <w:left w:val="none" w:sz="0" w:space="0" w:color="auto"/>
            <w:bottom w:val="none" w:sz="0" w:space="0" w:color="auto"/>
            <w:right w:val="none" w:sz="0" w:space="0" w:color="auto"/>
          </w:divBdr>
          <w:divsChild>
            <w:div w:id="2081782492">
              <w:marLeft w:val="0"/>
              <w:marRight w:val="0"/>
              <w:marTop w:val="0"/>
              <w:marBottom w:val="0"/>
              <w:divBdr>
                <w:top w:val="none" w:sz="0" w:space="0" w:color="auto"/>
                <w:left w:val="none" w:sz="0" w:space="0" w:color="auto"/>
                <w:bottom w:val="none" w:sz="0" w:space="0" w:color="auto"/>
                <w:right w:val="none" w:sz="0" w:space="0" w:color="auto"/>
              </w:divBdr>
            </w:div>
          </w:divsChild>
        </w:div>
        <w:div w:id="696664232">
          <w:marLeft w:val="0"/>
          <w:marRight w:val="0"/>
          <w:marTop w:val="0"/>
          <w:marBottom w:val="0"/>
          <w:divBdr>
            <w:top w:val="none" w:sz="0" w:space="0" w:color="auto"/>
            <w:left w:val="none" w:sz="0" w:space="0" w:color="auto"/>
            <w:bottom w:val="none" w:sz="0" w:space="0" w:color="auto"/>
            <w:right w:val="none" w:sz="0" w:space="0" w:color="auto"/>
          </w:divBdr>
          <w:divsChild>
            <w:div w:id="1490974206">
              <w:marLeft w:val="0"/>
              <w:marRight w:val="0"/>
              <w:marTop w:val="0"/>
              <w:marBottom w:val="0"/>
              <w:divBdr>
                <w:top w:val="none" w:sz="0" w:space="0" w:color="auto"/>
                <w:left w:val="none" w:sz="0" w:space="0" w:color="auto"/>
                <w:bottom w:val="none" w:sz="0" w:space="0" w:color="auto"/>
                <w:right w:val="none" w:sz="0" w:space="0" w:color="auto"/>
              </w:divBdr>
            </w:div>
          </w:divsChild>
        </w:div>
        <w:div w:id="1679431261">
          <w:marLeft w:val="0"/>
          <w:marRight w:val="0"/>
          <w:marTop w:val="0"/>
          <w:marBottom w:val="0"/>
          <w:divBdr>
            <w:top w:val="none" w:sz="0" w:space="0" w:color="auto"/>
            <w:left w:val="none" w:sz="0" w:space="0" w:color="auto"/>
            <w:bottom w:val="none" w:sz="0" w:space="0" w:color="auto"/>
            <w:right w:val="none" w:sz="0" w:space="0" w:color="auto"/>
          </w:divBdr>
          <w:divsChild>
            <w:div w:id="329212010">
              <w:marLeft w:val="0"/>
              <w:marRight w:val="0"/>
              <w:marTop w:val="0"/>
              <w:marBottom w:val="0"/>
              <w:divBdr>
                <w:top w:val="none" w:sz="0" w:space="0" w:color="auto"/>
                <w:left w:val="none" w:sz="0" w:space="0" w:color="auto"/>
                <w:bottom w:val="none" w:sz="0" w:space="0" w:color="auto"/>
                <w:right w:val="none" w:sz="0" w:space="0" w:color="auto"/>
              </w:divBdr>
            </w:div>
          </w:divsChild>
        </w:div>
        <w:div w:id="1169910593">
          <w:marLeft w:val="0"/>
          <w:marRight w:val="0"/>
          <w:marTop w:val="0"/>
          <w:marBottom w:val="0"/>
          <w:divBdr>
            <w:top w:val="none" w:sz="0" w:space="0" w:color="auto"/>
            <w:left w:val="none" w:sz="0" w:space="0" w:color="auto"/>
            <w:bottom w:val="none" w:sz="0" w:space="0" w:color="auto"/>
            <w:right w:val="none" w:sz="0" w:space="0" w:color="auto"/>
          </w:divBdr>
          <w:divsChild>
            <w:div w:id="136843604">
              <w:marLeft w:val="0"/>
              <w:marRight w:val="0"/>
              <w:marTop w:val="0"/>
              <w:marBottom w:val="0"/>
              <w:divBdr>
                <w:top w:val="none" w:sz="0" w:space="0" w:color="auto"/>
                <w:left w:val="none" w:sz="0" w:space="0" w:color="auto"/>
                <w:bottom w:val="none" w:sz="0" w:space="0" w:color="auto"/>
                <w:right w:val="none" w:sz="0" w:space="0" w:color="auto"/>
              </w:divBdr>
            </w:div>
          </w:divsChild>
        </w:div>
        <w:div w:id="1860239584">
          <w:marLeft w:val="0"/>
          <w:marRight w:val="0"/>
          <w:marTop w:val="0"/>
          <w:marBottom w:val="0"/>
          <w:divBdr>
            <w:top w:val="none" w:sz="0" w:space="0" w:color="auto"/>
            <w:left w:val="none" w:sz="0" w:space="0" w:color="auto"/>
            <w:bottom w:val="none" w:sz="0" w:space="0" w:color="auto"/>
            <w:right w:val="none" w:sz="0" w:space="0" w:color="auto"/>
          </w:divBdr>
          <w:divsChild>
            <w:div w:id="1441878164">
              <w:marLeft w:val="0"/>
              <w:marRight w:val="0"/>
              <w:marTop w:val="0"/>
              <w:marBottom w:val="0"/>
              <w:divBdr>
                <w:top w:val="none" w:sz="0" w:space="0" w:color="auto"/>
                <w:left w:val="none" w:sz="0" w:space="0" w:color="auto"/>
                <w:bottom w:val="none" w:sz="0" w:space="0" w:color="auto"/>
                <w:right w:val="none" w:sz="0" w:space="0" w:color="auto"/>
              </w:divBdr>
            </w:div>
          </w:divsChild>
        </w:div>
        <w:div w:id="1369185803">
          <w:marLeft w:val="0"/>
          <w:marRight w:val="0"/>
          <w:marTop w:val="0"/>
          <w:marBottom w:val="0"/>
          <w:divBdr>
            <w:top w:val="none" w:sz="0" w:space="0" w:color="auto"/>
            <w:left w:val="none" w:sz="0" w:space="0" w:color="auto"/>
            <w:bottom w:val="none" w:sz="0" w:space="0" w:color="auto"/>
            <w:right w:val="none" w:sz="0" w:space="0" w:color="auto"/>
          </w:divBdr>
          <w:divsChild>
            <w:div w:id="612127402">
              <w:marLeft w:val="0"/>
              <w:marRight w:val="0"/>
              <w:marTop w:val="0"/>
              <w:marBottom w:val="0"/>
              <w:divBdr>
                <w:top w:val="none" w:sz="0" w:space="0" w:color="auto"/>
                <w:left w:val="none" w:sz="0" w:space="0" w:color="auto"/>
                <w:bottom w:val="none" w:sz="0" w:space="0" w:color="auto"/>
                <w:right w:val="none" w:sz="0" w:space="0" w:color="auto"/>
              </w:divBdr>
            </w:div>
          </w:divsChild>
        </w:div>
        <w:div w:id="1033653532">
          <w:marLeft w:val="0"/>
          <w:marRight w:val="0"/>
          <w:marTop w:val="0"/>
          <w:marBottom w:val="0"/>
          <w:divBdr>
            <w:top w:val="none" w:sz="0" w:space="0" w:color="auto"/>
            <w:left w:val="none" w:sz="0" w:space="0" w:color="auto"/>
            <w:bottom w:val="none" w:sz="0" w:space="0" w:color="auto"/>
            <w:right w:val="none" w:sz="0" w:space="0" w:color="auto"/>
          </w:divBdr>
          <w:divsChild>
            <w:div w:id="761073333">
              <w:marLeft w:val="0"/>
              <w:marRight w:val="0"/>
              <w:marTop w:val="0"/>
              <w:marBottom w:val="0"/>
              <w:divBdr>
                <w:top w:val="none" w:sz="0" w:space="0" w:color="auto"/>
                <w:left w:val="none" w:sz="0" w:space="0" w:color="auto"/>
                <w:bottom w:val="none" w:sz="0" w:space="0" w:color="auto"/>
                <w:right w:val="none" w:sz="0" w:space="0" w:color="auto"/>
              </w:divBdr>
            </w:div>
          </w:divsChild>
        </w:div>
        <w:div w:id="228882033">
          <w:marLeft w:val="0"/>
          <w:marRight w:val="0"/>
          <w:marTop w:val="0"/>
          <w:marBottom w:val="0"/>
          <w:divBdr>
            <w:top w:val="none" w:sz="0" w:space="0" w:color="auto"/>
            <w:left w:val="none" w:sz="0" w:space="0" w:color="auto"/>
            <w:bottom w:val="none" w:sz="0" w:space="0" w:color="auto"/>
            <w:right w:val="none" w:sz="0" w:space="0" w:color="auto"/>
          </w:divBdr>
          <w:divsChild>
            <w:div w:id="1073086467">
              <w:marLeft w:val="0"/>
              <w:marRight w:val="0"/>
              <w:marTop w:val="0"/>
              <w:marBottom w:val="0"/>
              <w:divBdr>
                <w:top w:val="none" w:sz="0" w:space="0" w:color="auto"/>
                <w:left w:val="none" w:sz="0" w:space="0" w:color="auto"/>
                <w:bottom w:val="none" w:sz="0" w:space="0" w:color="auto"/>
                <w:right w:val="none" w:sz="0" w:space="0" w:color="auto"/>
              </w:divBdr>
            </w:div>
          </w:divsChild>
        </w:div>
        <w:div w:id="540441793">
          <w:marLeft w:val="0"/>
          <w:marRight w:val="0"/>
          <w:marTop w:val="0"/>
          <w:marBottom w:val="0"/>
          <w:divBdr>
            <w:top w:val="none" w:sz="0" w:space="0" w:color="auto"/>
            <w:left w:val="none" w:sz="0" w:space="0" w:color="auto"/>
            <w:bottom w:val="none" w:sz="0" w:space="0" w:color="auto"/>
            <w:right w:val="none" w:sz="0" w:space="0" w:color="auto"/>
          </w:divBdr>
          <w:divsChild>
            <w:div w:id="161361027">
              <w:marLeft w:val="0"/>
              <w:marRight w:val="0"/>
              <w:marTop w:val="0"/>
              <w:marBottom w:val="0"/>
              <w:divBdr>
                <w:top w:val="none" w:sz="0" w:space="0" w:color="auto"/>
                <w:left w:val="none" w:sz="0" w:space="0" w:color="auto"/>
                <w:bottom w:val="none" w:sz="0" w:space="0" w:color="auto"/>
                <w:right w:val="none" w:sz="0" w:space="0" w:color="auto"/>
              </w:divBdr>
            </w:div>
          </w:divsChild>
        </w:div>
        <w:div w:id="509608399">
          <w:marLeft w:val="0"/>
          <w:marRight w:val="0"/>
          <w:marTop w:val="0"/>
          <w:marBottom w:val="0"/>
          <w:divBdr>
            <w:top w:val="none" w:sz="0" w:space="0" w:color="auto"/>
            <w:left w:val="none" w:sz="0" w:space="0" w:color="auto"/>
            <w:bottom w:val="none" w:sz="0" w:space="0" w:color="auto"/>
            <w:right w:val="none" w:sz="0" w:space="0" w:color="auto"/>
          </w:divBdr>
          <w:divsChild>
            <w:div w:id="462502957">
              <w:marLeft w:val="0"/>
              <w:marRight w:val="0"/>
              <w:marTop w:val="0"/>
              <w:marBottom w:val="0"/>
              <w:divBdr>
                <w:top w:val="none" w:sz="0" w:space="0" w:color="auto"/>
                <w:left w:val="none" w:sz="0" w:space="0" w:color="auto"/>
                <w:bottom w:val="none" w:sz="0" w:space="0" w:color="auto"/>
                <w:right w:val="none" w:sz="0" w:space="0" w:color="auto"/>
              </w:divBdr>
            </w:div>
          </w:divsChild>
        </w:div>
        <w:div w:id="1393850802">
          <w:marLeft w:val="0"/>
          <w:marRight w:val="0"/>
          <w:marTop w:val="0"/>
          <w:marBottom w:val="0"/>
          <w:divBdr>
            <w:top w:val="none" w:sz="0" w:space="0" w:color="auto"/>
            <w:left w:val="none" w:sz="0" w:space="0" w:color="auto"/>
            <w:bottom w:val="none" w:sz="0" w:space="0" w:color="auto"/>
            <w:right w:val="none" w:sz="0" w:space="0" w:color="auto"/>
          </w:divBdr>
          <w:divsChild>
            <w:div w:id="1607729821">
              <w:marLeft w:val="0"/>
              <w:marRight w:val="0"/>
              <w:marTop w:val="0"/>
              <w:marBottom w:val="0"/>
              <w:divBdr>
                <w:top w:val="none" w:sz="0" w:space="0" w:color="auto"/>
                <w:left w:val="none" w:sz="0" w:space="0" w:color="auto"/>
                <w:bottom w:val="none" w:sz="0" w:space="0" w:color="auto"/>
                <w:right w:val="none" w:sz="0" w:space="0" w:color="auto"/>
              </w:divBdr>
            </w:div>
          </w:divsChild>
        </w:div>
        <w:div w:id="295374278">
          <w:marLeft w:val="0"/>
          <w:marRight w:val="0"/>
          <w:marTop w:val="0"/>
          <w:marBottom w:val="0"/>
          <w:divBdr>
            <w:top w:val="none" w:sz="0" w:space="0" w:color="auto"/>
            <w:left w:val="none" w:sz="0" w:space="0" w:color="auto"/>
            <w:bottom w:val="none" w:sz="0" w:space="0" w:color="auto"/>
            <w:right w:val="none" w:sz="0" w:space="0" w:color="auto"/>
          </w:divBdr>
          <w:divsChild>
            <w:div w:id="1000308198">
              <w:marLeft w:val="0"/>
              <w:marRight w:val="0"/>
              <w:marTop w:val="0"/>
              <w:marBottom w:val="0"/>
              <w:divBdr>
                <w:top w:val="none" w:sz="0" w:space="0" w:color="auto"/>
                <w:left w:val="none" w:sz="0" w:space="0" w:color="auto"/>
                <w:bottom w:val="none" w:sz="0" w:space="0" w:color="auto"/>
                <w:right w:val="none" w:sz="0" w:space="0" w:color="auto"/>
              </w:divBdr>
            </w:div>
          </w:divsChild>
        </w:div>
        <w:div w:id="832573814">
          <w:marLeft w:val="0"/>
          <w:marRight w:val="0"/>
          <w:marTop w:val="0"/>
          <w:marBottom w:val="0"/>
          <w:divBdr>
            <w:top w:val="none" w:sz="0" w:space="0" w:color="auto"/>
            <w:left w:val="none" w:sz="0" w:space="0" w:color="auto"/>
            <w:bottom w:val="none" w:sz="0" w:space="0" w:color="auto"/>
            <w:right w:val="none" w:sz="0" w:space="0" w:color="auto"/>
          </w:divBdr>
          <w:divsChild>
            <w:div w:id="2095130481">
              <w:marLeft w:val="0"/>
              <w:marRight w:val="0"/>
              <w:marTop w:val="0"/>
              <w:marBottom w:val="0"/>
              <w:divBdr>
                <w:top w:val="none" w:sz="0" w:space="0" w:color="auto"/>
                <w:left w:val="none" w:sz="0" w:space="0" w:color="auto"/>
                <w:bottom w:val="none" w:sz="0" w:space="0" w:color="auto"/>
                <w:right w:val="none" w:sz="0" w:space="0" w:color="auto"/>
              </w:divBdr>
            </w:div>
          </w:divsChild>
        </w:div>
        <w:div w:id="1952976920">
          <w:marLeft w:val="0"/>
          <w:marRight w:val="0"/>
          <w:marTop w:val="0"/>
          <w:marBottom w:val="0"/>
          <w:divBdr>
            <w:top w:val="none" w:sz="0" w:space="0" w:color="auto"/>
            <w:left w:val="none" w:sz="0" w:space="0" w:color="auto"/>
            <w:bottom w:val="none" w:sz="0" w:space="0" w:color="auto"/>
            <w:right w:val="none" w:sz="0" w:space="0" w:color="auto"/>
          </w:divBdr>
          <w:divsChild>
            <w:div w:id="1590500360">
              <w:marLeft w:val="0"/>
              <w:marRight w:val="0"/>
              <w:marTop w:val="0"/>
              <w:marBottom w:val="0"/>
              <w:divBdr>
                <w:top w:val="none" w:sz="0" w:space="0" w:color="auto"/>
                <w:left w:val="none" w:sz="0" w:space="0" w:color="auto"/>
                <w:bottom w:val="none" w:sz="0" w:space="0" w:color="auto"/>
                <w:right w:val="none" w:sz="0" w:space="0" w:color="auto"/>
              </w:divBdr>
            </w:div>
          </w:divsChild>
        </w:div>
        <w:div w:id="943000997">
          <w:marLeft w:val="0"/>
          <w:marRight w:val="0"/>
          <w:marTop w:val="0"/>
          <w:marBottom w:val="0"/>
          <w:divBdr>
            <w:top w:val="none" w:sz="0" w:space="0" w:color="auto"/>
            <w:left w:val="none" w:sz="0" w:space="0" w:color="auto"/>
            <w:bottom w:val="none" w:sz="0" w:space="0" w:color="auto"/>
            <w:right w:val="none" w:sz="0" w:space="0" w:color="auto"/>
          </w:divBdr>
          <w:divsChild>
            <w:div w:id="2105108242">
              <w:marLeft w:val="0"/>
              <w:marRight w:val="0"/>
              <w:marTop w:val="0"/>
              <w:marBottom w:val="0"/>
              <w:divBdr>
                <w:top w:val="none" w:sz="0" w:space="0" w:color="auto"/>
                <w:left w:val="none" w:sz="0" w:space="0" w:color="auto"/>
                <w:bottom w:val="none" w:sz="0" w:space="0" w:color="auto"/>
                <w:right w:val="none" w:sz="0" w:space="0" w:color="auto"/>
              </w:divBdr>
            </w:div>
          </w:divsChild>
        </w:div>
        <w:div w:id="359818442">
          <w:marLeft w:val="0"/>
          <w:marRight w:val="0"/>
          <w:marTop w:val="0"/>
          <w:marBottom w:val="0"/>
          <w:divBdr>
            <w:top w:val="none" w:sz="0" w:space="0" w:color="auto"/>
            <w:left w:val="none" w:sz="0" w:space="0" w:color="auto"/>
            <w:bottom w:val="none" w:sz="0" w:space="0" w:color="auto"/>
            <w:right w:val="none" w:sz="0" w:space="0" w:color="auto"/>
          </w:divBdr>
          <w:divsChild>
            <w:div w:id="1996375379">
              <w:marLeft w:val="0"/>
              <w:marRight w:val="0"/>
              <w:marTop w:val="0"/>
              <w:marBottom w:val="0"/>
              <w:divBdr>
                <w:top w:val="none" w:sz="0" w:space="0" w:color="auto"/>
                <w:left w:val="none" w:sz="0" w:space="0" w:color="auto"/>
                <w:bottom w:val="none" w:sz="0" w:space="0" w:color="auto"/>
                <w:right w:val="none" w:sz="0" w:space="0" w:color="auto"/>
              </w:divBdr>
            </w:div>
          </w:divsChild>
        </w:div>
        <w:div w:id="1137340733">
          <w:marLeft w:val="0"/>
          <w:marRight w:val="0"/>
          <w:marTop w:val="0"/>
          <w:marBottom w:val="0"/>
          <w:divBdr>
            <w:top w:val="none" w:sz="0" w:space="0" w:color="auto"/>
            <w:left w:val="none" w:sz="0" w:space="0" w:color="auto"/>
            <w:bottom w:val="none" w:sz="0" w:space="0" w:color="auto"/>
            <w:right w:val="none" w:sz="0" w:space="0" w:color="auto"/>
          </w:divBdr>
          <w:divsChild>
            <w:div w:id="1339968619">
              <w:marLeft w:val="0"/>
              <w:marRight w:val="0"/>
              <w:marTop w:val="0"/>
              <w:marBottom w:val="0"/>
              <w:divBdr>
                <w:top w:val="none" w:sz="0" w:space="0" w:color="auto"/>
                <w:left w:val="none" w:sz="0" w:space="0" w:color="auto"/>
                <w:bottom w:val="none" w:sz="0" w:space="0" w:color="auto"/>
                <w:right w:val="none" w:sz="0" w:space="0" w:color="auto"/>
              </w:divBdr>
            </w:div>
          </w:divsChild>
        </w:div>
        <w:div w:id="513306096">
          <w:marLeft w:val="0"/>
          <w:marRight w:val="0"/>
          <w:marTop w:val="0"/>
          <w:marBottom w:val="0"/>
          <w:divBdr>
            <w:top w:val="none" w:sz="0" w:space="0" w:color="auto"/>
            <w:left w:val="none" w:sz="0" w:space="0" w:color="auto"/>
            <w:bottom w:val="none" w:sz="0" w:space="0" w:color="auto"/>
            <w:right w:val="none" w:sz="0" w:space="0" w:color="auto"/>
          </w:divBdr>
          <w:divsChild>
            <w:div w:id="1778478675">
              <w:marLeft w:val="0"/>
              <w:marRight w:val="0"/>
              <w:marTop w:val="0"/>
              <w:marBottom w:val="0"/>
              <w:divBdr>
                <w:top w:val="none" w:sz="0" w:space="0" w:color="auto"/>
                <w:left w:val="none" w:sz="0" w:space="0" w:color="auto"/>
                <w:bottom w:val="none" w:sz="0" w:space="0" w:color="auto"/>
                <w:right w:val="none" w:sz="0" w:space="0" w:color="auto"/>
              </w:divBdr>
            </w:div>
          </w:divsChild>
        </w:div>
        <w:div w:id="1913079700">
          <w:marLeft w:val="0"/>
          <w:marRight w:val="0"/>
          <w:marTop w:val="0"/>
          <w:marBottom w:val="0"/>
          <w:divBdr>
            <w:top w:val="none" w:sz="0" w:space="0" w:color="auto"/>
            <w:left w:val="none" w:sz="0" w:space="0" w:color="auto"/>
            <w:bottom w:val="none" w:sz="0" w:space="0" w:color="auto"/>
            <w:right w:val="none" w:sz="0" w:space="0" w:color="auto"/>
          </w:divBdr>
          <w:divsChild>
            <w:div w:id="663894647">
              <w:marLeft w:val="0"/>
              <w:marRight w:val="0"/>
              <w:marTop w:val="0"/>
              <w:marBottom w:val="0"/>
              <w:divBdr>
                <w:top w:val="none" w:sz="0" w:space="0" w:color="auto"/>
                <w:left w:val="none" w:sz="0" w:space="0" w:color="auto"/>
                <w:bottom w:val="none" w:sz="0" w:space="0" w:color="auto"/>
                <w:right w:val="none" w:sz="0" w:space="0" w:color="auto"/>
              </w:divBdr>
            </w:div>
          </w:divsChild>
        </w:div>
        <w:div w:id="24453655">
          <w:marLeft w:val="0"/>
          <w:marRight w:val="0"/>
          <w:marTop w:val="0"/>
          <w:marBottom w:val="0"/>
          <w:divBdr>
            <w:top w:val="none" w:sz="0" w:space="0" w:color="auto"/>
            <w:left w:val="none" w:sz="0" w:space="0" w:color="auto"/>
            <w:bottom w:val="none" w:sz="0" w:space="0" w:color="auto"/>
            <w:right w:val="none" w:sz="0" w:space="0" w:color="auto"/>
          </w:divBdr>
          <w:divsChild>
            <w:div w:id="123698221">
              <w:marLeft w:val="0"/>
              <w:marRight w:val="0"/>
              <w:marTop w:val="0"/>
              <w:marBottom w:val="0"/>
              <w:divBdr>
                <w:top w:val="none" w:sz="0" w:space="0" w:color="auto"/>
                <w:left w:val="none" w:sz="0" w:space="0" w:color="auto"/>
                <w:bottom w:val="none" w:sz="0" w:space="0" w:color="auto"/>
                <w:right w:val="none" w:sz="0" w:space="0" w:color="auto"/>
              </w:divBdr>
            </w:div>
          </w:divsChild>
        </w:div>
        <w:div w:id="1691295425">
          <w:marLeft w:val="0"/>
          <w:marRight w:val="0"/>
          <w:marTop w:val="0"/>
          <w:marBottom w:val="0"/>
          <w:divBdr>
            <w:top w:val="none" w:sz="0" w:space="0" w:color="auto"/>
            <w:left w:val="none" w:sz="0" w:space="0" w:color="auto"/>
            <w:bottom w:val="none" w:sz="0" w:space="0" w:color="auto"/>
            <w:right w:val="none" w:sz="0" w:space="0" w:color="auto"/>
          </w:divBdr>
          <w:divsChild>
            <w:div w:id="1271544251">
              <w:marLeft w:val="0"/>
              <w:marRight w:val="0"/>
              <w:marTop w:val="0"/>
              <w:marBottom w:val="0"/>
              <w:divBdr>
                <w:top w:val="none" w:sz="0" w:space="0" w:color="auto"/>
                <w:left w:val="none" w:sz="0" w:space="0" w:color="auto"/>
                <w:bottom w:val="none" w:sz="0" w:space="0" w:color="auto"/>
                <w:right w:val="none" w:sz="0" w:space="0" w:color="auto"/>
              </w:divBdr>
            </w:div>
          </w:divsChild>
        </w:div>
        <w:div w:id="1962417987">
          <w:marLeft w:val="0"/>
          <w:marRight w:val="0"/>
          <w:marTop w:val="0"/>
          <w:marBottom w:val="0"/>
          <w:divBdr>
            <w:top w:val="none" w:sz="0" w:space="0" w:color="auto"/>
            <w:left w:val="none" w:sz="0" w:space="0" w:color="auto"/>
            <w:bottom w:val="none" w:sz="0" w:space="0" w:color="auto"/>
            <w:right w:val="none" w:sz="0" w:space="0" w:color="auto"/>
          </w:divBdr>
          <w:divsChild>
            <w:div w:id="17820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4918">
      <w:bodyDiv w:val="1"/>
      <w:marLeft w:val="0"/>
      <w:marRight w:val="0"/>
      <w:marTop w:val="0"/>
      <w:marBottom w:val="0"/>
      <w:divBdr>
        <w:top w:val="none" w:sz="0" w:space="0" w:color="auto"/>
        <w:left w:val="none" w:sz="0" w:space="0" w:color="auto"/>
        <w:bottom w:val="none" w:sz="0" w:space="0" w:color="auto"/>
        <w:right w:val="none" w:sz="0" w:space="0" w:color="auto"/>
      </w:divBdr>
    </w:div>
    <w:div w:id="538277503">
      <w:bodyDiv w:val="1"/>
      <w:marLeft w:val="0"/>
      <w:marRight w:val="0"/>
      <w:marTop w:val="0"/>
      <w:marBottom w:val="0"/>
      <w:divBdr>
        <w:top w:val="none" w:sz="0" w:space="0" w:color="auto"/>
        <w:left w:val="none" w:sz="0" w:space="0" w:color="auto"/>
        <w:bottom w:val="none" w:sz="0" w:space="0" w:color="auto"/>
        <w:right w:val="none" w:sz="0" w:space="0" w:color="auto"/>
      </w:divBdr>
      <w:divsChild>
        <w:div w:id="584342779">
          <w:marLeft w:val="0"/>
          <w:marRight w:val="0"/>
          <w:marTop w:val="0"/>
          <w:marBottom w:val="0"/>
          <w:divBdr>
            <w:top w:val="none" w:sz="0" w:space="0" w:color="auto"/>
            <w:left w:val="none" w:sz="0" w:space="0" w:color="auto"/>
            <w:bottom w:val="none" w:sz="0" w:space="0" w:color="auto"/>
            <w:right w:val="none" w:sz="0" w:space="0" w:color="auto"/>
          </w:divBdr>
          <w:divsChild>
            <w:div w:id="575365695">
              <w:marLeft w:val="0"/>
              <w:marRight w:val="0"/>
              <w:marTop w:val="0"/>
              <w:marBottom w:val="0"/>
              <w:divBdr>
                <w:top w:val="none" w:sz="0" w:space="0" w:color="auto"/>
                <w:left w:val="none" w:sz="0" w:space="0" w:color="auto"/>
                <w:bottom w:val="none" w:sz="0" w:space="0" w:color="auto"/>
                <w:right w:val="none" w:sz="0" w:space="0" w:color="auto"/>
              </w:divBdr>
            </w:div>
          </w:divsChild>
        </w:div>
        <w:div w:id="265039992">
          <w:marLeft w:val="0"/>
          <w:marRight w:val="0"/>
          <w:marTop w:val="0"/>
          <w:marBottom w:val="0"/>
          <w:divBdr>
            <w:top w:val="none" w:sz="0" w:space="0" w:color="auto"/>
            <w:left w:val="none" w:sz="0" w:space="0" w:color="auto"/>
            <w:bottom w:val="none" w:sz="0" w:space="0" w:color="auto"/>
            <w:right w:val="none" w:sz="0" w:space="0" w:color="auto"/>
          </w:divBdr>
          <w:divsChild>
            <w:div w:id="806969962">
              <w:marLeft w:val="0"/>
              <w:marRight w:val="0"/>
              <w:marTop w:val="0"/>
              <w:marBottom w:val="0"/>
              <w:divBdr>
                <w:top w:val="none" w:sz="0" w:space="0" w:color="auto"/>
                <w:left w:val="none" w:sz="0" w:space="0" w:color="auto"/>
                <w:bottom w:val="none" w:sz="0" w:space="0" w:color="auto"/>
                <w:right w:val="none" w:sz="0" w:space="0" w:color="auto"/>
              </w:divBdr>
            </w:div>
          </w:divsChild>
        </w:div>
        <w:div w:id="1984116271">
          <w:marLeft w:val="0"/>
          <w:marRight w:val="0"/>
          <w:marTop w:val="0"/>
          <w:marBottom w:val="0"/>
          <w:divBdr>
            <w:top w:val="none" w:sz="0" w:space="0" w:color="auto"/>
            <w:left w:val="none" w:sz="0" w:space="0" w:color="auto"/>
            <w:bottom w:val="none" w:sz="0" w:space="0" w:color="auto"/>
            <w:right w:val="none" w:sz="0" w:space="0" w:color="auto"/>
          </w:divBdr>
          <w:divsChild>
            <w:div w:id="308873623">
              <w:marLeft w:val="0"/>
              <w:marRight w:val="0"/>
              <w:marTop w:val="0"/>
              <w:marBottom w:val="0"/>
              <w:divBdr>
                <w:top w:val="none" w:sz="0" w:space="0" w:color="auto"/>
                <w:left w:val="none" w:sz="0" w:space="0" w:color="auto"/>
                <w:bottom w:val="none" w:sz="0" w:space="0" w:color="auto"/>
                <w:right w:val="none" w:sz="0" w:space="0" w:color="auto"/>
              </w:divBdr>
            </w:div>
          </w:divsChild>
        </w:div>
        <w:div w:id="1973360846">
          <w:marLeft w:val="0"/>
          <w:marRight w:val="0"/>
          <w:marTop w:val="0"/>
          <w:marBottom w:val="0"/>
          <w:divBdr>
            <w:top w:val="none" w:sz="0" w:space="0" w:color="auto"/>
            <w:left w:val="none" w:sz="0" w:space="0" w:color="auto"/>
            <w:bottom w:val="none" w:sz="0" w:space="0" w:color="auto"/>
            <w:right w:val="none" w:sz="0" w:space="0" w:color="auto"/>
          </w:divBdr>
          <w:divsChild>
            <w:div w:id="1168594506">
              <w:marLeft w:val="0"/>
              <w:marRight w:val="0"/>
              <w:marTop w:val="0"/>
              <w:marBottom w:val="0"/>
              <w:divBdr>
                <w:top w:val="none" w:sz="0" w:space="0" w:color="auto"/>
                <w:left w:val="none" w:sz="0" w:space="0" w:color="auto"/>
                <w:bottom w:val="none" w:sz="0" w:space="0" w:color="auto"/>
                <w:right w:val="none" w:sz="0" w:space="0" w:color="auto"/>
              </w:divBdr>
            </w:div>
          </w:divsChild>
        </w:div>
        <w:div w:id="1779177515">
          <w:marLeft w:val="0"/>
          <w:marRight w:val="0"/>
          <w:marTop w:val="0"/>
          <w:marBottom w:val="0"/>
          <w:divBdr>
            <w:top w:val="none" w:sz="0" w:space="0" w:color="auto"/>
            <w:left w:val="none" w:sz="0" w:space="0" w:color="auto"/>
            <w:bottom w:val="none" w:sz="0" w:space="0" w:color="auto"/>
            <w:right w:val="none" w:sz="0" w:space="0" w:color="auto"/>
          </w:divBdr>
          <w:divsChild>
            <w:div w:id="495531945">
              <w:marLeft w:val="0"/>
              <w:marRight w:val="0"/>
              <w:marTop w:val="0"/>
              <w:marBottom w:val="0"/>
              <w:divBdr>
                <w:top w:val="none" w:sz="0" w:space="0" w:color="auto"/>
                <w:left w:val="none" w:sz="0" w:space="0" w:color="auto"/>
                <w:bottom w:val="none" w:sz="0" w:space="0" w:color="auto"/>
                <w:right w:val="none" w:sz="0" w:space="0" w:color="auto"/>
              </w:divBdr>
            </w:div>
          </w:divsChild>
        </w:div>
        <w:div w:id="1887402848">
          <w:marLeft w:val="0"/>
          <w:marRight w:val="0"/>
          <w:marTop w:val="0"/>
          <w:marBottom w:val="0"/>
          <w:divBdr>
            <w:top w:val="none" w:sz="0" w:space="0" w:color="auto"/>
            <w:left w:val="none" w:sz="0" w:space="0" w:color="auto"/>
            <w:bottom w:val="none" w:sz="0" w:space="0" w:color="auto"/>
            <w:right w:val="none" w:sz="0" w:space="0" w:color="auto"/>
          </w:divBdr>
          <w:divsChild>
            <w:div w:id="1123697044">
              <w:marLeft w:val="0"/>
              <w:marRight w:val="0"/>
              <w:marTop w:val="0"/>
              <w:marBottom w:val="0"/>
              <w:divBdr>
                <w:top w:val="none" w:sz="0" w:space="0" w:color="auto"/>
                <w:left w:val="none" w:sz="0" w:space="0" w:color="auto"/>
                <w:bottom w:val="none" w:sz="0" w:space="0" w:color="auto"/>
                <w:right w:val="none" w:sz="0" w:space="0" w:color="auto"/>
              </w:divBdr>
            </w:div>
          </w:divsChild>
        </w:div>
        <w:div w:id="1468861826">
          <w:marLeft w:val="0"/>
          <w:marRight w:val="0"/>
          <w:marTop w:val="0"/>
          <w:marBottom w:val="0"/>
          <w:divBdr>
            <w:top w:val="none" w:sz="0" w:space="0" w:color="auto"/>
            <w:left w:val="none" w:sz="0" w:space="0" w:color="auto"/>
            <w:bottom w:val="none" w:sz="0" w:space="0" w:color="auto"/>
            <w:right w:val="none" w:sz="0" w:space="0" w:color="auto"/>
          </w:divBdr>
          <w:divsChild>
            <w:div w:id="1193611000">
              <w:marLeft w:val="0"/>
              <w:marRight w:val="0"/>
              <w:marTop w:val="0"/>
              <w:marBottom w:val="0"/>
              <w:divBdr>
                <w:top w:val="none" w:sz="0" w:space="0" w:color="auto"/>
                <w:left w:val="none" w:sz="0" w:space="0" w:color="auto"/>
                <w:bottom w:val="none" w:sz="0" w:space="0" w:color="auto"/>
                <w:right w:val="none" w:sz="0" w:space="0" w:color="auto"/>
              </w:divBdr>
            </w:div>
          </w:divsChild>
        </w:div>
        <w:div w:id="490171354">
          <w:marLeft w:val="0"/>
          <w:marRight w:val="0"/>
          <w:marTop w:val="0"/>
          <w:marBottom w:val="0"/>
          <w:divBdr>
            <w:top w:val="none" w:sz="0" w:space="0" w:color="auto"/>
            <w:left w:val="none" w:sz="0" w:space="0" w:color="auto"/>
            <w:bottom w:val="none" w:sz="0" w:space="0" w:color="auto"/>
            <w:right w:val="none" w:sz="0" w:space="0" w:color="auto"/>
          </w:divBdr>
          <w:divsChild>
            <w:div w:id="1145662269">
              <w:marLeft w:val="0"/>
              <w:marRight w:val="0"/>
              <w:marTop w:val="0"/>
              <w:marBottom w:val="0"/>
              <w:divBdr>
                <w:top w:val="none" w:sz="0" w:space="0" w:color="auto"/>
                <w:left w:val="none" w:sz="0" w:space="0" w:color="auto"/>
                <w:bottom w:val="none" w:sz="0" w:space="0" w:color="auto"/>
                <w:right w:val="none" w:sz="0" w:space="0" w:color="auto"/>
              </w:divBdr>
            </w:div>
          </w:divsChild>
        </w:div>
        <w:div w:id="1639914913">
          <w:marLeft w:val="0"/>
          <w:marRight w:val="0"/>
          <w:marTop w:val="0"/>
          <w:marBottom w:val="0"/>
          <w:divBdr>
            <w:top w:val="none" w:sz="0" w:space="0" w:color="auto"/>
            <w:left w:val="none" w:sz="0" w:space="0" w:color="auto"/>
            <w:bottom w:val="none" w:sz="0" w:space="0" w:color="auto"/>
            <w:right w:val="none" w:sz="0" w:space="0" w:color="auto"/>
          </w:divBdr>
          <w:divsChild>
            <w:div w:id="898632764">
              <w:marLeft w:val="0"/>
              <w:marRight w:val="0"/>
              <w:marTop w:val="0"/>
              <w:marBottom w:val="0"/>
              <w:divBdr>
                <w:top w:val="none" w:sz="0" w:space="0" w:color="auto"/>
                <w:left w:val="none" w:sz="0" w:space="0" w:color="auto"/>
                <w:bottom w:val="none" w:sz="0" w:space="0" w:color="auto"/>
                <w:right w:val="none" w:sz="0" w:space="0" w:color="auto"/>
              </w:divBdr>
            </w:div>
          </w:divsChild>
        </w:div>
        <w:div w:id="1834100103">
          <w:marLeft w:val="0"/>
          <w:marRight w:val="0"/>
          <w:marTop w:val="0"/>
          <w:marBottom w:val="0"/>
          <w:divBdr>
            <w:top w:val="none" w:sz="0" w:space="0" w:color="auto"/>
            <w:left w:val="none" w:sz="0" w:space="0" w:color="auto"/>
            <w:bottom w:val="none" w:sz="0" w:space="0" w:color="auto"/>
            <w:right w:val="none" w:sz="0" w:space="0" w:color="auto"/>
          </w:divBdr>
          <w:divsChild>
            <w:div w:id="1237790362">
              <w:marLeft w:val="0"/>
              <w:marRight w:val="0"/>
              <w:marTop w:val="0"/>
              <w:marBottom w:val="0"/>
              <w:divBdr>
                <w:top w:val="none" w:sz="0" w:space="0" w:color="auto"/>
                <w:left w:val="none" w:sz="0" w:space="0" w:color="auto"/>
                <w:bottom w:val="none" w:sz="0" w:space="0" w:color="auto"/>
                <w:right w:val="none" w:sz="0" w:space="0" w:color="auto"/>
              </w:divBdr>
            </w:div>
          </w:divsChild>
        </w:div>
        <w:div w:id="74589677">
          <w:marLeft w:val="0"/>
          <w:marRight w:val="0"/>
          <w:marTop w:val="0"/>
          <w:marBottom w:val="0"/>
          <w:divBdr>
            <w:top w:val="none" w:sz="0" w:space="0" w:color="auto"/>
            <w:left w:val="none" w:sz="0" w:space="0" w:color="auto"/>
            <w:bottom w:val="none" w:sz="0" w:space="0" w:color="auto"/>
            <w:right w:val="none" w:sz="0" w:space="0" w:color="auto"/>
          </w:divBdr>
          <w:divsChild>
            <w:div w:id="778456663">
              <w:marLeft w:val="0"/>
              <w:marRight w:val="0"/>
              <w:marTop w:val="0"/>
              <w:marBottom w:val="0"/>
              <w:divBdr>
                <w:top w:val="none" w:sz="0" w:space="0" w:color="auto"/>
                <w:left w:val="none" w:sz="0" w:space="0" w:color="auto"/>
                <w:bottom w:val="none" w:sz="0" w:space="0" w:color="auto"/>
                <w:right w:val="none" w:sz="0" w:space="0" w:color="auto"/>
              </w:divBdr>
            </w:div>
          </w:divsChild>
        </w:div>
        <w:div w:id="1200052334">
          <w:marLeft w:val="0"/>
          <w:marRight w:val="0"/>
          <w:marTop w:val="0"/>
          <w:marBottom w:val="0"/>
          <w:divBdr>
            <w:top w:val="none" w:sz="0" w:space="0" w:color="auto"/>
            <w:left w:val="none" w:sz="0" w:space="0" w:color="auto"/>
            <w:bottom w:val="none" w:sz="0" w:space="0" w:color="auto"/>
            <w:right w:val="none" w:sz="0" w:space="0" w:color="auto"/>
          </w:divBdr>
          <w:divsChild>
            <w:div w:id="401485449">
              <w:marLeft w:val="0"/>
              <w:marRight w:val="0"/>
              <w:marTop w:val="0"/>
              <w:marBottom w:val="0"/>
              <w:divBdr>
                <w:top w:val="none" w:sz="0" w:space="0" w:color="auto"/>
                <w:left w:val="none" w:sz="0" w:space="0" w:color="auto"/>
                <w:bottom w:val="none" w:sz="0" w:space="0" w:color="auto"/>
                <w:right w:val="none" w:sz="0" w:space="0" w:color="auto"/>
              </w:divBdr>
            </w:div>
          </w:divsChild>
        </w:div>
        <w:div w:id="222376624">
          <w:marLeft w:val="0"/>
          <w:marRight w:val="0"/>
          <w:marTop w:val="0"/>
          <w:marBottom w:val="0"/>
          <w:divBdr>
            <w:top w:val="none" w:sz="0" w:space="0" w:color="auto"/>
            <w:left w:val="none" w:sz="0" w:space="0" w:color="auto"/>
            <w:bottom w:val="none" w:sz="0" w:space="0" w:color="auto"/>
            <w:right w:val="none" w:sz="0" w:space="0" w:color="auto"/>
          </w:divBdr>
          <w:divsChild>
            <w:div w:id="640816890">
              <w:marLeft w:val="0"/>
              <w:marRight w:val="0"/>
              <w:marTop w:val="0"/>
              <w:marBottom w:val="0"/>
              <w:divBdr>
                <w:top w:val="none" w:sz="0" w:space="0" w:color="auto"/>
                <w:left w:val="none" w:sz="0" w:space="0" w:color="auto"/>
                <w:bottom w:val="none" w:sz="0" w:space="0" w:color="auto"/>
                <w:right w:val="none" w:sz="0" w:space="0" w:color="auto"/>
              </w:divBdr>
            </w:div>
          </w:divsChild>
        </w:div>
        <w:div w:id="83039968">
          <w:marLeft w:val="0"/>
          <w:marRight w:val="0"/>
          <w:marTop w:val="0"/>
          <w:marBottom w:val="0"/>
          <w:divBdr>
            <w:top w:val="none" w:sz="0" w:space="0" w:color="auto"/>
            <w:left w:val="none" w:sz="0" w:space="0" w:color="auto"/>
            <w:bottom w:val="none" w:sz="0" w:space="0" w:color="auto"/>
            <w:right w:val="none" w:sz="0" w:space="0" w:color="auto"/>
          </w:divBdr>
          <w:divsChild>
            <w:div w:id="327097306">
              <w:marLeft w:val="0"/>
              <w:marRight w:val="0"/>
              <w:marTop w:val="0"/>
              <w:marBottom w:val="0"/>
              <w:divBdr>
                <w:top w:val="none" w:sz="0" w:space="0" w:color="auto"/>
                <w:left w:val="none" w:sz="0" w:space="0" w:color="auto"/>
                <w:bottom w:val="none" w:sz="0" w:space="0" w:color="auto"/>
                <w:right w:val="none" w:sz="0" w:space="0" w:color="auto"/>
              </w:divBdr>
            </w:div>
          </w:divsChild>
        </w:div>
        <w:div w:id="30232420">
          <w:marLeft w:val="0"/>
          <w:marRight w:val="0"/>
          <w:marTop w:val="0"/>
          <w:marBottom w:val="0"/>
          <w:divBdr>
            <w:top w:val="none" w:sz="0" w:space="0" w:color="auto"/>
            <w:left w:val="none" w:sz="0" w:space="0" w:color="auto"/>
            <w:bottom w:val="none" w:sz="0" w:space="0" w:color="auto"/>
            <w:right w:val="none" w:sz="0" w:space="0" w:color="auto"/>
          </w:divBdr>
          <w:divsChild>
            <w:div w:id="477501922">
              <w:marLeft w:val="0"/>
              <w:marRight w:val="0"/>
              <w:marTop w:val="0"/>
              <w:marBottom w:val="0"/>
              <w:divBdr>
                <w:top w:val="none" w:sz="0" w:space="0" w:color="auto"/>
                <w:left w:val="none" w:sz="0" w:space="0" w:color="auto"/>
                <w:bottom w:val="none" w:sz="0" w:space="0" w:color="auto"/>
                <w:right w:val="none" w:sz="0" w:space="0" w:color="auto"/>
              </w:divBdr>
            </w:div>
          </w:divsChild>
        </w:div>
        <w:div w:id="2041590081">
          <w:marLeft w:val="0"/>
          <w:marRight w:val="0"/>
          <w:marTop w:val="0"/>
          <w:marBottom w:val="0"/>
          <w:divBdr>
            <w:top w:val="none" w:sz="0" w:space="0" w:color="auto"/>
            <w:left w:val="none" w:sz="0" w:space="0" w:color="auto"/>
            <w:bottom w:val="none" w:sz="0" w:space="0" w:color="auto"/>
            <w:right w:val="none" w:sz="0" w:space="0" w:color="auto"/>
          </w:divBdr>
          <w:divsChild>
            <w:div w:id="1132864201">
              <w:marLeft w:val="0"/>
              <w:marRight w:val="0"/>
              <w:marTop w:val="0"/>
              <w:marBottom w:val="0"/>
              <w:divBdr>
                <w:top w:val="none" w:sz="0" w:space="0" w:color="auto"/>
                <w:left w:val="none" w:sz="0" w:space="0" w:color="auto"/>
                <w:bottom w:val="none" w:sz="0" w:space="0" w:color="auto"/>
                <w:right w:val="none" w:sz="0" w:space="0" w:color="auto"/>
              </w:divBdr>
            </w:div>
          </w:divsChild>
        </w:div>
        <w:div w:id="114175902">
          <w:marLeft w:val="0"/>
          <w:marRight w:val="0"/>
          <w:marTop w:val="0"/>
          <w:marBottom w:val="0"/>
          <w:divBdr>
            <w:top w:val="none" w:sz="0" w:space="0" w:color="auto"/>
            <w:left w:val="none" w:sz="0" w:space="0" w:color="auto"/>
            <w:bottom w:val="none" w:sz="0" w:space="0" w:color="auto"/>
            <w:right w:val="none" w:sz="0" w:space="0" w:color="auto"/>
          </w:divBdr>
          <w:divsChild>
            <w:div w:id="421998192">
              <w:marLeft w:val="0"/>
              <w:marRight w:val="0"/>
              <w:marTop w:val="0"/>
              <w:marBottom w:val="0"/>
              <w:divBdr>
                <w:top w:val="none" w:sz="0" w:space="0" w:color="auto"/>
                <w:left w:val="none" w:sz="0" w:space="0" w:color="auto"/>
                <w:bottom w:val="none" w:sz="0" w:space="0" w:color="auto"/>
                <w:right w:val="none" w:sz="0" w:space="0" w:color="auto"/>
              </w:divBdr>
            </w:div>
          </w:divsChild>
        </w:div>
        <w:div w:id="1693992680">
          <w:marLeft w:val="0"/>
          <w:marRight w:val="0"/>
          <w:marTop w:val="0"/>
          <w:marBottom w:val="0"/>
          <w:divBdr>
            <w:top w:val="none" w:sz="0" w:space="0" w:color="auto"/>
            <w:left w:val="none" w:sz="0" w:space="0" w:color="auto"/>
            <w:bottom w:val="none" w:sz="0" w:space="0" w:color="auto"/>
            <w:right w:val="none" w:sz="0" w:space="0" w:color="auto"/>
          </w:divBdr>
          <w:divsChild>
            <w:div w:id="1639992371">
              <w:marLeft w:val="0"/>
              <w:marRight w:val="0"/>
              <w:marTop w:val="0"/>
              <w:marBottom w:val="0"/>
              <w:divBdr>
                <w:top w:val="none" w:sz="0" w:space="0" w:color="auto"/>
                <w:left w:val="none" w:sz="0" w:space="0" w:color="auto"/>
                <w:bottom w:val="none" w:sz="0" w:space="0" w:color="auto"/>
                <w:right w:val="none" w:sz="0" w:space="0" w:color="auto"/>
              </w:divBdr>
            </w:div>
          </w:divsChild>
        </w:div>
        <w:div w:id="1768694354">
          <w:marLeft w:val="0"/>
          <w:marRight w:val="0"/>
          <w:marTop w:val="0"/>
          <w:marBottom w:val="0"/>
          <w:divBdr>
            <w:top w:val="none" w:sz="0" w:space="0" w:color="auto"/>
            <w:left w:val="none" w:sz="0" w:space="0" w:color="auto"/>
            <w:bottom w:val="none" w:sz="0" w:space="0" w:color="auto"/>
            <w:right w:val="none" w:sz="0" w:space="0" w:color="auto"/>
          </w:divBdr>
          <w:divsChild>
            <w:div w:id="1143738829">
              <w:marLeft w:val="0"/>
              <w:marRight w:val="0"/>
              <w:marTop w:val="0"/>
              <w:marBottom w:val="0"/>
              <w:divBdr>
                <w:top w:val="none" w:sz="0" w:space="0" w:color="auto"/>
                <w:left w:val="none" w:sz="0" w:space="0" w:color="auto"/>
                <w:bottom w:val="none" w:sz="0" w:space="0" w:color="auto"/>
                <w:right w:val="none" w:sz="0" w:space="0" w:color="auto"/>
              </w:divBdr>
            </w:div>
          </w:divsChild>
        </w:div>
        <w:div w:id="1536846046">
          <w:marLeft w:val="0"/>
          <w:marRight w:val="0"/>
          <w:marTop w:val="0"/>
          <w:marBottom w:val="0"/>
          <w:divBdr>
            <w:top w:val="none" w:sz="0" w:space="0" w:color="auto"/>
            <w:left w:val="none" w:sz="0" w:space="0" w:color="auto"/>
            <w:bottom w:val="none" w:sz="0" w:space="0" w:color="auto"/>
            <w:right w:val="none" w:sz="0" w:space="0" w:color="auto"/>
          </w:divBdr>
          <w:divsChild>
            <w:div w:id="959654107">
              <w:marLeft w:val="0"/>
              <w:marRight w:val="0"/>
              <w:marTop w:val="0"/>
              <w:marBottom w:val="0"/>
              <w:divBdr>
                <w:top w:val="none" w:sz="0" w:space="0" w:color="auto"/>
                <w:left w:val="none" w:sz="0" w:space="0" w:color="auto"/>
                <w:bottom w:val="none" w:sz="0" w:space="0" w:color="auto"/>
                <w:right w:val="none" w:sz="0" w:space="0" w:color="auto"/>
              </w:divBdr>
            </w:div>
          </w:divsChild>
        </w:div>
        <w:div w:id="1417241963">
          <w:marLeft w:val="0"/>
          <w:marRight w:val="0"/>
          <w:marTop w:val="0"/>
          <w:marBottom w:val="0"/>
          <w:divBdr>
            <w:top w:val="none" w:sz="0" w:space="0" w:color="auto"/>
            <w:left w:val="none" w:sz="0" w:space="0" w:color="auto"/>
            <w:bottom w:val="none" w:sz="0" w:space="0" w:color="auto"/>
            <w:right w:val="none" w:sz="0" w:space="0" w:color="auto"/>
          </w:divBdr>
          <w:divsChild>
            <w:div w:id="669914149">
              <w:marLeft w:val="0"/>
              <w:marRight w:val="0"/>
              <w:marTop w:val="0"/>
              <w:marBottom w:val="0"/>
              <w:divBdr>
                <w:top w:val="none" w:sz="0" w:space="0" w:color="auto"/>
                <w:left w:val="none" w:sz="0" w:space="0" w:color="auto"/>
                <w:bottom w:val="none" w:sz="0" w:space="0" w:color="auto"/>
                <w:right w:val="none" w:sz="0" w:space="0" w:color="auto"/>
              </w:divBdr>
            </w:div>
          </w:divsChild>
        </w:div>
        <w:div w:id="1441339906">
          <w:marLeft w:val="0"/>
          <w:marRight w:val="0"/>
          <w:marTop w:val="0"/>
          <w:marBottom w:val="0"/>
          <w:divBdr>
            <w:top w:val="none" w:sz="0" w:space="0" w:color="auto"/>
            <w:left w:val="none" w:sz="0" w:space="0" w:color="auto"/>
            <w:bottom w:val="none" w:sz="0" w:space="0" w:color="auto"/>
            <w:right w:val="none" w:sz="0" w:space="0" w:color="auto"/>
          </w:divBdr>
          <w:divsChild>
            <w:div w:id="1688753837">
              <w:marLeft w:val="0"/>
              <w:marRight w:val="0"/>
              <w:marTop w:val="0"/>
              <w:marBottom w:val="0"/>
              <w:divBdr>
                <w:top w:val="none" w:sz="0" w:space="0" w:color="auto"/>
                <w:left w:val="none" w:sz="0" w:space="0" w:color="auto"/>
                <w:bottom w:val="none" w:sz="0" w:space="0" w:color="auto"/>
                <w:right w:val="none" w:sz="0" w:space="0" w:color="auto"/>
              </w:divBdr>
            </w:div>
          </w:divsChild>
        </w:div>
        <w:div w:id="658273369">
          <w:marLeft w:val="0"/>
          <w:marRight w:val="0"/>
          <w:marTop w:val="0"/>
          <w:marBottom w:val="0"/>
          <w:divBdr>
            <w:top w:val="none" w:sz="0" w:space="0" w:color="auto"/>
            <w:left w:val="none" w:sz="0" w:space="0" w:color="auto"/>
            <w:bottom w:val="none" w:sz="0" w:space="0" w:color="auto"/>
            <w:right w:val="none" w:sz="0" w:space="0" w:color="auto"/>
          </w:divBdr>
          <w:divsChild>
            <w:div w:id="1473672174">
              <w:marLeft w:val="0"/>
              <w:marRight w:val="0"/>
              <w:marTop w:val="0"/>
              <w:marBottom w:val="0"/>
              <w:divBdr>
                <w:top w:val="none" w:sz="0" w:space="0" w:color="auto"/>
                <w:left w:val="none" w:sz="0" w:space="0" w:color="auto"/>
                <w:bottom w:val="none" w:sz="0" w:space="0" w:color="auto"/>
                <w:right w:val="none" w:sz="0" w:space="0" w:color="auto"/>
              </w:divBdr>
            </w:div>
          </w:divsChild>
        </w:div>
        <w:div w:id="406613104">
          <w:marLeft w:val="0"/>
          <w:marRight w:val="0"/>
          <w:marTop w:val="0"/>
          <w:marBottom w:val="0"/>
          <w:divBdr>
            <w:top w:val="none" w:sz="0" w:space="0" w:color="auto"/>
            <w:left w:val="none" w:sz="0" w:space="0" w:color="auto"/>
            <w:bottom w:val="none" w:sz="0" w:space="0" w:color="auto"/>
            <w:right w:val="none" w:sz="0" w:space="0" w:color="auto"/>
          </w:divBdr>
          <w:divsChild>
            <w:div w:id="936057108">
              <w:marLeft w:val="0"/>
              <w:marRight w:val="0"/>
              <w:marTop w:val="0"/>
              <w:marBottom w:val="0"/>
              <w:divBdr>
                <w:top w:val="none" w:sz="0" w:space="0" w:color="auto"/>
                <w:left w:val="none" w:sz="0" w:space="0" w:color="auto"/>
                <w:bottom w:val="none" w:sz="0" w:space="0" w:color="auto"/>
                <w:right w:val="none" w:sz="0" w:space="0" w:color="auto"/>
              </w:divBdr>
            </w:div>
          </w:divsChild>
        </w:div>
        <w:div w:id="2071727278">
          <w:marLeft w:val="0"/>
          <w:marRight w:val="0"/>
          <w:marTop w:val="0"/>
          <w:marBottom w:val="0"/>
          <w:divBdr>
            <w:top w:val="none" w:sz="0" w:space="0" w:color="auto"/>
            <w:left w:val="none" w:sz="0" w:space="0" w:color="auto"/>
            <w:bottom w:val="none" w:sz="0" w:space="0" w:color="auto"/>
            <w:right w:val="none" w:sz="0" w:space="0" w:color="auto"/>
          </w:divBdr>
          <w:divsChild>
            <w:div w:id="469981647">
              <w:marLeft w:val="0"/>
              <w:marRight w:val="0"/>
              <w:marTop w:val="0"/>
              <w:marBottom w:val="0"/>
              <w:divBdr>
                <w:top w:val="none" w:sz="0" w:space="0" w:color="auto"/>
                <w:left w:val="none" w:sz="0" w:space="0" w:color="auto"/>
                <w:bottom w:val="none" w:sz="0" w:space="0" w:color="auto"/>
                <w:right w:val="none" w:sz="0" w:space="0" w:color="auto"/>
              </w:divBdr>
            </w:div>
          </w:divsChild>
        </w:div>
        <w:div w:id="30616929">
          <w:marLeft w:val="0"/>
          <w:marRight w:val="0"/>
          <w:marTop w:val="0"/>
          <w:marBottom w:val="0"/>
          <w:divBdr>
            <w:top w:val="none" w:sz="0" w:space="0" w:color="auto"/>
            <w:left w:val="none" w:sz="0" w:space="0" w:color="auto"/>
            <w:bottom w:val="none" w:sz="0" w:space="0" w:color="auto"/>
            <w:right w:val="none" w:sz="0" w:space="0" w:color="auto"/>
          </w:divBdr>
          <w:divsChild>
            <w:div w:id="171259644">
              <w:marLeft w:val="0"/>
              <w:marRight w:val="0"/>
              <w:marTop w:val="0"/>
              <w:marBottom w:val="0"/>
              <w:divBdr>
                <w:top w:val="none" w:sz="0" w:space="0" w:color="auto"/>
                <w:left w:val="none" w:sz="0" w:space="0" w:color="auto"/>
                <w:bottom w:val="none" w:sz="0" w:space="0" w:color="auto"/>
                <w:right w:val="none" w:sz="0" w:space="0" w:color="auto"/>
              </w:divBdr>
            </w:div>
          </w:divsChild>
        </w:div>
        <w:div w:id="1917327164">
          <w:marLeft w:val="0"/>
          <w:marRight w:val="0"/>
          <w:marTop w:val="0"/>
          <w:marBottom w:val="0"/>
          <w:divBdr>
            <w:top w:val="none" w:sz="0" w:space="0" w:color="auto"/>
            <w:left w:val="none" w:sz="0" w:space="0" w:color="auto"/>
            <w:bottom w:val="none" w:sz="0" w:space="0" w:color="auto"/>
            <w:right w:val="none" w:sz="0" w:space="0" w:color="auto"/>
          </w:divBdr>
          <w:divsChild>
            <w:div w:id="1915898258">
              <w:marLeft w:val="0"/>
              <w:marRight w:val="0"/>
              <w:marTop w:val="0"/>
              <w:marBottom w:val="0"/>
              <w:divBdr>
                <w:top w:val="none" w:sz="0" w:space="0" w:color="auto"/>
                <w:left w:val="none" w:sz="0" w:space="0" w:color="auto"/>
                <w:bottom w:val="none" w:sz="0" w:space="0" w:color="auto"/>
                <w:right w:val="none" w:sz="0" w:space="0" w:color="auto"/>
              </w:divBdr>
            </w:div>
          </w:divsChild>
        </w:div>
        <w:div w:id="846333212">
          <w:marLeft w:val="0"/>
          <w:marRight w:val="0"/>
          <w:marTop w:val="0"/>
          <w:marBottom w:val="0"/>
          <w:divBdr>
            <w:top w:val="none" w:sz="0" w:space="0" w:color="auto"/>
            <w:left w:val="none" w:sz="0" w:space="0" w:color="auto"/>
            <w:bottom w:val="none" w:sz="0" w:space="0" w:color="auto"/>
            <w:right w:val="none" w:sz="0" w:space="0" w:color="auto"/>
          </w:divBdr>
          <w:divsChild>
            <w:div w:id="1699353469">
              <w:marLeft w:val="0"/>
              <w:marRight w:val="0"/>
              <w:marTop w:val="0"/>
              <w:marBottom w:val="0"/>
              <w:divBdr>
                <w:top w:val="none" w:sz="0" w:space="0" w:color="auto"/>
                <w:left w:val="none" w:sz="0" w:space="0" w:color="auto"/>
                <w:bottom w:val="none" w:sz="0" w:space="0" w:color="auto"/>
                <w:right w:val="none" w:sz="0" w:space="0" w:color="auto"/>
              </w:divBdr>
            </w:div>
          </w:divsChild>
        </w:div>
        <w:div w:id="1876843506">
          <w:marLeft w:val="0"/>
          <w:marRight w:val="0"/>
          <w:marTop w:val="0"/>
          <w:marBottom w:val="0"/>
          <w:divBdr>
            <w:top w:val="none" w:sz="0" w:space="0" w:color="auto"/>
            <w:left w:val="none" w:sz="0" w:space="0" w:color="auto"/>
            <w:bottom w:val="none" w:sz="0" w:space="0" w:color="auto"/>
            <w:right w:val="none" w:sz="0" w:space="0" w:color="auto"/>
          </w:divBdr>
          <w:divsChild>
            <w:div w:id="25101215">
              <w:marLeft w:val="0"/>
              <w:marRight w:val="0"/>
              <w:marTop w:val="0"/>
              <w:marBottom w:val="0"/>
              <w:divBdr>
                <w:top w:val="none" w:sz="0" w:space="0" w:color="auto"/>
                <w:left w:val="none" w:sz="0" w:space="0" w:color="auto"/>
                <w:bottom w:val="none" w:sz="0" w:space="0" w:color="auto"/>
                <w:right w:val="none" w:sz="0" w:space="0" w:color="auto"/>
              </w:divBdr>
            </w:div>
          </w:divsChild>
        </w:div>
        <w:div w:id="39745021">
          <w:marLeft w:val="0"/>
          <w:marRight w:val="0"/>
          <w:marTop w:val="0"/>
          <w:marBottom w:val="0"/>
          <w:divBdr>
            <w:top w:val="none" w:sz="0" w:space="0" w:color="auto"/>
            <w:left w:val="none" w:sz="0" w:space="0" w:color="auto"/>
            <w:bottom w:val="none" w:sz="0" w:space="0" w:color="auto"/>
            <w:right w:val="none" w:sz="0" w:space="0" w:color="auto"/>
          </w:divBdr>
          <w:divsChild>
            <w:div w:id="1969579309">
              <w:marLeft w:val="0"/>
              <w:marRight w:val="0"/>
              <w:marTop w:val="0"/>
              <w:marBottom w:val="0"/>
              <w:divBdr>
                <w:top w:val="none" w:sz="0" w:space="0" w:color="auto"/>
                <w:left w:val="none" w:sz="0" w:space="0" w:color="auto"/>
                <w:bottom w:val="none" w:sz="0" w:space="0" w:color="auto"/>
                <w:right w:val="none" w:sz="0" w:space="0" w:color="auto"/>
              </w:divBdr>
            </w:div>
          </w:divsChild>
        </w:div>
        <w:div w:id="633758415">
          <w:marLeft w:val="0"/>
          <w:marRight w:val="0"/>
          <w:marTop w:val="0"/>
          <w:marBottom w:val="0"/>
          <w:divBdr>
            <w:top w:val="none" w:sz="0" w:space="0" w:color="auto"/>
            <w:left w:val="none" w:sz="0" w:space="0" w:color="auto"/>
            <w:bottom w:val="none" w:sz="0" w:space="0" w:color="auto"/>
            <w:right w:val="none" w:sz="0" w:space="0" w:color="auto"/>
          </w:divBdr>
          <w:divsChild>
            <w:div w:id="276185811">
              <w:marLeft w:val="0"/>
              <w:marRight w:val="0"/>
              <w:marTop w:val="0"/>
              <w:marBottom w:val="0"/>
              <w:divBdr>
                <w:top w:val="none" w:sz="0" w:space="0" w:color="auto"/>
                <w:left w:val="none" w:sz="0" w:space="0" w:color="auto"/>
                <w:bottom w:val="none" w:sz="0" w:space="0" w:color="auto"/>
                <w:right w:val="none" w:sz="0" w:space="0" w:color="auto"/>
              </w:divBdr>
            </w:div>
          </w:divsChild>
        </w:div>
        <w:div w:id="1697387758">
          <w:marLeft w:val="0"/>
          <w:marRight w:val="0"/>
          <w:marTop w:val="0"/>
          <w:marBottom w:val="0"/>
          <w:divBdr>
            <w:top w:val="none" w:sz="0" w:space="0" w:color="auto"/>
            <w:left w:val="none" w:sz="0" w:space="0" w:color="auto"/>
            <w:bottom w:val="none" w:sz="0" w:space="0" w:color="auto"/>
            <w:right w:val="none" w:sz="0" w:space="0" w:color="auto"/>
          </w:divBdr>
          <w:divsChild>
            <w:div w:id="1434353011">
              <w:marLeft w:val="0"/>
              <w:marRight w:val="0"/>
              <w:marTop w:val="0"/>
              <w:marBottom w:val="0"/>
              <w:divBdr>
                <w:top w:val="none" w:sz="0" w:space="0" w:color="auto"/>
                <w:left w:val="none" w:sz="0" w:space="0" w:color="auto"/>
                <w:bottom w:val="none" w:sz="0" w:space="0" w:color="auto"/>
                <w:right w:val="none" w:sz="0" w:space="0" w:color="auto"/>
              </w:divBdr>
            </w:div>
          </w:divsChild>
        </w:div>
        <w:div w:id="1966426542">
          <w:marLeft w:val="0"/>
          <w:marRight w:val="0"/>
          <w:marTop w:val="0"/>
          <w:marBottom w:val="0"/>
          <w:divBdr>
            <w:top w:val="none" w:sz="0" w:space="0" w:color="auto"/>
            <w:left w:val="none" w:sz="0" w:space="0" w:color="auto"/>
            <w:bottom w:val="none" w:sz="0" w:space="0" w:color="auto"/>
            <w:right w:val="none" w:sz="0" w:space="0" w:color="auto"/>
          </w:divBdr>
          <w:divsChild>
            <w:div w:id="2000307838">
              <w:marLeft w:val="0"/>
              <w:marRight w:val="0"/>
              <w:marTop w:val="0"/>
              <w:marBottom w:val="0"/>
              <w:divBdr>
                <w:top w:val="none" w:sz="0" w:space="0" w:color="auto"/>
                <w:left w:val="none" w:sz="0" w:space="0" w:color="auto"/>
                <w:bottom w:val="none" w:sz="0" w:space="0" w:color="auto"/>
                <w:right w:val="none" w:sz="0" w:space="0" w:color="auto"/>
              </w:divBdr>
            </w:div>
          </w:divsChild>
        </w:div>
        <w:div w:id="801381412">
          <w:marLeft w:val="0"/>
          <w:marRight w:val="0"/>
          <w:marTop w:val="0"/>
          <w:marBottom w:val="0"/>
          <w:divBdr>
            <w:top w:val="none" w:sz="0" w:space="0" w:color="auto"/>
            <w:left w:val="none" w:sz="0" w:space="0" w:color="auto"/>
            <w:bottom w:val="none" w:sz="0" w:space="0" w:color="auto"/>
            <w:right w:val="none" w:sz="0" w:space="0" w:color="auto"/>
          </w:divBdr>
          <w:divsChild>
            <w:div w:id="828447503">
              <w:marLeft w:val="0"/>
              <w:marRight w:val="0"/>
              <w:marTop w:val="0"/>
              <w:marBottom w:val="0"/>
              <w:divBdr>
                <w:top w:val="none" w:sz="0" w:space="0" w:color="auto"/>
                <w:left w:val="none" w:sz="0" w:space="0" w:color="auto"/>
                <w:bottom w:val="none" w:sz="0" w:space="0" w:color="auto"/>
                <w:right w:val="none" w:sz="0" w:space="0" w:color="auto"/>
              </w:divBdr>
            </w:div>
          </w:divsChild>
        </w:div>
        <w:div w:id="1694720923">
          <w:marLeft w:val="0"/>
          <w:marRight w:val="0"/>
          <w:marTop w:val="0"/>
          <w:marBottom w:val="0"/>
          <w:divBdr>
            <w:top w:val="none" w:sz="0" w:space="0" w:color="auto"/>
            <w:left w:val="none" w:sz="0" w:space="0" w:color="auto"/>
            <w:bottom w:val="none" w:sz="0" w:space="0" w:color="auto"/>
            <w:right w:val="none" w:sz="0" w:space="0" w:color="auto"/>
          </w:divBdr>
          <w:divsChild>
            <w:div w:id="545072680">
              <w:marLeft w:val="0"/>
              <w:marRight w:val="0"/>
              <w:marTop w:val="0"/>
              <w:marBottom w:val="0"/>
              <w:divBdr>
                <w:top w:val="none" w:sz="0" w:space="0" w:color="auto"/>
                <w:left w:val="none" w:sz="0" w:space="0" w:color="auto"/>
                <w:bottom w:val="none" w:sz="0" w:space="0" w:color="auto"/>
                <w:right w:val="none" w:sz="0" w:space="0" w:color="auto"/>
              </w:divBdr>
            </w:div>
          </w:divsChild>
        </w:div>
        <w:div w:id="1451701861">
          <w:marLeft w:val="0"/>
          <w:marRight w:val="0"/>
          <w:marTop w:val="0"/>
          <w:marBottom w:val="0"/>
          <w:divBdr>
            <w:top w:val="none" w:sz="0" w:space="0" w:color="auto"/>
            <w:left w:val="none" w:sz="0" w:space="0" w:color="auto"/>
            <w:bottom w:val="none" w:sz="0" w:space="0" w:color="auto"/>
            <w:right w:val="none" w:sz="0" w:space="0" w:color="auto"/>
          </w:divBdr>
          <w:divsChild>
            <w:div w:id="1555966381">
              <w:marLeft w:val="0"/>
              <w:marRight w:val="0"/>
              <w:marTop w:val="0"/>
              <w:marBottom w:val="0"/>
              <w:divBdr>
                <w:top w:val="none" w:sz="0" w:space="0" w:color="auto"/>
                <w:left w:val="none" w:sz="0" w:space="0" w:color="auto"/>
                <w:bottom w:val="none" w:sz="0" w:space="0" w:color="auto"/>
                <w:right w:val="none" w:sz="0" w:space="0" w:color="auto"/>
              </w:divBdr>
            </w:div>
          </w:divsChild>
        </w:div>
        <w:div w:id="946932257">
          <w:marLeft w:val="0"/>
          <w:marRight w:val="0"/>
          <w:marTop w:val="0"/>
          <w:marBottom w:val="0"/>
          <w:divBdr>
            <w:top w:val="none" w:sz="0" w:space="0" w:color="auto"/>
            <w:left w:val="none" w:sz="0" w:space="0" w:color="auto"/>
            <w:bottom w:val="none" w:sz="0" w:space="0" w:color="auto"/>
            <w:right w:val="none" w:sz="0" w:space="0" w:color="auto"/>
          </w:divBdr>
          <w:divsChild>
            <w:div w:id="1600140563">
              <w:marLeft w:val="0"/>
              <w:marRight w:val="0"/>
              <w:marTop w:val="0"/>
              <w:marBottom w:val="0"/>
              <w:divBdr>
                <w:top w:val="none" w:sz="0" w:space="0" w:color="auto"/>
                <w:left w:val="none" w:sz="0" w:space="0" w:color="auto"/>
                <w:bottom w:val="none" w:sz="0" w:space="0" w:color="auto"/>
                <w:right w:val="none" w:sz="0" w:space="0" w:color="auto"/>
              </w:divBdr>
            </w:div>
          </w:divsChild>
        </w:div>
        <w:div w:id="378474193">
          <w:marLeft w:val="0"/>
          <w:marRight w:val="0"/>
          <w:marTop w:val="0"/>
          <w:marBottom w:val="0"/>
          <w:divBdr>
            <w:top w:val="none" w:sz="0" w:space="0" w:color="auto"/>
            <w:left w:val="none" w:sz="0" w:space="0" w:color="auto"/>
            <w:bottom w:val="none" w:sz="0" w:space="0" w:color="auto"/>
            <w:right w:val="none" w:sz="0" w:space="0" w:color="auto"/>
          </w:divBdr>
          <w:divsChild>
            <w:div w:id="305360991">
              <w:marLeft w:val="0"/>
              <w:marRight w:val="0"/>
              <w:marTop w:val="0"/>
              <w:marBottom w:val="0"/>
              <w:divBdr>
                <w:top w:val="none" w:sz="0" w:space="0" w:color="auto"/>
                <w:left w:val="none" w:sz="0" w:space="0" w:color="auto"/>
                <w:bottom w:val="none" w:sz="0" w:space="0" w:color="auto"/>
                <w:right w:val="none" w:sz="0" w:space="0" w:color="auto"/>
              </w:divBdr>
            </w:div>
          </w:divsChild>
        </w:div>
        <w:div w:id="1368917139">
          <w:marLeft w:val="0"/>
          <w:marRight w:val="0"/>
          <w:marTop w:val="0"/>
          <w:marBottom w:val="0"/>
          <w:divBdr>
            <w:top w:val="none" w:sz="0" w:space="0" w:color="auto"/>
            <w:left w:val="none" w:sz="0" w:space="0" w:color="auto"/>
            <w:bottom w:val="none" w:sz="0" w:space="0" w:color="auto"/>
            <w:right w:val="none" w:sz="0" w:space="0" w:color="auto"/>
          </w:divBdr>
          <w:divsChild>
            <w:div w:id="1821194179">
              <w:marLeft w:val="0"/>
              <w:marRight w:val="0"/>
              <w:marTop w:val="0"/>
              <w:marBottom w:val="0"/>
              <w:divBdr>
                <w:top w:val="none" w:sz="0" w:space="0" w:color="auto"/>
                <w:left w:val="none" w:sz="0" w:space="0" w:color="auto"/>
                <w:bottom w:val="none" w:sz="0" w:space="0" w:color="auto"/>
                <w:right w:val="none" w:sz="0" w:space="0" w:color="auto"/>
              </w:divBdr>
            </w:div>
          </w:divsChild>
        </w:div>
        <w:div w:id="592709553">
          <w:marLeft w:val="0"/>
          <w:marRight w:val="0"/>
          <w:marTop w:val="0"/>
          <w:marBottom w:val="0"/>
          <w:divBdr>
            <w:top w:val="none" w:sz="0" w:space="0" w:color="auto"/>
            <w:left w:val="none" w:sz="0" w:space="0" w:color="auto"/>
            <w:bottom w:val="none" w:sz="0" w:space="0" w:color="auto"/>
            <w:right w:val="none" w:sz="0" w:space="0" w:color="auto"/>
          </w:divBdr>
          <w:divsChild>
            <w:div w:id="264655165">
              <w:marLeft w:val="0"/>
              <w:marRight w:val="0"/>
              <w:marTop w:val="0"/>
              <w:marBottom w:val="0"/>
              <w:divBdr>
                <w:top w:val="none" w:sz="0" w:space="0" w:color="auto"/>
                <w:left w:val="none" w:sz="0" w:space="0" w:color="auto"/>
                <w:bottom w:val="none" w:sz="0" w:space="0" w:color="auto"/>
                <w:right w:val="none" w:sz="0" w:space="0" w:color="auto"/>
              </w:divBdr>
            </w:div>
          </w:divsChild>
        </w:div>
        <w:div w:id="661279011">
          <w:marLeft w:val="0"/>
          <w:marRight w:val="0"/>
          <w:marTop w:val="0"/>
          <w:marBottom w:val="0"/>
          <w:divBdr>
            <w:top w:val="none" w:sz="0" w:space="0" w:color="auto"/>
            <w:left w:val="none" w:sz="0" w:space="0" w:color="auto"/>
            <w:bottom w:val="none" w:sz="0" w:space="0" w:color="auto"/>
            <w:right w:val="none" w:sz="0" w:space="0" w:color="auto"/>
          </w:divBdr>
          <w:divsChild>
            <w:div w:id="503323160">
              <w:marLeft w:val="0"/>
              <w:marRight w:val="0"/>
              <w:marTop w:val="0"/>
              <w:marBottom w:val="0"/>
              <w:divBdr>
                <w:top w:val="none" w:sz="0" w:space="0" w:color="auto"/>
                <w:left w:val="none" w:sz="0" w:space="0" w:color="auto"/>
                <w:bottom w:val="none" w:sz="0" w:space="0" w:color="auto"/>
                <w:right w:val="none" w:sz="0" w:space="0" w:color="auto"/>
              </w:divBdr>
            </w:div>
          </w:divsChild>
        </w:div>
        <w:div w:id="512453442">
          <w:marLeft w:val="0"/>
          <w:marRight w:val="0"/>
          <w:marTop w:val="0"/>
          <w:marBottom w:val="0"/>
          <w:divBdr>
            <w:top w:val="none" w:sz="0" w:space="0" w:color="auto"/>
            <w:left w:val="none" w:sz="0" w:space="0" w:color="auto"/>
            <w:bottom w:val="none" w:sz="0" w:space="0" w:color="auto"/>
            <w:right w:val="none" w:sz="0" w:space="0" w:color="auto"/>
          </w:divBdr>
          <w:divsChild>
            <w:div w:id="1279338626">
              <w:marLeft w:val="0"/>
              <w:marRight w:val="0"/>
              <w:marTop w:val="0"/>
              <w:marBottom w:val="0"/>
              <w:divBdr>
                <w:top w:val="none" w:sz="0" w:space="0" w:color="auto"/>
                <w:left w:val="none" w:sz="0" w:space="0" w:color="auto"/>
                <w:bottom w:val="none" w:sz="0" w:space="0" w:color="auto"/>
                <w:right w:val="none" w:sz="0" w:space="0" w:color="auto"/>
              </w:divBdr>
            </w:div>
          </w:divsChild>
        </w:div>
        <w:div w:id="1346009087">
          <w:marLeft w:val="0"/>
          <w:marRight w:val="0"/>
          <w:marTop w:val="0"/>
          <w:marBottom w:val="0"/>
          <w:divBdr>
            <w:top w:val="none" w:sz="0" w:space="0" w:color="auto"/>
            <w:left w:val="none" w:sz="0" w:space="0" w:color="auto"/>
            <w:bottom w:val="none" w:sz="0" w:space="0" w:color="auto"/>
            <w:right w:val="none" w:sz="0" w:space="0" w:color="auto"/>
          </w:divBdr>
          <w:divsChild>
            <w:div w:id="2071921973">
              <w:marLeft w:val="0"/>
              <w:marRight w:val="0"/>
              <w:marTop w:val="0"/>
              <w:marBottom w:val="0"/>
              <w:divBdr>
                <w:top w:val="none" w:sz="0" w:space="0" w:color="auto"/>
                <w:left w:val="none" w:sz="0" w:space="0" w:color="auto"/>
                <w:bottom w:val="none" w:sz="0" w:space="0" w:color="auto"/>
                <w:right w:val="none" w:sz="0" w:space="0" w:color="auto"/>
              </w:divBdr>
            </w:div>
          </w:divsChild>
        </w:div>
        <w:div w:id="2123724520">
          <w:marLeft w:val="0"/>
          <w:marRight w:val="0"/>
          <w:marTop w:val="0"/>
          <w:marBottom w:val="0"/>
          <w:divBdr>
            <w:top w:val="none" w:sz="0" w:space="0" w:color="auto"/>
            <w:left w:val="none" w:sz="0" w:space="0" w:color="auto"/>
            <w:bottom w:val="none" w:sz="0" w:space="0" w:color="auto"/>
            <w:right w:val="none" w:sz="0" w:space="0" w:color="auto"/>
          </w:divBdr>
          <w:divsChild>
            <w:div w:id="367991563">
              <w:marLeft w:val="0"/>
              <w:marRight w:val="0"/>
              <w:marTop w:val="0"/>
              <w:marBottom w:val="0"/>
              <w:divBdr>
                <w:top w:val="none" w:sz="0" w:space="0" w:color="auto"/>
                <w:left w:val="none" w:sz="0" w:space="0" w:color="auto"/>
                <w:bottom w:val="none" w:sz="0" w:space="0" w:color="auto"/>
                <w:right w:val="none" w:sz="0" w:space="0" w:color="auto"/>
              </w:divBdr>
            </w:div>
          </w:divsChild>
        </w:div>
        <w:div w:id="214438879">
          <w:marLeft w:val="0"/>
          <w:marRight w:val="0"/>
          <w:marTop w:val="0"/>
          <w:marBottom w:val="0"/>
          <w:divBdr>
            <w:top w:val="none" w:sz="0" w:space="0" w:color="auto"/>
            <w:left w:val="none" w:sz="0" w:space="0" w:color="auto"/>
            <w:bottom w:val="none" w:sz="0" w:space="0" w:color="auto"/>
            <w:right w:val="none" w:sz="0" w:space="0" w:color="auto"/>
          </w:divBdr>
          <w:divsChild>
            <w:div w:id="1483156140">
              <w:marLeft w:val="0"/>
              <w:marRight w:val="0"/>
              <w:marTop w:val="0"/>
              <w:marBottom w:val="0"/>
              <w:divBdr>
                <w:top w:val="none" w:sz="0" w:space="0" w:color="auto"/>
                <w:left w:val="none" w:sz="0" w:space="0" w:color="auto"/>
                <w:bottom w:val="none" w:sz="0" w:space="0" w:color="auto"/>
                <w:right w:val="none" w:sz="0" w:space="0" w:color="auto"/>
              </w:divBdr>
            </w:div>
          </w:divsChild>
        </w:div>
        <w:div w:id="1939486689">
          <w:marLeft w:val="0"/>
          <w:marRight w:val="0"/>
          <w:marTop w:val="0"/>
          <w:marBottom w:val="0"/>
          <w:divBdr>
            <w:top w:val="none" w:sz="0" w:space="0" w:color="auto"/>
            <w:left w:val="none" w:sz="0" w:space="0" w:color="auto"/>
            <w:bottom w:val="none" w:sz="0" w:space="0" w:color="auto"/>
            <w:right w:val="none" w:sz="0" w:space="0" w:color="auto"/>
          </w:divBdr>
          <w:divsChild>
            <w:div w:id="1690377528">
              <w:marLeft w:val="0"/>
              <w:marRight w:val="0"/>
              <w:marTop w:val="0"/>
              <w:marBottom w:val="0"/>
              <w:divBdr>
                <w:top w:val="none" w:sz="0" w:space="0" w:color="auto"/>
                <w:left w:val="none" w:sz="0" w:space="0" w:color="auto"/>
                <w:bottom w:val="none" w:sz="0" w:space="0" w:color="auto"/>
                <w:right w:val="none" w:sz="0" w:space="0" w:color="auto"/>
              </w:divBdr>
            </w:div>
          </w:divsChild>
        </w:div>
        <w:div w:id="252981380">
          <w:marLeft w:val="0"/>
          <w:marRight w:val="0"/>
          <w:marTop w:val="0"/>
          <w:marBottom w:val="0"/>
          <w:divBdr>
            <w:top w:val="none" w:sz="0" w:space="0" w:color="auto"/>
            <w:left w:val="none" w:sz="0" w:space="0" w:color="auto"/>
            <w:bottom w:val="none" w:sz="0" w:space="0" w:color="auto"/>
            <w:right w:val="none" w:sz="0" w:space="0" w:color="auto"/>
          </w:divBdr>
          <w:divsChild>
            <w:div w:id="981235117">
              <w:marLeft w:val="0"/>
              <w:marRight w:val="0"/>
              <w:marTop w:val="0"/>
              <w:marBottom w:val="0"/>
              <w:divBdr>
                <w:top w:val="none" w:sz="0" w:space="0" w:color="auto"/>
                <w:left w:val="none" w:sz="0" w:space="0" w:color="auto"/>
                <w:bottom w:val="none" w:sz="0" w:space="0" w:color="auto"/>
                <w:right w:val="none" w:sz="0" w:space="0" w:color="auto"/>
              </w:divBdr>
            </w:div>
          </w:divsChild>
        </w:div>
        <w:div w:id="67390718">
          <w:marLeft w:val="0"/>
          <w:marRight w:val="0"/>
          <w:marTop w:val="0"/>
          <w:marBottom w:val="0"/>
          <w:divBdr>
            <w:top w:val="none" w:sz="0" w:space="0" w:color="auto"/>
            <w:left w:val="none" w:sz="0" w:space="0" w:color="auto"/>
            <w:bottom w:val="none" w:sz="0" w:space="0" w:color="auto"/>
            <w:right w:val="none" w:sz="0" w:space="0" w:color="auto"/>
          </w:divBdr>
          <w:divsChild>
            <w:div w:id="1556550167">
              <w:marLeft w:val="0"/>
              <w:marRight w:val="0"/>
              <w:marTop w:val="0"/>
              <w:marBottom w:val="0"/>
              <w:divBdr>
                <w:top w:val="none" w:sz="0" w:space="0" w:color="auto"/>
                <w:left w:val="none" w:sz="0" w:space="0" w:color="auto"/>
                <w:bottom w:val="none" w:sz="0" w:space="0" w:color="auto"/>
                <w:right w:val="none" w:sz="0" w:space="0" w:color="auto"/>
              </w:divBdr>
            </w:div>
          </w:divsChild>
        </w:div>
        <w:div w:id="355813612">
          <w:marLeft w:val="0"/>
          <w:marRight w:val="0"/>
          <w:marTop w:val="0"/>
          <w:marBottom w:val="0"/>
          <w:divBdr>
            <w:top w:val="none" w:sz="0" w:space="0" w:color="auto"/>
            <w:left w:val="none" w:sz="0" w:space="0" w:color="auto"/>
            <w:bottom w:val="none" w:sz="0" w:space="0" w:color="auto"/>
            <w:right w:val="none" w:sz="0" w:space="0" w:color="auto"/>
          </w:divBdr>
          <w:divsChild>
            <w:div w:id="1477796444">
              <w:marLeft w:val="0"/>
              <w:marRight w:val="0"/>
              <w:marTop w:val="0"/>
              <w:marBottom w:val="0"/>
              <w:divBdr>
                <w:top w:val="none" w:sz="0" w:space="0" w:color="auto"/>
                <w:left w:val="none" w:sz="0" w:space="0" w:color="auto"/>
                <w:bottom w:val="none" w:sz="0" w:space="0" w:color="auto"/>
                <w:right w:val="none" w:sz="0" w:space="0" w:color="auto"/>
              </w:divBdr>
            </w:div>
          </w:divsChild>
        </w:div>
        <w:div w:id="5986472">
          <w:marLeft w:val="0"/>
          <w:marRight w:val="0"/>
          <w:marTop w:val="0"/>
          <w:marBottom w:val="0"/>
          <w:divBdr>
            <w:top w:val="none" w:sz="0" w:space="0" w:color="auto"/>
            <w:left w:val="none" w:sz="0" w:space="0" w:color="auto"/>
            <w:bottom w:val="none" w:sz="0" w:space="0" w:color="auto"/>
            <w:right w:val="none" w:sz="0" w:space="0" w:color="auto"/>
          </w:divBdr>
          <w:divsChild>
            <w:div w:id="680396417">
              <w:marLeft w:val="0"/>
              <w:marRight w:val="0"/>
              <w:marTop w:val="0"/>
              <w:marBottom w:val="0"/>
              <w:divBdr>
                <w:top w:val="none" w:sz="0" w:space="0" w:color="auto"/>
                <w:left w:val="none" w:sz="0" w:space="0" w:color="auto"/>
                <w:bottom w:val="none" w:sz="0" w:space="0" w:color="auto"/>
                <w:right w:val="none" w:sz="0" w:space="0" w:color="auto"/>
              </w:divBdr>
            </w:div>
          </w:divsChild>
        </w:div>
        <w:div w:id="1634678460">
          <w:marLeft w:val="0"/>
          <w:marRight w:val="0"/>
          <w:marTop w:val="0"/>
          <w:marBottom w:val="0"/>
          <w:divBdr>
            <w:top w:val="none" w:sz="0" w:space="0" w:color="auto"/>
            <w:left w:val="none" w:sz="0" w:space="0" w:color="auto"/>
            <w:bottom w:val="none" w:sz="0" w:space="0" w:color="auto"/>
            <w:right w:val="none" w:sz="0" w:space="0" w:color="auto"/>
          </w:divBdr>
          <w:divsChild>
            <w:div w:id="1493374967">
              <w:marLeft w:val="0"/>
              <w:marRight w:val="0"/>
              <w:marTop w:val="0"/>
              <w:marBottom w:val="0"/>
              <w:divBdr>
                <w:top w:val="none" w:sz="0" w:space="0" w:color="auto"/>
                <w:left w:val="none" w:sz="0" w:space="0" w:color="auto"/>
                <w:bottom w:val="none" w:sz="0" w:space="0" w:color="auto"/>
                <w:right w:val="none" w:sz="0" w:space="0" w:color="auto"/>
              </w:divBdr>
            </w:div>
          </w:divsChild>
        </w:div>
        <w:div w:id="501628622">
          <w:marLeft w:val="0"/>
          <w:marRight w:val="0"/>
          <w:marTop w:val="0"/>
          <w:marBottom w:val="0"/>
          <w:divBdr>
            <w:top w:val="none" w:sz="0" w:space="0" w:color="auto"/>
            <w:left w:val="none" w:sz="0" w:space="0" w:color="auto"/>
            <w:bottom w:val="none" w:sz="0" w:space="0" w:color="auto"/>
            <w:right w:val="none" w:sz="0" w:space="0" w:color="auto"/>
          </w:divBdr>
          <w:divsChild>
            <w:div w:id="17974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44">
      <w:bodyDiv w:val="1"/>
      <w:marLeft w:val="0"/>
      <w:marRight w:val="0"/>
      <w:marTop w:val="0"/>
      <w:marBottom w:val="0"/>
      <w:divBdr>
        <w:top w:val="none" w:sz="0" w:space="0" w:color="auto"/>
        <w:left w:val="none" w:sz="0" w:space="0" w:color="auto"/>
        <w:bottom w:val="none" w:sz="0" w:space="0" w:color="auto"/>
        <w:right w:val="none" w:sz="0" w:space="0" w:color="auto"/>
      </w:divBdr>
      <w:divsChild>
        <w:div w:id="921983999">
          <w:marLeft w:val="0"/>
          <w:marRight w:val="0"/>
          <w:marTop w:val="0"/>
          <w:marBottom w:val="0"/>
          <w:divBdr>
            <w:top w:val="none" w:sz="0" w:space="0" w:color="auto"/>
            <w:left w:val="none" w:sz="0" w:space="0" w:color="auto"/>
            <w:bottom w:val="none" w:sz="0" w:space="0" w:color="auto"/>
            <w:right w:val="none" w:sz="0" w:space="0" w:color="auto"/>
          </w:divBdr>
          <w:divsChild>
            <w:div w:id="1008171278">
              <w:marLeft w:val="0"/>
              <w:marRight w:val="0"/>
              <w:marTop w:val="0"/>
              <w:marBottom w:val="0"/>
              <w:divBdr>
                <w:top w:val="none" w:sz="0" w:space="0" w:color="auto"/>
                <w:left w:val="none" w:sz="0" w:space="0" w:color="auto"/>
                <w:bottom w:val="none" w:sz="0" w:space="0" w:color="auto"/>
                <w:right w:val="none" w:sz="0" w:space="0" w:color="auto"/>
              </w:divBdr>
            </w:div>
          </w:divsChild>
        </w:div>
        <w:div w:id="566840062">
          <w:marLeft w:val="0"/>
          <w:marRight w:val="0"/>
          <w:marTop w:val="0"/>
          <w:marBottom w:val="0"/>
          <w:divBdr>
            <w:top w:val="none" w:sz="0" w:space="0" w:color="auto"/>
            <w:left w:val="none" w:sz="0" w:space="0" w:color="auto"/>
            <w:bottom w:val="none" w:sz="0" w:space="0" w:color="auto"/>
            <w:right w:val="none" w:sz="0" w:space="0" w:color="auto"/>
          </w:divBdr>
          <w:divsChild>
            <w:div w:id="1666785567">
              <w:marLeft w:val="0"/>
              <w:marRight w:val="0"/>
              <w:marTop w:val="0"/>
              <w:marBottom w:val="0"/>
              <w:divBdr>
                <w:top w:val="none" w:sz="0" w:space="0" w:color="auto"/>
                <w:left w:val="none" w:sz="0" w:space="0" w:color="auto"/>
                <w:bottom w:val="none" w:sz="0" w:space="0" w:color="auto"/>
                <w:right w:val="none" w:sz="0" w:space="0" w:color="auto"/>
              </w:divBdr>
            </w:div>
          </w:divsChild>
        </w:div>
        <w:div w:id="1583028805">
          <w:marLeft w:val="0"/>
          <w:marRight w:val="0"/>
          <w:marTop w:val="0"/>
          <w:marBottom w:val="0"/>
          <w:divBdr>
            <w:top w:val="none" w:sz="0" w:space="0" w:color="auto"/>
            <w:left w:val="none" w:sz="0" w:space="0" w:color="auto"/>
            <w:bottom w:val="none" w:sz="0" w:space="0" w:color="auto"/>
            <w:right w:val="none" w:sz="0" w:space="0" w:color="auto"/>
          </w:divBdr>
          <w:divsChild>
            <w:div w:id="339771120">
              <w:marLeft w:val="0"/>
              <w:marRight w:val="0"/>
              <w:marTop w:val="0"/>
              <w:marBottom w:val="0"/>
              <w:divBdr>
                <w:top w:val="none" w:sz="0" w:space="0" w:color="auto"/>
                <w:left w:val="none" w:sz="0" w:space="0" w:color="auto"/>
                <w:bottom w:val="none" w:sz="0" w:space="0" w:color="auto"/>
                <w:right w:val="none" w:sz="0" w:space="0" w:color="auto"/>
              </w:divBdr>
            </w:div>
          </w:divsChild>
        </w:div>
        <w:div w:id="486943693">
          <w:marLeft w:val="0"/>
          <w:marRight w:val="0"/>
          <w:marTop w:val="0"/>
          <w:marBottom w:val="0"/>
          <w:divBdr>
            <w:top w:val="none" w:sz="0" w:space="0" w:color="auto"/>
            <w:left w:val="none" w:sz="0" w:space="0" w:color="auto"/>
            <w:bottom w:val="none" w:sz="0" w:space="0" w:color="auto"/>
            <w:right w:val="none" w:sz="0" w:space="0" w:color="auto"/>
          </w:divBdr>
          <w:divsChild>
            <w:div w:id="1771316514">
              <w:marLeft w:val="0"/>
              <w:marRight w:val="0"/>
              <w:marTop w:val="0"/>
              <w:marBottom w:val="0"/>
              <w:divBdr>
                <w:top w:val="none" w:sz="0" w:space="0" w:color="auto"/>
                <w:left w:val="none" w:sz="0" w:space="0" w:color="auto"/>
                <w:bottom w:val="none" w:sz="0" w:space="0" w:color="auto"/>
                <w:right w:val="none" w:sz="0" w:space="0" w:color="auto"/>
              </w:divBdr>
            </w:div>
          </w:divsChild>
        </w:div>
        <w:div w:id="1736275351">
          <w:marLeft w:val="0"/>
          <w:marRight w:val="0"/>
          <w:marTop w:val="0"/>
          <w:marBottom w:val="0"/>
          <w:divBdr>
            <w:top w:val="none" w:sz="0" w:space="0" w:color="auto"/>
            <w:left w:val="none" w:sz="0" w:space="0" w:color="auto"/>
            <w:bottom w:val="none" w:sz="0" w:space="0" w:color="auto"/>
            <w:right w:val="none" w:sz="0" w:space="0" w:color="auto"/>
          </w:divBdr>
          <w:divsChild>
            <w:div w:id="1845853058">
              <w:marLeft w:val="0"/>
              <w:marRight w:val="0"/>
              <w:marTop w:val="0"/>
              <w:marBottom w:val="0"/>
              <w:divBdr>
                <w:top w:val="none" w:sz="0" w:space="0" w:color="auto"/>
                <w:left w:val="none" w:sz="0" w:space="0" w:color="auto"/>
                <w:bottom w:val="none" w:sz="0" w:space="0" w:color="auto"/>
                <w:right w:val="none" w:sz="0" w:space="0" w:color="auto"/>
              </w:divBdr>
            </w:div>
          </w:divsChild>
        </w:div>
        <w:div w:id="1365134429">
          <w:marLeft w:val="0"/>
          <w:marRight w:val="0"/>
          <w:marTop w:val="0"/>
          <w:marBottom w:val="0"/>
          <w:divBdr>
            <w:top w:val="none" w:sz="0" w:space="0" w:color="auto"/>
            <w:left w:val="none" w:sz="0" w:space="0" w:color="auto"/>
            <w:bottom w:val="none" w:sz="0" w:space="0" w:color="auto"/>
            <w:right w:val="none" w:sz="0" w:space="0" w:color="auto"/>
          </w:divBdr>
          <w:divsChild>
            <w:div w:id="1504974318">
              <w:marLeft w:val="0"/>
              <w:marRight w:val="0"/>
              <w:marTop w:val="0"/>
              <w:marBottom w:val="0"/>
              <w:divBdr>
                <w:top w:val="none" w:sz="0" w:space="0" w:color="auto"/>
                <w:left w:val="none" w:sz="0" w:space="0" w:color="auto"/>
                <w:bottom w:val="none" w:sz="0" w:space="0" w:color="auto"/>
                <w:right w:val="none" w:sz="0" w:space="0" w:color="auto"/>
              </w:divBdr>
            </w:div>
          </w:divsChild>
        </w:div>
        <w:div w:id="63257210">
          <w:marLeft w:val="0"/>
          <w:marRight w:val="0"/>
          <w:marTop w:val="0"/>
          <w:marBottom w:val="0"/>
          <w:divBdr>
            <w:top w:val="none" w:sz="0" w:space="0" w:color="auto"/>
            <w:left w:val="none" w:sz="0" w:space="0" w:color="auto"/>
            <w:bottom w:val="none" w:sz="0" w:space="0" w:color="auto"/>
            <w:right w:val="none" w:sz="0" w:space="0" w:color="auto"/>
          </w:divBdr>
          <w:divsChild>
            <w:div w:id="634526515">
              <w:marLeft w:val="0"/>
              <w:marRight w:val="0"/>
              <w:marTop w:val="0"/>
              <w:marBottom w:val="0"/>
              <w:divBdr>
                <w:top w:val="none" w:sz="0" w:space="0" w:color="auto"/>
                <w:left w:val="none" w:sz="0" w:space="0" w:color="auto"/>
                <w:bottom w:val="none" w:sz="0" w:space="0" w:color="auto"/>
                <w:right w:val="none" w:sz="0" w:space="0" w:color="auto"/>
              </w:divBdr>
            </w:div>
          </w:divsChild>
        </w:div>
        <w:div w:id="2037074782">
          <w:marLeft w:val="0"/>
          <w:marRight w:val="0"/>
          <w:marTop w:val="0"/>
          <w:marBottom w:val="0"/>
          <w:divBdr>
            <w:top w:val="none" w:sz="0" w:space="0" w:color="auto"/>
            <w:left w:val="none" w:sz="0" w:space="0" w:color="auto"/>
            <w:bottom w:val="none" w:sz="0" w:space="0" w:color="auto"/>
            <w:right w:val="none" w:sz="0" w:space="0" w:color="auto"/>
          </w:divBdr>
          <w:divsChild>
            <w:div w:id="103696325">
              <w:marLeft w:val="0"/>
              <w:marRight w:val="0"/>
              <w:marTop w:val="0"/>
              <w:marBottom w:val="0"/>
              <w:divBdr>
                <w:top w:val="none" w:sz="0" w:space="0" w:color="auto"/>
                <w:left w:val="none" w:sz="0" w:space="0" w:color="auto"/>
                <w:bottom w:val="none" w:sz="0" w:space="0" w:color="auto"/>
                <w:right w:val="none" w:sz="0" w:space="0" w:color="auto"/>
              </w:divBdr>
            </w:div>
          </w:divsChild>
        </w:div>
        <w:div w:id="283125032">
          <w:marLeft w:val="0"/>
          <w:marRight w:val="0"/>
          <w:marTop w:val="0"/>
          <w:marBottom w:val="0"/>
          <w:divBdr>
            <w:top w:val="none" w:sz="0" w:space="0" w:color="auto"/>
            <w:left w:val="none" w:sz="0" w:space="0" w:color="auto"/>
            <w:bottom w:val="none" w:sz="0" w:space="0" w:color="auto"/>
            <w:right w:val="none" w:sz="0" w:space="0" w:color="auto"/>
          </w:divBdr>
          <w:divsChild>
            <w:div w:id="1899591762">
              <w:marLeft w:val="0"/>
              <w:marRight w:val="0"/>
              <w:marTop w:val="0"/>
              <w:marBottom w:val="0"/>
              <w:divBdr>
                <w:top w:val="none" w:sz="0" w:space="0" w:color="auto"/>
                <w:left w:val="none" w:sz="0" w:space="0" w:color="auto"/>
                <w:bottom w:val="none" w:sz="0" w:space="0" w:color="auto"/>
                <w:right w:val="none" w:sz="0" w:space="0" w:color="auto"/>
              </w:divBdr>
            </w:div>
          </w:divsChild>
        </w:div>
        <w:div w:id="761684249">
          <w:marLeft w:val="0"/>
          <w:marRight w:val="0"/>
          <w:marTop w:val="0"/>
          <w:marBottom w:val="0"/>
          <w:divBdr>
            <w:top w:val="none" w:sz="0" w:space="0" w:color="auto"/>
            <w:left w:val="none" w:sz="0" w:space="0" w:color="auto"/>
            <w:bottom w:val="none" w:sz="0" w:space="0" w:color="auto"/>
            <w:right w:val="none" w:sz="0" w:space="0" w:color="auto"/>
          </w:divBdr>
          <w:divsChild>
            <w:div w:id="274487036">
              <w:marLeft w:val="0"/>
              <w:marRight w:val="0"/>
              <w:marTop w:val="0"/>
              <w:marBottom w:val="0"/>
              <w:divBdr>
                <w:top w:val="none" w:sz="0" w:space="0" w:color="auto"/>
                <w:left w:val="none" w:sz="0" w:space="0" w:color="auto"/>
                <w:bottom w:val="none" w:sz="0" w:space="0" w:color="auto"/>
                <w:right w:val="none" w:sz="0" w:space="0" w:color="auto"/>
              </w:divBdr>
            </w:div>
          </w:divsChild>
        </w:div>
        <w:div w:id="1728797344">
          <w:marLeft w:val="0"/>
          <w:marRight w:val="0"/>
          <w:marTop w:val="0"/>
          <w:marBottom w:val="0"/>
          <w:divBdr>
            <w:top w:val="none" w:sz="0" w:space="0" w:color="auto"/>
            <w:left w:val="none" w:sz="0" w:space="0" w:color="auto"/>
            <w:bottom w:val="none" w:sz="0" w:space="0" w:color="auto"/>
            <w:right w:val="none" w:sz="0" w:space="0" w:color="auto"/>
          </w:divBdr>
          <w:divsChild>
            <w:div w:id="621497242">
              <w:marLeft w:val="0"/>
              <w:marRight w:val="0"/>
              <w:marTop w:val="0"/>
              <w:marBottom w:val="0"/>
              <w:divBdr>
                <w:top w:val="none" w:sz="0" w:space="0" w:color="auto"/>
                <w:left w:val="none" w:sz="0" w:space="0" w:color="auto"/>
                <w:bottom w:val="none" w:sz="0" w:space="0" w:color="auto"/>
                <w:right w:val="none" w:sz="0" w:space="0" w:color="auto"/>
              </w:divBdr>
            </w:div>
          </w:divsChild>
        </w:div>
        <w:div w:id="2017075246">
          <w:marLeft w:val="0"/>
          <w:marRight w:val="0"/>
          <w:marTop w:val="0"/>
          <w:marBottom w:val="0"/>
          <w:divBdr>
            <w:top w:val="none" w:sz="0" w:space="0" w:color="auto"/>
            <w:left w:val="none" w:sz="0" w:space="0" w:color="auto"/>
            <w:bottom w:val="none" w:sz="0" w:space="0" w:color="auto"/>
            <w:right w:val="none" w:sz="0" w:space="0" w:color="auto"/>
          </w:divBdr>
          <w:divsChild>
            <w:div w:id="1299606438">
              <w:marLeft w:val="0"/>
              <w:marRight w:val="0"/>
              <w:marTop w:val="0"/>
              <w:marBottom w:val="0"/>
              <w:divBdr>
                <w:top w:val="none" w:sz="0" w:space="0" w:color="auto"/>
                <w:left w:val="none" w:sz="0" w:space="0" w:color="auto"/>
                <w:bottom w:val="none" w:sz="0" w:space="0" w:color="auto"/>
                <w:right w:val="none" w:sz="0" w:space="0" w:color="auto"/>
              </w:divBdr>
            </w:div>
          </w:divsChild>
        </w:div>
        <w:div w:id="1194612007">
          <w:marLeft w:val="0"/>
          <w:marRight w:val="0"/>
          <w:marTop w:val="0"/>
          <w:marBottom w:val="0"/>
          <w:divBdr>
            <w:top w:val="none" w:sz="0" w:space="0" w:color="auto"/>
            <w:left w:val="none" w:sz="0" w:space="0" w:color="auto"/>
            <w:bottom w:val="none" w:sz="0" w:space="0" w:color="auto"/>
            <w:right w:val="none" w:sz="0" w:space="0" w:color="auto"/>
          </w:divBdr>
          <w:divsChild>
            <w:div w:id="596914248">
              <w:marLeft w:val="0"/>
              <w:marRight w:val="0"/>
              <w:marTop w:val="0"/>
              <w:marBottom w:val="0"/>
              <w:divBdr>
                <w:top w:val="none" w:sz="0" w:space="0" w:color="auto"/>
                <w:left w:val="none" w:sz="0" w:space="0" w:color="auto"/>
                <w:bottom w:val="none" w:sz="0" w:space="0" w:color="auto"/>
                <w:right w:val="none" w:sz="0" w:space="0" w:color="auto"/>
              </w:divBdr>
            </w:div>
          </w:divsChild>
        </w:div>
        <w:div w:id="479811284">
          <w:marLeft w:val="0"/>
          <w:marRight w:val="0"/>
          <w:marTop w:val="0"/>
          <w:marBottom w:val="0"/>
          <w:divBdr>
            <w:top w:val="none" w:sz="0" w:space="0" w:color="auto"/>
            <w:left w:val="none" w:sz="0" w:space="0" w:color="auto"/>
            <w:bottom w:val="none" w:sz="0" w:space="0" w:color="auto"/>
            <w:right w:val="none" w:sz="0" w:space="0" w:color="auto"/>
          </w:divBdr>
          <w:divsChild>
            <w:div w:id="1365902083">
              <w:marLeft w:val="0"/>
              <w:marRight w:val="0"/>
              <w:marTop w:val="0"/>
              <w:marBottom w:val="0"/>
              <w:divBdr>
                <w:top w:val="none" w:sz="0" w:space="0" w:color="auto"/>
                <w:left w:val="none" w:sz="0" w:space="0" w:color="auto"/>
                <w:bottom w:val="none" w:sz="0" w:space="0" w:color="auto"/>
                <w:right w:val="none" w:sz="0" w:space="0" w:color="auto"/>
              </w:divBdr>
            </w:div>
          </w:divsChild>
        </w:div>
        <w:div w:id="614674447">
          <w:marLeft w:val="0"/>
          <w:marRight w:val="0"/>
          <w:marTop w:val="0"/>
          <w:marBottom w:val="0"/>
          <w:divBdr>
            <w:top w:val="none" w:sz="0" w:space="0" w:color="auto"/>
            <w:left w:val="none" w:sz="0" w:space="0" w:color="auto"/>
            <w:bottom w:val="none" w:sz="0" w:space="0" w:color="auto"/>
            <w:right w:val="none" w:sz="0" w:space="0" w:color="auto"/>
          </w:divBdr>
          <w:divsChild>
            <w:div w:id="875193842">
              <w:marLeft w:val="0"/>
              <w:marRight w:val="0"/>
              <w:marTop w:val="0"/>
              <w:marBottom w:val="0"/>
              <w:divBdr>
                <w:top w:val="none" w:sz="0" w:space="0" w:color="auto"/>
                <w:left w:val="none" w:sz="0" w:space="0" w:color="auto"/>
                <w:bottom w:val="none" w:sz="0" w:space="0" w:color="auto"/>
                <w:right w:val="none" w:sz="0" w:space="0" w:color="auto"/>
              </w:divBdr>
            </w:div>
          </w:divsChild>
        </w:div>
        <w:div w:id="568224484">
          <w:marLeft w:val="0"/>
          <w:marRight w:val="0"/>
          <w:marTop w:val="0"/>
          <w:marBottom w:val="0"/>
          <w:divBdr>
            <w:top w:val="none" w:sz="0" w:space="0" w:color="auto"/>
            <w:left w:val="none" w:sz="0" w:space="0" w:color="auto"/>
            <w:bottom w:val="none" w:sz="0" w:space="0" w:color="auto"/>
            <w:right w:val="none" w:sz="0" w:space="0" w:color="auto"/>
          </w:divBdr>
          <w:divsChild>
            <w:div w:id="1011907683">
              <w:marLeft w:val="0"/>
              <w:marRight w:val="0"/>
              <w:marTop w:val="0"/>
              <w:marBottom w:val="0"/>
              <w:divBdr>
                <w:top w:val="none" w:sz="0" w:space="0" w:color="auto"/>
                <w:left w:val="none" w:sz="0" w:space="0" w:color="auto"/>
                <w:bottom w:val="none" w:sz="0" w:space="0" w:color="auto"/>
                <w:right w:val="none" w:sz="0" w:space="0" w:color="auto"/>
              </w:divBdr>
            </w:div>
          </w:divsChild>
        </w:div>
        <w:div w:id="20250733">
          <w:marLeft w:val="0"/>
          <w:marRight w:val="0"/>
          <w:marTop w:val="0"/>
          <w:marBottom w:val="0"/>
          <w:divBdr>
            <w:top w:val="none" w:sz="0" w:space="0" w:color="auto"/>
            <w:left w:val="none" w:sz="0" w:space="0" w:color="auto"/>
            <w:bottom w:val="none" w:sz="0" w:space="0" w:color="auto"/>
            <w:right w:val="none" w:sz="0" w:space="0" w:color="auto"/>
          </w:divBdr>
          <w:divsChild>
            <w:div w:id="1405104028">
              <w:marLeft w:val="0"/>
              <w:marRight w:val="0"/>
              <w:marTop w:val="0"/>
              <w:marBottom w:val="0"/>
              <w:divBdr>
                <w:top w:val="none" w:sz="0" w:space="0" w:color="auto"/>
                <w:left w:val="none" w:sz="0" w:space="0" w:color="auto"/>
                <w:bottom w:val="none" w:sz="0" w:space="0" w:color="auto"/>
                <w:right w:val="none" w:sz="0" w:space="0" w:color="auto"/>
              </w:divBdr>
            </w:div>
          </w:divsChild>
        </w:div>
        <w:div w:id="903683775">
          <w:marLeft w:val="0"/>
          <w:marRight w:val="0"/>
          <w:marTop w:val="0"/>
          <w:marBottom w:val="0"/>
          <w:divBdr>
            <w:top w:val="none" w:sz="0" w:space="0" w:color="auto"/>
            <w:left w:val="none" w:sz="0" w:space="0" w:color="auto"/>
            <w:bottom w:val="none" w:sz="0" w:space="0" w:color="auto"/>
            <w:right w:val="none" w:sz="0" w:space="0" w:color="auto"/>
          </w:divBdr>
          <w:divsChild>
            <w:div w:id="1337414797">
              <w:marLeft w:val="0"/>
              <w:marRight w:val="0"/>
              <w:marTop w:val="0"/>
              <w:marBottom w:val="0"/>
              <w:divBdr>
                <w:top w:val="none" w:sz="0" w:space="0" w:color="auto"/>
                <w:left w:val="none" w:sz="0" w:space="0" w:color="auto"/>
                <w:bottom w:val="none" w:sz="0" w:space="0" w:color="auto"/>
                <w:right w:val="none" w:sz="0" w:space="0" w:color="auto"/>
              </w:divBdr>
            </w:div>
          </w:divsChild>
        </w:div>
        <w:div w:id="510492466">
          <w:marLeft w:val="0"/>
          <w:marRight w:val="0"/>
          <w:marTop w:val="0"/>
          <w:marBottom w:val="0"/>
          <w:divBdr>
            <w:top w:val="none" w:sz="0" w:space="0" w:color="auto"/>
            <w:left w:val="none" w:sz="0" w:space="0" w:color="auto"/>
            <w:bottom w:val="none" w:sz="0" w:space="0" w:color="auto"/>
            <w:right w:val="none" w:sz="0" w:space="0" w:color="auto"/>
          </w:divBdr>
          <w:divsChild>
            <w:div w:id="384762704">
              <w:marLeft w:val="0"/>
              <w:marRight w:val="0"/>
              <w:marTop w:val="0"/>
              <w:marBottom w:val="0"/>
              <w:divBdr>
                <w:top w:val="none" w:sz="0" w:space="0" w:color="auto"/>
                <w:left w:val="none" w:sz="0" w:space="0" w:color="auto"/>
                <w:bottom w:val="none" w:sz="0" w:space="0" w:color="auto"/>
                <w:right w:val="none" w:sz="0" w:space="0" w:color="auto"/>
              </w:divBdr>
            </w:div>
          </w:divsChild>
        </w:div>
        <w:div w:id="1676306160">
          <w:marLeft w:val="0"/>
          <w:marRight w:val="0"/>
          <w:marTop w:val="0"/>
          <w:marBottom w:val="0"/>
          <w:divBdr>
            <w:top w:val="none" w:sz="0" w:space="0" w:color="auto"/>
            <w:left w:val="none" w:sz="0" w:space="0" w:color="auto"/>
            <w:bottom w:val="none" w:sz="0" w:space="0" w:color="auto"/>
            <w:right w:val="none" w:sz="0" w:space="0" w:color="auto"/>
          </w:divBdr>
          <w:divsChild>
            <w:div w:id="1486815838">
              <w:marLeft w:val="0"/>
              <w:marRight w:val="0"/>
              <w:marTop w:val="0"/>
              <w:marBottom w:val="0"/>
              <w:divBdr>
                <w:top w:val="none" w:sz="0" w:space="0" w:color="auto"/>
                <w:left w:val="none" w:sz="0" w:space="0" w:color="auto"/>
                <w:bottom w:val="none" w:sz="0" w:space="0" w:color="auto"/>
                <w:right w:val="none" w:sz="0" w:space="0" w:color="auto"/>
              </w:divBdr>
            </w:div>
          </w:divsChild>
        </w:div>
        <w:div w:id="951938174">
          <w:marLeft w:val="0"/>
          <w:marRight w:val="0"/>
          <w:marTop w:val="0"/>
          <w:marBottom w:val="0"/>
          <w:divBdr>
            <w:top w:val="none" w:sz="0" w:space="0" w:color="auto"/>
            <w:left w:val="none" w:sz="0" w:space="0" w:color="auto"/>
            <w:bottom w:val="none" w:sz="0" w:space="0" w:color="auto"/>
            <w:right w:val="none" w:sz="0" w:space="0" w:color="auto"/>
          </w:divBdr>
          <w:divsChild>
            <w:div w:id="647169393">
              <w:marLeft w:val="0"/>
              <w:marRight w:val="0"/>
              <w:marTop w:val="0"/>
              <w:marBottom w:val="0"/>
              <w:divBdr>
                <w:top w:val="none" w:sz="0" w:space="0" w:color="auto"/>
                <w:left w:val="none" w:sz="0" w:space="0" w:color="auto"/>
                <w:bottom w:val="none" w:sz="0" w:space="0" w:color="auto"/>
                <w:right w:val="none" w:sz="0" w:space="0" w:color="auto"/>
              </w:divBdr>
            </w:div>
          </w:divsChild>
        </w:div>
        <w:div w:id="1747410286">
          <w:marLeft w:val="0"/>
          <w:marRight w:val="0"/>
          <w:marTop w:val="0"/>
          <w:marBottom w:val="0"/>
          <w:divBdr>
            <w:top w:val="none" w:sz="0" w:space="0" w:color="auto"/>
            <w:left w:val="none" w:sz="0" w:space="0" w:color="auto"/>
            <w:bottom w:val="none" w:sz="0" w:space="0" w:color="auto"/>
            <w:right w:val="none" w:sz="0" w:space="0" w:color="auto"/>
          </w:divBdr>
          <w:divsChild>
            <w:div w:id="1081293767">
              <w:marLeft w:val="0"/>
              <w:marRight w:val="0"/>
              <w:marTop w:val="0"/>
              <w:marBottom w:val="0"/>
              <w:divBdr>
                <w:top w:val="none" w:sz="0" w:space="0" w:color="auto"/>
                <w:left w:val="none" w:sz="0" w:space="0" w:color="auto"/>
                <w:bottom w:val="none" w:sz="0" w:space="0" w:color="auto"/>
                <w:right w:val="none" w:sz="0" w:space="0" w:color="auto"/>
              </w:divBdr>
            </w:div>
          </w:divsChild>
        </w:div>
        <w:div w:id="343747005">
          <w:marLeft w:val="0"/>
          <w:marRight w:val="0"/>
          <w:marTop w:val="0"/>
          <w:marBottom w:val="0"/>
          <w:divBdr>
            <w:top w:val="none" w:sz="0" w:space="0" w:color="auto"/>
            <w:left w:val="none" w:sz="0" w:space="0" w:color="auto"/>
            <w:bottom w:val="none" w:sz="0" w:space="0" w:color="auto"/>
            <w:right w:val="none" w:sz="0" w:space="0" w:color="auto"/>
          </w:divBdr>
          <w:divsChild>
            <w:div w:id="1620333024">
              <w:marLeft w:val="0"/>
              <w:marRight w:val="0"/>
              <w:marTop w:val="0"/>
              <w:marBottom w:val="0"/>
              <w:divBdr>
                <w:top w:val="none" w:sz="0" w:space="0" w:color="auto"/>
                <w:left w:val="none" w:sz="0" w:space="0" w:color="auto"/>
                <w:bottom w:val="none" w:sz="0" w:space="0" w:color="auto"/>
                <w:right w:val="none" w:sz="0" w:space="0" w:color="auto"/>
              </w:divBdr>
            </w:div>
          </w:divsChild>
        </w:div>
        <w:div w:id="1119107820">
          <w:marLeft w:val="0"/>
          <w:marRight w:val="0"/>
          <w:marTop w:val="0"/>
          <w:marBottom w:val="0"/>
          <w:divBdr>
            <w:top w:val="none" w:sz="0" w:space="0" w:color="auto"/>
            <w:left w:val="none" w:sz="0" w:space="0" w:color="auto"/>
            <w:bottom w:val="none" w:sz="0" w:space="0" w:color="auto"/>
            <w:right w:val="none" w:sz="0" w:space="0" w:color="auto"/>
          </w:divBdr>
          <w:divsChild>
            <w:div w:id="1200123326">
              <w:marLeft w:val="0"/>
              <w:marRight w:val="0"/>
              <w:marTop w:val="0"/>
              <w:marBottom w:val="0"/>
              <w:divBdr>
                <w:top w:val="none" w:sz="0" w:space="0" w:color="auto"/>
                <w:left w:val="none" w:sz="0" w:space="0" w:color="auto"/>
                <w:bottom w:val="none" w:sz="0" w:space="0" w:color="auto"/>
                <w:right w:val="none" w:sz="0" w:space="0" w:color="auto"/>
              </w:divBdr>
            </w:div>
          </w:divsChild>
        </w:div>
        <w:div w:id="1067458287">
          <w:marLeft w:val="0"/>
          <w:marRight w:val="0"/>
          <w:marTop w:val="0"/>
          <w:marBottom w:val="0"/>
          <w:divBdr>
            <w:top w:val="none" w:sz="0" w:space="0" w:color="auto"/>
            <w:left w:val="none" w:sz="0" w:space="0" w:color="auto"/>
            <w:bottom w:val="none" w:sz="0" w:space="0" w:color="auto"/>
            <w:right w:val="none" w:sz="0" w:space="0" w:color="auto"/>
          </w:divBdr>
          <w:divsChild>
            <w:div w:id="439105708">
              <w:marLeft w:val="0"/>
              <w:marRight w:val="0"/>
              <w:marTop w:val="0"/>
              <w:marBottom w:val="0"/>
              <w:divBdr>
                <w:top w:val="none" w:sz="0" w:space="0" w:color="auto"/>
                <w:left w:val="none" w:sz="0" w:space="0" w:color="auto"/>
                <w:bottom w:val="none" w:sz="0" w:space="0" w:color="auto"/>
                <w:right w:val="none" w:sz="0" w:space="0" w:color="auto"/>
              </w:divBdr>
            </w:div>
          </w:divsChild>
        </w:div>
        <w:div w:id="1610045864">
          <w:marLeft w:val="0"/>
          <w:marRight w:val="0"/>
          <w:marTop w:val="0"/>
          <w:marBottom w:val="0"/>
          <w:divBdr>
            <w:top w:val="none" w:sz="0" w:space="0" w:color="auto"/>
            <w:left w:val="none" w:sz="0" w:space="0" w:color="auto"/>
            <w:bottom w:val="none" w:sz="0" w:space="0" w:color="auto"/>
            <w:right w:val="none" w:sz="0" w:space="0" w:color="auto"/>
          </w:divBdr>
          <w:divsChild>
            <w:div w:id="1320427852">
              <w:marLeft w:val="0"/>
              <w:marRight w:val="0"/>
              <w:marTop w:val="0"/>
              <w:marBottom w:val="0"/>
              <w:divBdr>
                <w:top w:val="none" w:sz="0" w:space="0" w:color="auto"/>
                <w:left w:val="none" w:sz="0" w:space="0" w:color="auto"/>
                <w:bottom w:val="none" w:sz="0" w:space="0" w:color="auto"/>
                <w:right w:val="none" w:sz="0" w:space="0" w:color="auto"/>
              </w:divBdr>
            </w:div>
          </w:divsChild>
        </w:div>
        <w:div w:id="532574130">
          <w:marLeft w:val="0"/>
          <w:marRight w:val="0"/>
          <w:marTop w:val="0"/>
          <w:marBottom w:val="0"/>
          <w:divBdr>
            <w:top w:val="none" w:sz="0" w:space="0" w:color="auto"/>
            <w:left w:val="none" w:sz="0" w:space="0" w:color="auto"/>
            <w:bottom w:val="none" w:sz="0" w:space="0" w:color="auto"/>
            <w:right w:val="none" w:sz="0" w:space="0" w:color="auto"/>
          </w:divBdr>
          <w:divsChild>
            <w:div w:id="346834509">
              <w:marLeft w:val="0"/>
              <w:marRight w:val="0"/>
              <w:marTop w:val="0"/>
              <w:marBottom w:val="0"/>
              <w:divBdr>
                <w:top w:val="none" w:sz="0" w:space="0" w:color="auto"/>
                <w:left w:val="none" w:sz="0" w:space="0" w:color="auto"/>
                <w:bottom w:val="none" w:sz="0" w:space="0" w:color="auto"/>
                <w:right w:val="none" w:sz="0" w:space="0" w:color="auto"/>
              </w:divBdr>
            </w:div>
          </w:divsChild>
        </w:div>
        <w:div w:id="882521163">
          <w:marLeft w:val="0"/>
          <w:marRight w:val="0"/>
          <w:marTop w:val="0"/>
          <w:marBottom w:val="0"/>
          <w:divBdr>
            <w:top w:val="none" w:sz="0" w:space="0" w:color="auto"/>
            <w:left w:val="none" w:sz="0" w:space="0" w:color="auto"/>
            <w:bottom w:val="none" w:sz="0" w:space="0" w:color="auto"/>
            <w:right w:val="none" w:sz="0" w:space="0" w:color="auto"/>
          </w:divBdr>
          <w:divsChild>
            <w:div w:id="795294108">
              <w:marLeft w:val="0"/>
              <w:marRight w:val="0"/>
              <w:marTop w:val="0"/>
              <w:marBottom w:val="0"/>
              <w:divBdr>
                <w:top w:val="none" w:sz="0" w:space="0" w:color="auto"/>
                <w:left w:val="none" w:sz="0" w:space="0" w:color="auto"/>
                <w:bottom w:val="none" w:sz="0" w:space="0" w:color="auto"/>
                <w:right w:val="none" w:sz="0" w:space="0" w:color="auto"/>
              </w:divBdr>
            </w:div>
          </w:divsChild>
        </w:div>
        <w:div w:id="257255393">
          <w:marLeft w:val="0"/>
          <w:marRight w:val="0"/>
          <w:marTop w:val="0"/>
          <w:marBottom w:val="0"/>
          <w:divBdr>
            <w:top w:val="none" w:sz="0" w:space="0" w:color="auto"/>
            <w:left w:val="none" w:sz="0" w:space="0" w:color="auto"/>
            <w:bottom w:val="none" w:sz="0" w:space="0" w:color="auto"/>
            <w:right w:val="none" w:sz="0" w:space="0" w:color="auto"/>
          </w:divBdr>
          <w:divsChild>
            <w:div w:id="1221670936">
              <w:marLeft w:val="0"/>
              <w:marRight w:val="0"/>
              <w:marTop w:val="0"/>
              <w:marBottom w:val="0"/>
              <w:divBdr>
                <w:top w:val="none" w:sz="0" w:space="0" w:color="auto"/>
                <w:left w:val="none" w:sz="0" w:space="0" w:color="auto"/>
                <w:bottom w:val="none" w:sz="0" w:space="0" w:color="auto"/>
                <w:right w:val="none" w:sz="0" w:space="0" w:color="auto"/>
              </w:divBdr>
            </w:div>
          </w:divsChild>
        </w:div>
        <w:div w:id="1239823176">
          <w:marLeft w:val="0"/>
          <w:marRight w:val="0"/>
          <w:marTop w:val="0"/>
          <w:marBottom w:val="0"/>
          <w:divBdr>
            <w:top w:val="none" w:sz="0" w:space="0" w:color="auto"/>
            <w:left w:val="none" w:sz="0" w:space="0" w:color="auto"/>
            <w:bottom w:val="none" w:sz="0" w:space="0" w:color="auto"/>
            <w:right w:val="none" w:sz="0" w:space="0" w:color="auto"/>
          </w:divBdr>
          <w:divsChild>
            <w:div w:id="925697693">
              <w:marLeft w:val="0"/>
              <w:marRight w:val="0"/>
              <w:marTop w:val="0"/>
              <w:marBottom w:val="0"/>
              <w:divBdr>
                <w:top w:val="none" w:sz="0" w:space="0" w:color="auto"/>
                <w:left w:val="none" w:sz="0" w:space="0" w:color="auto"/>
                <w:bottom w:val="none" w:sz="0" w:space="0" w:color="auto"/>
                <w:right w:val="none" w:sz="0" w:space="0" w:color="auto"/>
              </w:divBdr>
            </w:div>
          </w:divsChild>
        </w:div>
        <w:div w:id="912469429">
          <w:marLeft w:val="0"/>
          <w:marRight w:val="0"/>
          <w:marTop w:val="0"/>
          <w:marBottom w:val="0"/>
          <w:divBdr>
            <w:top w:val="none" w:sz="0" w:space="0" w:color="auto"/>
            <w:left w:val="none" w:sz="0" w:space="0" w:color="auto"/>
            <w:bottom w:val="none" w:sz="0" w:space="0" w:color="auto"/>
            <w:right w:val="none" w:sz="0" w:space="0" w:color="auto"/>
          </w:divBdr>
          <w:divsChild>
            <w:div w:id="1473864999">
              <w:marLeft w:val="0"/>
              <w:marRight w:val="0"/>
              <w:marTop w:val="0"/>
              <w:marBottom w:val="0"/>
              <w:divBdr>
                <w:top w:val="none" w:sz="0" w:space="0" w:color="auto"/>
                <w:left w:val="none" w:sz="0" w:space="0" w:color="auto"/>
                <w:bottom w:val="none" w:sz="0" w:space="0" w:color="auto"/>
                <w:right w:val="none" w:sz="0" w:space="0" w:color="auto"/>
              </w:divBdr>
            </w:div>
          </w:divsChild>
        </w:div>
        <w:div w:id="2068720805">
          <w:marLeft w:val="0"/>
          <w:marRight w:val="0"/>
          <w:marTop w:val="0"/>
          <w:marBottom w:val="0"/>
          <w:divBdr>
            <w:top w:val="none" w:sz="0" w:space="0" w:color="auto"/>
            <w:left w:val="none" w:sz="0" w:space="0" w:color="auto"/>
            <w:bottom w:val="none" w:sz="0" w:space="0" w:color="auto"/>
            <w:right w:val="none" w:sz="0" w:space="0" w:color="auto"/>
          </w:divBdr>
          <w:divsChild>
            <w:div w:id="494956678">
              <w:marLeft w:val="0"/>
              <w:marRight w:val="0"/>
              <w:marTop w:val="0"/>
              <w:marBottom w:val="0"/>
              <w:divBdr>
                <w:top w:val="none" w:sz="0" w:space="0" w:color="auto"/>
                <w:left w:val="none" w:sz="0" w:space="0" w:color="auto"/>
                <w:bottom w:val="none" w:sz="0" w:space="0" w:color="auto"/>
                <w:right w:val="none" w:sz="0" w:space="0" w:color="auto"/>
              </w:divBdr>
            </w:div>
          </w:divsChild>
        </w:div>
        <w:div w:id="907112240">
          <w:marLeft w:val="0"/>
          <w:marRight w:val="0"/>
          <w:marTop w:val="0"/>
          <w:marBottom w:val="0"/>
          <w:divBdr>
            <w:top w:val="none" w:sz="0" w:space="0" w:color="auto"/>
            <w:left w:val="none" w:sz="0" w:space="0" w:color="auto"/>
            <w:bottom w:val="none" w:sz="0" w:space="0" w:color="auto"/>
            <w:right w:val="none" w:sz="0" w:space="0" w:color="auto"/>
          </w:divBdr>
          <w:divsChild>
            <w:div w:id="1150488732">
              <w:marLeft w:val="0"/>
              <w:marRight w:val="0"/>
              <w:marTop w:val="0"/>
              <w:marBottom w:val="0"/>
              <w:divBdr>
                <w:top w:val="none" w:sz="0" w:space="0" w:color="auto"/>
                <w:left w:val="none" w:sz="0" w:space="0" w:color="auto"/>
                <w:bottom w:val="none" w:sz="0" w:space="0" w:color="auto"/>
                <w:right w:val="none" w:sz="0" w:space="0" w:color="auto"/>
              </w:divBdr>
            </w:div>
          </w:divsChild>
        </w:div>
        <w:div w:id="816341696">
          <w:marLeft w:val="0"/>
          <w:marRight w:val="0"/>
          <w:marTop w:val="0"/>
          <w:marBottom w:val="0"/>
          <w:divBdr>
            <w:top w:val="none" w:sz="0" w:space="0" w:color="auto"/>
            <w:left w:val="none" w:sz="0" w:space="0" w:color="auto"/>
            <w:bottom w:val="none" w:sz="0" w:space="0" w:color="auto"/>
            <w:right w:val="none" w:sz="0" w:space="0" w:color="auto"/>
          </w:divBdr>
          <w:divsChild>
            <w:div w:id="459424050">
              <w:marLeft w:val="0"/>
              <w:marRight w:val="0"/>
              <w:marTop w:val="0"/>
              <w:marBottom w:val="0"/>
              <w:divBdr>
                <w:top w:val="none" w:sz="0" w:space="0" w:color="auto"/>
                <w:left w:val="none" w:sz="0" w:space="0" w:color="auto"/>
                <w:bottom w:val="none" w:sz="0" w:space="0" w:color="auto"/>
                <w:right w:val="none" w:sz="0" w:space="0" w:color="auto"/>
              </w:divBdr>
            </w:div>
          </w:divsChild>
        </w:div>
        <w:div w:id="1214734037">
          <w:marLeft w:val="0"/>
          <w:marRight w:val="0"/>
          <w:marTop w:val="0"/>
          <w:marBottom w:val="0"/>
          <w:divBdr>
            <w:top w:val="none" w:sz="0" w:space="0" w:color="auto"/>
            <w:left w:val="none" w:sz="0" w:space="0" w:color="auto"/>
            <w:bottom w:val="none" w:sz="0" w:space="0" w:color="auto"/>
            <w:right w:val="none" w:sz="0" w:space="0" w:color="auto"/>
          </w:divBdr>
          <w:divsChild>
            <w:div w:id="2001998301">
              <w:marLeft w:val="0"/>
              <w:marRight w:val="0"/>
              <w:marTop w:val="0"/>
              <w:marBottom w:val="0"/>
              <w:divBdr>
                <w:top w:val="none" w:sz="0" w:space="0" w:color="auto"/>
                <w:left w:val="none" w:sz="0" w:space="0" w:color="auto"/>
                <w:bottom w:val="none" w:sz="0" w:space="0" w:color="auto"/>
                <w:right w:val="none" w:sz="0" w:space="0" w:color="auto"/>
              </w:divBdr>
            </w:div>
          </w:divsChild>
        </w:div>
        <w:div w:id="879367140">
          <w:marLeft w:val="0"/>
          <w:marRight w:val="0"/>
          <w:marTop w:val="0"/>
          <w:marBottom w:val="0"/>
          <w:divBdr>
            <w:top w:val="none" w:sz="0" w:space="0" w:color="auto"/>
            <w:left w:val="none" w:sz="0" w:space="0" w:color="auto"/>
            <w:bottom w:val="none" w:sz="0" w:space="0" w:color="auto"/>
            <w:right w:val="none" w:sz="0" w:space="0" w:color="auto"/>
          </w:divBdr>
          <w:divsChild>
            <w:div w:id="1015035786">
              <w:marLeft w:val="0"/>
              <w:marRight w:val="0"/>
              <w:marTop w:val="0"/>
              <w:marBottom w:val="0"/>
              <w:divBdr>
                <w:top w:val="none" w:sz="0" w:space="0" w:color="auto"/>
                <w:left w:val="none" w:sz="0" w:space="0" w:color="auto"/>
                <w:bottom w:val="none" w:sz="0" w:space="0" w:color="auto"/>
                <w:right w:val="none" w:sz="0" w:space="0" w:color="auto"/>
              </w:divBdr>
            </w:div>
          </w:divsChild>
        </w:div>
        <w:div w:id="638926226">
          <w:marLeft w:val="0"/>
          <w:marRight w:val="0"/>
          <w:marTop w:val="0"/>
          <w:marBottom w:val="0"/>
          <w:divBdr>
            <w:top w:val="none" w:sz="0" w:space="0" w:color="auto"/>
            <w:left w:val="none" w:sz="0" w:space="0" w:color="auto"/>
            <w:bottom w:val="none" w:sz="0" w:space="0" w:color="auto"/>
            <w:right w:val="none" w:sz="0" w:space="0" w:color="auto"/>
          </w:divBdr>
          <w:divsChild>
            <w:div w:id="232660925">
              <w:marLeft w:val="0"/>
              <w:marRight w:val="0"/>
              <w:marTop w:val="0"/>
              <w:marBottom w:val="0"/>
              <w:divBdr>
                <w:top w:val="none" w:sz="0" w:space="0" w:color="auto"/>
                <w:left w:val="none" w:sz="0" w:space="0" w:color="auto"/>
                <w:bottom w:val="none" w:sz="0" w:space="0" w:color="auto"/>
                <w:right w:val="none" w:sz="0" w:space="0" w:color="auto"/>
              </w:divBdr>
            </w:div>
          </w:divsChild>
        </w:div>
        <w:div w:id="1252810650">
          <w:marLeft w:val="0"/>
          <w:marRight w:val="0"/>
          <w:marTop w:val="0"/>
          <w:marBottom w:val="0"/>
          <w:divBdr>
            <w:top w:val="none" w:sz="0" w:space="0" w:color="auto"/>
            <w:left w:val="none" w:sz="0" w:space="0" w:color="auto"/>
            <w:bottom w:val="none" w:sz="0" w:space="0" w:color="auto"/>
            <w:right w:val="none" w:sz="0" w:space="0" w:color="auto"/>
          </w:divBdr>
          <w:divsChild>
            <w:div w:id="903105710">
              <w:marLeft w:val="0"/>
              <w:marRight w:val="0"/>
              <w:marTop w:val="0"/>
              <w:marBottom w:val="0"/>
              <w:divBdr>
                <w:top w:val="none" w:sz="0" w:space="0" w:color="auto"/>
                <w:left w:val="none" w:sz="0" w:space="0" w:color="auto"/>
                <w:bottom w:val="none" w:sz="0" w:space="0" w:color="auto"/>
                <w:right w:val="none" w:sz="0" w:space="0" w:color="auto"/>
              </w:divBdr>
            </w:div>
          </w:divsChild>
        </w:div>
        <w:div w:id="1488786749">
          <w:marLeft w:val="0"/>
          <w:marRight w:val="0"/>
          <w:marTop w:val="0"/>
          <w:marBottom w:val="0"/>
          <w:divBdr>
            <w:top w:val="none" w:sz="0" w:space="0" w:color="auto"/>
            <w:left w:val="none" w:sz="0" w:space="0" w:color="auto"/>
            <w:bottom w:val="none" w:sz="0" w:space="0" w:color="auto"/>
            <w:right w:val="none" w:sz="0" w:space="0" w:color="auto"/>
          </w:divBdr>
          <w:divsChild>
            <w:div w:id="916400567">
              <w:marLeft w:val="0"/>
              <w:marRight w:val="0"/>
              <w:marTop w:val="0"/>
              <w:marBottom w:val="0"/>
              <w:divBdr>
                <w:top w:val="none" w:sz="0" w:space="0" w:color="auto"/>
                <w:left w:val="none" w:sz="0" w:space="0" w:color="auto"/>
                <w:bottom w:val="none" w:sz="0" w:space="0" w:color="auto"/>
                <w:right w:val="none" w:sz="0" w:space="0" w:color="auto"/>
              </w:divBdr>
            </w:div>
          </w:divsChild>
        </w:div>
        <w:div w:id="1471630030">
          <w:marLeft w:val="0"/>
          <w:marRight w:val="0"/>
          <w:marTop w:val="0"/>
          <w:marBottom w:val="0"/>
          <w:divBdr>
            <w:top w:val="none" w:sz="0" w:space="0" w:color="auto"/>
            <w:left w:val="none" w:sz="0" w:space="0" w:color="auto"/>
            <w:bottom w:val="none" w:sz="0" w:space="0" w:color="auto"/>
            <w:right w:val="none" w:sz="0" w:space="0" w:color="auto"/>
          </w:divBdr>
          <w:divsChild>
            <w:div w:id="1352104977">
              <w:marLeft w:val="0"/>
              <w:marRight w:val="0"/>
              <w:marTop w:val="0"/>
              <w:marBottom w:val="0"/>
              <w:divBdr>
                <w:top w:val="none" w:sz="0" w:space="0" w:color="auto"/>
                <w:left w:val="none" w:sz="0" w:space="0" w:color="auto"/>
                <w:bottom w:val="none" w:sz="0" w:space="0" w:color="auto"/>
                <w:right w:val="none" w:sz="0" w:space="0" w:color="auto"/>
              </w:divBdr>
            </w:div>
          </w:divsChild>
        </w:div>
        <w:div w:id="870460652">
          <w:marLeft w:val="0"/>
          <w:marRight w:val="0"/>
          <w:marTop w:val="0"/>
          <w:marBottom w:val="0"/>
          <w:divBdr>
            <w:top w:val="none" w:sz="0" w:space="0" w:color="auto"/>
            <w:left w:val="none" w:sz="0" w:space="0" w:color="auto"/>
            <w:bottom w:val="none" w:sz="0" w:space="0" w:color="auto"/>
            <w:right w:val="none" w:sz="0" w:space="0" w:color="auto"/>
          </w:divBdr>
          <w:divsChild>
            <w:div w:id="1721056081">
              <w:marLeft w:val="0"/>
              <w:marRight w:val="0"/>
              <w:marTop w:val="0"/>
              <w:marBottom w:val="0"/>
              <w:divBdr>
                <w:top w:val="none" w:sz="0" w:space="0" w:color="auto"/>
                <w:left w:val="none" w:sz="0" w:space="0" w:color="auto"/>
                <w:bottom w:val="none" w:sz="0" w:space="0" w:color="auto"/>
                <w:right w:val="none" w:sz="0" w:space="0" w:color="auto"/>
              </w:divBdr>
            </w:div>
          </w:divsChild>
        </w:div>
        <w:div w:id="1106269596">
          <w:marLeft w:val="0"/>
          <w:marRight w:val="0"/>
          <w:marTop w:val="0"/>
          <w:marBottom w:val="0"/>
          <w:divBdr>
            <w:top w:val="none" w:sz="0" w:space="0" w:color="auto"/>
            <w:left w:val="none" w:sz="0" w:space="0" w:color="auto"/>
            <w:bottom w:val="none" w:sz="0" w:space="0" w:color="auto"/>
            <w:right w:val="none" w:sz="0" w:space="0" w:color="auto"/>
          </w:divBdr>
          <w:divsChild>
            <w:div w:id="1857187286">
              <w:marLeft w:val="0"/>
              <w:marRight w:val="0"/>
              <w:marTop w:val="0"/>
              <w:marBottom w:val="0"/>
              <w:divBdr>
                <w:top w:val="none" w:sz="0" w:space="0" w:color="auto"/>
                <w:left w:val="none" w:sz="0" w:space="0" w:color="auto"/>
                <w:bottom w:val="none" w:sz="0" w:space="0" w:color="auto"/>
                <w:right w:val="none" w:sz="0" w:space="0" w:color="auto"/>
              </w:divBdr>
            </w:div>
          </w:divsChild>
        </w:div>
        <w:div w:id="2013219047">
          <w:marLeft w:val="0"/>
          <w:marRight w:val="0"/>
          <w:marTop w:val="0"/>
          <w:marBottom w:val="0"/>
          <w:divBdr>
            <w:top w:val="none" w:sz="0" w:space="0" w:color="auto"/>
            <w:left w:val="none" w:sz="0" w:space="0" w:color="auto"/>
            <w:bottom w:val="none" w:sz="0" w:space="0" w:color="auto"/>
            <w:right w:val="none" w:sz="0" w:space="0" w:color="auto"/>
          </w:divBdr>
          <w:divsChild>
            <w:div w:id="1358777382">
              <w:marLeft w:val="0"/>
              <w:marRight w:val="0"/>
              <w:marTop w:val="0"/>
              <w:marBottom w:val="0"/>
              <w:divBdr>
                <w:top w:val="none" w:sz="0" w:space="0" w:color="auto"/>
                <w:left w:val="none" w:sz="0" w:space="0" w:color="auto"/>
                <w:bottom w:val="none" w:sz="0" w:space="0" w:color="auto"/>
                <w:right w:val="none" w:sz="0" w:space="0" w:color="auto"/>
              </w:divBdr>
            </w:div>
          </w:divsChild>
        </w:div>
        <w:div w:id="1110587667">
          <w:marLeft w:val="0"/>
          <w:marRight w:val="0"/>
          <w:marTop w:val="0"/>
          <w:marBottom w:val="0"/>
          <w:divBdr>
            <w:top w:val="none" w:sz="0" w:space="0" w:color="auto"/>
            <w:left w:val="none" w:sz="0" w:space="0" w:color="auto"/>
            <w:bottom w:val="none" w:sz="0" w:space="0" w:color="auto"/>
            <w:right w:val="none" w:sz="0" w:space="0" w:color="auto"/>
          </w:divBdr>
          <w:divsChild>
            <w:div w:id="1672414734">
              <w:marLeft w:val="0"/>
              <w:marRight w:val="0"/>
              <w:marTop w:val="0"/>
              <w:marBottom w:val="0"/>
              <w:divBdr>
                <w:top w:val="none" w:sz="0" w:space="0" w:color="auto"/>
                <w:left w:val="none" w:sz="0" w:space="0" w:color="auto"/>
                <w:bottom w:val="none" w:sz="0" w:space="0" w:color="auto"/>
                <w:right w:val="none" w:sz="0" w:space="0" w:color="auto"/>
              </w:divBdr>
            </w:div>
          </w:divsChild>
        </w:div>
        <w:div w:id="1807701834">
          <w:marLeft w:val="0"/>
          <w:marRight w:val="0"/>
          <w:marTop w:val="0"/>
          <w:marBottom w:val="0"/>
          <w:divBdr>
            <w:top w:val="none" w:sz="0" w:space="0" w:color="auto"/>
            <w:left w:val="none" w:sz="0" w:space="0" w:color="auto"/>
            <w:bottom w:val="none" w:sz="0" w:space="0" w:color="auto"/>
            <w:right w:val="none" w:sz="0" w:space="0" w:color="auto"/>
          </w:divBdr>
          <w:divsChild>
            <w:div w:id="605501647">
              <w:marLeft w:val="0"/>
              <w:marRight w:val="0"/>
              <w:marTop w:val="0"/>
              <w:marBottom w:val="0"/>
              <w:divBdr>
                <w:top w:val="none" w:sz="0" w:space="0" w:color="auto"/>
                <w:left w:val="none" w:sz="0" w:space="0" w:color="auto"/>
                <w:bottom w:val="none" w:sz="0" w:space="0" w:color="auto"/>
                <w:right w:val="none" w:sz="0" w:space="0" w:color="auto"/>
              </w:divBdr>
            </w:div>
          </w:divsChild>
        </w:div>
        <w:div w:id="1885483526">
          <w:marLeft w:val="0"/>
          <w:marRight w:val="0"/>
          <w:marTop w:val="0"/>
          <w:marBottom w:val="0"/>
          <w:divBdr>
            <w:top w:val="none" w:sz="0" w:space="0" w:color="auto"/>
            <w:left w:val="none" w:sz="0" w:space="0" w:color="auto"/>
            <w:bottom w:val="none" w:sz="0" w:space="0" w:color="auto"/>
            <w:right w:val="none" w:sz="0" w:space="0" w:color="auto"/>
          </w:divBdr>
          <w:divsChild>
            <w:div w:id="1124082426">
              <w:marLeft w:val="0"/>
              <w:marRight w:val="0"/>
              <w:marTop w:val="0"/>
              <w:marBottom w:val="0"/>
              <w:divBdr>
                <w:top w:val="none" w:sz="0" w:space="0" w:color="auto"/>
                <w:left w:val="none" w:sz="0" w:space="0" w:color="auto"/>
                <w:bottom w:val="none" w:sz="0" w:space="0" w:color="auto"/>
                <w:right w:val="none" w:sz="0" w:space="0" w:color="auto"/>
              </w:divBdr>
            </w:div>
          </w:divsChild>
        </w:div>
        <w:div w:id="1444610875">
          <w:marLeft w:val="0"/>
          <w:marRight w:val="0"/>
          <w:marTop w:val="0"/>
          <w:marBottom w:val="0"/>
          <w:divBdr>
            <w:top w:val="none" w:sz="0" w:space="0" w:color="auto"/>
            <w:left w:val="none" w:sz="0" w:space="0" w:color="auto"/>
            <w:bottom w:val="none" w:sz="0" w:space="0" w:color="auto"/>
            <w:right w:val="none" w:sz="0" w:space="0" w:color="auto"/>
          </w:divBdr>
          <w:divsChild>
            <w:div w:id="626858318">
              <w:marLeft w:val="0"/>
              <w:marRight w:val="0"/>
              <w:marTop w:val="0"/>
              <w:marBottom w:val="0"/>
              <w:divBdr>
                <w:top w:val="none" w:sz="0" w:space="0" w:color="auto"/>
                <w:left w:val="none" w:sz="0" w:space="0" w:color="auto"/>
                <w:bottom w:val="none" w:sz="0" w:space="0" w:color="auto"/>
                <w:right w:val="none" w:sz="0" w:space="0" w:color="auto"/>
              </w:divBdr>
            </w:div>
          </w:divsChild>
        </w:div>
        <w:div w:id="1360736441">
          <w:marLeft w:val="0"/>
          <w:marRight w:val="0"/>
          <w:marTop w:val="0"/>
          <w:marBottom w:val="0"/>
          <w:divBdr>
            <w:top w:val="none" w:sz="0" w:space="0" w:color="auto"/>
            <w:left w:val="none" w:sz="0" w:space="0" w:color="auto"/>
            <w:bottom w:val="none" w:sz="0" w:space="0" w:color="auto"/>
            <w:right w:val="none" w:sz="0" w:space="0" w:color="auto"/>
          </w:divBdr>
          <w:divsChild>
            <w:div w:id="40790923">
              <w:marLeft w:val="0"/>
              <w:marRight w:val="0"/>
              <w:marTop w:val="0"/>
              <w:marBottom w:val="0"/>
              <w:divBdr>
                <w:top w:val="none" w:sz="0" w:space="0" w:color="auto"/>
                <w:left w:val="none" w:sz="0" w:space="0" w:color="auto"/>
                <w:bottom w:val="none" w:sz="0" w:space="0" w:color="auto"/>
                <w:right w:val="none" w:sz="0" w:space="0" w:color="auto"/>
              </w:divBdr>
            </w:div>
          </w:divsChild>
        </w:div>
        <w:div w:id="521625332">
          <w:marLeft w:val="0"/>
          <w:marRight w:val="0"/>
          <w:marTop w:val="0"/>
          <w:marBottom w:val="0"/>
          <w:divBdr>
            <w:top w:val="none" w:sz="0" w:space="0" w:color="auto"/>
            <w:left w:val="none" w:sz="0" w:space="0" w:color="auto"/>
            <w:bottom w:val="none" w:sz="0" w:space="0" w:color="auto"/>
            <w:right w:val="none" w:sz="0" w:space="0" w:color="auto"/>
          </w:divBdr>
          <w:divsChild>
            <w:div w:id="812598621">
              <w:marLeft w:val="0"/>
              <w:marRight w:val="0"/>
              <w:marTop w:val="0"/>
              <w:marBottom w:val="0"/>
              <w:divBdr>
                <w:top w:val="none" w:sz="0" w:space="0" w:color="auto"/>
                <w:left w:val="none" w:sz="0" w:space="0" w:color="auto"/>
                <w:bottom w:val="none" w:sz="0" w:space="0" w:color="auto"/>
                <w:right w:val="none" w:sz="0" w:space="0" w:color="auto"/>
              </w:divBdr>
            </w:div>
          </w:divsChild>
        </w:div>
        <w:div w:id="256906315">
          <w:marLeft w:val="0"/>
          <w:marRight w:val="0"/>
          <w:marTop w:val="0"/>
          <w:marBottom w:val="0"/>
          <w:divBdr>
            <w:top w:val="none" w:sz="0" w:space="0" w:color="auto"/>
            <w:left w:val="none" w:sz="0" w:space="0" w:color="auto"/>
            <w:bottom w:val="none" w:sz="0" w:space="0" w:color="auto"/>
            <w:right w:val="none" w:sz="0" w:space="0" w:color="auto"/>
          </w:divBdr>
          <w:divsChild>
            <w:div w:id="1421559383">
              <w:marLeft w:val="0"/>
              <w:marRight w:val="0"/>
              <w:marTop w:val="0"/>
              <w:marBottom w:val="0"/>
              <w:divBdr>
                <w:top w:val="none" w:sz="0" w:space="0" w:color="auto"/>
                <w:left w:val="none" w:sz="0" w:space="0" w:color="auto"/>
                <w:bottom w:val="none" w:sz="0" w:space="0" w:color="auto"/>
                <w:right w:val="none" w:sz="0" w:space="0" w:color="auto"/>
              </w:divBdr>
            </w:div>
          </w:divsChild>
        </w:div>
        <w:div w:id="1305428961">
          <w:marLeft w:val="0"/>
          <w:marRight w:val="0"/>
          <w:marTop w:val="0"/>
          <w:marBottom w:val="0"/>
          <w:divBdr>
            <w:top w:val="none" w:sz="0" w:space="0" w:color="auto"/>
            <w:left w:val="none" w:sz="0" w:space="0" w:color="auto"/>
            <w:bottom w:val="none" w:sz="0" w:space="0" w:color="auto"/>
            <w:right w:val="none" w:sz="0" w:space="0" w:color="auto"/>
          </w:divBdr>
          <w:divsChild>
            <w:div w:id="491993524">
              <w:marLeft w:val="0"/>
              <w:marRight w:val="0"/>
              <w:marTop w:val="0"/>
              <w:marBottom w:val="0"/>
              <w:divBdr>
                <w:top w:val="none" w:sz="0" w:space="0" w:color="auto"/>
                <w:left w:val="none" w:sz="0" w:space="0" w:color="auto"/>
                <w:bottom w:val="none" w:sz="0" w:space="0" w:color="auto"/>
                <w:right w:val="none" w:sz="0" w:space="0" w:color="auto"/>
              </w:divBdr>
            </w:div>
          </w:divsChild>
        </w:div>
        <w:div w:id="17050848">
          <w:marLeft w:val="0"/>
          <w:marRight w:val="0"/>
          <w:marTop w:val="0"/>
          <w:marBottom w:val="0"/>
          <w:divBdr>
            <w:top w:val="none" w:sz="0" w:space="0" w:color="auto"/>
            <w:left w:val="none" w:sz="0" w:space="0" w:color="auto"/>
            <w:bottom w:val="none" w:sz="0" w:space="0" w:color="auto"/>
            <w:right w:val="none" w:sz="0" w:space="0" w:color="auto"/>
          </w:divBdr>
          <w:divsChild>
            <w:div w:id="6413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1206716915">
      <w:bodyDiv w:val="1"/>
      <w:marLeft w:val="0"/>
      <w:marRight w:val="0"/>
      <w:marTop w:val="0"/>
      <w:marBottom w:val="0"/>
      <w:divBdr>
        <w:top w:val="none" w:sz="0" w:space="0" w:color="auto"/>
        <w:left w:val="none" w:sz="0" w:space="0" w:color="auto"/>
        <w:bottom w:val="none" w:sz="0" w:space="0" w:color="auto"/>
        <w:right w:val="none" w:sz="0" w:space="0" w:color="auto"/>
      </w:divBdr>
      <w:divsChild>
        <w:div w:id="306788667">
          <w:marLeft w:val="0"/>
          <w:marRight w:val="0"/>
          <w:marTop w:val="0"/>
          <w:marBottom w:val="0"/>
          <w:divBdr>
            <w:top w:val="none" w:sz="0" w:space="0" w:color="auto"/>
            <w:left w:val="none" w:sz="0" w:space="0" w:color="auto"/>
            <w:bottom w:val="none" w:sz="0" w:space="0" w:color="auto"/>
            <w:right w:val="none" w:sz="0" w:space="0" w:color="auto"/>
          </w:divBdr>
          <w:divsChild>
            <w:div w:id="938297586">
              <w:marLeft w:val="0"/>
              <w:marRight w:val="0"/>
              <w:marTop w:val="0"/>
              <w:marBottom w:val="0"/>
              <w:divBdr>
                <w:top w:val="none" w:sz="0" w:space="0" w:color="auto"/>
                <w:left w:val="none" w:sz="0" w:space="0" w:color="auto"/>
                <w:bottom w:val="none" w:sz="0" w:space="0" w:color="auto"/>
                <w:right w:val="none" w:sz="0" w:space="0" w:color="auto"/>
              </w:divBdr>
            </w:div>
          </w:divsChild>
        </w:div>
        <w:div w:id="2029789124">
          <w:marLeft w:val="0"/>
          <w:marRight w:val="0"/>
          <w:marTop w:val="0"/>
          <w:marBottom w:val="0"/>
          <w:divBdr>
            <w:top w:val="none" w:sz="0" w:space="0" w:color="auto"/>
            <w:left w:val="none" w:sz="0" w:space="0" w:color="auto"/>
            <w:bottom w:val="none" w:sz="0" w:space="0" w:color="auto"/>
            <w:right w:val="none" w:sz="0" w:space="0" w:color="auto"/>
          </w:divBdr>
          <w:divsChild>
            <w:div w:id="629633252">
              <w:marLeft w:val="0"/>
              <w:marRight w:val="0"/>
              <w:marTop w:val="0"/>
              <w:marBottom w:val="0"/>
              <w:divBdr>
                <w:top w:val="none" w:sz="0" w:space="0" w:color="auto"/>
                <w:left w:val="none" w:sz="0" w:space="0" w:color="auto"/>
                <w:bottom w:val="none" w:sz="0" w:space="0" w:color="auto"/>
                <w:right w:val="none" w:sz="0" w:space="0" w:color="auto"/>
              </w:divBdr>
            </w:div>
          </w:divsChild>
        </w:div>
        <w:div w:id="1144128719">
          <w:marLeft w:val="0"/>
          <w:marRight w:val="0"/>
          <w:marTop w:val="0"/>
          <w:marBottom w:val="0"/>
          <w:divBdr>
            <w:top w:val="none" w:sz="0" w:space="0" w:color="auto"/>
            <w:left w:val="none" w:sz="0" w:space="0" w:color="auto"/>
            <w:bottom w:val="none" w:sz="0" w:space="0" w:color="auto"/>
            <w:right w:val="none" w:sz="0" w:space="0" w:color="auto"/>
          </w:divBdr>
          <w:divsChild>
            <w:div w:id="1007945957">
              <w:marLeft w:val="0"/>
              <w:marRight w:val="0"/>
              <w:marTop w:val="0"/>
              <w:marBottom w:val="0"/>
              <w:divBdr>
                <w:top w:val="none" w:sz="0" w:space="0" w:color="auto"/>
                <w:left w:val="none" w:sz="0" w:space="0" w:color="auto"/>
                <w:bottom w:val="none" w:sz="0" w:space="0" w:color="auto"/>
                <w:right w:val="none" w:sz="0" w:space="0" w:color="auto"/>
              </w:divBdr>
            </w:div>
          </w:divsChild>
        </w:div>
        <w:div w:id="619800219">
          <w:marLeft w:val="0"/>
          <w:marRight w:val="0"/>
          <w:marTop w:val="0"/>
          <w:marBottom w:val="0"/>
          <w:divBdr>
            <w:top w:val="none" w:sz="0" w:space="0" w:color="auto"/>
            <w:left w:val="none" w:sz="0" w:space="0" w:color="auto"/>
            <w:bottom w:val="none" w:sz="0" w:space="0" w:color="auto"/>
            <w:right w:val="none" w:sz="0" w:space="0" w:color="auto"/>
          </w:divBdr>
          <w:divsChild>
            <w:div w:id="2004746581">
              <w:marLeft w:val="0"/>
              <w:marRight w:val="0"/>
              <w:marTop w:val="0"/>
              <w:marBottom w:val="0"/>
              <w:divBdr>
                <w:top w:val="none" w:sz="0" w:space="0" w:color="auto"/>
                <w:left w:val="none" w:sz="0" w:space="0" w:color="auto"/>
                <w:bottom w:val="none" w:sz="0" w:space="0" w:color="auto"/>
                <w:right w:val="none" w:sz="0" w:space="0" w:color="auto"/>
              </w:divBdr>
            </w:div>
          </w:divsChild>
        </w:div>
        <w:div w:id="928851504">
          <w:marLeft w:val="0"/>
          <w:marRight w:val="0"/>
          <w:marTop w:val="0"/>
          <w:marBottom w:val="0"/>
          <w:divBdr>
            <w:top w:val="none" w:sz="0" w:space="0" w:color="auto"/>
            <w:left w:val="none" w:sz="0" w:space="0" w:color="auto"/>
            <w:bottom w:val="none" w:sz="0" w:space="0" w:color="auto"/>
            <w:right w:val="none" w:sz="0" w:space="0" w:color="auto"/>
          </w:divBdr>
          <w:divsChild>
            <w:div w:id="1629434948">
              <w:marLeft w:val="0"/>
              <w:marRight w:val="0"/>
              <w:marTop w:val="0"/>
              <w:marBottom w:val="0"/>
              <w:divBdr>
                <w:top w:val="none" w:sz="0" w:space="0" w:color="auto"/>
                <w:left w:val="none" w:sz="0" w:space="0" w:color="auto"/>
                <w:bottom w:val="none" w:sz="0" w:space="0" w:color="auto"/>
                <w:right w:val="none" w:sz="0" w:space="0" w:color="auto"/>
              </w:divBdr>
            </w:div>
          </w:divsChild>
        </w:div>
        <w:div w:id="1137989326">
          <w:marLeft w:val="0"/>
          <w:marRight w:val="0"/>
          <w:marTop w:val="0"/>
          <w:marBottom w:val="0"/>
          <w:divBdr>
            <w:top w:val="none" w:sz="0" w:space="0" w:color="auto"/>
            <w:left w:val="none" w:sz="0" w:space="0" w:color="auto"/>
            <w:bottom w:val="none" w:sz="0" w:space="0" w:color="auto"/>
            <w:right w:val="none" w:sz="0" w:space="0" w:color="auto"/>
          </w:divBdr>
          <w:divsChild>
            <w:div w:id="391928260">
              <w:marLeft w:val="0"/>
              <w:marRight w:val="0"/>
              <w:marTop w:val="0"/>
              <w:marBottom w:val="0"/>
              <w:divBdr>
                <w:top w:val="none" w:sz="0" w:space="0" w:color="auto"/>
                <w:left w:val="none" w:sz="0" w:space="0" w:color="auto"/>
                <w:bottom w:val="none" w:sz="0" w:space="0" w:color="auto"/>
                <w:right w:val="none" w:sz="0" w:space="0" w:color="auto"/>
              </w:divBdr>
            </w:div>
          </w:divsChild>
        </w:div>
        <w:div w:id="70979097">
          <w:marLeft w:val="0"/>
          <w:marRight w:val="0"/>
          <w:marTop w:val="0"/>
          <w:marBottom w:val="0"/>
          <w:divBdr>
            <w:top w:val="none" w:sz="0" w:space="0" w:color="auto"/>
            <w:left w:val="none" w:sz="0" w:space="0" w:color="auto"/>
            <w:bottom w:val="none" w:sz="0" w:space="0" w:color="auto"/>
            <w:right w:val="none" w:sz="0" w:space="0" w:color="auto"/>
          </w:divBdr>
          <w:divsChild>
            <w:div w:id="1079980102">
              <w:marLeft w:val="0"/>
              <w:marRight w:val="0"/>
              <w:marTop w:val="0"/>
              <w:marBottom w:val="0"/>
              <w:divBdr>
                <w:top w:val="none" w:sz="0" w:space="0" w:color="auto"/>
                <w:left w:val="none" w:sz="0" w:space="0" w:color="auto"/>
                <w:bottom w:val="none" w:sz="0" w:space="0" w:color="auto"/>
                <w:right w:val="none" w:sz="0" w:space="0" w:color="auto"/>
              </w:divBdr>
            </w:div>
          </w:divsChild>
        </w:div>
        <w:div w:id="1895581604">
          <w:marLeft w:val="0"/>
          <w:marRight w:val="0"/>
          <w:marTop w:val="0"/>
          <w:marBottom w:val="0"/>
          <w:divBdr>
            <w:top w:val="none" w:sz="0" w:space="0" w:color="auto"/>
            <w:left w:val="none" w:sz="0" w:space="0" w:color="auto"/>
            <w:bottom w:val="none" w:sz="0" w:space="0" w:color="auto"/>
            <w:right w:val="none" w:sz="0" w:space="0" w:color="auto"/>
          </w:divBdr>
          <w:divsChild>
            <w:div w:id="1696884573">
              <w:marLeft w:val="0"/>
              <w:marRight w:val="0"/>
              <w:marTop w:val="0"/>
              <w:marBottom w:val="0"/>
              <w:divBdr>
                <w:top w:val="none" w:sz="0" w:space="0" w:color="auto"/>
                <w:left w:val="none" w:sz="0" w:space="0" w:color="auto"/>
                <w:bottom w:val="none" w:sz="0" w:space="0" w:color="auto"/>
                <w:right w:val="none" w:sz="0" w:space="0" w:color="auto"/>
              </w:divBdr>
            </w:div>
          </w:divsChild>
        </w:div>
        <w:div w:id="1213688321">
          <w:marLeft w:val="0"/>
          <w:marRight w:val="0"/>
          <w:marTop w:val="0"/>
          <w:marBottom w:val="0"/>
          <w:divBdr>
            <w:top w:val="none" w:sz="0" w:space="0" w:color="auto"/>
            <w:left w:val="none" w:sz="0" w:space="0" w:color="auto"/>
            <w:bottom w:val="none" w:sz="0" w:space="0" w:color="auto"/>
            <w:right w:val="none" w:sz="0" w:space="0" w:color="auto"/>
          </w:divBdr>
          <w:divsChild>
            <w:div w:id="42798680">
              <w:marLeft w:val="0"/>
              <w:marRight w:val="0"/>
              <w:marTop w:val="0"/>
              <w:marBottom w:val="0"/>
              <w:divBdr>
                <w:top w:val="none" w:sz="0" w:space="0" w:color="auto"/>
                <w:left w:val="none" w:sz="0" w:space="0" w:color="auto"/>
                <w:bottom w:val="none" w:sz="0" w:space="0" w:color="auto"/>
                <w:right w:val="none" w:sz="0" w:space="0" w:color="auto"/>
              </w:divBdr>
            </w:div>
          </w:divsChild>
        </w:div>
        <w:div w:id="598028987">
          <w:marLeft w:val="0"/>
          <w:marRight w:val="0"/>
          <w:marTop w:val="0"/>
          <w:marBottom w:val="0"/>
          <w:divBdr>
            <w:top w:val="none" w:sz="0" w:space="0" w:color="auto"/>
            <w:left w:val="none" w:sz="0" w:space="0" w:color="auto"/>
            <w:bottom w:val="none" w:sz="0" w:space="0" w:color="auto"/>
            <w:right w:val="none" w:sz="0" w:space="0" w:color="auto"/>
          </w:divBdr>
          <w:divsChild>
            <w:div w:id="1112169546">
              <w:marLeft w:val="0"/>
              <w:marRight w:val="0"/>
              <w:marTop w:val="0"/>
              <w:marBottom w:val="0"/>
              <w:divBdr>
                <w:top w:val="none" w:sz="0" w:space="0" w:color="auto"/>
                <w:left w:val="none" w:sz="0" w:space="0" w:color="auto"/>
                <w:bottom w:val="none" w:sz="0" w:space="0" w:color="auto"/>
                <w:right w:val="none" w:sz="0" w:space="0" w:color="auto"/>
              </w:divBdr>
            </w:div>
          </w:divsChild>
        </w:div>
        <w:div w:id="195195590">
          <w:marLeft w:val="0"/>
          <w:marRight w:val="0"/>
          <w:marTop w:val="0"/>
          <w:marBottom w:val="0"/>
          <w:divBdr>
            <w:top w:val="none" w:sz="0" w:space="0" w:color="auto"/>
            <w:left w:val="none" w:sz="0" w:space="0" w:color="auto"/>
            <w:bottom w:val="none" w:sz="0" w:space="0" w:color="auto"/>
            <w:right w:val="none" w:sz="0" w:space="0" w:color="auto"/>
          </w:divBdr>
          <w:divsChild>
            <w:div w:id="1154949573">
              <w:marLeft w:val="0"/>
              <w:marRight w:val="0"/>
              <w:marTop w:val="0"/>
              <w:marBottom w:val="0"/>
              <w:divBdr>
                <w:top w:val="none" w:sz="0" w:space="0" w:color="auto"/>
                <w:left w:val="none" w:sz="0" w:space="0" w:color="auto"/>
                <w:bottom w:val="none" w:sz="0" w:space="0" w:color="auto"/>
                <w:right w:val="none" w:sz="0" w:space="0" w:color="auto"/>
              </w:divBdr>
            </w:div>
          </w:divsChild>
        </w:div>
        <w:div w:id="749085548">
          <w:marLeft w:val="0"/>
          <w:marRight w:val="0"/>
          <w:marTop w:val="0"/>
          <w:marBottom w:val="0"/>
          <w:divBdr>
            <w:top w:val="none" w:sz="0" w:space="0" w:color="auto"/>
            <w:left w:val="none" w:sz="0" w:space="0" w:color="auto"/>
            <w:bottom w:val="none" w:sz="0" w:space="0" w:color="auto"/>
            <w:right w:val="none" w:sz="0" w:space="0" w:color="auto"/>
          </w:divBdr>
          <w:divsChild>
            <w:div w:id="928734089">
              <w:marLeft w:val="0"/>
              <w:marRight w:val="0"/>
              <w:marTop w:val="0"/>
              <w:marBottom w:val="0"/>
              <w:divBdr>
                <w:top w:val="none" w:sz="0" w:space="0" w:color="auto"/>
                <w:left w:val="none" w:sz="0" w:space="0" w:color="auto"/>
                <w:bottom w:val="none" w:sz="0" w:space="0" w:color="auto"/>
                <w:right w:val="none" w:sz="0" w:space="0" w:color="auto"/>
              </w:divBdr>
            </w:div>
          </w:divsChild>
        </w:div>
        <w:div w:id="2129272131">
          <w:marLeft w:val="0"/>
          <w:marRight w:val="0"/>
          <w:marTop w:val="0"/>
          <w:marBottom w:val="0"/>
          <w:divBdr>
            <w:top w:val="none" w:sz="0" w:space="0" w:color="auto"/>
            <w:left w:val="none" w:sz="0" w:space="0" w:color="auto"/>
            <w:bottom w:val="none" w:sz="0" w:space="0" w:color="auto"/>
            <w:right w:val="none" w:sz="0" w:space="0" w:color="auto"/>
          </w:divBdr>
          <w:divsChild>
            <w:div w:id="4216571">
              <w:marLeft w:val="0"/>
              <w:marRight w:val="0"/>
              <w:marTop w:val="0"/>
              <w:marBottom w:val="0"/>
              <w:divBdr>
                <w:top w:val="none" w:sz="0" w:space="0" w:color="auto"/>
                <w:left w:val="none" w:sz="0" w:space="0" w:color="auto"/>
                <w:bottom w:val="none" w:sz="0" w:space="0" w:color="auto"/>
                <w:right w:val="none" w:sz="0" w:space="0" w:color="auto"/>
              </w:divBdr>
            </w:div>
          </w:divsChild>
        </w:div>
        <w:div w:id="1027490067">
          <w:marLeft w:val="0"/>
          <w:marRight w:val="0"/>
          <w:marTop w:val="0"/>
          <w:marBottom w:val="0"/>
          <w:divBdr>
            <w:top w:val="none" w:sz="0" w:space="0" w:color="auto"/>
            <w:left w:val="none" w:sz="0" w:space="0" w:color="auto"/>
            <w:bottom w:val="none" w:sz="0" w:space="0" w:color="auto"/>
            <w:right w:val="none" w:sz="0" w:space="0" w:color="auto"/>
          </w:divBdr>
          <w:divsChild>
            <w:div w:id="899748056">
              <w:marLeft w:val="0"/>
              <w:marRight w:val="0"/>
              <w:marTop w:val="0"/>
              <w:marBottom w:val="0"/>
              <w:divBdr>
                <w:top w:val="none" w:sz="0" w:space="0" w:color="auto"/>
                <w:left w:val="none" w:sz="0" w:space="0" w:color="auto"/>
                <w:bottom w:val="none" w:sz="0" w:space="0" w:color="auto"/>
                <w:right w:val="none" w:sz="0" w:space="0" w:color="auto"/>
              </w:divBdr>
            </w:div>
          </w:divsChild>
        </w:div>
        <w:div w:id="1276130901">
          <w:marLeft w:val="0"/>
          <w:marRight w:val="0"/>
          <w:marTop w:val="0"/>
          <w:marBottom w:val="0"/>
          <w:divBdr>
            <w:top w:val="none" w:sz="0" w:space="0" w:color="auto"/>
            <w:left w:val="none" w:sz="0" w:space="0" w:color="auto"/>
            <w:bottom w:val="none" w:sz="0" w:space="0" w:color="auto"/>
            <w:right w:val="none" w:sz="0" w:space="0" w:color="auto"/>
          </w:divBdr>
          <w:divsChild>
            <w:div w:id="377164820">
              <w:marLeft w:val="0"/>
              <w:marRight w:val="0"/>
              <w:marTop w:val="0"/>
              <w:marBottom w:val="0"/>
              <w:divBdr>
                <w:top w:val="none" w:sz="0" w:space="0" w:color="auto"/>
                <w:left w:val="none" w:sz="0" w:space="0" w:color="auto"/>
                <w:bottom w:val="none" w:sz="0" w:space="0" w:color="auto"/>
                <w:right w:val="none" w:sz="0" w:space="0" w:color="auto"/>
              </w:divBdr>
            </w:div>
          </w:divsChild>
        </w:div>
        <w:div w:id="723790924">
          <w:marLeft w:val="0"/>
          <w:marRight w:val="0"/>
          <w:marTop w:val="0"/>
          <w:marBottom w:val="0"/>
          <w:divBdr>
            <w:top w:val="none" w:sz="0" w:space="0" w:color="auto"/>
            <w:left w:val="none" w:sz="0" w:space="0" w:color="auto"/>
            <w:bottom w:val="none" w:sz="0" w:space="0" w:color="auto"/>
            <w:right w:val="none" w:sz="0" w:space="0" w:color="auto"/>
          </w:divBdr>
          <w:divsChild>
            <w:div w:id="1684473407">
              <w:marLeft w:val="0"/>
              <w:marRight w:val="0"/>
              <w:marTop w:val="0"/>
              <w:marBottom w:val="0"/>
              <w:divBdr>
                <w:top w:val="none" w:sz="0" w:space="0" w:color="auto"/>
                <w:left w:val="none" w:sz="0" w:space="0" w:color="auto"/>
                <w:bottom w:val="none" w:sz="0" w:space="0" w:color="auto"/>
                <w:right w:val="none" w:sz="0" w:space="0" w:color="auto"/>
              </w:divBdr>
            </w:div>
          </w:divsChild>
        </w:div>
        <w:div w:id="948128740">
          <w:marLeft w:val="0"/>
          <w:marRight w:val="0"/>
          <w:marTop w:val="0"/>
          <w:marBottom w:val="0"/>
          <w:divBdr>
            <w:top w:val="none" w:sz="0" w:space="0" w:color="auto"/>
            <w:left w:val="none" w:sz="0" w:space="0" w:color="auto"/>
            <w:bottom w:val="none" w:sz="0" w:space="0" w:color="auto"/>
            <w:right w:val="none" w:sz="0" w:space="0" w:color="auto"/>
          </w:divBdr>
          <w:divsChild>
            <w:div w:id="2116172949">
              <w:marLeft w:val="0"/>
              <w:marRight w:val="0"/>
              <w:marTop w:val="0"/>
              <w:marBottom w:val="0"/>
              <w:divBdr>
                <w:top w:val="none" w:sz="0" w:space="0" w:color="auto"/>
                <w:left w:val="none" w:sz="0" w:space="0" w:color="auto"/>
                <w:bottom w:val="none" w:sz="0" w:space="0" w:color="auto"/>
                <w:right w:val="none" w:sz="0" w:space="0" w:color="auto"/>
              </w:divBdr>
            </w:div>
          </w:divsChild>
        </w:div>
        <w:div w:id="1803377560">
          <w:marLeft w:val="0"/>
          <w:marRight w:val="0"/>
          <w:marTop w:val="0"/>
          <w:marBottom w:val="0"/>
          <w:divBdr>
            <w:top w:val="none" w:sz="0" w:space="0" w:color="auto"/>
            <w:left w:val="none" w:sz="0" w:space="0" w:color="auto"/>
            <w:bottom w:val="none" w:sz="0" w:space="0" w:color="auto"/>
            <w:right w:val="none" w:sz="0" w:space="0" w:color="auto"/>
          </w:divBdr>
          <w:divsChild>
            <w:div w:id="392001093">
              <w:marLeft w:val="0"/>
              <w:marRight w:val="0"/>
              <w:marTop w:val="0"/>
              <w:marBottom w:val="0"/>
              <w:divBdr>
                <w:top w:val="none" w:sz="0" w:space="0" w:color="auto"/>
                <w:left w:val="none" w:sz="0" w:space="0" w:color="auto"/>
                <w:bottom w:val="none" w:sz="0" w:space="0" w:color="auto"/>
                <w:right w:val="none" w:sz="0" w:space="0" w:color="auto"/>
              </w:divBdr>
            </w:div>
          </w:divsChild>
        </w:div>
        <w:div w:id="1355958231">
          <w:marLeft w:val="0"/>
          <w:marRight w:val="0"/>
          <w:marTop w:val="0"/>
          <w:marBottom w:val="0"/>
          <w:divBdr>
            <w:top w:val="none" w:sz="0" w:space="0" w:color="auto"/>
            <w:left w:val="none" w:sz="0" w:space="0" w:color="auto"/>
            <w:bottom w:val="none" w:sz="0" w:space="0" w:color="auto"/>
            <w:right w:val="none" w:sz="0" w:space="0" w:color="auto"/>
          </w:divBdr>
          <w:divsChild>
            <w:div w:id="1802724401">
              <w:marLeft w:val="0"/>
              <w:marRight w:val="0"/>
              <w:marTop w:val="0"/>
              <w:marBottom w:val="0"/>
              <w:divBdr>
                <w:top w:val="none" w:sz="0" w:space="0" w:color="auto"/>
                <w:left w:val="none" w:sz="0" w:space="0" w:color="auto"/>
                <w:bottom w:val="none" w:sz="0" w:space="0" w:color="auto"/>
                <w:right w:val="none" w:sz="0" w:space="0" w:color="auto"/>
              </w:divBdr>
            </w:div>
          </w:divsChild>
        </w:div>
        <w:div w:id="580261252">
          <w:marLeft w:val="0"/>
          <w:marRight w:val="0"/>
          <w:marTop w:val="0"/>
          <w:marBottom w:val="0"/>
          <w:divBdr>
            <w:top w:val="none" w:sz="0" w:space="0" w:color="auto"/>
            <w:left w:val="none" w:sz="0" w:space="0" w:color="auto"/>
            <w:bottom w:val="none" w:sz="0" w:space="0" w:color="auto"/>
            <w:right w:val="none" w:sz="0" w:space="0" w:color="auto"/>
          </w:divBdr>
          <w:divsChild>
            <w:div w:id="332608506">
              <w:marLeft w:val="0"/>
              <w:marRight w:val="0"/>
              <w:marTop w:val="0"/>
              <w:marBottom w:val="0"/>
              <w:divBdr>
                <w:top w:val="none" w:sz="0" w:space="0" w:color="auto"/>
                <w:left w:val="none" w:sz="0" w:space="0" w:color="auto"/>
                <w:bottom w:val="none" w:sz="0" w:space="0" w:color="auto"/>
                <w:right w:val="none" w:sz="0" w:space="0" w:color="auto"/>
              </w:divBdr>
            </w:div>
          </w:divsChild>
        </w:div>
        <w:div w:id="2093579557">
          <w:marLeft w:val="0"/>
          <w:marRight w:val="0"/>
          <w:marTop w:val="0"/>
          <w:marBottom w:val="0"/>
          <w:divBdr>
            <w:top w:val="none" w:sz="0" w:space="0" w:color="auto"/>
            <w:left w:val="none" w:sz="0" w:space="0" w:color="auto"/>
            <w:bottom w:val="none" w:sz="0" w:space="0" w:color="auto"/>
            <w:right w:val="none" w:sz="0" w:space="0" w:color="auto"/>
          </w:divBdr>
          <w:divsChild>
            <w:div w:id="1798983589">
              <w:marLeft w:val="0"/>
              <w:marRight w:val="0"/>
              <w:marTop w:val="0"/>
              <w:marBottom w:val="0"/>
              <w:divBdr>
                <w:top w:val="none" w:sz="0" w:space="0" w:color="auto"/>
                <w:left w:val="none" w:sz="0" w:space="0" w:color="auto"/>
                <w:bottom w:val="none" w:sz="0" w:space="0" w:color="auto"/>
                <w:right w:val="none" w:sz="0" w:space="0" w:color="auto"/>
              </w:divBdr>
            </w:div>
          </w:divsChild>
        </w:div>
        <w:div w:id="1773084773">
          <w:marLeft w:val="0"/>
          <w:marRight w:val="0"/>
          <w:marTop w:val="0"/>
          <w:marBottom w:val="0"/>
          <w:divBdr>
            <w:top w:val="none" w:sz="0" w:space="0" w:color="auto"/>
            <w:left w:val="none" w:sz="0" w:space="0" w:color="auto"/>
            <w:bottom w:val="none" w:sz="0" w:space="0" w:color="auto"/>
            <w:right w:val="none" w:sz="0" w:space="0" w:color="auto"/>
          </w:divBdr>
          <w:divsChild>
            <w:div w:id="591669934">
              <w:marLeft w:val="0"/>
              <w:marRight w:val="0"/>
              <w:marTop w:val="0"/>
              <w:marBottom w:val="0"/>
              <w:divBdr>
                <w:top w:val="none" w:sz="0" w:space="0" w:color="auto"/>
                <w:left w:val="none" w:sz="0" w:space="0" w:color="auto"/>
                <w:bottom w:val="none" w:sz="0" w:space="0" w:color="auto"/>
                <w:right w:val="none" w:sz="0" w:space="0" w:color="auto"/>
              </w:divBdr>
            </w:div>
          </w:divsChild>
        </w:div>
        <w:div w:id="2123722514">
          <w:marLeft w:val="0"/>
          <w:marRight w:val="0"/>
          <w:marTop w:val="0"/>
          <w:marBottom w:val="0"/>
          <w:divBdr>
            <w:top w:val="none" w:sz="0" w:space="0" w:color="auto"/>
            <w:left w:val="none" w:sz="0" w:space="0" w:color="auto"/>
            <w:bottom w:val="none" w:sz="0" w:space="0" w:color="auto"/>
            <w:right w:val="none" w:sz="0" w:space="0" w:color="auto"/>
          </w:divBdr>
          <w:divsChild>
            <w:div w:id="1295793183">
              <w:marLeft w:val="0"/>
              <w:marRight w:val="0"/>
              <w:marTop w:val="0"/>
              <w:marBottom w:val="0"/>
              <w:divBdr>
                <w:top w:val="none" w:sz="0" w:space="0" w:color="auto"/>
                <w:left w:val="none" w:sz="0" w:space="0" w:color="auto"/>
                <w:bottom w:val="none" w:sz="0" w:space="0" w:color="auto"/>
                <w:right w:val="none" w:sz="0" w:space="0" w:color="auto"/>
              </w:divBdr>
            </w:div>
          </w:divsChild>
        </w:div>
        <w:div w:id="911817479">
          <w:marLeft w:val="0"/>
          <w:marRight w:val="0"/>
          <w:marTop w:val="0"/>
          <w:marBottom w:val="0"/>
          <w:divBdr>
            <w:top w:val="none" w:sz="0" w:space="0" w:color="auto"/>
            <w:left w:val="none" w:sz="0" w:space="0" w:color="auto"/>
            <w:bottom w:val="none" w:sz="0" w:space="0" w:color="auto"/>
            <w:right w:val="none" w:sz="0" w:space="0" w:color="auto"/>
          </w:divBdr>
          <w:divsChild>
            <w:div w:id="872889109">
              <w:marLeft w:val="0"/>
              <w:marRight w:val="0"/>
              <w:marTop w:val="0"/>
              <w:marBottom w:val="0"/>
              <w:divBdr>
                <w:top w:val="none" w:sz="0" w:space="0" w:color="auto"/>
                <w:left w:val="none" w:sz="0" w:space="0" w:color="auto"/>
                <w:bottom w:val="none" w:sz="0" w:space="0" w:color="auto"/>
                <w:right w:val="none" w:sz="0" w:space="0" w:color="auto"/>
              </w:divBdr>
            </w:div>
          </w:divsChild>
        </w:div>
        <w:div w:id="1372879005">
          <w:marLeft w:val="0"/>
          <w:marRight w:val="0"/>
          <w:marTop w:val="0"/>
          <w:marBottom w:val="0"/>
          <w:divBdr>
            <w:top w:val="none" w:sz="0" w:space="0" w:color="auto"/>
            <w:left w:val="none" w:sz="0" w:space="0" w:color="auto"/>
            <w:bottom w:val="none" w:sz="0" w:space="0" w:color="auto"/>
            <w:right w:val="none" w:sz="0" w:space="0" w:color="auto"/>
          </w:divBdr>
          <w:divsChild>
            <w:div w:id="218328431">
              <w:marLeft w:val="0"/>
              <w:marRight w:val="0"/>
              <w:marTop w:val="0"/>
              <w:marBottom w:val="0"/>
              <w:divBdr>
                <w:top w:val="none" w:sz="0" w:space="0" w:color="auto"/>
                <w:left w:val="none" w:sz="0" w:space="0" w:color="auto"/>
                <w:bottom w:val="none" w:sz="0" w:space="0" w:color="auto"/>
                <w:right w:val="none" w:sz="0" w:space="0" w:color="auto"/>
              </w:divBdr>
            </w:div>
          </w:divsChild>
        </w:div>
        <w:div w:id="678237501">
          <w:marLeft w:val="0"/>
          <w:marRight w:val="0"/>
          <w:marTop w:val="0"/>
          <w:marBottom w:val="0"/>
          <w:divBdr>
            <w:top w:val="none" w:sz="0" w:space="0" w:color="auto"/>
            <w:left w:val="none" w:sz="0" w:space="0" w:color="auto"/>
            <w:bottom w:val="none" w:sz="0" w:space="0" w:color="auto"/>
            <w:right w:val="none" w:sz="0" w:space="0" w:color="auto"/>
          </w:divBdr>
          <w:divsChild>
            <w:div w:id="1352340362">
              <w:marLeft w:val="0"/>
              <w:marRight w:val="0"/>
              <w:marTop w:val="0"/>
              <w:marBottom w:val="0"/>
              <w:divBdr>
                <w:top w:val="none" w:sz="0" w:space="0" w:color="auto"/>
                <w:left w:val="none" w:sz="0" w:space="0" w:color="auto"/>
                <w:bottom w:val="none" w:sz="0" w:space="0" w:color="auto"/>
                <w:right w:val="none" w:sz="0" w:space="0" w:color="auto"/>
              </w:divBdr>
            </w:div>
          </w:divsChild>
        </w:div>
        <w:div w:id="913734621">
          <w:marLeft w:val="0"/>
          <w:marRight w:val="0"/>
          <w:marTop w:val="0"/>
          <w:marBottom w:val="0"/>
          <w:divBdr>
            <w:top w:val="none" w:sz="0" w:space="0" w:color="auto"/>
            <w:left w:val="none" w:sz="0" w:space="0" w:color="auto"/>
            <w:bottom w:val="none" w:sz="0" w:space="0" w:color="auto"/>
            <w:right w:val="none" w:sz="0" w:space="0" w:color="auto"/>
          </w:divBdr>
          <w:divsChild>
            <w:div w:id="1149706020">
              <w:marLeft w:val="0"/>
              <w:marRight w:val="0"/>
              <w:marTop w:val="0"/>
              <w:marBottom w:val="0"/>
              <w:divBdr>
                <w:top w:val="none" w:sz="0" w:space="0" w:color="auto"/>
                <w:left w:val="none" w:sz="0" w:space="0" w:color="auto"/>
                <w:bottom w:val="none" w:sz="0" w:space="0" w:color="auto"/>
                <w:right w:val="none" w:sz="0" w:space="0" w:color="auto"/>
              </w:divBdr>
            </w:div>
          </w:divsChild>
        </w:div>
        <w:div w:id="949048797">
          <w:marLeft w:val="0"/>
          <w:marRight w:val="0"/>
          <w:marTop w:val="0"/>
          <w:marBottom w:val="0"/>
          <w:divBdr>
            <w:top w:val="none" w:sz="0" w:space="0" w:color="auto"/>
            <w:left w:val="none" w:sz="0" w:space="0" w:color="auto"/>
            <w:bottom w:val="none" w:sz="0" w:space="0" w:color="auto"/>
            <w:right w:val="none" w:sz="0" w:space="0" w:color="auto"/>
          </w:divBdr>
          <w:divsChild>
            <w:div w:id="81336720">
              <w:marLeft w:val="0"/>
              <w:marRight w:val="0"/>
              <w:marTop w:val="0"/>
              <w:marBottom w:val="0"/>
              <w:divBdr>
                <w:top w:val="none" w:sz="0" w:space="0" w:color="auto"/>
                <w:left w:val="none" w:sz="0" w:space="0" w:color="auto"/>
                <w:bottom w:val="none" w:sz="0" w:space="0" w:color="auto"/>
                <w:right w:val="none" w:sz="0" w:space="0" w:color="auto"/>
              </w:divBdr>
            </w:div>
          </w:divsChild>
        </w:div>
        <w:div w:id="1690719437">
          <w:marLeft w:val="0"/>
          <w:marRight w:val="0"/>
          <w:marTop w:val="0"/>
          <w:marBottom w:val="0"/>
          <w:divBdr>
            <w:top w:val="none" w:sz="0" w:space="0" w:color="auto"/>
            <w:left w:val="none" w:sz="0" w:space="0" w:color="auto"/>
            <w:bottom w:val="none" w:sz="0" w:space="0" w:color="auto"/>
            <w:right w:val="none" w:sz="0" w:space="0" w:color="auto"/>
          </w:divBdr>
          <w:divsChild>
            <w:div w:id="723674569">
              <w:marLeft w:val="0"/>
              <w:marRight w:val="0"/>
              <w:marTop w:val="0"/>
              <w:marBottom w:val="0"/>
              <w:divBdr>
                <w:top w:val="none" w:sz="0" w:space="0" w:color="auto"/>
                <w:left w:val="none" w:sz="0" w:space="0" w:color="auto"/>
                <w:bottom w:val="none" w:sz="0" w:space="0" w:color="auto"/>
                <w:right w:val="none" w:sz="0" w:space="0" w:color="auto"/>
              </w:divBdr>
            </w:div>
          </w:divsChild>
        </w:div>
        <w:div w:id="940573533">
          <w:marLeft w:val="0"/>
          <w:marRight w:val="0"/>
          <w:marTop w:val="0"/>
          <w:marBottom w:val="0"/>
          <w:divBdr>
            <w:top w:val="none" w:sz="0" w:space="0" w:color="auto"/>
            <w:left w:val="none" w:sz="0" w:space="0" w:color="auto"/>
            <w:bottom w:val="none" w:sz="0" w:space="0" w:color="auto"/>
            <w:right w:val="none" w:sz="0" w:space="0" w:color="auto"/>
          </w:divBdr>
          <w:divsChild>
            <w:div w:id="1430350553">
              <w:marLeft w:val="0"/>
              <w:marRight w:val="0"/>
              <w:marTop w:val="0"/>
              <w:marBottom w:val="0"/>
              <w:divBdr>
                <w:top w:val="none" w:sz="0" w:space="0" w:color="auto"/>
                <w:left w:val="none" w:sz="0" w:space="0" w:color="auto"/>
                <w:bottom w:val="none" w:sz="0" w:space="0" w:color="auto"/>
                <w:right w:val="none" w:sz="0" w:space="0" w:color="auto"/>
              </w:divBdr>
            </w:div>
          </w:divsChild>
        </w:div>
        <w:div w:id="1839928157">
          <w:marLeft w:val="0"/>
          <w:marRight w:val="0"/>
          <w:marTop w:val="0"/>
          <w:marBottom w:val="0"/>
          <w:divBdr>
            <w:top w:val="none" w:sz="0" w:space="0" w:color="auto"/>
            <w:left w:val="none" w:sz="0" w:space="0" w:color="auto"/>
            <w:bottom w:val="none" w:sz="0" w:space="0" w:color="auto"/>
            <w:right w:val="none" w:sz="0" w:space="0" w:color="auto"/>
          </w:divBdr>
          <w:divsChild>
            <w:div w:id="326323805">
              <w:marLeft w:val="0"/>
              <w:marRight w:val="0"/>
              <w:marTop w:val="0"/>
              <w:marBottom w:val="0"/>
              <w:divBdr>
                <w:top w:val="none" w:sz="0" w:space="0" w:color="auto"/>
                <w:left w:val="none" w:sz="0" w:space="0" w:color="auto"/>
                <w:bottom w:val="none" w:sz="0" w:space="0" w:color="auto"/>
                <w:right w:val="none" w:sz="0" w:space="0" w:color="auto"/>
              </w:divBdr>
            </w:div>
          </w:divsChild>
        </w:div>
        <w:div w:id="722484092">
          <w:marLeft w:val="0"/>
          <w:marRight w:val="0"/>
          <w:marTop w:val="0"/>
          <w:marBottom w:val="0"/>
          <w:divBdr>
            <w:top w:val="none" w:sz="0" w:space="0" w:color="auto"/>
            <w:left w:val="none" w:sz="0" w:space="0" w:color="auto"/>
            <w:bottom w:val="none" w:sz="0" w:space="0" w:color="auto"/>
            <w:right w:val="none" w:sz="0" w:space="0" w:color="auto"/>
          </w:divBdr>
          <w:divsChild>
            <w:div w:id="1427339924">
              <w:marLeft w:val="0"/>
              <w:marRight w:val="0"/>
              <w:marTop w:val="0"/>
              <w:marBottom w:val="0"/>
              <w:divBdr>
                <w:top w:val="none" w:sz="0" w:space="0" w:color="auto"/>
                <w:left w:val="none" w:sz="0" w:space="0" w:color="auto"/>
                <w:bottom w:val="none" w:sz="0" w:space="0" w:color="auto"/>
                <w:right w:val="none" w:sz="0" w:space="0" w:color="auto"/>
              </w:divBdr>
            </w:div>
          </w:divsChild>
        </w:div>
        <w:div w:id="501313806">
          <w:marLeft w:val="0"/>
          <w:marRight w:val="0"/>
          <w:marTop w:val="0"/>
          <w:marBottom w:val="0"/>
          <w:divBdr>
            <w:top w:val="none" w:sz="0" w:space="0" w:color="auto"/>
            <w:left w:val="none" w:sz="0" w:space="0" w:color="auto"/>
            <w:bottom w:val="none" w:sz="0" w:space="0" w:color="auto"/>
            <w:right w:val="none" w:sz="0" w:space="0" w:color="auto"/>
          </w:divBdr>
          <w:divsChild>
            <w:div w:id="332494046">
              <w:marLeft w:val="0"/>
              <w:marRight w:val="0"/>
              <w:marTop w:val="0"/>
              <w:marBottom w:val="0"/>
              <w:divBdr>
                <w:top w:val="none" w:sz="0" w:space="0" w:color="auto"/>
                <w:left w:val="none" w:sz="0" w:space="0" w:color="auto"/>
                <w:bottom w:val="none" w:sz="0" w:space="0" w:color="auto"/>
                <w:right w:val="none" w:sz="0" w:space="0" w:color="auto"/>
              </w:divBdr>
            </w:div>
          </w:divsChild>
        </w:div>
        <w:div w:id="1039355858">
          <w:marLeft w:val="0"/>
          <w:marRight w:val="0"/>
          <w:marTop w:val="0"/>
          <w:marBottom w:val="0"/>
          <w:divBdr>
            <w:top w:val="none" w:sz="0" w:space="0" w:color="auto"/>
            <w:left w:val="none" w:sz="0" w:space="0" w:color="auto"/>
            <w:bottom w:val="none" w:sz="0" w:space="0" w:color="auto"/>
            <w:right w:val="none" w:sz="0" w:space="0" w:color="auto"/>
          </w:divBdr>
          <w:divsChild>
            <w:div w:id="1518159845">
              <w:marLeft w:val="0"/>
              <w:marRight w:val="0"/>
              <w:marTop w:val="0"/>
              <w:marBottom w:val="0"/>
              <w:divBdr>
                <w:top w:val="none" w:sz="0" w:space="0" w:color="auto"/>
                <w:left w:val="none" w:sz="0" w:space="0" w:color="auto"/>
                <w:bottom w:val="none" w:sz="0" w:space="0" w:color="auto"/>
                <w:right w:val="none" w:sz="0" w:space="0" w:color="auto"/>
              </w:divBdr>
            </w:div>
          </w:divsChild>
        </w:div>
        <w:div w:id="611520439">
          <w:marLeft w:val="0"/>
          <w:marRight w:val="0"/>
          <w:marTop w:val="0"/>
          <w:marBottom w:val="0"/>
          <w:divBdr>
            <w:top w:val="none" w:sz="0" w:space="0" w:color="auto"/>
            <w:left w:val="none" w:sz="0" w:space="0" w:color="auto"/>
            <w:bottom w:val="none" w:sz="0" w:space="0" w:color="auto"/>
            <w:right w:val="none" w:sz="0" w:space="0" w:color="auto"/>
          </w:divBdr>
          <w:divsChild>
            <w:div w:id="1306859676">
              <w:marLeft w:val="0"/>
              <w:marRight w:val="0"/>
              <w:marTop w:val="0"/>
              <w:marBottom w:val="0"/>
              <w:divBdr>
                <w:top w:val="none" w:sz="0" w:space="0" w:color="auto"/>
                <w:left w:val="none" w:sz="0" w:space="0" w:color="auto"/>
                <w:bottom w:val="none" w:sz="0" w:space="0" w:color="auto"/>
                <w:right w:val="none" w:sz="0" w:space="0" w:color="auto"/>
              </w:divBdr>
            </w:div>
          </w:divsChild>
        </w:div>
        <w:div w:id="1612710500">
          <w:marLeft w:val="0"/>
          <w:marRight w:val="0"/>
          <w:marTop w:val="0"/>
          <w:marBottom w:val="0"/>
          <w:divBdr>
            <w:top w:val="none" w:sz="0" w:space="0" w:color="auto"/>
            <w:left w:val="none" w:sz="0" w:space="0" w:color="auto"/>
            <w:bottom w:val="none" w:sz="0" w:space="0" w:color="auto"/>
            <w:right w:val="none" w:sz="0" w:space="0" w:color="auto"/>
          </w:divBdr>
          <w:divsChild>
            <w:div w:id="1875464464">
              <w:marLeft w:val="0"/>
              <w:marRight w:val="0"/>
              <w:marTop w:val="0"/>
              <w:marBottom w:val="0"/>
              <w:divBdr>
                <w:top w:val="none" w:sz="0" w:space="0" w:color="auto"/>
                <w:left w:val="none" w:sz="0" w:space="0" w:color="auto"/>
                <w:bottom w:val="none" w:sz="0" w:space="0" w:color="auto"/>
                <w:right w:val="none" w:sz="0" w:space="0" w:color="auto"/>
              </w:divBdr>
            </w:div>
          </w:divsChild>
        </w:div>
        <w:div w:id="1843398566">
          <w:marLeft w:val="0"/>
          <w:marRight w:val="0"/>
          <w:marTop w:val="0"/>
          <w:marBottom w:val="0"/>
          <w:divBdr>
            <w:top w:val="none" w:sz="0" w:space="0" w:color="auto"/>
            <w:left w:val="none" w:sz="0" w:space="0" w:color="auto"/>
            <w:bottom w:val="none" w:sz="0" w:space="0" w:color="auto"/>
            <w:right w:val="none" w:sz="0" w:space="0" w:color="auto"/>
          </w:divBdr>
          <w:divsChild>
            <w:div w:id="1205557557">
              <w:marLeft w:val="0"/>
              <w:marRight w:val="0"/>
              <w:marTop w:val="0"/>
              <w:marBottom w:val="0"/>
              <w:divBdr>
                <w:top w:val="none" w:sz="0" w:space="0" w:color="auto"/>
                <w:left w:val="none" w:sz="0" w:space="0" w:color="auto"/>
                <w:bottom w:val="none" w:sz="0" w:space="0" w:color="auto"/>
                <w:right w:val="none" w:sz="0" w:space="0" w:color="auto"/>
              </w:divBdr>
            </w:div>
          </w:divsChild>
        </w:div>
        <w:div w:id="1684436379">
          <w:marLeft w:val="0"/>
          <w:marRight w:val="0"/>
          <w:marTop w:val="0"/>
          <w:marBottom w:val="0"/>
          <w:divBdr>
            <w:top w:val="none" w:sz="0" w:space="0" w:color="auto"/>
            <w:left w:val="none" w:sz="0" w:space="0" w:color="auto"/>
            <w:bottom w:val="none" w:sz="0" w:space="0" w:color="auto"/>
            <w:right w:val="none" w:sz="0" w:space="0" w:color="auto"/>
          </w:divBdr>
          <w:divsChild>
            <w:div w:id="110172421">
              <w:marLeft w:val="0"/>
              <w:marRight w:val="0"/>
              <w:marTop w:val="0"/>
              <w:marBottom w:val="0"/>
              <w:divBdr>
                <w:top w:val="none" w:sz="0" w:space="0" w:color="auto"/>
                <w:left w:val="none" w:sz="0" w:space="0" w:color="auto"/>
                <w:bottom w:val="none" w:sz="0" w:space="0" w:color="auto"/>
                <w:right w:val="none" w:sz="0" w:space="0" w:color="auto"/>
              </w:divBdr>
            </w:div>
          </w:divsChild>
        </w:div>
        <w:div w:id="1545557974">
          <w:marLeft w:val="0"/>
          <w:marRight w:val="0"/>
          <w:marTop w:val="0"/>
          <w:marBottom w:val="0"/>
          <w:divBdr>
            <w:top w:val="none" w:sz="0" w:space="0" w:color="auto"/>
            <w:left w:val="none" w:sz="0" w:space="0" w:color="auto"/>
            <w:bottom w:val="none" w:sz="0" w:space="0" w:color="auto"/>
            <w:right w:val="none" w:sz="0" w:space="0" w:color="auto"/>
          </w:divBdr>
          <w:divsChild>
            <w:div w:id="1685746215">
              <w:marLeft w:val="0"/>
              <w:marRight w:val="0"/>
              <w:marTop w:val="0"/>
              <w:marBottom w:val="0"/>
              <w:divBdr>
                <w:top w:val="none" w:sz="0" w:space="0" w:color="auto"/>
                <w:left w:val="none" w:sz="0" w:space="0" w:color="auto"/>
                <w:bottom w:val="none" w:sz="0" w:space="0" w:color="auto"/>
                <w:right w:val="none" w:sz="0" w:space="0" w:color="auto"/>
              </w:divBdr>
            </w:div>
          </w:divsChild>
        </w:div>
        <w:div w:id="1341350696">
          <w:marLeft w:val="0"/>
          <w:marRight w:val="0"/>
          <w:marTop w:val="0"/>
          <w:marBottom w:val="0"/>
          <w:divBdr>
            <w:top w:val="none" w:sz="0" w:space="0" w:color="auto"/>
            <w:left w:val="none" w:sz="0" w:space="0" w:color="auto"/>
            <w:bottom w:val="none" w:sz="0" w:space="0" w:color="auto"/>
            <w:right w:val="none" w:sz="0" w:space="0" w:color="auto"/>
          </w:divBdr>
          <w:divsChild>
            <w:div w:id="1548302055">
              <w:marLeft w:val="0"/>
              <w:marRight w:val="0"/>
              <w:marTop w:val="0"/>
              <w:marBottom w:val="0"/>
              <w:divBdr>
                <w:top w:val="none" w:sz="0" w:space="0" w:color="auto"/>
                <w:left w:val="none" w:sz="0" w:space="0" w:color="auto"/>
                <w:bottom w:val="none" w:sz="0" w:space="0" w:color="auto"/>
                <w:right w:val="none" w:sz="0" w:space="0" w:color="auto"/>
              </w:divBdr>
            </w:div>
          </w:divsChild>
        </w:div>
        <w:div w:id="1552614384">
          <w:marLeft w:val="0"/>
          <w:marRight w:val="0"/>
          <w:marTop w:val="0"/>
          <w:marBottom w:val="0"/>
          <w:divBdr>
            <w:top w:val="none" w:sz="0" w:space="0" w:color="auto"/>
            <w:left w:val="none" w:sz="0" w:space="0" w:color="auto"/>
            <w:bottom w:val="none" w:sz="0" w:space="0" w:color="auto"/>
            <w:right w:val="none" w:sz="0" w:space="0" w:color="auto"/>
          </w:divBdr>
          <w:divsChild>
            <w:div w:id="712272582">
              <w:marLeft w:val="0"/>
              <w:marRight w:val="0"/>
              <w:marTop w:val="0"/>
              <w:marBottom w:val="0"/>
              <w:divBdr>
                <w:top w:val="none" w:sz="0" w:space="0" w:color="auto"/>
                <w:left w:val="none" w:sz="0" w:space="0" w:color="auto"/>
                <w:bottom w:val="none" w:sz="0" w:space="0" w:color="auto"/>
                <w:right w:val="none" w:sz="0" w:space="0" w:color="auto"/>
              </w:divBdr>
            </w:div>
          </w:divsChild>
        </w:div>
        <w:div w:id="661811229">
          <w:marLeft w:val="0"/>
          <w:marRight w:val="0"/>
          <w:marTop w:val="0"/>
          <w:marBottom w:val="0"/>
          <w:divBdr>
            <w:top w:val="none" w:sz="0" w:space="0" w:color="auto"/>
            <w:left w:val="none" w:sz="0" w:space="0" w:color="auto"/>
            <w:bottom w:val="none" w:sz="0" w:space="0" w:color="auto"/>
            <w:right w:val="none" w:sz="0" w:space="0" w:color="auto"/>
          </w:divBdr>
          <w:divsChild>
            <w:div w:id="618535615">
              <w:marLeft w:val="0"/>
              <w:marRight w:val="0"/>
              <w:marTop w:val="0"/>
              <w:marBottom w:val="0"/>
              <w:divBdr>
                <w:top w:val="none" w:sz="0" w:space="0" w:color="auto"/>
                <w:left w:val="none" w:sz="0" w:space="0" w:color="auto"/>
                <w:bottom w:val="none" w:sz="0" w:space="0" w:color="auto"/>
                <w:right w:val="none" w:sz="0" w:space="0" w:color="auto"/>
              </w:divBdr>
            </w:div>
          </w:divsChild>
        </w:div>
        <w:div w:id="1766732108">
          <w:marLeft w:val="0"/>
          <w:marRight w:val="0"/>
          <w:marTop w:val="0"/>
          <w:marBottom w:val="0"/>
          <w:divBdr>
            <w:top w:val="none" w:sz="0" w:space="0" w:color="auto"/>
            <w:left w:val="none" w:sz="0" w:space="0" w:color="auto"/>
            <w:bottom w:val="none" w:sz="0" w:space="0" w:color="auto"/>
            <w:right w:val="none" w:sz="0" w:space="0" w:color="auto"/>
          </w:divBdr>
          <w:divsChild>
            <w:div w:id="520360610">
              <w:marLeft w:val="0"/>
              <w:marRight w:val="0"/>
              <w:marTop w:val="0"/>
              <w:marBottom w:val="0"/>
              <w:divBdr>
                <w:top w:val="none" w:sz="0" w:space="0" w:color="auto"/>
                <w:left w:val="none" w:sz="0" w:space="0" w:color="auto"/>
                <w:bottom w:val="none" w:sz="0" w:space="0" w:color="auto"/>
                <w:right w:val="none" w:sz="0" w:space="0" w:color="auto"/>
              </w:divBdr>
            </w:div>
          </w:divsChild>
        </w:div>
        <w:div w:id="919869617">
          <w:marLeft w:val="0"/>
          <w:marRight w:val="0"/>
          <w:marTop w:val="0"/>
          <w:marBottom w:val="0"/>
          <w:divBdr>
            <w:top w:val="none" w:sz="0" w:space="0" w:color="auto"/>
            <w:left w:val="none" w:sz="0" w:space="0" w:color="auto"/>
            <w:bottom w:val="none" w:sz="0" w:space="0" w:color="auto"/>
            <w:right w:val="none" w:sz="0" w:space="0" w:color="auto"/>
          </w:divBdr>
          <w:divsChild>
            <w:div w:id="1336497159">
              <w:marLeft w:val="0"/>
              <w:marRight w:val="0"/>
              <w:marTop w:val="0"/>
              <w:marBottom w:val="0"/>
              <w:divBdr>
                <w:top w:val="none" w:sz="0" w:space="0" w:color="auto"/>
                <w:left w:val="none" w:sz="0" w:space="0" w:color="auto"/>
                <w:bottom w:val="none" w:sz="0" w:space="0" w:color="auto"/>
                <w:right w:val="none" w:sz="0" w:space="0" w:color="auto"/>
              </w:divBdr>
            </w:div>
          </w:divsChild>
        </w:div>
        <w:div w:id="679815670">
          <w:marLeft w:val="0"/>
          <w:marRight w:val="0"/>
          <w:marTop w:val="0"/>
          <w:marBottom w:val="0"/>
          <w:divBdr>
            <w:top w:val="none" w:sz="0" w:space="0" w:color="auto"/>
            <w:left w:val="none" w:sz="0" w:space="0" w:color="auto"/>
            <w:bottom w:val="none" w:sz="0" w:space="0" w:color="auto"/>
            <w:right w:val="none" w:sz="0" w:space="0" w:color="auto"/>
          </w:divBdr>
          <w:divsChild>
            <w:div w:id="1227109240">
              <w:marLeft w:val="0"/>
              <w:marRight w:val="0"/>
              <w:marTop w:val="0"/>
              <w:marBottom w:val="0"/>
              <w:divBdr>
                <w:top w:val="none" w:sz="0" w:space="0" w:color="auto"/>
                <w:left w:val="none" w:sz="0" w:space="0" w:color="auto"/>
                <w:bottom w:val="none" w:sz="0" w:space="0" w:color="auto"/>
                <w:right w:val="none" w:sz="0" w:space="0" w:color="auto"/>
              </w:divBdr>
            </w:div>
          </w:divsChild>
        </w:div>
        <w:div w:id="1460874017">
          <w:marLeft w:val="0"/>
          <w:marRight w:val="0"/>
          <w:marTop w:val="0"/>
          <w:marBottom w:val="0"/>
          <w:divBdr>
            <w:top w:val="none" w:sz="0" w:space="0" w:color="auto"/>
            <w:left w:val="none" w:sz="0" w:space="0" w:color="auto"/>
            <w:bottom w:val="none" w:sz="0" w:space="0" w:color="auto"/>
            <w:right w:val="none" w:sz="0" w:space="0" w:color="auto"/>
          </w:divBdr>
          <w:divsChild>
            <w:div w:id="1541748548">
              <w:marLeft w:val="0"/>
              <w:marRight w:val="0"/>
              <w:marTop w:val="0"/>
              <w:marBottom w:val="0"/>
              <w:divBdr>
                <w:top w:val="none" w:sz="0" w:space="0" w:color="auto"/>
                <w:left w:val="none" w:sz="0" w:space="0" w:color="auto"/>
                <w:bottom w:val="none" w:sz="0" w:space="0" w:color="auto"/>
                <w:right w:val="none" w:sz="0" w:space="0" w:color="auto"/>
              </w:divBdr>
            </w:div>
          </w:divsChild>
        </w:div>
        <w:div w:id="404954735">
          <w:marLeft w:val="0"/>
          <w:marRight w:val="0"/>
          <w:marTop w:val="0"/>
          <w:marBottom w:val="0"/>
          <w:divBdr>
            <w:top w:val="none" w:sz="0" w:space="0" w:color="auto"/>
            <w:left w:val="none" w:sz="0" w:space="0" w:color="auto"/>
            <w:bottom w:val="none" w:sz="0" w:space="0" w:color="auto"/>
            <w:right w:val="none" w:sz="0" w:space="0" w:color="auto"/>
          </w:divBdr>
          <w:divsChild>
            <w:div w:id="907302725">
              <w:marLeft w:val="0"/>
              <w:marRight w:val="0"/>
              <w:marTop w:val="0"/>
              <w:marBottom w:val="0"/>
              <w:divBdr>
                <w:top w:val="none" w:sz="0" w:space="0" w:color="auto"/>
                <w:left w:val="none" w:sz="0" w:space="0" w:color="auto"/>
                <w:bottom w:val="none" w:sz="0" w:space="0" w:color="auto"/>
                <w:right w:val="none" w:sz="0" w:space="0" w:color="auto"/>
              </w:divBdr>
            </w:div>
          </w:divsChild>
        </w:div>
        <w:div w:id="483201808">
          <w:marLeft w:val="0"/>
          <w:marRight w:val="0"/>
          <w:marTop w:val="0"/>
          <w:marBottom w:val="0"/>
          <w:divBdr>
            <w:top w:val="none" w:sz="0" w:space="0" w:color="auto"/>
            <w:left w:val="none" w:sz="0" w:space="0" w:color="auto"/>
            <w:bottom w:val="none" w:sz="0" w:space="0" w:color="auto"/>
            <w:right w:val="none" w:sz="0" w:space="0" w:color="auto"/>
          </w:divBdr>
          <w:divsChild>
            <w:div w:id="358702057">
              <w:marLeft w:val="0"/>
              <w:marRight w:val="0"/>
              <w:marTop w:val="0"/>
              <w:marBottom w:val="0"/>
              <w:divBdr>
                <w:top w:val="none" w:sz="0" w:space="0" w:color="auto"/>
                <w:left w:val="none" w:sz="0" w:space="0" w:color="auto"/>
                <w:bottom w:val="none" w:sz="0" w:space="0" w:color="auto"/>
                <w:right w:val="none" w:sz="0" w:space="0" w:color="auto"/>
              </w:divBdr>
            </w:div>
          </w:divsChild>
        </w:div>
        <w:div w:id="992298582">
          <w:marLeft w:val="0"/>
          <w:marRight w:val="0"/>
          <w:marTop w:val="0"/>
          <w:marBottom w:val="0"/>
          <w:divBdr>
            <w:top w:val="none" w:sz="0" w:space="0" w:color="auto"/>
            <w:left w:val="none" w:sz="0" w:space="0" w:color="auto"/>
            <w:bottom w:val="none" w:sz="0" w:space="0" w:color="auto"/>
            <w:right w:val="none" w:sz="0" w:space="0" w:color="auto"/>
          </w:divBdr>
          <w:divsChild>
            <w:div w:id="1368262348">
              <w:marLeft w:val="0"/>
              <w:marRight w:val="0"/>
              <w:marTop w:val="0"/>
              <w:marBottom w:val="0"/>
              <w:divBdr>
                <w:top w:val="none" w:sz="0" w:space="0" w:color="auto"/>
                <w:left w:val="none" w:sz="0" w:space="0" w:color="auto"/>
                <w:bottom w:val="none" w:sz="0" w:space="0" w:color="auto"/>
                <w:right w:val="none" w:sz="0" w:space="0" w:color="auto"/>
              </w:divBdr>
            </w:div>
          </w:divsChild>
        </w:div>
        <w:div w:id="854080942">
          <w:marLeft w:val="0"/>
          <w:marRight w:val="0"/>
          <w:marTop w:val="0"/>
          <w:marBottom w:val="0"/>
          <w:divBdr>
            <w:top w:val="none" w:sz="0" w:space="0" w:color="auto"/>
            <w:left w:val="none" w:sz="0" w:space="0" w:color="auto"/>
            <w:bottom w:val="none" w:sz="0" w:space="0" w:color="auto"/>
            <w:right w:val="none" w:sz="0" w:space="0" w:color="auto"/>
          </w:divBdr>
          <w:divsChild>
            <w:div w:id="2008551266">
              <w:marLeft w:val="0"/>
              <w:marRight w:val="0"/>
              <w:marTop w:val="0"/>
              <w:marBottom w:val="0"/>
              <w:divBdr>
                <w:top w:val="none" w:sz="0" w:space="0" w:color="auto"/>
                <w:left w:val="none" w:sz="0" w:space="0" w:color="auto"/>
                <w:bottom w:val="none" w:sz="0" w:space="0" w:color="auto"/>
                <w:right w:val="none" w:sz="0" w:space="0" w:color="auto"/>
              </w:divBdr>
            </w:div>
          </w:divsChild>
        </w:div>
        <w:div w:id="229656874">
          <w:marLeft w:val="0"/>
          <w:marRight w:val="0"/>
          <w:marTop w:val="0"/>
          <w:marBottom w:val="0"/>
          <w:divBdr>
            <w:top w:val="none" w:sz="0" w:space="0" w:color="auto"/>
            <w:left w:val="none" w:sz="0" w:space="0" w:color="auto"/>
            <w:bottom w:val="none" w:sz="0" w:space="0" w:color="auto"/>
            <w:right w:val="none" w:sz="0" w:space="0" w:color="auto"/>
          </w:divBdr>
          <w:divsChild>
            <w:div w:id="1766922172">
              <w:marLeft w:val="0"/>
              <w:marRight w:val="0"/>
              <w:marTop w:val="0"/>
              <w:marBottom w:val="0"/>
              <w:divBdr>
                <w:top w:val="none" w:sz="0" w:space="0" w:color="auto"/>
                <w:left w:val="none" w:sz="0" w:space="0" w:color="auto"/>
                <w:bottom w:val="none" w:sz="0" w:space="0" w:color="auto"/>
                <w:right w:val="none" w:sz="0" w:space="0" w:color="auto"/>
              </w:divBdr>
            </w:div>
          </w:divsChild>
        </w:div>
        <w:div w:id="437020813">
          <w:marLeft w:val="0"/>
          <w:marRight w:val="0"/>
          <w:marTop w:val="0"/>
          <w:marBottom w:val="0"/>
          <w:divBdr>
            <w:top w:val="none" w:sz="0" w:space="0" w:color="auto"/>
            <w:left w:val="none" w:sz="0" w:space="0" w:color="auto"/>
            <w:bottom w:val="none" w:sz="0" w:space="0" w:color="auto"/>
            <w:right w:val="none" w:sz="0" w:space="0" w:color="auto"/>
          </w:divBdr>
          <w:divsChild>
            <w:div w:id="17677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header" Target="header7.xml"/><Relationship Id="rId39" Type="http://schemas.openxmlformats.org/officeDocument/2006/relationships/image" Target="media/image12.png"/><Relationship Id="rId21" Type="http://schemas.openxmlformats.org/officeDocument/2006/relationships/header" Target="header2.xml"/><Relationship Id="rId34" Type="http://schemas.openxmlformats.org/officeDocument/2006/relationships/image" Target="media/image8.emf"/><Relationship Id="rId42" Type="http://schemas.openxmlformats.org/officeDocument/2006/relationships/header" Target="header1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image" Target="media/image13.sv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image" Target="media/image10.emf"/><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eader" Target="header10.xm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footer" Target="footer5.xml"/><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7.svg"/><Relationship Id="rId38" Type="http://schemas.openxmlformats.org/officeDocument/2006/relationships/header" Target="header11.xml"/><Relationship Id="rId20" Type="http://schemas.openxmlformats.org/officeDocument/2006/relationships/image" Target="media/image4.svg"/><Relationship Id="rId4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946D0E2E75441786C182C0894FD249"/>
        <w:category>
          <w:name w:val="General"/>
          <w:gallery w:val="placeholder"/>
        </w:category>
        <w:types>
          <w:type w:val="bbPlcHdr"/>
        </w:types>
        <w:behaviors>
          <w:behavior w:val="content"/>
        </w:behaviors>
        <w:guid w:val="{C857CFE4-AD1B-4ABD-82C7-13B7808B2532}"/>
      </w:docPartPr>
      <w:docPartBody>
        <w:p w:rsidR="00BC0F6D" w:rsidRDefault="00BC0F6D" w:rsidP="00BC0F6D">
          <w:pPr>
            <w:pStyle w:val="F9946D0E2E75441786C182C0894FD249"/>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Open Sans Extrabold">
    <w:panose1 w:val="020B09060308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FB8"/>
    <w:rsid w:val="00056FDA"/>
    <w:rsid w:val="000C04D7"/>
    <w:rsid w:val="00105241"/>
    <w:rsid w:val="001C7B56"/>
    <w:rsid w:val="002248B2"/>
    <w:rsid w:val="0025257E"/>
    <w:rsid w:val="00256AC0"/>
    <w:rsid w:val="002F04F0"/>
    <w:rsid w:val="0033504F"/>
    <w:rsid w:val="0033701C"/>
    <w:rsid w:val="0037287B"/>
    <w:rsid w:val="003A3763"/>
    <w:rsid w:val="00434B31"/>
    <w:rsid w:val="00442645"/>
    <w:rsid w:val="00491AD6"/>
    <w:rsid w:val="0058746A"/>
    <w:rsid w:val="005E0940"/>
    <w:rsid w:val="005E54A6"/>
    <w:rsid w:val="00663DA7"/>
    <w:rsid w:val="006841AE"/>
    <w:rsid w:val="006D7FB8"/>
    <w:rsid w:val="00717C18"/>
    <w:rsid w:val="00741A71"/>
    <w:rsid w:val="00753677"/>
    <w:rsid w:val="007B5BFC"/>
    <w:rsid w:val="00854102"/>
    <w:rsid w:val="008F30D5"/>
    <w:rsid w:val="0095743E"/>
    <w:rsid w:val="009A11C8"/>
    <w:rsid w:val="009A61E0"/>
    <w:rsid w:val="009B5B60"/>
    <w:rsid w:val="00A21B39"/>
    <w:rsid w:val="00A21F02"/>
    <w:rsid w:val="00A31566"/>
    <w:rsid w:val="00A775D8"/>
    <w:rsid w:val="00AD31DF"/>
    <w:rsid w:val="00AD31FC"/>
    <w:rsid w:val="00AD5690"/>
    <w:rsid w:val="00BC0F6D"/>
    <w:rsid w:val="00C1552D"/>
    <w:rsid w:val="00CD1314"/>
    <w:rsid w:val="00D415AC"/>
    <w:rsid w:val="00E83D4E"/>
    <w:rsid w:val="00F127B9"/>
    <w:rsid w:val="00F37034"/>
    <w:rsid w:val="00F61C2B"/>
    <w:rsid w:val="00F90577"/>
    <w:rsid w:val="00FC396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44772E05E3A34FF3B5D4B67A61F98FA6">
    <w:name w:val="44772E05E3A34FF3B5D4B67A61F98FA6"/>
  </w:style>
  <w:style w:type="character" w:styleId="PlaceholderText">
    <w:name w:val="Placeholder Text"/>
    <w:basedOn w:val="DefaultParagraphFont"/>
    <w:uiPriority w:val="99"/>
    <w:semiHidden/>
    <w:rPr>
      <w:color w:val="808080"/>
    </w:rPr>
  </w:style>
  <w:style w:type="paragraph" w:customStyle="1" w:styleId="61D577130195428DA4FA5332507A680B">
    <w:name w:val="61D577130195428DA4FA5332507A680B"/>
  </w:style>
  <w:style w:type="character" w:styleId="Strong">
    <w:name w:val="Strong"/>
    <w:basedOn w:val="DefaultParagraphFont"/>
    <w:uiPriority w:val="22"/>
    <w:qFormat/>
    <w:rsid w:val="00BC0F6D"/>
    <w:rPr>
      <w:rFonts w:asciiTheme="minorHAnsi" w:hAnsiTheme="minorHAnsi"/>
      <w:b/>
      <w:bCs/>
    </w:rPr>
  </w:style>
  <w:style w:type="paragraph" w:customStyle="1" w:styleId="1391CA58531845BA93E0895ACEEAB272">
    <w:name w:val="1391CA58531845BA93E0895ACEEAB272"/>
  </w:style>
  <w:style w:type="paragraph" w:customStyle="1" w:styleId="7B724B24D99E4E26A1F8938B6BE39BD6">
    <w:name w:val="7B724B24D99E4E26A1F8938B6BE39BD6"/>
  </w:style>
  <w:style w:type="paragraph" w:customStyle="1" w:styleId="BFBAC3331A614BEABBDBE58F42FDCB50">
    <w:name w:val="BFBAC3331A614BEABBDBE58F42FDCB50"/>
  </w:style>
  <w:style w:type="paragraph" w:customStyle="1" w:styleId="1D5ABEBF45CE4EE2B8811229FCC3F25A">
    <w:name w:val="1D5ABEBF45CE4EE2B8811229FCC3F25A"/>
  </w:style>
  <w:style w:type="paragraph" w:customStyle="1" w:styleId="F9946D0E2E75441786C182C0894FD249">
    <w:name w:val="F9946D0E2E75441786C182C0894FD249"/>
    <w:rsid w:val="00BC0F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TemplafyFormConfiguration><![CDATA[{"formFields":[],"formDataEntries":[]}]]></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MPWT-2140667901-90637</_dlc_DocId>
    <_dlc_DocIdUrl xmlns="20393cdf-440a-4521-8f19-00ba43423d00">
      <Url>https://pcgov.sharepoint.com/sites/sceteam/_layouts/15/DocIdRedir.aspx?ID=MPWT-2140667901-90637</Url>
      <Description>MPWT-2140667901-90637</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227a564e3a9937eca8e0f9ed39d01bb0">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bbcc3c54e0c600109055d014a30f3f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DF60E6BC-BC4B-4FA6-B733-4BB601EACF67}">
  <ds:schemaRefs>
    <ds:schemaRef ds:uri="http://schemas.microsoft.com/sharepoint/events"/>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6.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0A7C4259-6449-4FD8-82FA-067831279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12</TotalTime>
  <Pages>1</Pages>
  <Words>6886</Words>
  <Characters>43451</Characters>
  <Application>Microsoft Office Word</Application>
  <DocSecurity>0</DocSecurity>
  <Lines>700</Lines>
  <Paragraphs>289</Paragraphs>
  <ScaleCrop>false</ScaleCrop>
  <HeadingPairs>
    <vt:vector size="2" baseType="variant">
      <vt:variant>
        <vt:lpstr>Title</vt:lpstr>
      </vt:variant>
      <vt:variant>
        <vt:i4>1</vt:i4>
      </vt:variant>
    </vt:vector>
  </HeadingPairs>
  <TitlesOfParts>
    <vt:vector size="1" baseType="lpstr">
      <vt:lpstr>Overview - Australia’s circular economy: unlocking the opportunities</vt:lpstr>
    </vt:vector>
  </TitlesOfParts>
  <Company>Productivity Commission</Company>
  <LinksUpToDate>false</LinksUpToDate>
  <CharactersWithSpaces>50048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Australia’s circular economy: unlocking the opportunities</dc:title>
  <dc:subject>Inquiry report overview</dc:subject>
  <dc:creator>Productivity Commission</dc:creator>
  <cp:keywords/>
  <dc:description/>
  <cp:lastModifiedBy>Chris Alston</cp:lastModifiedBy>
  <cp:revision>8</cp:revision>
  <cp:lastPrinted>2025-10-19T23:17:00Z</cp:lastPrinted>
  <dcterms:created xsi:type="dcterms:W3CDTF">2025-10-19T23:10:00Z</dcterms:created>
  <dcterms:modified xsi:type="dcterms:W3CDTF">2025-10-19T23:17:00Z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HeaderShapeIds">
    <vt:lpwstr>61a105f7,13adfc19,524a557e</vt:lpwstr>
  </property>
  <property fmtid="{D5CDD505-2E9C-101B-9397-08002B2CF9AE}" pid="4" name="ClassificationContentMarkingHeaderFontProps">
    <vt:lpwstr>#000000,12,Calibri</vt:lpwstr>
  </property>
  <property fmtid="{D5CDD505-2E9C-101B-9397-08002B2CF9AE}" pid="5" name="ClassificationContentMarkingHeaderText">
    <vt:lpwstr> OFFICIAL</vt:lpwstr>
  </property>
  <property fmtid="{D5CDD505-2E9C-101B-9397-08002B2CF9AE}" pid="6" name="TemplafyTenantId">
    <vt:lpwstr>productivitycommission</vt:lpwstr>
  </property>
  <property fmtid="{D5CDD505-2E9C-101B-9397-08002B2CF9AE}" pid="7" name="TemplafyTemplateId">
    <vt:lpwstr>637734049669650976</vt:lpwstr>
  </property>
  <property fmtid="{D5CDD505-2E9C-101B-9397-08002B2CF9AE}" pid="8" name="TemplafyUserProfileId">
    <vt:lpwstr>1111908071801356462</vt:lpwstr>
  </property>
  <property fmtid="{D5CDD505-2E9C-101B-9397-08002B2CF9AE}" pid="9" name="TemplafyFromBlank">
    <vt:bool>false</vt:bool>
  </property>
  <property fmtid="{D5CDD505-2E9C-101B-9397-08002B2CF9AE}" pid="10" name="ZOTERO_PREF_1">
    <vt:lpwstr>&lt;data data-version="3" zotero-version="7.0.11"&gt;&lt;session id="bLsSWphl"/&gt;&lt;style id="http://www.zotero.org/styles/Productivity-Commission" hasBibliography="1" bibliographyStyleHasBeenSet="1"/&gt;&lt;prefs&gt;&lt;pref name="fieldType" value="Field"/&gt;&lt;pref name="automatic</vt:lpwstr>
  </property>
  <property fmtid="{D5CDD505-2E9C-101B-9397-08002B2CF9AE}" pid="11" name="ZOTERO_PREF_2">
    <vt:lpwstr>JournalAbbreviations" value="true"/&gt;&lt;pref name="dontAskDelayCitationUpdates" value="true"/&gt;&lt;/prefs&gt;&lt;/data&gt;</vt:lpwstr>
  </property>
  <property fmtid="{D5CDD505-2E9C-101B-9397-08002B2CF9AE}" pid="12" name="ContentTypeId">
    <vt:lpwstr>0x0101006C0B5E815648EF46B6FA6D42F17E5E9F000C963E276195B04F83BC027CFDC94A8D</vt:lpwstr>
  </property>
  <property fmtid="{D5CDD505-2E9C-101B-9397-08002B2CF9AE}" pid="13" name="RevIMBCS">
    <vt:lpwstr>1;#Unclassified|3955eeb1-2d18-4582-aeb2-00144ec3aaf5</vt:lpwstr>
  </property>
  <property fmtid="{D5CDD505-2E9C-101B-9397-08002B2CF9AE}" pid="14" name="_dlc_DocIdItemGuid">
    <vt:lpwstr>3d9fa2d1-fd5c-4fca-90a8-e96406243c2d</vt:lpwstr>
  </property>
  <property fmtid="{D5CDD505-2E9C-101B-9397-08002B2CF9AE}" pid="15" name="MSIP_Label_c1f2b1ce-4212-46db-a901-dd8453f57141_Enabled">
    <vt:lpwstr>true</vt:lpwstr>
  </property>
  <property fmtid="{D5CDD505-2E9C-101B-9397-08002B2CF9AE}" pid="16" name="MSIP_Label_c1f2b1ce-4212-46db-a901-dd8453f57141_SetDate">
    <vt:lpwstr>2025-08-20T11:09:17Z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82ff38ff-434d-4907-a20c-a9e187beaf87</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y fmtid="{D5CDD505-2E9C-101B-9397-08002B2CF9AE}" pid="23" name="docLang">
    <vt:lpwstr>en</vt:lpwstr>
  </property>
</Properties>
</file>