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8818489" w:displacedByCustomXml="next"/>
    <w:sdt>
      <w:sdtPr>
        <w:id w:val="-228914026"/>
        <w:docPartObj>
          <w:docPartGallery w:val="Cover Pages"/>
          <w:docPartUnique/>
        </w:docPartObj>
      </w:sdtPr>
      <w:sdtContent>
        <w:p w14:paraId="370E5195" w14:textId="6225173A" w:rsidR="005B5F49" w:rsidRDefault="005B5F49" w:rsidP="005B5F49">
          <w:pPr>
            <w:pStyle w:val="BodyText"/>
            <w:spacing w:after="0"/>
            <w:rPr>
              <w:color w:val="FFFFFF" w:themeColor="background1"/>
            </w:rPr>
          </w:pPr>
        </w:p>
        <w:p w14:paraId="66ACDC10" w14:textId="0D789C40" w:rsidR="005B5F49" w:rsidRPr="000353F9" w:rsidRDefault="005B5F49" w:rsidP="00AE0E54">
          <w:pPr>
            <w:pStyle w:val="Title"/>
            <w:spacing w:before="600"/>
            <w:ind w:right="1416"/>
            <w:rPr>
              <w:sz w:val="56"/>
            </w:rPr>
          </w:pPr>
          <w:r w:rsidRPr="005B5F49">
            <w:rPr>
              <w:rStyle w:val="TitleChar"/>
              <w:rFonts w:ascii="Open Sans Extrabold" w:hAnsi="Open Sans Extrabold" w:cs="Open Sans Extrabold"/>
              <w:sz w:val="56"/>
            </w:rPr>
            <w:t>Guardrails for modern industry policy</w:t>
          </w:r>
        </w:p>
        <w:p w14:paraId="1E368F4B" w14:textId="5498C2EF" w:rsidR="006B647E" w:rsidRPr="00CE50F9" w:rsidRDefault="00F350A4" w:rsidP="006B647E">
          <w:pPr>
            <w:pStyle w:val="Coverdate"/>
            <w:framePr w:w="1634" w:wrap="around" w:hAnchor="page" w:x="9157" w:y="15282"/>
            <w:jc w:val="right"/>
            <w:rPr>
              <w:rFonts w:ascii="Open Sans" w:hAnsi="Open Sans" w:cs="Open Sans"/>
              <w:color w:val="FFFFFF" w:themeColor="background1"/>
            </w:rPr>
          </w:pPr>
          <w:r>
            <w:rPr>
              <w:rFonts w:ascii="Open Sans" w:hAnsi="Open Sans" w:cs="Open Sans"/>
              <w:color w:val="FFFFFF" w:themeColor="background1"/>
            </w:rPr>
            <w:t>October</w:t>
          </w:r>
          <w:r w:rsidR="006B647E" w:rsidRPr="00CE50F9">
            <w:rPr>
              <w:rFonts w:ascii="Open Sans" w:hAnsi="Open Sans" w:cs="Open Sans"/>
              <w:color w:val="FFFFFF" w:themeColor="background1"/>
            </w:rPr>
            <w:t xml:space="preserve"> 2025</w:t>
          </w:r>
        </w:p>
        <w:p w14:paraId="10833CBD" w14:textId="77777777" w:rsidR="005B5F49" w:rsidRPr="000353F9" w:rsidRDefault="005B5F49" w:rsidP="005B5F49">
          <w:pPr>
            <w:pStyle w:val="Subtitle"/>
            <w:rPr>
              <w:rFonts w:ascii="Open Sans Semibold" w:hAnsi="Open Sans Semibold" w:cs="Open Sans Semibold"/>
              <w:sz w:val="48"/>
              <w:szCs w:val="48"/>
            </w:rPr>
          </w:pPr>
          <w:r>
            <w:rPr>
              <w:rFonts w:ascii="Open Sans Semibold" w:hAnsi="Open Sans Semibold" w:cs="Open Sans Semibold"/>
              <w:sz w:val="48"/>
              <w:szCs w:val="48"/>
            </w:rPr>
            <w:t>Research paper</w:t>
          </w:r>
        </w:p>
        <w:p w14:paraId="15BDD9DB" w14:textId="77777777" w:rsidR="005B5F49" w:rsidRDefault="005B5F49" w:rsidP="005B5F49">
          <w:pPr>
            <w:spacing w:after="160" w:line="259" w:lineRule="auto"/>
          </w:pPr>
        </w:p>
        <w:p w14:paraId="2F5B6D11" w14:textId="77777777" w:rsidR="005B5F49" w:rsidRDefault="005B5F49" w:rsidP="005B5F49">
          <w:pPr>
            <w:spacing w:after="4080"/>
            <w:jc w:val="center"/>
            <w:sectPr w:rsidR="005B5F49" w:rsidSect="005B5F4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5B5F49" w:rsidRPr="002914C4" w14:paraId="2AFC2AF1" w14:textId="77777777" w:rsidTr="00253CAE">
            <w:trPr>
              <w:trHeight w:hRule="exact" w:val="12643"/>
            </w:trPr>
            <w:tc>
              <w:tcPr>
                <w:tcW w:w="9638" w:type="dxa"/>
                <w:shd w:val="clear" w:color="auto" w:fill="E0F1F7" w:themeFill="text2" w:themeFillTint="33"/>
                <w:tcMar>
                  <w:top w:w="113" w:type="dxa"/>
                </w:tcMar>
                <w:vAlign w:val="top"/>
              </w:tcPr>
              <w:p w14:paraId="6173FC17" w14:textId="451640BF" w:rsidR="005B5F49" w:rsidRPr="001A681E" w:rsidRDefault="005B5F49" w:rsidP="001A681E">
                <w:pPr>
                  <w:pStyle w:val="Copyrightpage-Heading"/>
                  <w:spacing w:before="240"/>
                  <w:ind w:right="-284"/>
                  <w:rPr>
                    <w:color w:val="auto"/>
                  </w:rPr>
                </w:pPr>
                <w:r w:rsidRPr="000353F9">
                  <w:rPr>
                    <w:rStyle w:val="White"/>
                    <w:color w:val="000000" w:themeColor="text1"/>
                  </w:rPr>
                  <w:lastRenderedPageBreak/>
                  <w:br w:type="page"/>
                </w:r>
                <w:r w:rsidR="001A681E" w:rsidRPr="001A681E">
                  <w:rPr>
                    <w:b/>
                    <w:color w:val="auto"/>
                  </w:rPr>
                  <w:t>Acknowledgement of Country</w:t>
                </w:r>
              </w:p>
              <w:p w14:paraId="399AF32B" w14:textId="77777777" w:rsidR="005B5F49" w:rsidRPr="000049DB" w:rsidRDefault="005B5F49" w:rsidP="00253CAE">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2" behindDoc="0" locked="0" layoutInCell="1" allowOverlap="1" wp14:anchorId="0185E364" wp14:editId="19E71F0E">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086F9948" w14:textId="77777777" w:rsidR="005B5F49" w:rsidRPr="00157240" w:rsidRDefault="005B5F49" w:rsidP="00253CAE">
                <w:pPr>
                  <w:pStyle w:val="Copyrightpage-Keylinenotext"/>
                  <w:ind w:right="-284"/>
                  <w:rPr>
                    <w:color w:val="auto"/>
                  </w:rPr>
                </w:pPr>
              </w:p>
              <w:p w14:paraId="3C581EC5" w14:textId="35CC8F63" w:rsidR="005B5F49" w:rsidRPr="001A681E" w:rsidRDefault="001A681E" w:rsidP="00253CAE">
                <w:pPr>
                  <w:pStyle w:val="Copyrightpage-Heading"/>
                  <w:ind w:right="-284"/>
                  <w:rPr>
                    <w:b/>
                    <w:color w:val="auto"/>
                  </w:rPr>
                </w:pPr>
                <w:r w:rsidRPr="001A681E">
                  <w:rPr>
                    <w:b/>
                    <w:color w:val="auto"/>
                  </w:rPr>
                  <w:t>About us</w:t>
                </w:r>
              </w:p>
              <w:p w14:paraId="1BA14D93" w14:textId="77777777" w:rsidR="005B5F49" w:rsidRPr="00910D3A" w:rsidRDefault="005B5F49" w:rsidP="00253CAE">
                <w:pPr>
                  <w:pStyle w:val="Copyrightpage-BodyBold"/>
                  <w:rPr>
                    <w:b w:val="0"/>
                    <w:bCs/>
                    <w:color w:val="000000" w:themeColor="text1"/>
                  </w:rPr>
                </w:pPr>
                <w:r w:rsidRPr="00910D3A">
                  <w:rPr>
                    <w:b w:val="0"/>
                    <w:bCs/>
                    <w:color w:val="000000" w:themeColor="text1"/>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1629CA5C" w14:textId="77777777" w:rsidR="005B5F49" w:rsidRPr="00910D3A" w:rsidRDefault="005B5F49" w:rsidP="00253CAE">
                <w:pPr>
                  <w:pStyle w:val="Copyrightpage-BodyBold"/>
                  <w:rPr>
                    <w:b w:val="0"/>
                    <w:bCs/>
                    <w:color w:val="000000" w:themeColor="text1"/>
                  </w:rPr>
                </w:pPr>
                <w:r w:rsidRPr="00910D3A">
                  <w:rPr>
                    <w:b w:val="0"/>
                    <w:bCs/>
                    <w:color w:val="000000" w:themeColor="text1"/>
                  </w:rPr>
                  <w:t xml:space="preserve">The PC’s independence is underpinned by an Act of Parliament. Its processes and outputs are open to public scrutiny and are driven by concern for the wellbeing of the </w:t>
                </w:r>
                <w:proofErr w:type="gramStart"/>
                <w:r w:rsidRPr="00910D3A">
                  <w:rPr>
                    <w:b w:val="0"/>
                    <w:bCs/>
                    <w:color w:val="000000" w:themeColor="text1"/>
                  </w:rPr>
                  <w:t>community as a whole</w:t>
                </w:r>
                <w:proofErr w:type="gramEnd"/>
                <w:r w:rsidRPr="00910D3A">
                  <w:rPr>
                    <w:b w:val="0"/>
                    <w:bCs/>
                    <w:color w:val="000000" w:themeColor="text1"/>
                  </w:rPr>
                  <w:t>.</w:t>
                </w:r>
              </w:p>
              <w:p w14:paraId="5C44E99C" w14:textId="77777777" w:rsidR="005B5F49" w:rsidRPr="00910D3A" w:rsidRDefault="005B5F49" w:rsidP="00253CAE">
                <w:pPr>
                  <w:pStyle w:val="Copyrightpage-BodyBold"/>
                  <w:rPr>
                    <w:b w:val="0"/>
                    <w:bCs/>
                    <w:color w:val="000000" w:themeColor="text1"/>
                    <w:spacing w:val="-4"/>
                  </w:rPr>
                </w:pPr>
                <w:r w:rsidRPr="00910D3A">
                  <w:rPr>
                    <w:b w:val="0"/>
                    <w:bCs/>
                    <w:color w:val="000000" w:themeColor="text1"/>
                    <w:spacing w:val="-4"/>
                  </w:rPr>
                  <w:t xml:space="preserve">For more information, visit the PC’s website: </w:t>
                </w:r>
                <w:hyperlink r:id="rId19" w:history="1">
                  <w:r w:rsidRPr="00910D3A">
                    <w:rPr>
                      <w:rStyle w:val="Hyperlink"/>
                      <w:b w:val="0"/>
                      <w:bCs/>
                      <w:color w:val="000000" w:themeColor="text1"/>
                      <w:spacing w:val="-4"/>
                    </w:rPr>
                    <w:t>www.pc.gov.au</w:t>
                  </w:r>
                </w:hyperlink>
              </w:p>
              <w:p w14:paraId="5AC2FCBB" w14:textId="77777777" w:rsidR="005B5F49" w:rsidRPr="000353F9" w:rsidRDefault="005B5F49" w:rsidP="00253CAE">
                <w:pPr>
                  <w:pStyle w:val="Copyrightpage-Keylinenotext"/>
                  <w:ind w:right="-284"/>
                  <w:rPr>
                    <w:b/>
                    <w:color w:val="000000" w:themeColor="text1"/>
                  </w:rPr>
                </w:pPr>
              </w:p>
              <w:p w14:paraId="056683D4" w14:textId="77777777" w:rsidR="005B5F49" w:rsidRPr="00910D3A" w:rsidRDefault="005B5F49" w:rsidP="00253CAE">
                <w:pPr>
                  <w:pStyle w:val="Copyrightpage-BodyBold"/>
                  <w:rPr>
                    <w:b w:val="0"/>
                    <w:bCs/>
                    <w:color w:val="000000" w:themeColor="text1"/>
                  </w:rPr>
                </w:pPr>
                <w:r w:rsidRPr="00910D3A">
                  <w:rPr>
                    <w:b w:val="0"/>
                    <w:bCs/>
                    <w:color w:val="000000" w:themeColor="text1"/>
                  </w:rPr>
                  <w:t>© Commonwealth of Australia 2025</w:t>
                </w:r>
              </w:p>
              <w:p w14:paraId="48DC1316" w14:textId="77777777" w:rsidR="005B5F49" w:rsidRPr="00910D3A" w:rsidRDefault="005B5F49" w:rsidP="00253CAE">
                <w:pPr>
                  <w:pStyle w:val="Copyrightpage-Heading2"/>
                  <w:spacing w:before="0"/>
                  <w:ind w:right="-284"/>
                  <w:rPr>
                    <w:b w:val="0"/>
                    <w:bCs/>
                    <w:color w:val="000000" w:themeColor="text1"/>
                  </w:rPr>
                </w:pPr>
                <w:r w:rsidRPr="00910D3A">
                  <w:rPr>
                    <w:b w:val="0"/>
                    <w:bCs/>
                    <w:noProof/>
                    <w:color w:val="000000" w:themeColor="text1"/>
                  </w:rPr>
                  <w:drawing>
                    <wp:inline distT="0" distB="0" distL="0" distR="0" wp14:anchorId="79B389F1" wp14:editId="77BFEABB">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3DD5203D" w14:textId="77777777" w:rsidR="005B5F49" w:rsidRPr="00910D3A" w:rsidRDefault="005B5F49" w:rsidP="00253CAE">
                <w:pPr>
                  <w:pStyle w:val="Copyrightpage-BodyBold"/>
                  <w:ind w:right="-143"/>
                  <w:rPr>
                    <w:b w:val="0"/>
                    <w:bCs/>
                    <w:color w:val="000000" w:themeColor="text1"/>
                  </w:rPr>
                </w:pPr>
                <w:proofErr w:type="gramStart"/>
                <w:r w:rsidRPr="00910D3A">
                  <w:rPr>
                    <w:b w:val="0"/>
                    <w:bCs/>
                    <w:color w:val="000000" w:themeColor="text1"/>
                  </w:rPr>
                  <w:t>With the exception of</w:t>
                </w:r>
                <w:proofErr w:type="gramEnd"/>
                <w:r w:rsidRPr="00910D3A">
                  <w:rPr>
                    <w:b w:val="0"/>
                    <w:bCs/>
                    <w:color w:val="000000" w:themeColor="text1"/>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910D3A">
                  <w:rPr>
                    <w:b w:val="0"/>
                    <w:bCs/>
                    <w:color w:val="000000" w:themeColor="text1"/>
                  </w:rPr>
                  <w:t>as long as</w:t>
                </w:r>
                <w:proofErr w:type="gramEnd"/>
                <w:r w:rsidRPr="00910D3A">
                  <w:rPr>
                    <w:b w:val="0"/>
                    <w:bCs/>
                    <w:color w:val="000000" w:themeColor="text1"/>
                  </w:rPr>
                  <w:t xml:space="preserve"> you attribute the work to the PC (but not in any way that suggests the PC endorses you or your use) and abide by the other licence terms. The licence can be viewed at: https://creativecommons.org/licenses/by/4.0.</w:t>
                </w:r>
              </w:p>
              <w:p w14:paraId="3442978E" w14:textId="77777777" w:rsidR="005B5F49" w:rsidRPr="00910D3A" w:rsidRDefault="005B5F49" w:rsidP="00253CAE">
                <w:pPr>
                  <w:pStyle w:val="Copyrightpage-BodyBold"/>
                  <w:rPr>
                    <w:b w:val="0"/>
                    <w:bCs/>
                    <w:color w:val="000000" w:themeColor="text1"/>
                  </w:rPr>
                </w:pPr>
                <w:r w:rsidRPr="00910D3A">
                  <w:rPr>
                    <w:b w:val="0"/>
                    <w:bCs/>
                    <w:color w:val="000000" w:themeColor="text1"/>
                  </w:rPr>
                  <w:t>The terms under which the Coat of Arms can be used are detailed at: www.pmc.gov.au/government/commonwealth-coat-arms.</w:t>
                </w:r>
              </w:p>
              <w:p w14:paraId="79BD02CA" w14:textId="77777777" w:rsidR="005B5F49" w:rsidRDefault="005B5F49" w:rsidP="00253CAE">
                <w:pPr>
                  <w:pStyle w:val="Copyrightpage-BodyBold"/>
                  <w:rPr>
                    <w:b w:val="0"/>
                    <w:bCs/>
                    <w:color w:val="000000" w:themeColor="text1"/>
                    <w:spacing w:val="-2"/>
                  </w:rPr>
                </w:pPr>
                <w:r w:rsidRPr="00D2285E">
                  <w:rPr>
                    <w:b w:val="0"/>
                    <w:bCs/>
                    <w:color w:val="000000" w:themeColor="text1"/>
                    <w:spacing w:val="-2"/>
                  </w:rPr>
                  <w:t>Wherever a third party holds copyright in this material the copyright remains with that party. Their permission may be required to use the material, please contact them directly.</w:t>
                </w:r>
              </w:p>
              <w:p w14:paraId="63210846" w14:textId="7895B4E0" w:rsidR="005B5F49" w:rsidRPr="00D2285E" w:rsidRDefault="005B5F49" w:rsidP="00253CAE">
                <w:pPr>
                  <w:pStyle w:val="Copyrightpage-BodyBold"/>
                  <w:rPr>
                    <w:b w:val="0"/>
                    <w:bCs/>
                    <w:color w:val="000000" w:themeColor="text1"/>
                    <w:spacing w:val="-2"/>
                  </w:rPr>
                </w:pPr>
                <w:r>
                  <w:rPr>
                    <w:b w:val="0"/>
                    <w:bCs/>
                    <w:color w:val="000000" w:themeColor="text1"/>
                    <w:spacing w:val="-2"/>
                  </w:rPr>
                  <w:t xml:space="preserve">ISBN </w:t>
                </w:r>
                <w:r w:rsidR="00225704" w:rsidRPr="00225704">
                  <w:rPr>
                    <w:b w:val="0"/>
                    <w:bCs/>
                    <w:color w:val="000000" w:themeColor="text1"/>
                    <w:spacing w:val="-2"/>
                  </w:rPr>
                  <w:t xml:space="preserve">978-1-74037-817-8 </w:t>
                </w:r>
                <w:r>
                  <w:rPr>
                    <w:b w:val="0"/>
                    <w:bCs/>
                    <w:color w:val="000000" w:themeColor="text1"/>
                    <w:spacing w:val="-2"/>
                  </w:rPr>
                  <w:t>(online)</w:t>
                </w:r>
              </w:p>
              <w:p w14:paraId="0547603E" w14:textId="44B1AC0C" w:rsidR="005B5F49" w:rsidRPr="00910D3A" w:rsidRDefault="005B5F49" w:rsidP="00253CAE">
                <w:pPr>
                  <w:pStyle w:val="Copyrightpage-BodyBold"/>
                  <w:rPr>
                    <w:b w:val="0"/>
                    <w:bCs/>
                    <w:color w:val="000000" w:themeColor="text1"/>
                  </w:rPr>
                </w:pPr>
                <w:r w:rsidRPr="00910D3A">
                  <w:rPr>
                    <w:b w:val="0"/>
                    <w:bCs/>
                    <w:color w:val="000000" w:themeColor="text1"/>
                  </w:rPr>
                  <w:t>An appropriate reference for this publication is:</w:t>
                </w:r>
                <w:r w:rsidRPr="00910D3A">
                  <w:rPr>
                    <w:b w:val="0"/>
                    <w:bCs/>
                    <w:color w:val="000000" w:themeColor="text1"/>
                  </w:rPr>
                  <w:br/>
                </w:r>
                <w:r w:rsidRPr="001A681E">
                  <w:rPr>
                    <w:b w:val="0"/>
                    <w:bCs/>
                    <w:color w:val="auto"/>
                  </w:rPr>
                  <w:t xml:space="preserve">Productivity Commission 2025, </w:t>
                </w:r>
                <w:r w:rsidR="001A681E" w:rsidRPr="001A681E">
                  <w:rPr>
                    <w:b w:val="0"/>
                    <w:bCs/>
                    <w:i/>
                    <w:iCs/>
                    <w:color w:val="auto"/>
                  </w:rPr>
                  <w:t>Guardrails for modern industry policy</w:t>
                </w:r>
                <w:r w:rsidRPr="001A681E">
                  <w:rPr>
                    <w:b w:val="0"/>
                    <w:bCs/>
                    <w:color w:val="auto"/>
                  </w:rPr>
                  <w:t xml:space="preserve">, Commission research paper, </w:t>
                </w:r>
                <w:r w:rsidRPr="00910D3A">
                  <w:rPr>
                    <w:b w:val="0"/>
                    <w:bCs/>
                    <w:color w:val="000000" w:themeColor="text1"/>
                  </w:rPr>
                  <w:t>Canberra</w:t>
                </w:r>
              </w:p>
              <w:p w14:paraId="1E43D2D6" w14:textId="77777777" w:rsidR="005B5F49" w:rsidRPr="002914C4" w:rsidRDefault="005B5F49" w:rsidP="00253CAE">
                <w:pPr>
                  <w:pStyle w:val="Copyrightpage-BodyBold"/>
                  <w:ind w:right="-284"/>
                  <w:rPr>
                    <w:color w:val="000000" w:themeColor="text1"/>
                    <w:lang w:val="fr-CA"/>
                  </w:rPr>
                </w:pPr>
                <w:r w:rsidRPr="002914C4">
                  <w:rPr>
                    <w:b w:val="0"/>
                    <w:color w:val="000000" w:themeColor="text1"/>
                    <w:lang w:val="fr-CA"/>
                  </w:rPr>
                  <w:t xml:space="preserve">Publication </w:t>
                </w:r>
                <w:proofErr w:type="spellStart"/>
                <w:r w:rsidRPr="002914C4">
                  <w:rPr>
                    <w:b w:val="0"/>
                    <w:color w:val="000000" w:themeColor="text1"/>
                    <w:lang w:val="fr-CA"/>
                  </w:rPr>
                  <w:t>enquiries</w:t>
                </w:r>
                <w:proofErr w:type="spellEnd"/>
                <w:r w:rsidRPr="002914C4">
                  <w:rPr>
                    <w:b w:val="0"/>
                    <w:color w:val="000000" w:themeColor="text1"/>
                    <w:lang w:val="fr-CA"/>
                  </w:rPr>
                  <w:t xml:space="preserve">: </w:t>
                </w:r>
                <w:r w:rsidRPr="002914C4">
                  <w:rPr>
                    <w:b w:val="0"/>
                    <w:color w:val="000000" w:themeColor="text1"/>
                    <w:lang w:val="fr-CA"/>
                  </w:rPr>
                  <w:br/>
                  <w:t xml:space="preserve">Phone 03 9653 2244 | </w:t>
                </w:r>
                <w:proofErr w:type="gramStart"/>
                <w:r w:rsidRPr="002914C4">
                  <w:rPr>
                    <w:b w:val="0"/>
                    <w:color w:val="000000" w:themeColor="text1"/>
                    <w:lang w:val="fr-CA"/>
                  </w:rPr>
                  <w:t>Email</w:t>
                </w:r>
                <w:proofErr w:type="gramEnd"/>
                <w:r w:rsidRPr="002914C4">
                  <w:rPr>
                    <w:b w:val="0"/>
                    <w:color w:val="000000" w:themeColor="text1"/>
                    <w:lang w:val="fr-CA"/>
                  </w:rPr>
                  <w:t xml:space="preserve"> publications@pc.gov.au</w:t>
                </w:r>
              </w:p>
            </w:tc>
          </w:tr>
        </w:tbl>
        <w:p w14:paraId="2708392B" w14:textId="77777777" w:rsidR="005B5F49" w:rsidRDefault="005B5F49" w:rsidP="005B5F49">
          <w:pPr>
            <w:spacing w:before="0" w:after="160" w:line="259" w:lineRule="auto"/>
            <w:rPr>
              <w:rStyle w:val="White"/>
              <w:b/>
            </w:rPr>
            <w:sectPr w:rsidR="005B5F49" w:rsidSect="005B5F49">
              <w:headerReference w:type="even" r:id="rId22"/>
              <w:headerReference w:type="default" r:id="rId23"/>
              <w:footerReference w:type="even" r:id="rId24"/>
              <w:footerReference w:type="default" r:id="rId25"/>
              <w:headerReference w:type="first" r:id="rId26"/>
              <w:pgSz w:w="11906" w:h="16838" w:code="9"/>
              <w:pgMar w:top="1134" w:right="1134" w:bottom="1134" w:left="1134" w:header="794" w:footer="510" w:gutter="0"/>
              <w:pgNumType w:fmt="lowerRoman"/>
              <w:cols w:space="708"/>
              <w:docGrid w:linePitch="360"/>
            </w:sectPr>
          </w:pPr>
          <w:r w:rsidRPr="002914C4">
            <w:rPr>
              <w:rStyle w:val="White"/>
              <w:b/>
              <w:lang w:val="fr-CA"/>
            </w:rPr>
            <w:t xml:space="preserve"> </w:t>
          </w:r>
        </w:p>
      </w:sdtContent>
    </w:sdt>
    <w:bookmarkEnd w:id="0"/>
    <w:p w14:paraId="4AC1D004" w14:textId="516331E0" w:rsidR="00A51079" w:rsidRPr="00597F10" w:rsidRDefault="00413359" w:rsidP="00744F1E">
      <w:pPr>
        <w:pStyle w:val="TOCHeading"/>
      </w:pPr>
      <w:r>
        <w:lastRenderedPageBreak/>
        <w:t>Contents</w:t>
      </w:r>
    </w:p>
    <w:p w14:paraId="6A8AE933" w14:textId="51BA6D32" w:rsidR="00E10888" w:rsidRDefault="00A51079">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E10888">
        <w:rPr>
          <w:noProof/>
        </w:rPr>
        <w:t>Summary</w:t>
      </w:r>
      <w:r w:rsidR="00E10888">
        <w:rPr>
          <w:noProof/>
          <w:webHidden/>
        </w:rPr>
        <w:tab/>
      </w:r>
      <w:r w:rsidR="00E10888">
        <w:rPr>
          <w:noProof/>
          <w:webHidden/>
        </w:rPr>
        <w:fldChar w:fldCharType="begin"/>
      </w:r>
      <w:r w:rsidR="00E10888">
        <w:rPr>
          <w:noProof/>
          <w:webHidden/>
        </w:rPr>
        <w:instrText xml:space="preserve"> PAGEREF _Toc210942145 \h </w:instrText>
      </w:r>
      <w:r w:rsidR="00E10888">
        <w:rPr>
          <w:noProof/>
          <w:webHidden/>
        </w:rPr>
      </w:r>
      <w:r w:rsidR="00E10888">
        <w:rPr>
          <w:noProof/>
          <w:webHidden/>
        </w:rPr>
        <w:fldChar w:fldCharType="separate"/>
      </w:r>
      <w:r w:rsidR="00E57184">
        <w:rPr>
          <w:noProof/>
          <w:webHidden/>
        </w:rPr>
        <w:t>1</w:t>
      </w:r>
      <w:r w:rsidR="00E10888">
        <w:rPr>
          <w:noProof/>
          <w:webHidden/>
        </w:rPr>
        <w:fldChar w:fldCharType="end"/>
      </w:r>
    </w:p>
    <w:p w14:paraId="0E6F789A" w14:textId="1AF43B86" w:rsidR="00E10888" w:rsidRDefault="00E10888">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About this research</w:t>
      </w:r>
      <w:r>
        <w:rPr>
          <w:noProof/>
          <w:webHidden/>
        </w:rPr>
        <w:tab/>
      </w:r>
      <w:r>
        <w:rPr>
          <w:noProof/>
          <w:webHidden/>
        </w:rPr>
        <w:fldChar w:fldCharType="begin"/>
      </w:r>
      <w:r>
        <w:rPr>
          <w:noProof/>
          <w:webHidden/>
        </w:rPr>
        <w:instrText xml:space="preserve"> PAGEREF _Toc210942147 \h </w:instrText>
      </w:r>
      <w:r>
        <w:rPr>
          <w:noProof/>
          <w:webHidden/>
        </w:rPr>
      </w:r>
      <w:r>
        <w:rPr>
          <w:noProof/>
          <w:webHidden/>
        </w:rPr>
        <w:fldChar w:fldCharType="separate"/>
      </w:r>
      <w:r w:rsidR="00E57184">
        <w:rPr>
          <w:noProof/>
          <w:webHidden/>
        </w:rPr>
        <w:t>3</w:t>
      </w:r>
      <w:r>
        <w:rPr>
          <w:noProof/>
          <w:webHidden/>
        </w:rPr>
        <w:fldChar w:fldCharType="end"/>
      </w:r>
    </w:p>
    <w:p w14:paraId="65725262" w14:textId="54E82994" w:rsidR="00E10888" w:rsidRDefault="00E10888">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Understanding modern industry policy</w:t>
      </w:r>
      <w:r>
        <w:rPr>
          <w:webHidden/>
        </w:rPr>
        <w:tab/>
      </w:r>
      <w:r>
        <w:rPr>
          <w:webHidden/>
        </w:rPr>
        <w:fldChar w:fldCharType="begin"/>
      </w:r>
      <w:r>
        <w:rPr>
          <w:webHidden/>
        </w:rPr>
        <w:instrText xml:space="preserve"> PAGEREF _Toc210942148 \h </w:instrText>
      </w:r>
      <w:r>
        <w:rPr>
          <w:webHidden/>
        </w:rPr>
      </w:r>
      <w:r>
        <w:rPr>
          <w:webHidden/>
        </w:rPr>
        <w:fldChar w:fldCharType="separate"/>
      </w:r>
      <w:r w:rsidR="00E57184">
        <w:rPr>
          <w:webHidden/>
        </w:rPr>
        <w:t>3</w:t>
      </w:r>
      <w:r>
        <w:rPr>
          <w:webHidden/>
        </w:rPr>
        <w:fldChar w:fldCharType="end"/>
      </w:r>
    </w:p>
    <w:p w14:paraId="6DCF5A68" w14:textId="51CB041A" w:rsidR="00E10888" w:rsidRDefault="00E10888">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Scope</w:t>
      </w:r>
      <w:r>
        <w:rPr>
          <w:webHidden/>
        </w:rPr>
        <w:tab/>
      </w:r>
      <w:r>
        <w:rPr>
          <w:webHidden/>
        </w:rPr>
        <w:fldChar w:fldCharType="begin"/>
      </w:r>
      <w:r>
        <w:rPr>
          <w:webHidden/>
        </w:rPr>
        <w:instrText xml:space="preserve"> PAGEREF _Toc210942149 \h </w:instrText>
      </w:r>
      <w:r>
        <w:rPr>
          <w:webHidden/>
        </w:rPr>
      </w:r>
      <w:r>
        <w:rPr>
          <w:webHidden/>
        </w:rPr>
        <w:fldChar w:fldCharType="separate"/>
      </w:r>
      <w:r w:rsidR="00E57184">
        <w:rPr>
          <w:webHidden/>
        </w:rPr>
        <w:t>7</w:t>
      </w:r>
      <w:r>
        <w:rPr>
          <w:webHidden/>
        </w:rPr>
        <w:fldChar w:fldCharType="end"/>
      </w:r>
    </w:p>
    <w:p w14:paraId="46CC3BB2" w14:textId="018858B7" w:rsidR="00E10888" w:rsidRDefault="00E10888">
      <w:pPr>
        <w:pStyle w:val="TOC2"/>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Organisation of the paper</w:t>
      </w:r>
      <w:r>
        <w:rPr>
          <w:webHidden/>
        </w:rPr>
        <w:tab/>
      </w:r>
      <w:r>
        <w:rPr>
          <w:webHidden/>
        </w:rPr>
        <w:fldChar w:fldCharType="begin"/>
      </w:r>
      <w:r>
        <w:rPr>
          <w:webHidden/>
        </w:rPr>
        <w:instrText xml:space="preserve"> PAGEREF _Toc210942150 \h </w:instrText>
      </w:r>
      <w:r>
        <w:rPr>
          <w:webHidden/>
        </w:rPr>
      </w:r>
      <w:r>
        <w:rPr>
          <w:webHidden/>
        </w:rPr>
        <w:fldChar w:fldCharType="separate"/>
      </w:r>
      <w:r w:rsidR="00E57184">
        <w:rPr>
          <w:webHidden/>
        </w:rPr>
        <w:t>7</w:t>
      </w:r>
      <w:r>
        <w:rPr>
          <w:webHidden/>
        </w:rPr>
        <w:fldChar w:fldCharType="end"/>
      </w:r>
    </w:p>
    <w:p w14:paraId="241AF581" w14:textId="71B76B6F" w:rsidR="00E10888" w:rsidRDefault="00E10888">
      <w:pPr>
        <w:pStyle w:val="TOC1"/>
        <w:rPr>
          <w:rFonts w:asciiTheme="minorHAnsi" w:eastAsiaTheme="minorEastAsia" w:hAnsiTheme="minorHAnsi"/>
          <w:noProof/>
          <w:color w:val="auto"/>
          <w:kern w:val="2"/>
          <w:sz w:val="24"/>
          <w:szCs w:val="24"/>
          <w:lang w:eastAsia="en-AU"/>
          <w14:ligatures w14:val="standardContextual"/>
        </w:rPr>
      </w:pPr>
      <w:r w:rsidRPr="00117D82">
        <w:rPr>
          <w:noProof/>
          <w:spacing w:val="-6"/>
        </w:rPr>
        <w:t>2.</w:t>
      </w:r>
      <w:r>
        <w:rPr>
          <w:rFonts w:asciiTheme="minorHAnsi" w:eastAsiaTheme="minorEastAsia" w:hAnsiTheme="minorHAnsi"/>
          <w:noProof/>
          <w:color w:val="auto"/>
          <w:kern w:val="2"/>
          <w:sz w:val="24"/>
          <w:szCs w:val="24"/>
          <w:lang w:eastAsia="en-AU"/>
          <w14:ligatures w14:val="standardContextual"/>
        </w:rPr>
        <w:tab/>
      </w:r>
      <w:r w:rsidRPr="00117D82">
        <w:rPr>
          <w:noProof/>
          <w:spacing w:val="-6"/>
        </w:rPr>
        <w:t>Economic resilience and security</w:t>
      </w:r>
      <w:r>
        <w:rPr>
          <w:noProof/>
          <w:webHidden/>
        </w:rPr>
        <w:tab/>
      </w:r>
      <w:r>
        <w:rPr>
          <w:noProof/>
          <w:webHidden/>
        </w:rPr>
        <w:fldChar w:fldCharType="begin"/>
      </w:r>
      <w:r>
        <w:rPr>
          <w:noProof/>
          <w:webHidden/>
        </w:rPr>
        <w:instrText xml:space="preserve"> PAGEREF _Toc210942151 \h </w:instrText>
      </w:r>
      <w:r>
        <w:rPr>
          <w:noProof/>
          <w:webHidden/>
        </w:rPr>
      </w:r>
      <w:r>
        <w:rPr>
          <w:noProof/>
          <w:webHidden/>
        </w:rPr>
        <w:fldChar w:fldCharType="separate"/>
      </w:r>
      <w:r w:rsidR="00E57184">
        <w:rPr>
          <w:noProof/>
          <w:webHidden/>
        </w:rPr>
        <w:t>9</w:t>
      </w:r>
      <w:r>
        <w:rPr>
          <w:noProof/>
          <w:webHidden/>
        </w:rPr>
        <w:fldChar w:fldCharType="end"/>
      </w:r>
    </w:p>
    <w:p w14:paraId="39492789" w14:textId="61691B95" w:rsidR="00E10888" w:rsidRDefault="00E10888">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A three</w:t>
      </w:r>
      <w:r>
        <w:noBreakHyphen/>
        <w:t>step process for considering responses to supply chain risk</w:t>
      </w:r>
      <w:r>
        <w:rPr>
          <w:webHidden/>
        </w:rPr>
        <w:tab/>
      </w:r>
      <w:r>
        <w:rPr>
          <w:webHidden/>
        </w:rPr>
        <w:fldChar w:fldCharType="begin"/>
      </w:r>
      <w:r>
        <w:rPr>
          <w:webHidden/>
        </w:rPr>
        <w:instrText xml:space="preserve"> PAGEREF _Toc210942152 \h </w:instrText>
      </w:r>
      <w:r>
        <w:rPr>
          <w:webHidden/>
        </w:rPr>
      </w:r>
      <w:r>
        <w:rPr>
          <w:webHidden/>
        </w:rPr>
        <w:fldChar w:fldCharType="separate"/>
      </w:r>
      <w:r w:rsidR="00E57184">
        <w:rPr>
          <w:webHidden/>
        </w:rPr>
        <w:t>9</w:t>
      </w:r>
      <w:r>
        <w:rPr>
          <w:webHidden/>
        </w:rPr>
        <w:fldChar w:fldCharType="end"/>
      </w:r>
    </w:p>
    <w:p w14:paraId="467E8C29" w14:textId="6981233D" w:rsidR="00E10888" w:rsidRDefault="00E10888">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Case study: personal protective equipment for healthcare workers</w:t>
      </w:r>
      <w:r>
        <w:rPr>
          <w:webHidden/>
        </w:rPr>
        <w:tab/>
      </w:r>
      <w:r>
        <w:rPr>
          <w:webHidden/>
        </w:rPr>
        <w:fldChar w:fldCharType="begin"/>
      </w:r>
      <w:r>
        <w:rPr>
          <w:webHidden/>
        </w:rPr>
        <w:instrText xml:space="preserve"> PAGEREF _Toc210942153 \h </w:instrText>
      </w:r>
      <w:r>
        <w:rPr>
          <w:webHidden/>
        </w:rPr>
      </w:r>
      <w:r>
        <w:rPr>
          <w:webHidden/>
        </w:rPr>
        <w:fldChar w:fldCharType="separate"/>
      </w:r>
      <w:r w:rsidR="00E57184">
        <w:rPr>
          <w:webHidden/>
        </w:rPr>
        <w:t>16</w:t>
      </w:r>
      <w:r>
        <w:rPr>
          <w:webHidden/>
        </w:rPr>
        <w:fldChar w:fldCharType="end"/>
      </w:r>
    </w:p>
    <w:p w14:paraId="7FD3CF1E" w14:textId="0149E38B" w:rsidR="00E10888" w:rsidRDefault="00E10888">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Extending the framework to national security considerations</w:t>
      </w:r>
      <w:r>
        <w:rPr>
          <w:webHidden/>
        </w:rPr>
        <w:tab/>
      </w:r>
      <w:r>
        <w:rPr>
          <w:webHidden/>
        </w:rPr>
        <w:fldChar w:fldCharType="begin"/>
      </w:r>
      <w:r>
        <w:rPr>
          <w:webHidden/>
        </w:rPr>
        <w:instrText xml:space="preserve"> PAGEREF _Toc210942154 \h </w:instrText>
      </w:r>
      <w:r>
        <w:rPr>
          <w:webHidden/>
        </w:rPr>
      </w:r>
      <w:r>
        <w:rPr>
          <w:webHidden/>
        </w:rPr>
        <w:fldChar w:fldCharType="separate"/>
      </w:r>
      <w:r w:rsidR="00E57184">
        <w:rPr>
          <w:webHidden/>
        </w:rPr>
        <w:t>20</w:t>
      </w:r>
      <w:r>
        <w:rPr>
          <w:webHidden/>
        </w:rPr>
        <w:fldChar w:fldCharType="end"/>
      </w:r>
    </w:p>
    <w:p w14:paraId="7BBDA403" w14:textId="5F6E6C53" w:rsidR="00E10888" w:rsidRDefault="00E10888">
      <w:pPr>
        <w:pStyle w:val="TOC2"/>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Iterative risk framework case study: communications hardware</w:t>
      </w:r>
      <w:r>
        <w:rPr>
          <w:webHidden/>
        </w:rPr>
        <w:tab/>
      </w:r>
      <w:r>
        <w:rPr>
          <w:webHidden/>
        </w:rPr>
        <w:fldChar w:fldCharType="begin"/>
      </w:r>
      <w:r>
        <w:rPr>
          <w:webHidden/>
        </w:rPr>
        <w:instrText xml:space="preserve"> PAGEREF _Toc210942155 \h </w:instrText>
      </w:r>
      <w:r>
        <w:rPr>
          <w:webHidden/>
        </w:rPr>
      </w:r>
      <w:r>
        <w:rPr>
          <w:webHidden/>
        </w:rPr>
        <w:fldChar w:fldCharType="separate"/>
      </w:r>
      <w:r w:rsidR="00E57184">
        <w:rPr>
          <w:webHidden/>
        </w:rPr>
        <w:t>23</w:t>
      </w:r>
      <w:r>
        <w:rPr>
          <w:webHidden/>
        </w:rPr>
        <w:fldChar w:fldCharType="end"/>
      </w:r>
    </w:p>
    <w:p w14:paraId="3549F982" w14:textId="3CC2562B" w:rsidR="00E10888" w:rsidRDefault="00E10888">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Net zero transformation</w:t>
      </w:r>
      <w:r>
        <w:rPr>
          <w:noProof/>
          <w:webHidden/>
        </w:rPr>
        <w:tab/>
      </w:r>
      <w:r>
        <w:rPr>
          <w:noProof/>
          <w:webHidden/>
        </w:rPr>
        <w:fldChar w:fldCharType="begin"/>
      </w:r>
      <w:r>
        <w:rPr>
          <w:noProof/>
          <w:webHidden/>
        </w:rPr>
        <w:instrText xml:space="preserve"> PAGEREF _Toc210942156 \h </w:instrText>
      </w:r>
      <w:r>
        <w:rPr>
          <w:noProof/>
          <w:webHidden/>
        </w:rPr>
      </w:r>
      <w:r>
        <w:rPr>
          <w:noProof/>
          <w:webHidden/>
        </w:rPr>
        <w:fldChar w:fldCharType="separate"/>
      </w:r>
      <w:r w:rsidR="00E57184">
        <w:rPr>
          <w:noProof/>
          <w:webHidden/>
        </w:rPr>
        <w:t>28</w:t>
      </w:r>
      <w:r>
        <w:rPr>
          <w:noProof/>
          <w:webHidden/>
        </w:rPr>
        <w:fldChar w:fldCharType="end"/>
      </w:r>
    </w:p>
    <w:p w14:paraId="71F5B1C9" w14:textId="2827F097" w:rsidR="00E10888" w:rsidRDefault="00E10888">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 xml:space="preserve">The role of </w:t>
      </w:r>
      <w:r w:rsidR="00CA74B2">
        <w:t>industry policy</w:t>
      </w:r>
      <w:r>
        <w:t xml:space="preserve"> in the net zero transformation</w:t>
      </w:r>
      <w:r>
        <w:rPr>
          <w:webHidden/>
        </w:rPr>
        <w:tab/>
      </w:r>
      <w:r>
        <w:rPr>
          <w:webHidden/>
        </w:rPr>
        <w:fldChar w:fldCharType="begin"/>
      </w:r>
      <w:r>
        <w:rPr>
          <w:webHidden/>
        </w:rPr>
        <w:instrText xml:space="preserve"> PAGEREF _Toc210942157 \h </w:instrText>
      </w:r>
      <w:r>
        <w:rPr>
          <w:webHidden/>
        </w:rPr>
      </w:r>
      <w:r>
        <w:rPr>
          <w:webHidden/>
        </w:rPr>
        <w:fldChar w:fldCharType="separate"/>
      </w:r>
      <w:r w:rsidR="00E57184">
        <w:rPr>
          <w:webHidden/>
        </w:rPr>
        <w:t>28</w:t>
      </w:r>
      <w:r>
        <w:rPr>
          <w:webHidden/>
        </w:rPr>
        <w:fldChar w:fldCharType="end"/>
      </w:r>
    </w:p>
    <w:p w14:paraId="79B269BF" w14:textId="4C50DBC1" w:rsidR="00E10888" w:rsidRDefault="00E10888">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Applying these principles</w:t>
      </w:r>
      <w:r>
        <w:rPr>
          <w:webHidden/>
        </w:rPr>
        <w:tab/>
      </w:r>
      <w:r>
        <w:rPr>
          <w:webHidden/>
        </w:rPr>
        <w:fldChar w:fldCharType="begin"/>
      </w:r>
      <w:r>
        <w:rPr>
          <w:webHidden/>
        </w:rPr>
        <w:instrText xml:space="preserve"> PAGEREF _Toc210942158 \h </w:instrText>
      </w:r>
      <w:r>
        <w:rPr>
          <w:webHidden/>
        </w:rPr>
      </w:r>
      <w:r>
        <w:rPr>
          <w:webHidden/>
        </w:rPr>
        <w:fldChar w:fldCharType="separate"/>
      </w:r>
      <w:r w:rsidR="00E57184">
        <w:rPr>
          <w:webHidden/>
        </w:rPr>
        <w:t>34</w:t>
      </w:r>
      <w:r>
        <w:rPr>
          <w:webHidden/>
        </w:rPr>
        <w:fldChar w:fldCharType="end"/>
      </w:r>
    </w:p>
    <w:p w14:paraId="4C8FBCCC" w14:textId="2D683617" w:rsidR="00E10888" w:rsidRDefault="00E10888">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Policy options for economic resilience and security</w:t>
      </w:r>
      <w:r>
        <w:rPr>
          <w:noProof/>
          <w:webHidden/>
        </w:rPr>
        <w:tab/>
      </w:r>
      <w:r>
        <w:rPr>
          <w:noProof/>
          <w:webHidden/>
        </w:rPr>
        <w:fldChar w:fldCharType="begin"/>
      </w:r>
      <w:r>
        <w:rPr>
          <w:noProof/>
          <w:webHidden/>
        </w:rPr>
        <w:instrText xml:space="preserve"> PAGEREF _Toc210942159 \h </w:instrText>
      </w:r>
      <w:r>
        <w:rPr>
          <w:noProof/>
          <w:webHidden/>
        </w:rPr>
      </w:r>
      <w:r>
        <w:rPr>
          <w:noProof/>
          <w:webHidden/>
        </w:rPr>
        <w:fldChar w:fldCharType="separate"/>
      </w:r>
      <w:r w:rsidR="00E57184">
        <w:rPr>
          <w:noProof/>
          <w:webHidden/>
        </w:rPr>
        <w:t>36</w:t>
      </w:r>
      <w:r>
        <w:rPr>
          <w:noProof/>
          <w:webHidden/>
        </w:rPr>
        <w:fldChar w:fldCharType="end"/>
      </w:r>
    </w:p>
    <w:p w14:paraId="414AB40D" w14:textId="3C824BA1" w:rsidR="00E10888" w:rsidRDefault="00E10888">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sidRPr="00E10888">
        <w:rPr>
          <w:noProof/>
          <w:spacing w:val="-2"/>
        </w:rPr>
        <w:t>Identifying vulnerable, essential and critical goods and services</w:t>
      </w:r>
      <w:r>
        <w:rPr>
          <w:noProof/>
          <w:webHidden/>
        </w:rPr>
        <w:tab/>
      </w:r>
      <w:r>
        <w:rPr>
          <w:noProof/>
          <w:webHidden/>
        </w:rPr>
        <w:fldChar w:fldCharType="begin"/>
      </w:r>
      <w:r>
        <w:rPr>
          <w:noProof/>
          <w:webHidden/>
        </w:rPr>
        <w:instrText xml:space="preserve"> PAGEREF _Toc210942160 \h </w:instrText>
      </w:r>
      <w:r>
        <w:rPr>
          <w:noProof/>
          <w:webHidden/>
        </w:rPr>
      </w:r>
      <w:r>
        <w:rPr>
          <w:noProof/>
          <w:webHidden/>
        </w:rPr>
        <w:fldChar w:fldCharType="separate"/>
      </w:r>
      <w:r w:rsidR="00E57184">
        <w:rPr>
          <w:noProof/>
          <w:webHidden/>
        </w:rPr>
        <w:t>41</w:t>
      </w:r>
      <w:r>
        <w:rPr>
          <w:noProof/>
          <w:webHidden/>
        </w:rPr>
        <w:fldChar w:fldCharType="end"/>
      </w:r>
    </w:p>
    <w:p w14:paraId="69EA3DAC" w14:textId="1C58E850" w:rsidR="00E10888" w:rsidRDefault="00E10888">
      <w:pPr>
        <w:pStyle w:val="TOC1"/>
        <w:rPr>
          <w:rFonts w:asciiTheme="minorHAnsi" w:eastAsiaTheme="minorEastAsia" w:hAnsiTheme="minorHAnsi"/>
          <w:noProof/>
          <w:color w:val="auto"/>
          <w:kern w:val="2"/>
          <w:sz w:val="24"/>
          <w:szCs w:val="24"/>
          <w:lang w:eastAsia="en-AU"/>
          <w14:ligatures w14:val="standardContextual"/>
        </w:rPr>
      </w:pPr>
      <w:r>
        <w:rPr>
          <w:noProof/>
        </w:rPr>
        <w:t>C.</w:t>
      </w:r>
      <w:r>
        <w:rPr>
          <w:rFonts w:asciiTheme="minorHAnsi" w:eastAsiaTheme="minorEastAsia" w:hAnsiTheme="minorHAnsi"/>
          <w:noProof/>
          <w:color w:val="auto"/>
          <w:kern w:val="2"/>
          <w:sz w:val="24"/>
          <w:szCs w:val="24"/>
          <w:lang w:eastAsia="en-AU"/>
          <w14:ligatures w14:val="standardContextual"/>
        </w:rPr>
        <w:tab/>
      </w:r>
      <w:r>
        <w:rPr>
          <w:noProof/>
        </w:rPr>
        <w:t>Assessing comparative advantage</w:t>
      </w:r>
      <w:r>
        <w:rPr>
          <w:noProof/>
          <w:webHidden/>
        </w:rPr>
        <w:tab/>
      </w:r>
      <w:r>
        <w:rPr>
          <w:noProof/>
          <w:webHidden/>
        </w:rPr>
        <w:fldChar w:fldCharType="begin"/>
      </w:r>
      <w:r>
        <w:rPr>
          <w:noProof/>
          <w:webHidden/>
        </w:rPr>
        <w:instrText xml:space="preserve"> PAGEREF _Toc210942161 \h </w:instrText>
      </w:r>
      <w:r>
        <w:rPr>
          <w:noProof/>
          <w:webHidden/>
        </w:rPr>
      </w:r>
      <w:r>
        <w:rPr>
          <w:noProof/>
          <w:webHidden/>
        </w:rPr>
        <w:fldChar w:fldCharType="separate"/>
      </w:r>
      <w:r w:rsidR="00E57184">
        <w:rPr>
          <w:noProof/>
          <w:webHidden/>
        </w:rPr>
        <w:t>42</w:t>
      </w:r>
      <w:r>
        <w:rPr>
          <w:noProof/>
          <w:webHidden/>
        </w:rPr>
        <w:fldChar w:fldCharType="end"/>
      </w:r>
    </w:p>
    <w:p w14:paraId="5A4CDF5A" w14:textId="1B9D08CE" w:rsidR="00E10888" w:rsidRDefault="00E10888">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_Toc210942162 \h </w:instrText>
      </w:r>
      <w:r>
        <w:rPr>
          <w:noProof/>
          <w:webHidden/>
        </w:rPr>
      </w:r>
      <w:r>
        <w:rPr>
          <w:noProof/>
          <w:webHidden/>
        </w:rPr>
        <w:fldChar w:fldCharType="separate"/>
      </w:r>
      <w:r w:rsidR="00E57184">
        <w:rPr>
          <w:noProof/>
          <w:webHidden/>
        </w:rPr>
        <w:t>44</w:t>
      </w:r>
      <w:r>
        <w:rPr>
          <w:noProof/>
          <w:webHidden/>
        </w:rPr>
        <w:fldChar w:fldCharType="end"/>
      </w:r>
    </w:p>
    <w:p w14:paraId="522160CD" w14:textId="09D43DD2" w:rsidR="00E10888" w:rsidRDefault="00E10888">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_Toc210942163 \h </w:instrText>
      </w:r>
      <w:r>
        <w:rPr>
          <w:noProof/>
          <w:webHidden/>
        </w:rPr>
      </w:r>
      <w:r>
        <w:rPr>
          <w:noProof/>
          <w:webHidden/>
        </w:rPr>
        <w:fldChar w:fldCharType="separate"/>
      </w:r>
      <w:r w:rsidR="00E57184">
        <w:rPr>
          <w:noProof/>
          <w:webHidden/>
        </w:rPr>
        <w:t>45</w:t>
      </w:r>
      <w:r>
        <w:rPr>
          <w:noProof/>
          <w:webHidden/>
        </w:rPr>
        <w:fldChar w:fldCharType="end"/>
      </w:r>
    </w:p>
    <w:p w14:paraId="66E76DC8" w14:textId="658B81E5" w:rsidR="00D05292" w:rsidRDefault="00A51079" w:rsidP="00582D32">
      <w:pPr>
        <w:pStyle w:val="BodyText"/>
        <w:sectPr w:rsidR="00D05292" w:rsidSect="00E10888">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134" w:header="794" w:footer="510" w:gutter="0"/>
          <w:pgNumType w:fmt="lowerRoman"/>
          <w:cols w:space="708"/>
          <w:docGrid w:linePitch="360"/>
        </w:sectPr>
      </w:pPr>
      <w:r>
        <w:fldChar w:fldCharType="end"/>
      </w:r>
      <w:bookmarkStart w:id="3" w:name="_Toc195696906"/>
    </w:p>
    <w:p w14:paraId="36C4E5CD" w14:textId="77777777" w:rsidR="00C23CF5" w:rsidRDefault="00C23CF5" w:rsidP="00C23CF5">
      <w:pPr>
        <w:pStyle w:val="Heading2-noTOC"/>
      </w:pPr>
      <w:r>
        <w:lastRenderedPageBreak/>
        <w:t>Acknowledgements</w:t>
      </w:r>
    </w:p>
    <w:p w14:paraId="0A349B76" w14:textId="77777777" w:rsidR="00C23CF5" w:rsidRDefault="00C23CF5" w:rsidP="00C23CF5">
      <w:pPr>
        <w:pStyle w:val="BodyText"/>
        <w:sectPr w:rsidR="00C23CF5" w:rsidSect="00E10888">
          <w:pgSz w:w="11906" w:h="16838" w:code="9"/>
          <w:pgMar w:top="1134" w:right="1134" w:bottom="1134" w:left="1134" w:header="794" w:footer="510" w:gutter="0"/>
          <w:pgNumType w:fmt="lowerRoman"/>
          <w:cols w:space="708"/>
          <w:docGrid w:linePitch="360"/>
        </w:sectPr>
      </w:pPr>
      <w:r w:rsidRPr="00DE04E7">
        <w:t xml:space="preserve">The </w:t>
      </w:r>
      <w:r>
        <w:t>PC</w:t>
      </w:r>
      <w:r w:rsidRPr="00DE04E7">
        <w:t xml:space="preserve"> acknowledges and thanks the staff who </w:t>
      </w:r>
      <w:r>
        <w:t>contributed to</w:t>
      </w:r>
      <w:r w:rsidRPr="00DE04E7">
        <w:t xml:space="preserve"> this research paper, including </w:t>
      </w:r>
      <w:r>
        <w:t>Patrick Jomini, Cameron Eren, Paul Gardner, Jared Claxton, Anuraag Roy, Rusha Das and Hiran Gamlath</w:t>
      </w:r>
      <w:r w:rsidRPr="00DE04E7">
        <w:t>. The</w:t>
      </w:r>
      <w:r w:rsidRPr="00DE04E7" w:rsidDel="009A0A1B">
        <w:t xml:space="preserve"> </w:t>
      </w:r>
      <w:r>
        <w:t>PC</w:t>
      </w:r>
      <w:r w:rsidRPr="00DE04E7">
        <w:t xml:space="preserve"> acknowledges and thanks Commissioner</w:t>
      </w:r>
      <w:r>
        <w:t>s</w:t>
      </w:r>
      <w:r w:rsidRPr="00DE04E7">
        <w:t xml:space="preserve"> Alex Robson </w:t>
      </w:r>
      <w:r>
        <w:t xml:space="preserve">and Catherine de Fontenay </w:t>
      </w:r>
      <w:r w:rsidRPr="00DE04E7">
        <w:t xml:space="preserve">for </w:t>
      </w:r>
      <w:r>
        <w:t xml:space="preserve">their </w:t>
      </w:r>
      <w:r w:rsidRPr="00DE04E7">
        <w:t xml:space="preserve">supervision of this research paper. </w:t>
      </w:r>
    </w:p>
    <w:p w14:paraId="105A9E75" w14:textId="76F43F99" w:rsidR="00D05292" w:rsidRPr="0076233E" w:rsidRDefault="00C23CF5" w:rsidP="00D05292">
      <w:pPr>
        <w:pStyle w:val="Heading1-nobackground"/>
      </w:pPr>
      <w:bookmarkStart w:id="4" w:name="_Toc210942145"/>
      <w:r>
        <w:lastRenderedPageBreak/>
        <w:t>S</w:t>
      </w:r>
      <w:r w:rsidR="00D05292" w:rsidRPr="0076233E">
        <w:t>ummary</w:t>
      </w:r>
      <w:bookmarkEnd w:id="3"/>
      <w:bookmarkEnd w:id="4"/>
    </w:p>
    <w:p w14:paraId="7F7D97A3" w14:textId="0ED5D000" w:rsidR="00D05292" w:rsidRPr="0076233E" w:rsidRDefault="00D05292" w:rsidP="00D05292">
      <w:pPr>
        <w:pStyle w:val="BodyText"/>
      </w:pPr>
      <w:r>
        <w:t xml:space="preserve">Governments around the world have launched a wave of industry policies over recent years. Examples include the Made in China 2025 plan, the Made in Canada plan, the United States (US) Inflation Reduction Act, the US CHIPS and Science Act, and the European Union’s Chips Act, Net Zero Industry Act and Critical Minerals Act. In part, this reflects a desire to </w:t>
      </w:r>
      <w:r w:rsidRPr="0076233E">
        <w:t xml:space="preserve">build economic resilience </w:t>
      </w:r>
      <w:r>
        <w:t>amidst rising geopolitical tensions and in the aftermath of the COVID</w:t>
      </w:r>
      <w:r>
        <w:noBreakHyphen/>
        <w:t>19 pandemic</w:t>
      </w:r>
      <w:r w:rsidR="001B7F82">
        <w:t>,</w:t>
      </w:r>
      <w:r w:rsidRPr="0076233E">
        <w:t xml:space="preserve"> </w:t>
      </w:r>
      <w:r>
        <w:t>and to progress national decarbonisation efforts.</w:t>
      </w:r>
    </w:p>
    <w:p w14:paraId="102F3DB5" w14:textId="2677B8F3" w:rsidR="00D05292" w:rsidRPr="0076233E" w:rsidRDefault="00D05292" w:rsidP="00D05292">
      <w:pPr>
        <w:pStyle w:val="BodyText"/>
      </w:pPr>
      <w:r>
        <w:t xml:space="preserve">Similar policy directions in </w:t>
      </w:r>
      <w:r w:rsidRPr="0076233E">
        <w:t>Australia</w:t>
      </w:r>
      <w:r>
        <w:t xml:space="preserve"> include the </w:t>
      </w:r>
      <w:r w:rsidRPr="0076233E">
        <w:t>Future Made in Australia</w:t>
      </w:r>
      <w:r>
        <w:t xml:space="preserve"> (FMIA)</w:t>
      </w:r>
      <w:r w:rsidRPr="0076233E">
        <w:t xml:space="preserve"> </w:t>
      </w:r>
      <w:r>
        <w:t>initiative, the development of a Critical Minerals List, and the creation of bodies such as the Office of Supply Chain Resilience. These interventions aim to</w:t>
      </w:r>
      <w:r w:rsidRPr="0076233E" w:rsidDel="00FC4715">
        <w:t xml:space="preserve"> </w:t>
      </w:r>
      <w:r>
        <w:t>strengthen economic resilience and security</w:t>
      </w:r>
      <w:r w:rsidRPr="0076233E">
        <w:t xml:space="preserve">, encourage </w:t>
      </w:r>
      <w:r>
        <w:t xml:space="preserve">domestic </w:t>
      </w:r>
      <w:r w:rsidRPr="0076233E">
        <w:t>emissions abatement, and position Australia</w:t>
      </w:r>
      <w:r>
        <w:t>n industry</w:t>
      </w:r>
      <w:r w:rsidRPr="0076233E">
        <w:t xml:space="preserve"> to benefit from the </w:t>
      </w:r>
      <w:r>
        <w:t>transition to a</w:t>
      </w:r>
      <w:r w:rsidRPr="0076233E">
        <w:t xml:space="preserve"> global net</w:t>
      </w:r>
      <w:r w:rsidR="00180416">
        <w:t xml:space="preserve"> </w:t>
      </w:r>
      <w:r w:rsidRPr="0076233E">
        <w:t>zero economy.</w:t>
      </w:r>
      <w:r>
        <w:t xml:space="preserve"> </w:t>
      </w:r>
    </w:p>
    <w:p w14:paraId="7F5EF508" w14:textId="77777777" w:rsidR="00D05292" w:rsidRPr="0076233E" w:rsidRDefault="00D05292" w:rsidP="00D05292">
      <w:pPr>
        <w:pStyle w:val="BodyText"/>
      </w:pPr>
      <w:r>
        <w:t>Emissions reductions and economic resilience are important objectives</w:t>
      </w:r>
      <w:r w:rsidRPr="0076233E">
        <w:t xml:space="preserve">. If poorly designed, however, industry policy can prove costly for taxpayers, act as a form of trade protection, and distort the allocation of Australia's scarce resources towards activities that we </w:t>
      </w:r>
      <w:r>
        <w:t>may</w:t>
      </w:r>
      <w:r w:rsidRPr="0076233E">
        <w:t xml:space="preserve"> not </w:t>
      </w:r>
      <w:r>
        <w:t>be</w:t>
      </w:r>
      <w:r w:rsidRPr="0076233E">
        <w:t xml:space="preserve"> best placed to undertake.</w:t>
      </w:r>
    </w:p>
    <w:p w14:paraId="78EB4185" w14:textId="188A3502" w:rsidR="00D05292" w:rsidRPr="00E17767" w:rsidRDefault="00D05292" w:rsidP="00D05292">
      <w:pPr>
        <w:pStyle w:val="BodyText"/>
        <w:rPr>
          <w:spacing w:val="-2"/>
        </w:rPr>
      </w:pPr>
      <w:r w:rsidRPr="00E17767">
        <w:rPr>
          <w:spacing w:val="-2"/>
        </w:rPr>
        <w:t>To deliver value for taxpayers’ money</w:t>
      </w:r>
      <w:r w:rsidRPr="00E17767" w:rsidDel="00965709">
        <w:rPr>
          <w:spacing w:val="-2"/>
        </w:rPr>
        <w:t>,</w:t>
      </w:r>
      <w:r w:rsidRPr="00E17767">
        <w:rPr>
          <w:spacing w:val="-2"/>
        </w:rPr>
        <w:t xml:space="preserve"> strong guardrails on policy interventions are essential. These guardrails </w:t>
      </w:r>
      <w:r w:rsidRPr="00E17767">
        <w:rPr>
          <w:spacing w:val="-4"/>
        </w:rPr>
        <w:t xml:space="preserve">should include sensible economic frameworks, decision making processes that are transparent and contestable, </w:t>
      </w:r>
      <w:r w:rsidRPr="00E17767">
        <w:rPr>
          <w:spacing w:val="-2"/>
        </w:rPr>
        <w:t xml:space="preserve">clear methods for measuring performance, and defined plans for ending </w:t>
      </w:r>
      <w:r w:rsidR="003D63BA" w:rsidRPr="00E17767">
        <w:rPr>
          <w:spacing w:val="-2"/>
        </w:rPr>
        <w:t>interventions</w:t>
      </w:r>
      <w:r w:rsidRPr="00E17767">
        <w:rPr>
          <w:spacing w:val="-2"/>
        </w:rPr>
        <w:t xml:space="preserve"> that fail to perform. Adopting such measures is crucial to ensure that these interventions are delivered at lowest cost. </w:t>
      </w:r>
    </w:p>
    <w:p w14:paraId="743D70D7" w14:textId="45215820" w:rsidR="00D05292" w:rsidRDefault="00D05292" w:rsidP="00D05292">
      <w:pPr>
        <w:pStyle w:val="BodyText"/>
      </w:pPr>
      <w:r>
        <w:t xml:space="preserve">Given these challenges, the Productivity Commission has developed a framework to help policy makers identify areas that may warrant support, those that may not, and to help </w:t>
      </w:r>
      <w:r w:rsidR="003711DD">
        <w:t>determine</w:t>
      </w:r>
      <w:r>
        <w:t xml:space="preserve"> appropriate policy responses for both. Specifically, the framework provides</w:t>
      </w:r>
      <w:r w:rsidRPr="0076233E">
        <w:t xml:space="preserve"> a </w:t>
      </w:r>
      <w:r>
        <w:t>multi</w:t>
      </w:r>
      <w:r>
        <w:noBreakHyphen/>
      </w:r>
      <w:r w:rsidRPr="0076233E">
        <w:t>step process to assist decision</w:t>
      </w:r>
      <w:r>
        <w:noBreakHyphen/>
      </w:r>
      <w:r w:rsidRPr="0076233E">
        <w:t>making</w:t>
      </w:r>
      <w:r>
        <w:t xml:space="preserve"> with respect to </w:t>
      </w:r>
      <w:r w:rsidR="00CA74B2">
        <w:t>industry policy</w:t>
      </w:r>
      <w:r>
        <w:t xml:space="preserve"> settings aimed at supporting net zero</w:t>
      </w:r>
      <w:r>
        <w:noBreakHyphen/>
        <w:t>related industries, enhancing economic security, and responding to national security concerns.</w:t>
      </w:r>
    </w:p>
    <w:p w14:paraId="741EED1A" w14:textId="77777777" w:rsidR="00D05292" w:rsidRDefault="00D05292" w:rsidP="00D05292">
      <w:pPr>
        <w:pStyle w:val="BodyText"/>
      </w:pPr>
      <w:r>
        <w:t>For</w:t>
      </w:r>
      <w:r w:rsidDel="00226886">
        <w:t xml:space="preserve"> </w:t>
      </w:r>
      <w:r>
        <w:t>policy aimed at economic security, this process</w:t>
      </w:r>
      <w:r w:rsidRPr="0076233E">
        <w:t xml:space="preserve"> includes two decision trees</w:t>
      </w:r>
      <w:r>
        <w:t xml:space="preserve"> – the first </w:t>
      </w:r>
      <w:r w:rsidRPr="0076233E">
        <w:t xml:space="preserve">to assess </w:t>
      </w:r>
      <w:r>
        <w:t>whether there is a risk that could justify a</w:t>
      </w:r>
      <w:r w:rsidRPr="0076233E">
        <w:t xml:space="preserve"> policy intervention</w:t>
      </w:r>
      <w:r>
        <w:t>, and the second</w:t>
      </w:r>
      <w:r w:rsidRPr="0076233E">
        <w:t xml:space="preserve"> </w:t>
      </w:r>
      <w:r>
        <w:t xml:space="preserve">to help determine the best potential </w:t>
      </w:r>
      <w:r w:rsidRPr="0076233E">
        <w:t>policy response</w:t>
      </w:r>
      <w:r>
        <w:t>s to that risk. A separate version of the second decision tree is also provided for some national security</w:t>
      </w:r>
      <w:r>
        <w:noBreakHyphen/>
        <w:t>related risks.</w:t>
      </w:r>
    </w:p>
    <w:p w14:paraId="617AE82B" w14:textId="77777777" w:rsidR="00D05292" w:rsidRDefault="00D05292" w:rsidP="00D05292">
      <w:pPr>
        <w:pStyle w:val="BodyText"/>
      </w:pPr>
      <w:r>
        <w:t>These decision trees do not aim to be definitive about when a particular good or service (products) should attract a policy response, but rather to highlight those considerations that can either increase or decrease the public policy case for the intervention.</w:t>
      </w:r>
    </w:p>
    <w:p w14:paraId="43299ED9" w14:textId="2FE4906B" w:rsidR="00D05292" w:rsidRDefault="00D05292" w:rsidP="00D05292">
      <w:pPr>
        <w:pStyle w:val="BodyText"/>
        <w:rPr>
          <w:rFonts w:eastAsia="Arial" w:cs="Arial"/>
        </w:rPr>
      </w:pPr>
      <w:r>
        <w:t xml:space="preserve">The first decision tree asks policy makers questions such as ‘Would a supply disruption have serious welfare impacts?’ and ‘Can companies manage </w:t>
      </w:r>
      <w:proofErr w:type="gramStart"/>
      <w:r>
        <w:t>these supply</w:t>
      </w:r>
      <w:proofErr w:type="gramEnd"/>
      <w:r>
        <w:t xml:space="preserve"> chain risks themselves?’. </w:t>
      </w:r>
      <w:r w:rsidRPr="67A82B0B">
        <w:rPr>
          <w:rFonts w:eastAsia="Arial" w:cs="Arial"/>
        </w:rPr>
        <w:t xml:space="preserve">If </w:t>
      </w:r>
      <w:r>
        <w:rPr>
          <w:rFonts w:eastAsia="Arial" w:cs="Arial"/>
        </w:rPr>
        <w:t xml:space="preserve">that </w:t>
      </w:r>
      <w:r w:rsidRPr="67A82B0B">
        <w:rPr>
          <w:rFonts w:eastAsia="Arial" w:cs="Arial"/>
        </w:rPr>
        <w:t xml:space="preserve">process identifies </w:t>
      </w:r>
      <w:r>
        <w:rPr>
          <w:rFonts w:eastAsia="Arial" w:cs="Arial"/>
        </w:rPr>
        <w:t>products</w:t>
      </w:r>
      <w:r w:rsidRPr="67A82B0B">
        <w:rPr>
          <w:rFonts w:eastAsia="Arial" w:cs="Arial"/>
        </w:rPr>
        <w:t xml:space="preserve"> that </w:t>
      </w:r>
      <w:r>
        <w:rPr>
          <w:rFonts w:eastAsia="Arial" w:cs="Arial"/>
        </w:rPr>
        <w:t>are essential to resilience and security</w:t>
      </w:r>
      <w:r w:rsidRPr="67A82B0B">
        <w:rPr>
          <w:rFonts w:eastAsia="Arial" w:cs="Arial"/>
        </w:rPr>
        <w:t xml:space="preserve">, thought can then be given to which policy measures </w:t>
      </w:r>
      <w:r>
        <w:rPr>
          <w:rFonts w:eastAsia="Arial" w:cs="Arial"/>
        </w:rPr>
        <w:t xml:space="preserve">are best placed to manage those risks. The second decision tree asks questions such as </w:t>
      </w:r>
      <w:r>
        <w:t>‘</w:t>
      </w:r>
      <w:r w:rsidR="0030682B">
        <w:t>C</w:t>
      </w:r>
      <w:r>
        <w:t>an we partner with other countries to manage these risks?’, or ‘</w:t>
      </w:r>
      <w:r w:rsidR="0030682B">
        <w:t>C</w:t>
      </w:r>
      <w:r>
        <w:t>an we stockpile the product?’.</w:t>
      </w:r>
    </w:p>
    <w:p w14:paraId="2EBFD3E2" w14:textId="36D30CC3" w:rsidR="00D05292" w:rsidRDefault="00D05292" w:rsidP="00D05292">
      <w:pPr>
        <w:pStyle w:val="BodyText"/>
      </w:pPr>
      <w:r>
        <w:t>Importantly, the second decision tree also asks a final ‘sense</w:t>
      </w:r>
      <w:r>
        <w:noBreakHyphen/>
        <w:t>check’ question: ‘</w:t>
      </w:r>
      <w:r w:rsidR="001B7A0A">
        <w:t>H</w:t>
      </w:r>
      <w:r>
        <w:t>ow frequently, or with what probability, would a feared disruptive event have to occur to justify the policy measure?’</w:t>
      </w:r>
      <w:r w:rsidR="001B7A0A">
        <w:t>.</w:t>
      </w:r>
      <w:r>
        <w:t xml:space="preserve"> </w:t>
      </w:r>
      <w:r w:rsidR="001B7A0A">
        <w:t>That is,</w:t>
      </w:r>
      <w:r>
        <w:t xml:space="preserve"> would the costs of the measure be lower than the costs of the disruption itself</w:t>
      </w:r>
      <w:r w:rsidR="001B7A0A">
        <w:t>?</w:t>
      </w:r>
      <w:r>
        <w:t xml:space="preserve"> This is the same way that an individual, household, business, or government might decide whether to buy an insurance policy or not.</w:t>
      </w:r>
      <w:r w:rsidRPr="009D35A9">
        <w:t xml:space="preserve"> </w:t>
      </w:r>
    </w:p>
    <w:p w14:paraId="103051E8" w14:textId="343B026F" w:rsidR="00D05292" w:rsidRPr="00F10FEE" w:rsidRDefault="00D05292" w:rsidP="00D05292">
      <w:pPr>
        <w:pStyle w:val="BodyText"/>
      </w:pPr>
      <w:r>
        <w:lastRenderedPageBreak/>
        <w:t xml:space="preserve">This indicator is not proposed as a determinative test, </w:t>
      </w:r>
      <w:r w:rsidRPr="009A14DA">
        <w:t xml:space="preserve">one that needs to be </w:t>
      </w:r>
      <w:r>
        <w:t>met</w:t>
      </w:r>
      <w:r w:rsidRPr="009A14DA">
        <w:t xml:space="preserve"> to a pre</w:t>
      </w:r>
      <w:r>
        <w:noBreakHyphen/>
      </w:r>
      <w:r w:rsidRPr="009A14DA">
        <w:t>determined</w:t>
      </w:r>
      <w:r>
        <w:t xml:space="preserve"> degree before a final decision to proceed with a proposal is made. The level of risk that a country is willing to bear is ultimately a choice for society, intermediated through government. This is true for all risks faced by a </w:t>
      </w:r>
      <w:proofErr w:type="gramStart"/>
      <w:r>
        <w:t>country, but</w:t>
      </w:r>
      <w:proofErr w:type="gramEnd"/>
      <w:r>
        <w:t xml:space="preserve"> is particularly apparent in the case of existential national security risks, </w:t>
      </w:r>
      <w:r w:rsidR="001733FB">
        <w:t xml:space="preserve">for </w:t>
      </w:r>
      <w:r>
        <w:t>which countries may be willing to bear any costs to avoid once they begin to materialise. This test does, however, provide the opportunity to make decisions with ‘eyes</w:t>
      </w:r>
      <w:r w:rsidR="00A86527">
        <w:t xml:space="preserve"> </w:t>
      </w:r>
      <w:r>
        <w:t>wide open’, and provide a common metric by which alternative approaches to managing such risks can be compared.</w:t>
      </w:r>
      <w:r w:rsidRPr="009A14DA" w:rsidDel="0096259E">
        <w:t xml:space="preserve"> </w:t>
      </w:r>
    </w:p>
    <w:p w14:paraId="28C2EBBA" w14:textId="77777777" w:rsidR="00D05292" w:rsidRPr="00FB4B41" w:rsidRDefault="00D05292" w:rsidP="00D05292">
      <w:pPr>
        <w:pStyle w:val="BodyText"/>
        <w:rPr>
          <w:spacing w:val="-4"/>
        </w:rPr>
      </w:pPr>
      <w:r w:rsidRPr="00FB4B41">
        <w:rPr>
          <w:spacing w:val="-4"/>
        </w:rPr>
        <w:t>Two illustrative case studies are included to provide worked examples of how these decision trees can be used.</w:t>
      </w:r>
    </w:p>
    <w:p w14:paraId="58DA0C1F" w14:textId="1C23104B" w:rsidR="00D05292" w:rsidRDefault="00D05292" w:rsidP="00D05292">
      <w:pPr>
        <w:pStyle w:val="BodyText"/>
        <w:rPr>
          <w:rFonts w:eastAsia="Arial" w:cs="Arial"/>
        </w:rPr>
      </w:pPr>
      <w:r>
        <w:rPr>
          <w:rFonts w:eastAsia="Arial" w:cs="Arial"/>
        </w:rPr>
        <w:t>A separate decision tree is provided for net zero</w:t>
      </w:r>
      <w:r w:rsidR="00E230A4">
        <w:rPr>
          <w:rFonts w:eastAsia="Arial" w:cs="Arial"/>
        </w:rPr>
        <w:t>-related</w:t>
      </w:r>
      <w:r>
        <w:rPr>
          <w:rFonts w:eastAsia="Arial" w:cs="Arial"/>
        </w:rPr>
        <w:t xml:space="preserve"> </w:t>
      </w:r>
      <w:r w:rsidR="00CA74B2">
        <w:rPr>
          <w:rFonts w:eastAsia="Arial" w:cs="Arial"/>
        </w:rPr>
        <w:t>industry policy</w:t>
      </w:r>
      <w:r>
        <w:rPr>
          <w:rFonts w:eastAsia="Arial" w:cs="Arial"/>
        </w:rPr>
        <w:t>, which asks policy makers to think about issues that can impact the case for providing policy support to individual greenhouse gas abatement activities. Factors include whether there are significant market failures that can be efficiently addressed by industry support; whether policy support can position Australia to more readily adopt new technologies; and whether support is likely to reduce the overall cost of the abatement task required to reach net zero by 2050.</w:t>
      </w:r>
    </w:p>
    <w:p w14:paraId="400FDB07" w14:textId="77777777" w:rsidR="00D05292" w:rsidRPr="00FB4B41" w:rsidRDefault="00D05292" w:rsidP="00D05292">
      <w:pPr>
        <w:pStyle w:val="BodyText"/>
        <w:rPr>
          <w:spacing w:val="-2"/>
        </w:rPr>
      </w:pPr>
      <w:r w:rsidRPr="00FB4B41">
        <w:rPr>
          <w:rFonts w:eastAsia="Arial" w:cs="Arial"/>
          <w:spacing w:val="-2"/>
        </w:rPr>
        <w:t>The net zero decision</w:t>
      </w:r>
      <w:r w:rsidRPr="00FB4B41">
        <w:rPr>
          <w:rFonts w:eastAsia="Arial" w:cs="Arial"/>
          <w:spacing w:val="-2"/>
        </w:rPr>
        <w:noBreakHyphen/>
        <w:t>making process also considers which industries may have a sustained comparative advantage in a future net zero economy and thus have natural ‘off</w:t>
      </w:r>
      <w:r w:rsidRPr="00FB4B41">
        <w:rPr>
          <w:rFonts w:eastAsia="Arial" w:cs="Arial"/>
          <w:spacing w:val="-2"/>
        </w:rPr>
        <w:noBreakHyphen/>
        <w:t>ramps’ for support once they are self</w:t>
      </w:r>
      <w:r w:rsidRPr="00FB4B41">
        <w:rPr>
          <w:rFonts w:eastAsia="Arial" w:cs="Arial"/>
          <w:spacing w:val="-2"/>
        </w:rPr>
        <w:noBreakHyphen/>
        <w:t>sustaining, or once it becomes clear that Australia is unlikely to secure a comparative advantage in them.</w:t>
      </w:r>
    </w:p>
    <w:p w14:paraId="3B52663F" w14:textId="77777777" w:rsidR="00D05292" w:rsidRDefault="00D05292" w:rsidP="00D05292">
      <w:pPr>
        <w:pStyle w:val="Heading2-nonumber"/>
      </w:pPr>
      <w:bookmarkStart w:id="5" w:name="_Toc209470142"/>
      <w:bookmarkStart w:id="6" w:name="_Toc210942146"/>
      <w:r>
        <w:t>Relationship of this work to Future Made in Australia and broader policy settings</w:t>
      </w:r>
      <w:bookmarkEnd w:id="5"/>
      <w:bookmarkEnd w:id="6"/>
    </w:p>
    <w:p w14:paraId="63295C65" w14:textId="6C9B5650" w:rsidR="00D05292" w:rsidRDefault="00D05292" w:rsidP="00D05292">
      <w:pPr>
        <w:pStyle w:val="BodyText"/>
      </w:pPr>
      <w:r>
        <w:t xml:space="preserve">A robust </w:t>
      </w:r>
      <w:r w:rsidR="00CA74B2">
        <w:t>industry policy</w:t>
      </w:r>
      <w:r>
        <w:t xml:space="preserve"> framework relies on a well</w:t>
      </w:r>
      <w:r>
        <w:noBreakHyphen/>
        <w:t>designed economic framework to target government support. The principles and decision</w:t>
      </w:r>
      <w:r>
        <w:noBreakHyphen/>
        <w:t>making structures outlined provide a foundation for such assessments. These elements are applicable across industries and could inform the development or expansion of frameworks while also addressing broader strategic policy considerations</w:t>
      </w:r>
      <w:r w:rsidDel="00500B4B">
        <w:t xml:space="preserve"> (appendix</w:t>
      </w:r>
      <w:r>
        <w:t> </w:t>
      </w:r>
      <w:r w:rsidDel="00500B4B">
        <w:t>A).</w:t>
      </w:r>
    </w:p>
    <w:p w14:paraId="44CA82E8" w14:textId="77777777" w:rsidR="00D05292" w:rsidRPr="00E444BD" w:rsidRDefault="00D05292" w:rsidP="00D05292">
      <w:pPr>
        <w:pStyle w:val="BodyText"/>
        <w:rPr>
          <w:spacing w:val="2"/>
        </w:rPr>
      </w:pPr>
      <w:r w:rsidRPr="00E444BD">
        <w:rPr>
          <w:spacing w:val="2"/>
        </w:rPr>
        <w:t xml:space="preserve">One such framework is the National Interest Framework (NIF), legislated under the </w:t>
      </w:r>
      <w:r w:rsidRPr="00E444BD">
        <w:rPr>
          <w:i/>
          <w:spacing w:val="2"/>
        </w:rPr>
        <w:t xml:space="preserve">Future Made in Australia </w:t>
      </w:r>
      <w:r w:rsidRPr="00E444BD">
        <w:rPr>
          <w:i/>
          <w:iCs/>
          <w:spacing w:val="2"/>
        </w:rPr>
        <w:t xml:space="preserve">Act </w:t>
      </w:r>
      <w:r w:rsidRPr="00E444BD">
        <w:rPr>
          <w:i/>
          <w:spacing w:val="2"/>
        </w:rPr>
        <w:t>2024</w:t>
      </w:r>
      <w:r w:rsidRPr="00E444BD">
        <w:rPr>
          <w:spacing w:val="2"/>
        </w:rPr>
        <w:t xml:space="preserve"> (Cth) in December 2024. This Act provides a mechanism by which the Treasurer can ask Treasury to assess the extent to which a proposed FMIA sector is consistent with the associated NIF. The process will determine the sectors for investments but not necessarily the proportionate level of support for a given sector over another.</w:t>
      </w:r>
    </w:p>
    <w:p w14:paraId="39D2D890" w14:textId="46A65774" w:rsidR="00D05292" w:rsidRDefault="00D05292" w:rsidP="00744F1E">
      <w:pPr>
        <w:pStyle w:val="BodyText"/>
      </w:pPr>
      <w:r>
        <w:t>While designed to assist with thinking about the design of NIF Sector Assessments, the principles and decision</w:t>
      </w:r>
      <w:r>
        <w:noBreakHyphen/>
        <w:t xml:space="preserve">making tools presented here possess broader applicability. This includes to the broader range of policy settings that target similar objectives to FMIA without falling under the FMIA banner, and to the thinking of the Office of Supply Chain Resilience and </w:t>
      </w:r>
      <w:r w:rsidR="006E5970">
        <w:t>the</w:t>
      </w:r>
      <w:r>
        <w:t xml:space="preserve"> groups convened through the National Coordination Mechanism</w:t>
      </w:r>
      <w:r w:rsidR="006E5970">
        <w:t>.</w:t>
      </w:r>
      <w:r>
        <w:t xml:space="preserve"> Consequently, the framework outlined in this document offers a versatile structure suitable to evaluating a wider array of </w:t>
      </w:r>
      <w:r w:rsidR="00CA74B2">
        <w:t>industry policy</w:t>
      </w:r>
      <w:r>
        <w:t xml:space="preserve"> interventions across government. </w:t>
      </w:r>
    </w:p>
    <w:p w14:paraId="00BF5504" w14:textId="22FF3E7E" w:rsidR="00A51079" w:rsidRPr="00A51079" w:rsidRDefault="00A51079" w:rsidP="006526F8">
      <w:pPr>
        <w:sectPr w:rsidR="00A51079" w:rsidRPr="00A51079" w:rsidSect="00E10888">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134" w:left="1134" w:header="794" w:footer="510" w:gutter="0"/>
          <w:pgNumType w:start="1"/>
          <w:cols w:space="708"/>
          <w:docGrid w:linePitch="360"/>
        </w:sectPr>
      </w:pPr>
    </w:p>
    <w:p w14:paraId="397A2261" w14:textId="2534C288" w:rsidR="00984787" w:rsidRDefault="00A905DF" w:rsidP="001857E2">
      <w:pPr>
        <w:pStyle w:val="Heading1"/>
      </w:pPr>
      <w:bookmarkStart w:id="7" w:name="_Toc195696819"/>
      <w:bookmarkStart w:id="8" w:name="_Toc195696908"/>
      <w:bookmarkStart w:id="9" w:name="_Toc195696952"/>
      <w:bookmarkStart w:id="10" w:name="_Toc195697018"/>
      <w:bookmarkStart w:id="11" w:name="_Toc195697237"/>
      <w:bookmarkStart w:id="12" w:name="_Toc210942147"/>
      <w:bookmarkEnd w:id="7"/>
      <w:bookmarkEnd w:id="8"/>
      <w:bookmarkEnd w:id="9"/>
      <w:bookmarkEnd w:id="10"/>
      <w:bookmarkEnd w:id="11"/>
      <w:r>
        <w:lastRenderedPageBreak/>
        <w:t xml:space="preserve">About this </w:t>
      </w:r>
      <w:r w:rsidR="004064E8">
        <w:t>research</w:t>
      </w:r>
      <w:bookmarkEnd w:id="12"/>
    </w:p>
    <w:p w14:paraId="3B9E08D6" w14:textId="18A49242" w:rsidR="009F13A1" w:rsidRDefault="00E1377B" w:rsidP="009F13A1">
      <w:pPr>
        <w:pStyle w:val="Heading2"/>
      </w:pPr>
      <w:bookmarkStart w:id="13" w:name="_Toc210942148"/>
      <w:r>
        <w:t>Understanding modern industry policy</w:t>
      </w:r>
      <w:bookmarkEnd w:id="13"/>
    </w:p>
    <w:p w14:paraId="19469389" w14:textId="5D8C4A9A" w:rsidR="00091BFF" w:rsidRPr="00091BFF" w:rsidRDefault="00091BFF" w:rsidP="00744F1E">
      <w:pPr>
        <w:pStyle w:val="Heading3"/>
      </w:pPr>
      <w:r>
        <w:t xml:space="preserve">Trends in </w:t>
      </w:r>
      <w:r w:rsidR="004E51C7">
        <w:t>modern industry policy</w:t>
      </w:r>
    </w:p>
    <w:p w14:paraId="08B91EDC" w14:textId="576917E8" w:rsidR="00332BBD" w:rsidRPr="0027116F" w:rsidRDefault="000F0842" w:rsidP="00744F1E">
      <w:pPr>
        <w:pStyle w:val="BodyText"/>
        <w:rPr>
          <w:spacing w:val="-4"/>
        </w:rPr>
      </w:pPr>
      <w:r w:rsidRPr="0027116F">
        <w:rPr>
          <w:spacing w:val="-4"/>
        </w:rPr>
        <w:t>In recent decades, Australian industry and trade policy operated under a broad consensus favouring trade liberalisation</w:t>
      </w:r>
      <w:r w:rsidR="006533D1" w:rsidRPr="0027116F">
        <w:rPr>
          <w:spacing w:val="-4"/>
        </w:rPr>
        <w:t xml:space="preserve"> </w:t>
      </w:r>
      <w:r w:rsidRPr="0027116F">
        <w:rPr>
          <w:spacing w:val="-4"/>
        </w:rPr>
        <w:t>and reliance on market mechanisms.</w:t>
      </w:r>
      <w:r w:rsidR="00267F4F" w:rsidRPr="0027116F">
        <w:rPr>
          <w:spacing w:val="-4"/>
        </w:rPr>
        <w:t xml:space="preserve"> </w:t>
      </w:r>
      <w:r w:rsidR="00ED18B3" w:rsidRPr="0027116F">
        <w:rPr>
          <w:spacing w:val="-4"/>
        </w:rPr>
        <w:t xml:space="preserve">This primarily came through the progressive dismantling </w:t>
      </w:r>
      <w:r w:rsidR="00A56A76" w:rsidRPr="0027116F">
        <w:rPr>
          <w:spacing w:val="-4"/>
        </w:rPr>
        <w:t xml:space="preserve">of the system </w:t>
      </w:r>
      <w:r w:rsidR="00C230C4" w:rsidRPr="0027116F">
        <w:rPr>
          <w:spacing w:val="-4"/>
        </w:rPr>
        <w:t>of</w:t>
      </w:r>
      <w:r w:rsidR="00A56A76" w:rsidRPr="0027116F">
        <w:rPr>
          <w:spacing w:val="-4"/>
        </w:rPr>
        <w:t xml:space="preserve"> quotas and tariffs that </w:t>
      </w:r>
      <w:r w:rsidR="0096623B" w:rsidRPr="0027116F">
        <w:rPr>
          <w:spacing w:val="-4"/>
        </w:rPr>
        <w:t xml:space="preserve">had </w:t>
      </w:r>
      <w:r w:rsidR="00A56A76" w:rsidRPr="0027116F">
        <w:rPr>
          <w:spacing w:val="-4"/>
        </w:rPr>
        <w:t>protected domestic industry from international competition</w:t>
      </w:r>
      <w:r w:rsidR="00896A8D" w:rsidRPr="0027116F">
        <w:rPr>
          <w:spacing w:val="-4"/>
        </w:rPr>
        <w:t xml:space="preserve"> ‘at the border’</w:t>
      </w:r>
      <w:r w:rsidR="00A56A76" w:rsidRPr="0027116F">
        <w:rPr>
          <w:spacing w:val="-4"/>
        </w:rPr>
        <w:t>.</w:t>
      </w:r>
    </w:p>
    <w:p w14:paraId="1A9EE613" w14:textId="7B18C4A8" w:rsidR="000F0842" w:rsidRDefault="00A56A76" w:rsidP="00744F1E">
      <w:pPr>
        <w:pStyle w:val="BodyText"/>
      </w:pPr>
      <w:r>
        <w:t xml:space="preserve">As </w:t>
      </w:r>
      <w:r w:rsidR="00B46E3A">
        <w:t>shown in</w:t>
      </w:r>
      <w:r w:rsidR="0062033B">
        <w:t xml:space="preserve"> </w:t>
      </w:r>
      <w:r w:rsidR="00A4348F">
        <w:t>f</w:t>
      </w:r>
      <w:r w:rsidR="00B36C83">
        <w:t xml:space="preserve">igure </w:t>
      </w:r>
      <w:r w:rsidR="00B36C83">
        <w:rPr>
          <w:noProof/>
        </w:rPr>
        <w:t>1.1</w:t>
      </w:r>
      <w:r w:rsidR="00A70A0E">
        <w:t>,</w:t>
      </w:r>
      <w:r w:rsidR="00704750">
        <w:t xml:space="preserve"> </w:t>
      </w:r>
      <w:r w:rsidR="00774D57">
        <w:t xml:space="preserve">the </w:t>
      </w:r>
      <w:r w:rsidR="005C2135">
        <w:t xml:space="preserve">approach </w:t>
      </w:r>
      <w:r w:rsidR="00B33BB0">
        <w:t>of recent decades</w:t>
      </w:r>
      <w:r w:rsidR="005C2135">
        <w:t xml:space="preserve"> has </w:t>
      </w:r>
      <w:r w:rsidR="000F0842">
        <w:t>marked a departure from earlier periods of significant industry protection</w:t>
      </w:r>
      <w:r w:rsidR="002C7658">
        <w:t>.</w:t>
      </w:r>
      <w:r>
        <w:t xml:space="preserve"> </w:t>
      </w:r>
      <w:r w:rsidR="00FC1209">
        <w:t xml:space="preserve">Over this period ‘behind the border’ assistance – such as </w:t>
      </w:r>
      <w:r w:rsidR="00135828">
        <w:t xml:space="preserve">domestic </w:t>
      </w:r>
      <w:r w:rsidR="00FC1209">
        <w:t>subsidies</w:t>
      </w:r>
      <w:r w:rsidR="005F235C">
        <w:t>, government grants, local content rules and</w:t>
      </w:r>
      <w:r w:rsidR="00FC1209">
        <w:t xml:space="preserve"> concessional finance</w:t>
      </w:r>
      <w:r w:rsidR="00641B41">
        <w:t xml:space="preserve"> – </w:t>
      </w:r>
      <w:r w:rsidR="007C5F9F">
        <w:t xml:space="preserve">grew </w:t>
      </w:r>
      <w:r w:rsidR="00A61273">
        <w:t>but did not</w:t>
      </w:r>
      <w:r w:rsidR="00FC1209">
        <w:t xml:space="preserve"> offset falling </w:t>
      </w:r>
      <w:r w:rsidR="00A61273">
        <w:t xml:space="preserve">assistance </w:t>
      </w:r>
      <w:r w:rsidR="00FC1209">
        <w:t>‘at the border’.</w:t>
      </w:r>
    </w:p>
    <w:p w14:paraId="390168E0" w14:textId="68649ACF" w:rsidR="00A354C9" w:rsidRPr="00622B65" w:rsidRDefault="00704750" w:rsidP="00326B40">
      <w:pPr>
        <w:pStyle w:val="FigureTableHeading"/>
        <w:rPr>
          <w:vertAlign w:val="superscript"/>
        </w:rPr>
      </w:pPr>
      <w:bookmarkStart w:id="14" w:name="_Ref196987366"/>
      <w:r>
        <w:t xml:space="preserve">Figure </w:t>
      </w:r>
      <w:r w:rsidR="00C223E9">
        <w:fldChar w:fldCharType="begin"/>
      </w:r>
      <w:r w:rsidR="00C223E9">
        <w:instrText xml:space="preserve"> STYLEREF 1 \s </w:instrText>
      </w:r>
      <w:r w:rsidR="00C223E9">
        <w:fldChar w:fldCharType="separate"/>
      </w:r>
      <w:r w:rsidR="00E57184">
        <w:rPr>
          <w:noProof/>
        </w:rPr>
        <w:t>1</w:t>
      </w:r>
      <w:r w:rsidR="00C223E9">
        <w:rPr>
          <w:noProof/>
        </w:rPr>
        <w:fldChar w:fldCharType="end"/>
      </w:r>
      <w:r w:rsidR="008B1E25">
        <w:t>.</w:t>
      </w:r>
      <w:r w:rsidR="00C223E9">
        <w:fldChar w:fldCharType="begin"/>
      </w:r>
      <w:r w:rsidR="00C223E9">
        <w:instrText xml:space="preserve"> SEQ Figure \* ARABIC \s 1 </w:instrText>
      </w:r>
      <w:r w:rsidR="00C223E9">
        <w:fldChar w:fldCharType="separate"/>
      </w:r>
      <w:r w:rsidR="00E57184">
        <w:rPr>
          <w:noProof/>
        </w:rPr>
        <w:t>1</w:t>
      </w:r>
      <w:r w:rsidR="00C223E9">
        <w:rPr>
          <w:noProof/>
        </w:rPr>
        <w:fldChar w:fldCharType="end"/>
      </w:r>
      <w:bookmarkEnd w:id="14"/>
      <w:r w:rsidR="00092D30">
        <w:rPr>
          <w:noProof/>
        </w:rPr>
        <w:t xml:space="preserve"> </w:t>
      </w:r>
      <w:r w:rsidR="00092D30">
        <w:t>–</w:t>
      </w:r>
      <w:r w:rsidR="00A354C9" w:rsidRPr="00622B65">
        <w:t xml:space="preserve"> A long</w:t>
      </w:r>
      <w:r w:rsidR="00A354C9" w:rsidRPr="00622B65">
        <w:noBreakHyphen/>
        <w:t xml:space="preserve">run downward trend in </w:t>
      </w:r>
      <w:r w:rsidR="008B1E25">
        <w:t>effective rates of</w:t>
      </w:r>
      <w:r w:rsidR="00A354C9" w:rsidRPr="00622B65">
        <w:t xml:space="preserve"> </w:t>
      </w:r>
      <w:r w:rsidR="00FC4AC2">
        <w:t xml:space="preserve">industry </w:t>
      </w:r>
      <w:proofErr w:type="spellStart"/>
      <w:proofErr w:type="gramStart"/>
      <w:r w:rsidR="00A354C9" w:rsidRPr="00622B65">
        <w:t>assistance</w:t>
      </w:r>
      <w:r w:rsidR="00A354C9" w:rsidRPr="00622B65">
        <w:rPr>
          <w:vertAlign w:val="superscript"/>
        </w:rPr>
        <w:t>a,b</w:t>
      </w:r>
      <w:proofErr w:type="gramEnd"/>
      <w:r w:rsidR="00A354C9" w:rsidRPr="00622B65">
        <w:rPr>
          <w:vertAlign w:val="superscript"/>
        </w:rPr>
        <w:t>,c</w:t>
      </w:r>
      <w:proofErr w:type="spellEnd"/>
    </w:p>
    <w:p w14:paraId="42BF3644" w14:textId="4B3579CA" w:rsidR="00A354C9" w:rsidRDefault="008A4D7A" w:rsidP="00516F4E">
      <w:pPr>
        <w:pStyle w:val="BodyText"/>
        <w:spacing w:before="0"/>
        <w:rPr>
          <w:spacing w:val="-4"/>
        </w:rPr>
      </w:pPr>
      <w:r w:rsidRPr="008A4D7A">
        <w:rPr>
          <w:noProof/>
        </w:rPr>
        <w:drawing>
          <wp:inline distT="0" distB="0" distL="0" distR="0" wp14:anchorId="41C85DE7" wp14:editId="7CA12388">
            <wp:extent cx="6120130" cy="2823845"/>
            <wp:effectExtent l="0" t="0" r="0" b="0"/>
            <wp:docPr id="1903517060" name="Picture 1" descr="This figure shows that the effective rate of assistance for manufacturing and agriculture have both declined from around 30% in 1970 to around 5% by 2000. Since then, the effective rate of assistance for manufacturing has remained broadly the same to 2021, and the rate for agriculture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17060" name="Picture 1" descr="This figure shows that the effective rate of assistance for manufacturing and agriculture have both declined from around 30% in 1970 to around 5% by 2000. Since then, the effective rate of assistance for manufacturing has remained broadly the same to 2021, and the rate for agriculture has increased slight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823845"/>
                    </a:xfrm>
                    <a:prstGeom prst="rect">
                      <a:avLst/>
                    </a:prstGeom>
                    <a:noFill/>
                    <a:ln>
                      <a:noFill/>
                    </a:ln>
                  </pic:spPr>
                </pic:pic>
              </a:graphicData>
            </a:graphic>
          </wp:inline>
        </w:drawing>
      </w:r>
    </w:p>
    <w:p w14:paraId="3C919BBB" w14:textId="400BBD35" w:rsidR="00A354C9" w:rsidRPr="00622B65" w:rsidRDefault="00A354C9" w:rsidP="00A354C9">
      <w:pPr>
        <w:pStyle w:val="Note"/>
        <w:keepLines/>
        <w:rPr>
          <w:spacing w:val="-4"/>
        </w:rPr>
      </w:pPr>
      <w:r w:rsidRPr="00622B65">
        <w:rPr>
          <w:b/>
          <w:bCs/>
          <w:spacing w:val="-4"/>
        </w:rPr>
        <w:t>a.</w:t>
      </w:r>
      <w:r w:rsidRPr="00622B65">
        <w:rPr>
          <w:spacing w:val="-4"/>
        </w:rPr>
        <w:t xml:space="preserve"> Effective rate of assistance </w:t>
      </w:r>
      <w:r w:rsidR="0011579C">
        <w:rPr>
          <w:spacing w:val="-4"/>
        </w:rPr>
        <w:t xml:space="preserve">represents </w:t>
      </w:r>
      <w:r w:rsidRPr="00622B65">
        <w:rPr>
          <w:spacing w:val="-4"/>
        </w:rPr>
        <w:t>combined tariff assistance and budgetary assistance</w:t>
      </w:r>
      <w:r w:rsidR="001D5F9F">
        <w:rPr>
          <w:spacing w:val="-4"/>
        </w:rPr>
        <w:t xml:space="preserve"> as a percent of unassisted net output</w:t>
      </w:r>
      <w:r w:rsidRPr="00622B65">
        <w:rPr>
          <w:spacing w:val="-4"/>
        </w:rPr>
        <w:t xml:space="preserve">. </w:t>
      </w:r>
      <w:r w:rsidRPr="00622B65">
        <w:rPr>
          <w:b/>
          <w:bCs/>
          <w:spacing w:val="-4"/>
        </w:rPr>
        <w:t>b.</w:t>
      </w:r>
      <w:r w:rsidRPr="00622B65">
        <w:rPr>
          <w:spacing w:val="-4"/>
        </w:rPr>
        <w:t xml:space="preserve"> ‘Agriculture’ refers to selected agriculture activities up to and including 2000</w:t>
      </w:r>
      <w:r w:rsidRPr="00622B65">
        <w:rPr>
          <w:spacing w:val="-4"/>
        </w:rPr>
        <w:noBreakHyphen/>
        <w:t>01. From 2001</w:t>
      </w:r>
      <w:r w:rsidRPr="00622B65">
        <w:rPr>
          <w:spacing w:val="-4"/>
        </w:rPr>
        <w:noBreakHyphen/>
        <w:t xml:space="preserve">02, estimates refer to division A of the Australian and New Zealand </w:t>
      </w:r>
      <w:r>
        <w:rPr>
          <w:spacing w:val="-4"/>
        </w:rPr>
        <w:t>s</w:t>
      </w:r>
      <w:r w:rsidRPr="00622B65">
        <w:rPr>
          <w:spacing w:val="-4"/>
        </w:rPr>
        <w:t xml:space="preserve">tandard </w:t>
      </w:r>
      <w:r>
        <w:rPr>
          <w:spacing w:val="-4"/>
        </w:rPr>
        <w:t>i</w:t>
      </w:r>
      <w:r w:rsidRPr="00622B65">
        <w:rPr>
          <w:spacing w:val="-4"/>
        </w:rPr>
        <w:t xml:space="preserve">ndustrial </w:t>
      </w:r>
      <w:r>
        <w:rPr>
          <w:spacing w:val="-4"/>
        </w:rPr>
        <w:t>c</w:t>
      </w:r>
      <w:r w:rsidRPr="00622B65">
        <w:rPr>
          <w:spacing w:val="-4"/>
        </w:rPr>
        <w:t>lassification</w:t>
      </w:r>
      <w:r>
        <w:rPr>
          <w:spacing w:val="-4"/>
        </w:rPr>
        <w:t>,</w:t>
      </w:r>
      <w:r w:rsidRPr="00622B65">
        <w:rPr>
          <w:spacing w:val="-4"/>
        </w:rPr>
        <w:t xml:space="preserve"> which covers agriculture, forestry, fishing and hunting activities </w:t>
      </w:r>
      <w:r w:rsidRPr="00DC0B4F">
        <w:rPr>
          <w:rFonts w:ascii="Arial" w:hAnsi="Arial" w:cs="Arial"/>
          <w:szCs w:val="24"/>
        </w:rPr>
        <w:t>(ABS 2013)</w:t>
      </w:r>
      <w:r w:rsidRPr="00622B65">
        <w:rPr>
          <w:spacing w:val="-4"/>
        </w:rPr>
        <w:t xml:space="preserve">. </w:t>
      </w:r>
      <w:r w:rsidRPr="00622B65">
        <w:rPr>
          <w:b/>
          <w:bCs/>
          <w:spacing w:val="-4"/>
        </w:rPr>
        <w:t>c.</w:t>
      </w:r>
      <w:r w:rsidRPr="00622B65">
        <w:rPr>
          <w:spacing w:val="-4"/>
        </w:rPr>
        <w:t> Breaks and overlapping series represent a change of methodology and/or data sources.</w:t>
      </w:r>
    </w:p>
    <w:p w14:paraId="4C81D8C5" w14:textId="2AF93D8F" w:rsidR="00753D7D" w:rsidRDefault="00A354C9" w:rsidP="00744F1E">
      <w:pPr>
        <w:pStyle w:val="Source"/>
      </w:pPr>
      <w:r w:rsidRPr="00622B65">
        <w:t xml:space="preserve">Source: </w:t>
      </w:r>
      <w:r w:rsidR="00092D30">
        <w:t>PC</w:t>
      </w:r>
      <w:r w:rsidRPr="00622B65">
        <w:t xml:space="preserve"> estimates.</w:t>
      </w:r>
    </w:p>
    <w:p w14:paraId="3C8DB4A3" w14:textId="119F967E" w:rsidR="00643548" w:rsidRDefault="0033700C" w:rsidP="00463C79">
      <w:pPr>
        <w:pStyle w:val="BodyText"/>
      </w:pPr>
      <w:r>
        <w:t xml:space="preserve">Many other countries behaved similarly over this period. </w:t>
      </w:r>
      <w:r w:rsidR="00643548">
        <w:t xml:space="preserve">As </w:t>
      </w:r>
      <w:r w:rsidR="006D70F1">
        <w:t>industry protections</w:t>
      </w:r>
      <w:r w:rsidR="00643548">
        <w:t xml:space="preserve"> fell, </w:t>
      </w:r>
      <w:r w:rsidR="00F77879">
        <w:t xml:space="preserve">the global economy became more </w:t>
      </w:r>
      <w:r w:rsidR="00E56753">
        <w:t>integrated</w:t>
      </w:r>
      <w:r w:rsidR="00DA0F0C">
        <w:t>, with</w:t>
      </w:r>
      <w:r w:rsidR="00211D8D">
        <w:t xml:space="preserve"> </w:t>
      </w:r>
      <w:r w:rsidR="00F77879">
        <w:t>trade ris</w:t>
      </w:r>
      <w:r w:rsidR="00DA0F0C">
        <w:t>ing</w:t>
      </w:r>
      <w:r w:rsidR="00F77879">
        <w:t xml:space="preserve"> from only</w:t>
      </w:r>
      <w:r w:rsidR="00643548">
        <w:t xml:space="preserve"> 26% of world</w:t>
      </w:r>
      <w:r w:rsidR="00B526CA">
        <w:t xml:space="preserve"> Gross Domestic Product</w:t>
      </w:r>
      <w:r w:rsidR="00643548">
        <w:t xml:space="preserve"> in 1970 to 59% in 2023 </w:t>
      </w:r>
      <w:r w:rsidR="00643548">
        <w:fldChar w:fldCharType="begin"/>
      </w:r>
      <w:r w:rsidR="00ED6B7B">
        <w:instrText xml:space="preserve"> ADDIN ZOTERO_ITEM CSL_CITATION {"citationID":"A9G7dlb8","properties":{"formattedCitation":"(World Bank\\uc0\\u160{}2025)","plainCitation":"(World Bank 2025)","noteIndex":0},"citationItems":[{"id":2742,"uris":["http://zotero.org/groups/5560192/items/BK2FZQSF"],"itemData":{"id":2742,"type":"document","title":"Trade (% of Gross Domestic Product)","URL":"https://data.worldbank.org/indicator/NE.TRD.GNFS.ZS","author":[{"literal":"World Bank"}],"accessed":{"date-parts":[["2025",5,20]]},"issued":{"date-parts":[["2025"]]}}}],"schema":"https://github.com/citation-style-language/schema/raw/master/csl-citation.json"} </w:instrText>
      </w:r>
      <w:r w:rsidR="00643548">
        <w:fldChar w:fldCharType="separate"/>
      </w:r>
      <w:r w:rsidR="00643548" w:rsidRPr="006771EE">
        <w:rPr>
          <w:rFonts w:ascii="Arial" w:hAnsi="Arial" w:cs="Arial"/>
        </w:rPr>
        <w:t>(World Bank 2025)</w:t>
      </w:r>
      <w:r w:rsidR="00643548">
        <w:fldChar w:fldCharType="end"/>
      </w:r>
      <w:r w:rsidR="00643548">
        <w:t>.</w:t>
      </w:r>
    </w:p>
    <w:p w14:paraId="475992E6" w14:textId="54460B8C" w:rsidR="00875E9A" w:rsidRDefault="00875E9A" w:rsidP="00E839D3">
      <w:pPr>
        <w:pStyle w:val="BodyText"/>
      </w:pPr>
      <w:r w:rsidRPr="00875E9A">
        <w:lastRenderedPageBreak/>
        <w:t xml:space="preserve">The widespread move towards </w:t>
      </w:r>
      <w:r w:rsidR="00D153E4">
        <w:t>falling industry protection</w:t>
      </w:r>
      <w:r w:rsidRPr="00875E9A">
        <w:t xml:space="preserve"> globally </w:t>
      </w:r>
      <w:r w:rsidR="000F4C34">
        <w:t xml:space="preserve">and in Australia </w:t>
      </w:r>
      <w:r w:rsidR="006A18CB">
        <w:t>was</w:t>
      </w:r>
      <w:r w:rsidRPr="00875E9A">
        <w:t xml:space="preserve"> primarily driven by the pursuit of </w:t>
      </w:r>
      <w:r w:rsidR="0021444A">
        <w:t xml:space="preserve">higher living standards through </w:t>
      </w:r>
      <w:r w:rsidR="00351C97">
        <w:t>productivity</w:t>
      </w:r>
      <w:r w:rsidR="00D25956">
        <w:noBreakHyphen/>
      </w:r>
      <w:r w:rsidR="00351C97">
        <w:t>driven</w:t>
      </w:r>
      <w:r w:rsidRPr="00875E9A">
        <w:t xml:space="preserve"> economic growth. Governments and policymakers recogni</w:t>
      </w:r>
      <w:r w:rsidR="00A42E83">
        <w:t>s</w:t>
      </w:r>
      <w:r w:rsidRPr="00875E9A">
        <w:t xml:space="preserve">ed that opening markets </w:t>
      </w:r>
      <w:r w:rsidR="006A18CB">
        <w:t>would</w:t>
      </w:r>
      <w:r w:rsidRPr="00875E9A">
        <w:t xml:space="preserve"> stimulate competition, and encourage domestic industries to become more innovative</w:t>
      </w:r>
      <w:r w:rsidR="00273416">
        <w:t xml:space="preserve"> </w:t>
      </w:r>
      <w:r w:rsidR="00273416">
        <w:fldChar w:fldCharType="begin"/>
      </w:r>
      <w:r w:rsidR="00ED6B7B">
        <w:instrText xml:space="preserve"> ADDIN ZOTERO_ITEM CSL_CITATION {"citationID":"3zOsDSRa","properties":{"formattedCitation":"(CIE\\uc0\\u160{}2017, pp.\\uc0\\u160{}5\\uc0\\u8211{}7; Coelli et al.\\uc0\\u160{}2022)","plainCitation":"(CIE 2017, pp. 5–7; Coelli et al. 2022)","noteIndex":0},"citationItems":[{"id":2769,"uris":["http://zotero.org/groups/5560192/items/6MQPNZCS"],"itemData":{"id":2769,"type":"report","publisher":"Prepared for Australian Department of Foreign Affairs and Trade","title":"Australian Trade Liberalisation: Analysis of the economic impacts","URL":"https://www.dfat.gov.au/sites/default/files/cie-report-trade-liberalisation.pdf","translator":[{"literal":"CIE"}],"author":[{"literal":"Centre for International Economics"}],"issued":{"date-parts":[["2017",10]]}},"locator":"5-7","label":"page"},{"id":2757,"uris":["http://zotero.org/groups/5560192/items/SBD3VMWF"],"itemData":{"id":2757,"type":"article-journal","abstract":"This paper estimates the effect on innovation of increased market access facilitated by trade liberalization. We use a novel empirical design that exploits tariff cuts during the 1990s, along with detailed data on innovation among firms from 65 countries. Our results reveal a large effect of tariff cuts on innovation as measured by patent data, suggesting that multilateral liberalization has promoted innovation and growth. These effects are not driven by the deterioration of innovation quality, and the results are robust to controlling for changes in the patent system and to industry-wide trends in innovation.","container-title":"The Review of Economics and Statistics","DOI":"10.1162/rest_a_00951","ISSN":"0034-6535","issue":"2","journalAbbreviation":"The Review of Economics and Statistics","page":"205-216","title":"Better, Faster, Stronger: Global Innovation and Trade Liberalization","volume":"104","author":[{"family":"Coelli","given":"Federica"},{"family":"Moxnes","given":"Andreas"},{"family":"Ulltveit-Moe","given":"Karen Helene"}],"issued":{"date-parts":[["2022",3,1]]}}}],"schema":"https://github.com/citation-style-language/schema/raw/master/csl-citation.json"} </w:instrText>
      </w:r>
      <w:r w:rsidR="00273416">
        <w:fldChar w:fldCharType="separate"/>
      </w:r>
      <w:r w:rsidR="004A1F88" w:rsidRPr="004A1F88">
        <w:rPr>
          <w:rFonts w:ascii="Arial" w:hAnsi="Arial" w:cs="Arial"/>
        </w:rPr>
        <w:t>(CIE 2017, pp. 5–7; Coelli et al. 2022)</w:t>
      </w:r>
      <w:r w:rsidR="00273416">
        <w:fldChar w:fldCharType="end"/>
      </w:r>
      <w:r w:rsidR="001514E1">
        <w:t>.</w:t>
      </w:r>
      <w:r w:rsidR="007E50E1">
        <w:t xml:space="preserve"> </w:t>
      </w:r>
      <w:r w:rsidR="00A31F28">
        <w:t xml:space="preserve">Trade liberalisation and other means of economic </w:t>
      </w:r>
      <w:r w:rsidR="008755F7">
        <w:t>integration</w:t>
      </w:r>
      <w:r w:rsidR="00116D20">
        <w:t xml:space="preserve"> led to lower prices </w:t>
      </w:r>
      <w:r w:rsidR="00B628DD">
        <w:t xml:space="preserve">on a </w:t>
      </w:r>
      <w:r w:rsidR="00116D20">
        <w:t xml:space="preserve">wider variety of goods and services due to increased import competition, access to innovations from around the world, and ultimately higher living standards as </w:t>
      </w:r>
      <w:r w:rsidR="00E47007">
        <w:t xml:space="preserve">resources </w:t>
      </w:r>
      <w:r w:rsidR="00B628DD">
        <w:t>were</w:t>
      </w:r>
      <w:r w:rsidR="00E47007">
        <w:t xml:space="preserve"> allocated </w:t>
      </w:r>
      <w:r w:rsidR="008755F7">
        <w:t>to more efficient uses</w:t>
      </w:r>
      <w:r w:rsidR="000C286A">
        <w:t xml:space="preserve"> </w:t>
      </w:r>
      <w:r w:rsidR="000C286A">
        <w:fldChar w:fldCharType="begin"/>
      </w:r>
      <w:r w:rsidR="00ED6B7B">
        <w:instrText xml:space="preserve"> ADDIN ZOTERO_ITEM CSL_CITATION {"citationID":"npcZsxph","properties":{"formattedCitation":"(CIE\\uc0\\u160{}2017, pp.\\uc0\\u160{}15\\uc0\\u8211{}16; World Bank\\uc0\\u160{}2023)","plainCitation":"(CIE 2017, pp. 15–16; World Bank 2023)","noteIndex":0},"citationItems":[{"id":2769,"uris":["http://zotero.org/groups/5560192/items/6MQPNZCS"],"itemData":{"id":2769,"type":"report","publisher":"Prepared for Australian Department of Foreign Affairs and Trade","title":"Australian Trade Liberalisation: Analysis of the economic impacts","URL":"https://www.dfat.gov.au/sites/default/files/cie-report-trade-liberalisation.pdf","translator":[{"literal":"CIE"}],"author":[{"literal":"Centre for International Economics"}],"issued":{"date-parts":[["2017",10]]}},"locator":"15-16","label":"page"},{"id":2756,"uris":["http://zotero.org/groups/5560192/items/FPX36JFM"],"itemData":{"id":2756,"type":"webpage","abstract":"The global trade system should address legitimate concerns about national security and reliable access to key goods, but not at the expense of development.","container-title":"World Bank","language":"en","title":"Trade has been a powerful driver of economic development and poverty reduction","URL":"https://www.worldbank.org/en/topic/trade/brief/trade-has-been-a-powerful-driver-of-economic-development-and-poverty-reduction","author":[{"literal":"World Bank"}],"accessed":{"date-parts":[["2025",5,20]]},"issued":{"date-parts":[["2023",12,2]]}}}],"schema":"https://github.com/citation-style-language/schema/raw/master/csl-citation.json"} </w:instrText>
      </w:r>
      <w:r w:rsidR="000C286A">
        <w:fldChar w:fldCharType="separate"/>
      </w:r>
      <w:r w:rsidR="001B4A92" w:rsidRPr="001B4A92">
        <w:rPr>
          <w:rFonts w:ascii="Arial" w:hAnsi="Arial" w:cs="Arial"/>
        </w:rPr>
        <w:t>(CIE 2017, pp. 15–16; World Bank 2023)</w:t>
      </w:r>
      <w:r w:rsidR="000C286A">
        <w:fldChar w:fldCharType="end"/>
      </w:r>
      <w:r w:rsidR="008755F7">
        <w:t>.</w:t>
      </w:r>
    </w:p>
    <w:p w14:paraId="44E25267" w14:textId="55486EBA" w:rsidR="004E5B73" w:rsidRDefault="00C17697" w:rsidP="00E839D3">
      <w:pPr>
        <w:pStyle w:val="BodyText"/>
      </w:pPr>
      <w:r>
        <w:t>Recently</w:t>
      </w:r>
      <w:r w:rsidR="0087477A">
        <w:t xml:space="preserve">, the trend towards </w:t>
      </w:r>
      <w:r w:rsidR="001A1545">
        <w:t>declining industry protection</w:t>
      </w:r>
      <w:r w:rsidR="0087477A">
        <w:t xml:space="preserve"> has halted. </w:t>
      </w:r>
      <w:r w:rsidR="00917835">
        <w:t>G</w:t>
      </w:r>
      <w:r w:rsidR="006D6DC1">
        <w:t>lobal Trade Alert</w:t>
      </w:r>
      <w:r w:rsidR="004F759C">
        <w:t xml:space="preserve"> </w:t>
      </w:r>
      <w:r w:rsidR="009F7D62">
        <w:fldChar w:fldCharType="begin"/>
      </w:r>
      <w:r w:rsidR="00ED6B7B">
        <w:instrText xml:space="preserve"> ADDIN ZOTERO_ITEM CSL_CITATION {"citationID":"3LkcpWSI","properties":{"formattedCitation":"(2025)","plainCitation":"(2025)","noteIndex":0},"citationItems":[{"id":2751,"uris":["http://zotero.org/groups/5560192/items/NRSW4D6I"],"itemData":{"id":2751,"type":"webpage","abstract":"A trusted and recognized independent monitor of policies impacting global commerce.","container-title":"The World's Trade and Industrial Policy Watchdog","language":"en","title":"Global Trade Alert - Monitoring Policy Changes That Affect Global Trade","URL":"https://globaltradealert.org/","author":[{"literal":"Global Trade Alert"}],"accessed":{"date-parts":[["2025",5,1]]},"issued":{"date-parts":[["2025",9,10]]}},"suppress-author":true}],"schema":"https://github.com/citation-style-language/schema/raw/master/csl-citation.json"} </w:instrText>
      </w:r>
      <w:r w:rsidR="009F7D62">
        <w:fldChar w:fldCharType="separate"/>
      </w:r>
      <w:r w:rsidR="009F7D62" w:rsidRPr="00E465C1">
        <w:rPr>
          <w:rFonts w:ascii="Arial" w:hAnsi="Arial" w:cs="Arial"/>
        </w:rPr>
        <w:t>(2025)</w:t>
      </w:r>
      <w:r w:rsidR="009F7D62">
        <w:fldChar w:fldCharType="end"/>
      </w:r>
      <w:r w:rsidR="00683811">
        <w:t xml:space="preserve"> </w:t>
      </w:r>
      <w:r w:rsidR="004F759C">
        <w:t>has recorded a rising trend in trade distorting interventions globally</w:t>
      </w:r>
      <w:r w:rsidR="009F7D62">
        <w:t>,</w:t>
      </w:r>
      <w:r w:rsidR="004F759C">
        <w:t xml:space="preserve"> </w:t>
      </w:r>
      <w:r w:rsidR="002B169A">
        <w:t>identifying</w:t>
      </w:r>
      <w:r w:rsidR="00E21190" w:rsidRPr="00E21190">
        <w:t xml:space="preserve"> </w:t>
      </w:r>
      <w:r w:rsidR="00A66727">
        <w:t>2</w:t>
      </w:r>
      <w:r w:rsidR="00DB4809">
        <w:t>,</w:t>
      </w:r>
      <w:r w:rsidR="00A66727">
        <w:t>422</w:t>
      </w:r>
      <w:r w:rsidR="00E21190" w:rsidRPr="00E21190">
        <w:t xml:space="preserve"> </w:t>
      </w:r>
      <w:r w:rsidR="00BC3866">
        <w:t xml:space="preserve">trade distorting </w:t>
      </w:r>
      <w:r w:rsidR="00CB578F">
        <w:t>interventions</w:t>
      </w:r>
      <w:r w:rsidR="00E21190" w:rsidRPr="00E21190">
        <w:t xml:space="preserve"> </w:t>
      </w:r>
      <w:r w:rsidR="00BC3866">
        <w:t xml:space="preserve">in 2024 and </w:t>
      </w:r>
      <w:r w:rsidR="00572B3F">
        <w:t>2</w:t>
      </w:r>
      <w:r w:rsidR="00DB4809">
        <w:t>,</w:t>
      </w:r>
      <w:r w:rsidR="00572B3F">
        <w:t>315</w:t>
      </w:r>
      <w:r w:rsidR="00BC3866">
        <w:t xml:space="preserve"> in the first </w:t>
      </w:r>
      <w:r w:rsidR="00572B3F">
        <w:t>eight</w:t>
      </w:r>
      <w:r w:rsidR="00BC3866">
        <w:t xml:space="preserve"> months of 2025 </w:t>
      </w:r>
      <w:r w:rsidR="002E5998">
        <w:t>alone</w:t>
      </w:r>
      <w:r w:rsidR="0067479C">
        <w:t>.</w:t>
      </w:r>
      <w:r w:rsidR="00E839D3" w:rsidRPr="00E839D3">
        <w:t xml:space="preserve"> </w:t>
      </w:r>
      <w:r w:rsidR="00A161A2">
        <w:t xml:space="preserve">This surge has many </w:t>
      </w:r>
      <w:r w:rsidR="0014566A">
        <w:t>drivers</w:t>
      </w:r>
      <w:r w:rsidR="004E5B73">
        <w:t xml:space="preserve">, </w:t>
      </w:r>
      <w:r w:rsidR="0014566A">
        <w:t xml:space="preserve">with </w:t>
      </w:r>
      <w:r w:rsidR="006F2AF9">
        <w:t>industry and trade policy measures</w:t>
      </w:r>
      <w:r w:rsidR="0014566A">
        <w:t xml:space="preserve"> intended to address</w:t>
      </w:r>
      <w:r w:rsidR="00903E9E">
        <w:t>:</w:t>
      </w:r>
    </w:p>
    <w:p w14:paraId="7C7B628A" w14:textId="6F293013" w:rsidR="004E5B73" w:rsidRDefault="00564E98" w:rsidP="0054702A">
      <w:pPr>
        <w:pStyle w:val="ListBullet"/>
      </w:pPr>
      <w:r>
        <w:rPr>
          <w:b/>
          <w:bCs/>
        </w:rPr>
        <w:t>s</w:t>
      </w:r>
      <w:r w:rsidR="00B80931" w:rsidRPr="007B7471">
        <w:rPr>
          <w:b/>
          <w:bCs/>
        </w:rPr>
        <w:t>upply chain resilience</w:t>
      </w:r>
      <w:r w:rsidR="00B80931" w:rsidRPr="00D971EC">
        <w:t>:</w:t>
      </w:r>
      <w:r w:rsidR="00B80931">
        <w:t xml:space="preserve"> </w:t>
      </w:r>
      <w:r w:rsidR="00717C1F">
        <w:t>t</w:t>
      </w:r>
      <w:r w:rsidR="00B80931">
        <w:t xml:space="preserve">he </w:t>
      </w:r>
      <w:r w:rsidR="009564F9">
        <w:t>COVID</w:t>
      </w:r>
      <w:r w:rsidR="00D25956">
        <w:noBreakHyphen/>
      </w:r>
      <w:r w:rsidR="009564F9">
        <w:t>19</w:t>
      </w:r>
      <w:r w:rsidR="00B80931">
        <w:t xml:space="preserve"> pandemic resulted in supply chain disruptions, prompting strategies to ensure reliable access to essential goods </w:t>
      </w:r>
      <w:r w:rsidR="00216CBF">
        <w:fldChar w:fldCharType="begin"/>
      </w:r>
      <w:r w:rsidR="00ED6B7B">
        <w:instrText xml:space="preserve"> ADDIN ZOTERO_ITEM CSL_CITATION {"citationID":"IyYvB4Nf","properties":{"formattedCitation":"(PC\\uc0\\u160{}2021, pp.\\uc0\\u160{}17\\uc0\\u8211{}21)","plainCitation":"(PC 2021, pp. 17–21)","noteIndex":0},"citationItems":[{"id":946,"uris":["http://zotero.org/groups/164861/items/FIEXKB8K"],"itemData":{"id":946,"type":"report","genre":"Study Report","title":"Vulnerable Supply Chains","author":[{"family":"Productivity Commission","given":""}],"translator":[{"family":"PC","given":""}],"issued":{"date-parts":[["2021"]]}},"locator":"17-21","label":"page"}],"schema":"https://github.com/citation-style-language/schema/raw/master/csl-citation.json"} </w:instrText>
      </w:r>
      <w:r w:rsidR="00216CBF">
        <w:fldChar w:fldCharType="separate"/>
      </w:r>
      <w:r w:rsidR="00300899" w:rsidRPr="00B80931">
        <w:rPr>
          <w:rFonts w:ascii="Arial" w:hAnsi="Arial" w:cs="Arial"/>
        </w:rPr>
        <w:t>(PC 2021, pp. 17–21)</w:t>
      </w:r>
      <w:r w:rsidR="00216CBF">
        <w:fldChar w:fldCharType="end"/>
      </w:r>
    </w:p>
    <w:p w14:paraId="7F1FA918" w14:textId="6B481D15" w:rsidR="00B80931" w:rsidRDefault="00564E98" w:rsidP="00BC0961">
      <w:pPr>
        <w:pStyle w:val="ListBullet"/>
      </w:pPr>
      <w:r>
        <w:rPr>
          <w:b/>
          <w:bCs/>
        </w:rPr>
        <w:t>h</w:t>
      </w:r>
      <w:r w:rsidR="00B80931" w:rsidRPr="007B7471">
        <w:rPr>
          <w:b/>
          <w:bCs/>
        </w:rPr>
        <w:t>eightened geopolitical competition</w:t>
      </w:r>
      <w:r w:rsidR="009D676D" w:rsidRPr="007B7471">
        <w:rPr>
          <w:b/>
          <w:bCs/>
        </w:rPr>
        <w:t xml:space="preserve"> and fears of economic coercion</w:t>
      </w:r>
      <w:r w:rsidR="00B80931">
        <w:t xml:space="preserve">: </w:t>
      </w:r>
      <w:r w:rsidR="00455C88">
        <w:t>g</w:t>
      </w:r>
      <w:r w:rsidR="00B80931">
        <w:t xml:space="preserve">rowing rivalries </w:t>
      </w:r>
      <w:r w:rsidR="0025785F">
        <w:t>have led to</w:t>
      </w:r>
      <w:r w:rsidR="00B80931">
        <w:t xml:space="preserve"> </w:t>
      </w:r>
      <w:r w:rsidR="008D5DB7">
        <w:t xml:space="preserve">national security </w:t>
      </w:r>
      <w:r w:rsidR="00B80931">
        <w:t>concerns over dependencies on potential adversaries for critical supplies</w:t>
      </w:r>
      <w:r w:rsidR="00CD4B06">
        <w:t xml:space="preserve"> </w:t>
      </w:r>
      <w:r w:rsidR="00CD4B06">
        <w:fldChar w:fldCharType="begin"/>
      </w:r>
      <w:r w:rsidR="00ED6B7B">
        <w:instrText xml:space="preserve"> ADDIN ZOTERO_ITEM CSL_CITATION {"citationID":"retxyLiG","properties":{"formattedCitation":"(Channer et al.\\uc0\\u160{}2025)","plainCitation":"(Channer et al. 2025)","noteIndex":0},"citationItems":[{"id":2746,"uris":["http://zotero.org/groups/5560192/items/DEWQAVMY"],"itemData":{"id":2746,"type":"webpage","container-title":"United States Studies Centre","language":"en-AU","title":"Australia’s economic security outlook: Expert perspectives on challenges facing Australia in 2025","title-short":"Australia’s economic security outlook","URL":"https://www.ussc.edu.au/australias-economic-security-outlook-expert-perspectives-on-challenges-facing-australia-in-2025","author":[{"family":"Channer","given":"Hayley"},{"family":"Edmonstone","given":"Georgia"},{"family":"Barrett","given":"Tom"}],"accessed":{"date-parts":[["2025",6,4]]},"issued":{"date-parts":[["2025",1,30]]}}}],"schema":"https://github.com/citation-style-language/schema/raw/master/csl-citation.json"} </w:instrText>
      </w:r>
      <w:r w:rsidR="00CD4B06">
        <w:fldChar w:fldCharType="separate"/>
      </w:r>
      <w:r w:rsidR="00CD4B06" w:rsidRPr="00CD4B06">
        <w:rPr>
          <w:rFonts w:ascii="Arial" w:hAnsi="Arial" w:cs="Arial"/>
        </w:rPr>
        <w:t>(Channer et al. 2025)</w:t>
      </w:r>
      <w:r w:rsidR="00CD4B06">
        <w:fldChar w:fldCharType="end"/>
      </w:r>
    </w:p>
    <w:p w14:paraId="658D16D2" w14:textId="1EC08B73" w:rsidR="00B80931" w:rsidRDefault="00564E98" w:rsidP="00BC0961">
      <w:pPr>
        <w:pStyle w:val="ListBullet"/>
      </w:pPr>
      <w:r>
        <w:rPr>
          <w:b/>
          <w:bCs/>
        </w:rPr>
        <w:t>t</w:t>
      </w:r>
      <w:r w:rsidR="00B80931" w:rsidRPr="007B7471">
        <w:rPr>
          <w:b/>
          <w:bCs/>
        </w:rPr>
        <w:t>echnological supremacy</w:t>
      </w:r>
      <w:r w:rsidR="00B80931">
        <w:t xml:space="preserve">: </w:t>
      </w:r>
      <w:r w:rsidR="00455C88">
        <w:t>t</w:t>
      </w:r>
      <w:r w:rsidR="00B80931">
        <w:t xml:space="preserve">he race for leadership in strategic technologies (e.g., semiconductors) </w:t>
      </w:r>
      <w:r w:rsidR="0025785F">
        <w:t>has driven</w:t>
      </w:r>
      <w:r w:rsidR="00B80931">
        <w:t xml:space="preserve"> support for innovation </w:t>
      </w:r>
      <w:r w:rsidR="00717C1F">
        <w:t>perceived as vital for</w:t>
      </w:r>
      <w:r w:rsidR="00B80931">
        <w:t xml:space="preserve"> future economic strength </w:t>
      </w:r>
      <w:r w:rsidR="004C74ED">
        <w:fldChar w:fldCharType="begin"/>
      </w:r>
      <w:r w:rsidR="00ED6B7B">
        <w:instrText xml:space="preserve"> ADDIN ZOTERO_ITEM CSL_CITATION {"citationID":"k3aUnswh","properties":{"formattedCitation":"(Bildt\\uc0\\u160{}2022)","plainCitation":"(Bildt 2022)","noteIndex":0},"citationItems":[{"id":2767,"uris":["http://zotero.org/groups/5560192/items/NRQERUCD"],"itemData":{"id":2767,"type":"post-weblog","abstract":"In addition to dealing with the fallout from open warfare in eastern Europe, the world is witnessing the start of a full-scale economic war between the United States and China over technology. This conflict will ...","container-title":"The Strategist","language":"en-AU","title":"The great chips war","URL":"https://www.aspistrategist.org.au/the-great-chips-war/","author":[{"family":"Bildt","given":"Carl"}],"accessed":{"date-parts":[["2025",5,9]]},"issued":{"date-parts":[["2022",10,23]]}}}],"schema":"https://github.com/citation-style-language/schema/raw/master/csl-citation.json"} </w:instrText>
      </w:r>
      <w:r w:rsidR="004C74ED">
        <w:fldChar w:fldCharType="separate"/>
      </w:r>
      <w:r w:rsidR="004C74ED" w:rsidRPr="004C74ED">
        <w:rPr>
          <w:rFonts w:ascii="Arial" w:hAnsi="Arial" w:cs="Arial"/>
        </w:rPr>
        <w:t>(Bildt 2022)</w:t>
      </w:r>
      <w:r w:rsidR="004C74ED">
        <w:fldChar w:fldCharType="end"/>
      </w:r>
    </w:p>
    <w:p w14:paraId="57FBE504" w14:textId="5470A333" w:rsidR="00B80931" w:rsidRPr="00EE7BAF" w:rsidRDefault="00564E98" w:rsidP="00BC0961">
      <w:pPr>
        <w:pStyle w:val="ListBullet"/>
      </w:pPr>
      <w:r>
        <w:rPr>
          <w:b/>
          <w:bCs/>
        </w:rPr>
        <w:t>d</w:t>
      </w:r>
      <w:r w:rsidR="003C4621" w:rsidRPr="007B7471">
        <w:rPr>
          <w:b/>
          <w:bCs/>
        </w:rPr>
        <w:t>ecarbonisation</w:t>
      </w:r>
      <w:r w:rsidR="00B80931">
        <w:t>:</w:t>
      </w:r>
      <w:r w:rsidR="00726FBE">
        <w:t xml:space="preserve"> </w:t>
      </w:r>
      <w:r w:rsidR="00C0257A">
        <w:t>the</w:t>
      </w:r>
      <w:r w:rsidR="00B80931">
        <w:t xml:space="preserve"> </w:t>
      </w:r>
      <w:r w:rsidR="00717C1F">
        <w:t>i</w:t>
      </w:r>
      <w:r w:rsidR="007D3724">
        <w:t>mperatives of climate change have seen industry</w:t>
      </w:r>
      <w:r w:rsidR="00066452">
        <w:t xml:space="preserve"> policy </w:t>
      </w:r>
      <w:r w:rsidR="007D3724">
        <w:t>increasingly</w:t>
      </w:r>
      <w:r w:rsidR="00066452">
        <w:t xml:space="preserve"> used to </w:t>
      </w:r>
      <w:r w:rsidR="00AD304A">
        <w:t>help</w:t>
      </w:r>
      <w:r w:rsidR="00066452">
        <w:t xml:space="preserve"> decarbonise </w:t>
      </w:r>
      <w:r w:rsidR="00F67154">
        <w:t>econom</w:t>
      </w:r>
      <w:r w:rsidR="00AD304A">
        <w:t>ies</w:t>
      </w:r>
      <w:r w:rsidR="00F67154">
        <w:t xml:space="preserve"> </w:t>
      </w:r>
      <w:r w:rsidR="00F53B8A">
        <w:fldChar w:fldCharType="begin"/>
      </w:r>
      <w:r w:rsidR="00ED6B7B">
        <w:instrText xml:space="preserve"> ADDIN ZOTERO_ITEM CSL_CITATION {"citationID":"t8dL5qCh","properties":{"formattedCitation":"(PC\\uc0\\u160{}2023b, pp.\\uc0\\u160{}20\\uc0\\u8211{}30)","plainCitation":"(PC 2023b, pp. 20–30)","noteIndex":0},"citationItems":[{"id":897,"uris":["http://zotero.org/groups/164861/items/ILZ2Y4Y7"],"itemData":{"id":897,"type":"report","collection-title":"Annual Report Series","event-place":"Canberra","publisher-place":"Canberra","title":"Trade and Assistance Review 2021-22","author":[{"family":"Productivity Commission","given":""}],"translator":[{"family":"PC","given":""}],"issued":{"date-parts":[["2023"]]}},"locator":"20-30","label":"page"}],"schema":"https://github.com/citation-style-language/schema/raw/master/csl-citation.json"} </w:instrText>
      </w:r>
      <w:r w:rsidR="00F53B8A">
        <w:fldChar w:fldCharType="separate"/>
      </w:r>
      <w:r w:rsidR="00F53B8A" w:rsidRPr="00F53B8A">
        <w:rPr>
          <w:rFonts w:ascii="Arial" w:hAnsi="Arial" w:cs="Arial"/>
        </w:rPr>
        <w:t>(PC 2023b, pp. 20–30)</w:t>
      </w:r>
      <w:r w:rsidR="00F53B8A">
        <w:fldChar w:fldCharType="end"/>
      </w:r>
    </w:p>
    <w:p w14:paraId="3AD00DBE" w14:textId="675F9EA8" w:rsidR="004E5B73" w:rsidRPr="00EE7BAF" w:rsidRDefault="00564E98" w:rsidP="00BC0961">
      <w:pPr>
        <w:pStyle w:val="ListBullet"/>
      </w:pPr>
      <w:r>
        <w:rPr>
          <w:b/>
          <w:bCs/>
        </w:rPr>
        <w:t>r</w:t>
      </w:r>
      <w:r w:rsidR="00570DF7" w:rsidRPr="007B7471">
        <w:rPr>
          <w:b/>
          <w:bCs/>
        </w:rPr>
        <w:t>etaliation</w:t>
      </w:r>
      <w:r w:rsidR="00570DF7">
        <w:t xml:space="preserve">: </w:t>
      </w:r>
      <w:r w:rsidR="00667262">
        <w:t>industry</w:t>
      </w:r>
      <w:r w:rsidR="00570DF7">
        <w:t xml:space="preserve"> and trade policies </w:t>
      </w:r>
      <w:r w:rsidR="008E12BD">
        <w:t>spark retaliation</w:t>
      </w:r>
      <w:r w:rsidR="00570DF7">
        <w:t xml:space="preserve"> </w:t>
      </w:r>
      <w:r w:rsidR="00B930DC">
        <w:fldChar w:fldCharType="begin"/>
      </w:r>
      <w:r w:rsidR="00ED6B7B">
        <w:instrText xml:space="preserve"> ADDIN ZOTERO_ITEM CSL_CITATION {"citationID":"uhmd3oQ1","properties":{"formattedCitation":"(PC\\uc0\\u160{}2017, pp.\\uc0\\u160{}55\\uc0\\u8211{}61)","plainCitation":"(PC 2017, pp. 55–61)","noteIndex":0},"citationItems":[{"id":339,"uris":["http://zotero.org/groups/164861/items/5D7UU9WJ"],"itemData":{"id":339,"type":"report","event-place":"Canberra","genre":"Commission Research Paper","publisher-place":"Canberra","title":"Rising Protectionism: Challenges, threats and opportunities for Australia","author":[{"family":"Productivity Commission","given":""}],"translator":[{"family":"PC","given":""}],"issued":{"date-parts":[["2017"]]}},"locator":"55-61","label":"page"}],"schema":"https://github.com/citation-style-language/schema/raw/master/csl-citation.json"} </w:instrText>
      </w:r>
      <w:r w:rsidR="00B930DC">
        <w:fldChar w:fldCharType="separate"/>
      </w:r>
      <w:r w:rsidR="00B930DC" w:rsidRPr="00B930DC">
        <w:rPr>
          <w:rFonts w:ascii="Arial" w:hAnsi="Arial" w:cs="Arial"/>
        </w:rPr>
        <w:t>(PC 2017, pp. 55–61)</w:t>
      </w:r>
      <w:r w:rsidR="00B930DC">
        <w:fldChar w:fldCharType="end"/>
      </w:r>
      <w:r w:rsidR="00570DF7">
        <w:t xml:space="preserve"> and </w:t>
      </w:r>
      <w:r w:rsidR="002E38BB">
        <w:t>mimicking</w:t>
      </w:r>
      <w:r w:rsidR="008E12BD" w:rsidDel="00A826AE">
        <w:t xml:space="preserve"> </w:t>
      </w:r>
      <w:r w:rsidR="00A826AE">
        <w:t xml:space="preserve">by </w:t>
      </w:r>
      <w:r w:rsidR="002E38BB">
        <w:t xml:space="preserve">other countries </w:t>
      </w:r>
      <w:r w:rsidR="00641C0A">
        <w:rPr>
          <w:i/>
          <w:iCs/>
        </w:rPr>
        <w:fldChar w:fldCharType="begin"/>
      </w:r>
      <w:r w:rsidR="00ED6B7B">
        <w:rPr>
          <w:i/>
          <w:iCs/>
        </w:rPr>
        <w:instrText xml:space="preserve"> ADDIN ZOTERO_ITEM CSL_CITATION {"citationID":"RPWFiVmu","properties":{"formattedCitation":"(PC\\uc0\\u160{}2023b, pp.\\uc0\\u160{}52\\uc0\\u8211{}58)","plainCitation":"(PC 2023b, pp. 52–58)","noteIndex":0},"citationItems":[{"id":897,"uris":["http://zotero.org/groups/164861/items/ILZ2Y4Y7"],"itemData":{"id":897,"type":"report","collection-title":"Annual Report Series","event-place":"Canberra","publisher-place":"Canberra","title":"Trade and Assistance Review 2021-22","author":[{"family":"Productivity Commission","given":""}],"translator":[{"family":"PC","given":""}],"issued":{"date-parts":[["2023"]]}},"locator":"52-58","label":"page"}],"schema":"https://github.com/citation-style-language/schema/raw/master/csl-citation.json"} </w:instrText>
      </w:r>
      <w:r w:rsidR="00641C0A">
        <w:rPr>
          <w:i/>
          <w:iCs/>
        </w:rPr>
        <w:fldChar w:fldCharType="separate"/>
      </w:r>
      <w:r w:rsidR="00641C0A" w:rsidRPr="00641C0A">
        <w:rPr>
          <w:rFonts w:ascii="Arial" w:hAnsi="Arial" w:cs="Arial"/>
        </w:rPr>
        <w:t>(PC 2023b, pp. 52–58)</w:t>
      </w:r>
      <w:r w:rsidR="00641C0A">
        <w:rPr>
          <w:i/>
          <w:iCs/>
        </w:rPr>
        <w:fldChar w:fldCharType="end"/>
      </w:r>
      <w:r w:rsidR="00DA798C">
        <w:t>,</w:t>
      </w:r>
      <w:r w:rsidR="008E12BD">
        <w:rPr>
          <w:i/>
          <w:iCs/>
        </w:rPr>
        <w:t xml:space="preserve"> </w:t>
      </w:r>
      <w:r w:rsidR="008E12BD">
        <w:t>and</w:t>
      </w:r>
    </w:p>
    <w:p w14:paraId="554451EA" w14:textId="6B7CCF16" w:rsidR="00B80931" w:rsidRPr="004E5B73" w:rsidRDefault="00564E98" w:rsidP="00C35970">
      <w:pPr>
        <w:pStyle w:val="ListBullet"/>
        <w:contextualSpacing w:val="0"/>
      </w:pPr>
      <w:r>
        <w:rPr>
          <w:b/>
          <w:bCs/>
        </w:rPr>
        <w:t>c</w:t>
      </w:r>
      <w:r w:rsidR="00607E0D" w:rsidRPr="007B7471">
        <w:rPr>
          <w:b/>
          <w:bCs/>
        </w:rPr>
        <w:t>oncerns over the costs from</w:t>
      </w:r>
      <w:r w:rsidR="00570DF7" w:rsidRPr="007B7471">
        <w:rPr>
          <w:b/>
          <w:bCs/>
        </w:rPr>
        <w:t xml:space="preserve"> globalisation</w:t>
      </w:r>
      <w:r w:rsidR="00570DF7">
        <w:t xml:space="preserve">: </w:t>
      </w:r>
      <w:r w:rsidR="00905355">
        <w:t>exposure to international competition</w:t>
      </w:r>
      <w:r w:rsidR="00777017">
        <w:t xml:space="preserve"> has </w:t>
      </w:r>
      <w:r w:rsidR="007C4797">
        <w:t>resulted in</w:t>
      </w:r>
      <w:r w:rsidR="008A43DD">
        <w:t xml:space="preserve"> social and economic harm</w:t>
      </w:r>
      <w:r w:rsidR="007C4797">
        <w:t>s</w:t>
      </w:r>
      <w:r w:rsidR="008A43DD">
        <w:t xml:space="preserve"> in</w:t>
      </w:r>
      <w:r w:rsidR="00A37747">
        <w:t xml:space="preserve"> some communities</w:t>
      </w:r>
      <w:r w:rsidR="00BB7862">
        <w:t xml:space="preserve"> </w:t>
      </w:r>
      <w:r w:rsidR="00BB7862">
        <w:fldChar w:fldCharType="begin"/>
      </w:r>
      <w:r w:rsidR="00ED6B7B">
        <w:instrText xml:space="preserve"> ADDIN ZOTERO_ITEM CSL_CITATION {"citationID":"mIKUaE2k","properties":{"formattedCitation":"(Autor et al.\\uc0\\u160{}2016)","plainCitation":"(Autor et al. 2016)","noteIndex":0},"citationItems":[{"id":2782,"uris":["http://zotero.org/groups/5560192/items/IURHL4YB"],"itemData":{"id":2782,"type":"report","note":"DOI: 10.3386/w21906","number":"w21906","publisher":"National Bureau of Economic Research","title":"The China Shock: Learning from Labor Market Adjustment to Large Changes in Trade","URL":"https://www.nber.org/papers/w21906","author":[{"family":"Autor","given":"David H."},{"family":"Dorn","given":"David"},{"family":"Hanson","given":"Gordon H."}],"issued":{"date-parts":[["2016",1]]}}}],"schema":"https://github.com/citation-style-language/schema/raw/master/csl-citation.json"} </w:instrText>
      </w:r>
      <w:r w:rsidR="00BB7862">
        <w:fldChar w:fldCharType="separate"/>
      </w:r>
      <w:r w:rsidR="00BB7862" w:rsidRPr="00BB7862">
        <w:rPr>
          <w:rFonts w:ascii="Arial" w:hAnsi="Arial" w:cs="Arial"/>
        </w:rPr>
        <w:t>(Autor et al. 2016)</w:t>
      </w:r>
      <w:r w:rsidR="00BB7862">
        <w:fldChar w:fldCharType="end"/>
      </w:r>
      <w:r w:rsidR="00BB7862">
        <w:t>.</w:t>
      </w:r>
      <w:r w:rsidR="00A37747">
        <w:t xml:space="preserve"> </w:t>
      </w:r>
    </w:p>
    <w:p w14:paraId="71DA79E7" w14:textId="22DD3EB5" w:rsidR="008B1E25" w:rsidRDefault="008B1E25" w:rsidP="00C35970">
      <w:pPr>
        <w:pStyle w:val="FigureTableHeading"/>
      </w:pPr>
      <w:bookmarkStart w:id="15" w:name="_Ref196991851"/>
      <w:r>
        <w:t xml:space="preserve">Figure </w:t>
      </w:r>
      <w:r w:rsidR="00C223E9">
        <w:fldChar w:fldCharType="begin"/>
      </w:r>
      <w:r w:rsidR="00C223E9">
        <w:instrText xml:space="preserve"> STYLEREF 1 \s </w:instrText>
      </w:r>
      <w:r w:rsidR="00C223E9">
        <w:fldChar w:fldCharType="separate"/>
      </w:r>
      <w:r w:rsidR="00E57184">
        <w:rPr>
          <w:noProof/>
        </w:rPr>
        <w:t>1</w:t>
      </w:r>
      <w:r w:rsidR="00C223E9">
        <w:rPr>
          <w:noProof/>
        </w:rPr>
        <w:fldChar w:fldCharType="end"/>
      </w:r>
      <w:r>
        <w:t>.</w:t>
      </w:r>
      <w:r w:rsidR="00C223E9">
        <w:fldChar w:fldCharType="begin"/>
      </w:r>
      <w:r w:rsidR="00C223E9">
        <w:instrText xml:space="preserve"> SEQ Figure \* ARABIC \s 1 </w:instrText>
      </w:r>
      <w:r w:rsidR="00C223E9">
        <w:fldChar w:fldCharType="separate"/>
      </w:r>
      <w:r w:rsidR="00E57184">
        <w:rPr>
          <w:noProof/>
        </w:rPr>
        <w:t>2</w:t>
      </w:r>
      <w:r w:rsidR="00C223E9">
        <w:rPr>
          <w:noProof/>
        </w:rPr>
        <w:fldChar w:fldCharType="end"/>
      </w:r>
      <w:bookmarkEnd w:id="15"/>
      <w:r w:rsidR="00227A0B">
        <w:rPr>
          <w:noProof/>
        </w:rPr>
        <w:t xml:space="preserve"> </w:t>
      </w:r>
      <w:r w:rsidR="00227A0B">
        <w:t>–</w:t>
      </w:r>
      <w:r>
        <w:t xml:space="preserve"> </w:t>
      </w:r>
      <w:r w:rsidR="00972315">
        <w:t>Since 2010 t</w:t>
      </w:r>
      <w:r w:rsidR="009F5357">
        <w:t xml:space="preserve">he number of </w:t>
      </w:r>
      <w:r w:rsidR="00957D88">
        <w:t xml:space="preserve">new </w:t>
      </w:r>
      <w:r w:rsidR="002B6FEB">
        <w:t xml:space="preserve">trade distorting </w:t>
      </w:r>
      <w:r w:rsidR="00671F70">
        <w:t>policies</w:t>
      </w:r>
      <w:r w:rsidR="00291E73">
        <w:t xml:space="preserve"> </w:t>
      </w:r>
      <w:r w:rsidR="00957D88">
        <w:t xml:space="preserve">each year </w:t>
      </w:r>
      <w:r w:rsidR="00972315">
        <w:t xml:space="preserve">has </w:t>
      </w:r>
      <w:r w:rsidR="00CD7400">
        <w:t>trended upwards</w:t>
      </w:r>
      <w:r>
        <w:t xml:space="preserve"> </w:t>
      </w:r>
      <w:proofErr w:type="spellStart"/>
      <w:proofErr w:type="gramStart"/>
      <w:r>
        <w:t>globally</w:t>
      </w:r>
      <w:r w:rsidR="00C26738" w:rsidRPr="00622B65">
        <w:rPr>
          <w:vertAlign w:val="superscript"/>
        </w:rPr>
        <w:t>a</w:t>
      </w:r>
      <w:r w:rsidR="00C1547D">
        <w:rPr>
          <w:vertAlign w:val="superscript"/>
        </w:rPr>
        <w:t>,b</w:t>
      </w:r>
      <w:proofErr w:type="spellEnd"/>
      <w:proofErr w:type="gramEnd"/>
    </w:p>
    <w:p w14:paraId="77B41116" w14:textId="4B99B08F" w:rsidR="00CE5800" w:rsidRDefault="003F2A4F" w:rsidP="00EB710E">
      <w:pPr>
        <w:pStyle w:val="BodyText"/>
        <w:spacing w:before="0"/>
        <w:rPr>
          <w:spacing w:val="-4"/>
        </w:rPr>
      </w:pPr>
      <w:r w:rsidRPr="003F2A4F">
        <w:rPr>
          <w:noProof/>
        </w:rPr>
        <w:drawing>
          <wp:inline distT="0" distB="0" distL="0" distR="0" wp14:anchorId="620D2A6E" wp14:editId="61488E94">
            <wp:extent cx="6120130" cy="2740660"/>
            <wp:effectExtent l="0" t="0" r="0" b="0"/>
            <wp:docPr id="415355883" name="Picture 2" descr="A bar graph showing the number of trade-distorting policies enacted globally each year. The y-axis shows the number of interventions from 0 to 3,000, and the x-axis lists the years from 2009 to 2025. The graph displays an increasing trend in interventions over time from ~200 in 2009 to over 2000 in each year 2020-2024, with a significant increasing trend beginning arou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55883" name="Picture 2" descr="A bar graph showing the number of trade-distorting policies enacted globally each year. The y-axis shows the number of interventions from 0 to 3,000, and the x-axis lists the years from 2009 to 2025. The graph displays an increasing trend in interventions over time from ~200 in 2009 to over 2000 in each year 2020-2024, with a significant increasing trend beginning around 20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740660"/>
                    </a:xfrm>
                    <a:prstGeom prst="rect">
                      <a:avLst/>
                    </a:prstGeom>
                    <a:noFill/>
                    <a:ln>
                      <a:noFill/>
                    </a:ln>
                  </pic:spPr>
                </pic:pic>
              </a:graphicData>
            </a:graphic>
          </wp:inline>
        </w:drawing>
      </w:r>
    </w:p>
    <w:p w14:paraId="3EB777CD" w14:textId="4EED110D" w:rsidR="00C26738" w:rsidRPr="00C1547D" w:rsidRDefault="00C26738" w:rsidP="00C26738">
      <w:pPr>
        <w:pStyle w:val="Note"/>
        <w:keepLines/>
        <w:rPr>
          <w:iCs/>
          <w:spacing w:val="-4"/>
        </w:rPr>
      </w:pPr>
      <w:r w:rsidRPr="00622B65">
        <w:rPr>
          <w:b/>
          <w:bCs/>
          <w:spacing w:val="-4"/>
        </w:rPr>
        <w:t>a.</w:t>
      </w:r>
      <w:r w:rsidRPr="00622B65">
        <w:rPr>
          <w:spacing w:val="-4"/>
        </w:rPr>
        <w:t xml:space="preserve"> </w:t>
      </w:r>
      <w:r w:rsidR="004F5637">
        <w:rPr>
          <w:iCs/>
          <w:spacing w:val="-4"/>
        </w:rPr>
        <w:t>Distortionary</w:t>
      </w:r>
      <w:r w:rsidRPr="00C26738">
        <w:rPr>
          <w:iCs/>
          <w:spacing w:val="-4"/>
        </w:rPr>
        <w:t xml:space="preserve"> interventions typically involved </w:t>
      </w:r>
      <w:r w:rsidR="0099747E">
        <w:rPr>
          <w:iCs/>
          <w:spacing w:val="-4"/>
        </w:rPr>
        <w:t>import tariffs</w:t>
      </w:r>
      <w:r w:rsidR="008D100E">
        <w:rPr>
          <w:iCs/>
          <w:spacing w:val="-4"/>
        </w:rPr>
        <w:t>, state loans</w:t>
      </w:r>
      <w:r w:rsidR="005606AB">
        <w:rPr>
          <w:iCs/>
          <w:spacing w:val="-4"/>
        </w:rPr>
        <w:t>, quotas and</w:t>
      </w:r>
      <w:r w:rsidR="0099747E">
        <w:rPr>
          <w:iCs/>
          <w:spacing w:val="-4"/>
        </w:rPr>
        <w:t xml:space="preserve"> </w:t>
      </w:r>
      <w:r w:rsidRPr="00C26738">
        <w:rPr>
          <w:iCs/>
          <w:spacing w:val="-4"/>
        </w:rPr>
        <w:t>subsidies.</w:t>
      </w:r>
      <w:r w:rsidR="00C1547D">
        <w:rPr>
          <w:iCs/>
          <w:spacing w:val="-4"/>
        </w:rPr>
        <w:t xml:space="preserve"> </w:t>
      </w:r>
      <w:r w:rsidR="00C1547D">
        <w:rPr>
          <w:b/>
          <w:bCs/>
          <w:spacing w:val="-4"/>
        </w:rPr>
        <w:t>b</w:t>
      </w:r>
      <w:r w:rsidR="00C1547D" w:rsidRPr="00622B65">
        <w:rPr>
          <w:b/>
          <w:bCs/>
          <w:spacing w:val="-4"/>
        </w:rPr>
        <w:t>.</w:t>
      </w:r>
      <w:r w:rsidR="00C1547D">
        <w:rPr>
          <w:b/>
          <w:bCs/>
          <w:spacing w:val="-4"/>
        </w:rPr>
        <w:t xml:space="preserve"> </w:t>
      </w:r>
      <w:r w:rsidR="00C1547D">
        <w:rPr>
          <w:spacing w:val="-4"/>
        </w:rPr>
        <w:t xml:space="preserve">Data for 2025 is as </w:t>
      </w:r>
      <w:r w:rsidR="00657617">
        <w:rPr>
          <w:spacing w:val="-4"/>
        </w:rPr>
        <w:t>of</w:t>
      </w:r>
      <w:r w:rsidR="00C1547D">
        <w:rPr>
          <w:spacing w:val="-4"/>
        </w:rPr>
        <w:t xml:space="preserve"> </w:t>
      </w:r>
      <w:r w:rsidR="00572B3F">
        <w:rPr>
          <w:spacing w:val="-4"/>
        </w:rPr>
        <w:t>10</w:t>
      </w:r>
      <w:r w:rsidR="00FD7ECF">
        <w:rPr>
          <w:spacing w:val="-4"/>
        </w:rPr>
        <w:t> </w:t>
      </w:r>
      <w:r w:rsidR="00572B3F">
        <w:rPr>
          <w:spacing w:val="-4"/>
        </w:rPr>
        <w:t xml:space="preserve">September </w:t>
      </w:r>
      <w:r w:rsidR="00C1547D">
        <w:rPr>
          <w:spacing w:val="-4"/>
        </w:rPr>
        <w:t>2025.</w:t>
      </w:r>
    </w:p>
    <w:p w14:paraId="48C0E68F" w14:textId="61A6CBDF" w:rsidR="008240B0" w:rsidRPr="008240B0" w:rsidRDefault="00C26738" w:rsidP="00EB710E">
      <w:pPr>
        <w:pStyle w:val="Source"/>
      </w:pPr>
      <w:r w:rsidRPr="00622B65">
        <w:t xml:space="preserve">Source: </w:t>
      </w:r>
      <w:r w:rsidR="00E465C1">
        <w:t>Global Trade Alert</w:t>
      </w:r>
      <w:r w:rsidR="009502C1">
        <w:t xml:space="preserve"> </w:t>
      </w:r>
      <w:r w:rsidR="00E465C1">
        <w:fldChar w:fldCharType="begin"/>
      </w:r>
      <w:r w:rsidR="00ED6B7B">
        <w:instrText xml:space="preserve"> ADDIN ZOTERO_ITEM CSL_CITATION {"citationID":"PdCJ8iTH","properties":{"formattedCitation":"(2025)","plainCitation":"(2025)","noteIndex":0},"citationItems":[{"id":2751,"uris":["http://zotero.org/groups/5560192/items/NRSW4D6I"],"itemData":{"id":2751,"type":"webpage","abstract":"A trusted and recognized independent monitor of policies impacting global commerce.","container-title":"The World's Trade and Industrial Policy Watchdog","language":"en","title":"Global Trade Alert - Monitoring Policy Changes That Affect Global Trade","URL":"https://globaltradealert.org/","author":[{"literal":"Global Trade Alert"}],"accessed":{"date-parts":[["2025",5,1]]},"issued":{"date-parts":[["2025",9,10]]}},"suppress-author":true}],"schema":"https://github.com/citation-style-language/schema/raw/master/csl-citation.json"} </w:instrText>
      </w:r>
      <w:r w:rsidR="00E465C1">
        <w:fldChar w:fldCharType="separate"/>
      </w:r>
      <w:r w:rsidR="00ED6B7B" w:rsidRPr="00ED6B7B">
        <w:rPr>
          <w:rFonts w:ascii="Arial" w:hAnsi="Arial" w:cs="Arial"/>
        </w:rPr>
        <w:t>(2025)</w:t>
      </w:r>
      <w:r w:rsidR="00E465C1">
        <w:fldChar w:fldCharType="end"/>
      </w:r>
      <w:r w:rsidR="00227A0B">
        <w:t>.</w:t>
      </w:r>
    </w:p>
    <w:p w14:paraId="44800946" w14:textId="0BDF0046" w:rsidR="006E52AF" w:rsidRPr="00A2235D" w:rsidRDefault="006E52AF" w:rsidP="00E04ECC">
      <w:pPr>
        <w:pStyle w:val="BodyText"/>
        <w:rPr>
          <w:i/>
          <w:iCs/>
        </w:rPr>
      </w:pPr>
      <w:r>
        <w:lastRenderedPageBreak/>
        <w:t xml:space="preserve">A substantial portion of these interventions reflect a shift towards what this paper </w:t>
      </w:r>
      <w:r w:rsidR="006E3564">
        <w:t>calls</w:t>
      </w:r>
      <w:r>
        <w:t xml:space="preserve"> </w:t>
      </w:r>
      <w:r w:rsidR="00E81CC0">
        <w:t>‘</w:t>
      </w:r>
      <w:r>
        <w:t xml:space="preserve">modern </w:t>
      </w:r>
      <w:r w:rsidR="0014578C">
        <w:t>industry</w:t>
      </w:r>
      <w:r>
        <w:t xml:space="preserve"> policy</w:t>
      </w:r>
      <w:r w:rsidR="00E81CC0">
        <w:t>’</w:t>
      </w:r>
      <w:r>
        <w:t xml:space="preserve">. Distinct </w:t>
      </w:r>
      <w:r w:rsidR="003E6EC0">
        <w:t>in positioning</w:t>
      </w:r>
      <w:r>
        <w:t xml:space="preserve"> from traditional protectionism, this approach </w:t>
      </w:r>
      <w:r w:rsidR="0055491E">
        <w:t>is premised</w:t>
      </w:r>
      <w:r>
        <w:t xml:space="preserve"> on achieving societal goals such as </w:t>
      </w:r>
      <w:r w:rsidR="00BF541D">
        <w:t xml:space="preserve">economic resilience, </w:t>
      </w:r>
      <w:r>
        <w:t xml:space="preserve">national security or </w:t>
      </w:r>
      <w:r w:rsidR="006A0B91">
        <w:t xml:space="preserve">developing capacities in emerging </w:t>
      </w:r>
      <w:r w:rsidR="0030280E">
        <w:t xml:space="preserve">net zero </w:t>
      </w:r>
      <w:r w:rsidR="006A0B91">
        <w:t>technologies</w:t>
      </w:r>
      <w:r>
        <w:t>.</w:t>
      </w:r>
      <w:r w:rsidR="00174F63">
        <w:t xml:space="preserve"> W</w:t>
      </w:r>
      <w:r w:rsidR="00A2235D">
        <w:t>hile not the subject of this paper</w:t>
      </w:r>
      <w:r w:rsidR="002D1B24">
        <w:t>,</w:t>
      </w:r>
      <w:r w:rsidR="00A2235D">
        <w:t xml:space="preserve"> </w:t>
      </w:r>
      <w:r w:rsidR="00A709A0">
        <w:t>more traditional protectionism has also been on the rise</w:t>
      </w:r>
      <w:r w:rsidR="002D1B24">
        <w:t>,</w:t>
      </w:r>
      <w:r w:rsidR="00A709A0">
        <w:t xml:space="preserve"> as </w:t>
      </w:r>
      <w:r w:rsidR="00A2235D">
        <w:t xml:space="preserve">exemplified by </w:t>
      </w:r>
      <w:r w:rsidR="00745FE8">
        <w:t xml:space="preserve">the </w:t>
      </w:r>
      <w:r w:rsidR="00A2235D">
        <w:t xml:space="preserve">recent </w:t>
      </w:r>
      <w:r w:rsidR="004B2A1C">
        <w:t>economy</w:t>
      </w:r>
      <w:r w:rsidR="00D25956">
        <w:noBreakHyphen/>
      </w:r>
      <w:r w:rsidR="004B2A1C">
        <w:t xml:space="preserve">wide </w:t>
      </w:r>
      <w:r w:rsidR="00A2235D">
        <w:t xml:space="preserve">tariff </w:t>
      </w:r>
      <w:r w:rsidR="00600BBE">
        <w:t xml:space="preserve">increases </w:t>
      </w:r>
      <w:r w:rsidR="00A2235D">
        <w:t>in the US</w:t>
      </w:r>
      <w:r w:rsidR="00A13E69">
        <w:t xml:space="preserve"> </w:t>
      </w:r>
      <w:r w:rsidR="00A13E69">
        <w:fldChar w:fldCharType="begin"/>
      </w:r>
      <w:r w:rsidR="00ED6B7B">
        <w:instrText xml:space="preserve"> ADDIN ZOTERO_ITEM CSL_CITATION {"citationID":"5mG99LA5","properties":{"formattedCitation":"(The White House\\uc0\\u160{}2025b)","plainCitation":"(The White House 2025b)","noteIndex":0},"citationItems":[{"id":3218,"uris":["http://zotero.org/groups/5749450/items/DSPKDWKX"],"itemData":{"id":3218,"type":"webpage","abstract":"By the authority vested in me as President by the Constitution and the laws of the United States of America, including the International Emergency","container-title":"The White House","language":"en-US","title":"Regulating Imports with a Reciprocal Tariff to Rectify Trade Practices that Contribute to Large and Persistent Annual United States Goods Trade Deficits","URL":"https://www.whitehouse.gov/presidential-actions/2025/04/regulating-imports-with-a-reciprocal-tariff-to-rectify-trade-practices-that-contribute-to-large-and-persistent-annual-united-states-goods-trade-deficits/","author":[{"literal":"The White House"}],"accessed":{"date-parts":[["2025",5,21]]},"issued":{"date-parts":[["2025",4,2]]}}}],"schema":"https://github.com/citation-style-language/schema/raw/master/csl-citation.json"} </w:instrText>
      </w:r>
      <w:r w:rsidR="00A13E69">
        <w:fldChar w:fldCharType="separate"/>
      </w:r>
      <w:r w:rsidR="003E71BA" w:rsidRPr="003E71BA">
        <w:rPr>
          <w:rFonts w:ascii="Arial" w:hAnsi="Arial" w:cs="Arial"/>
        </w:rPr>
        <w:t>(The White House 2025b)</w:t>
      </w:r>
      <w:r w:rsidR="00A13E69">
        <w:fldChar w:fldCharType="end"/>
      </w:r>
      <w:r w:rsidR="00A2235D">
        <w:rPr>
          <w:i/>
          <w:iCs/>
        </w:rPr>
        <w:t xml:space="preserve">. </w:t>
      </w:r>
    </w:p>
    <w:p w14:paraId="1E1A4BA0" w14:textId="5069ACEE" w:rsidR="006E52AF" w:rsidRPr="004E6A29" w:rsidRDefault="00600BBE" w:rsidP="007B7471">
      <w:pPr>
        <w:pStyle w:val="BodyText"/>
      </w:pPr>
      <w:r>
        <w:t xml:space="preserve">The first </w:t>
      </w:r>
      <w:r w:rsidR="00B276CA">
        <w:t>major theme</w:t>
      </w:r>
      <w:r>
        <w:t xml:space="preserve"> of modern industry policy is countries </w:t>
      </w:r>
      <w:r w:rsidR="00311096">
        <w:t>intervening</w:t>
      </w:r>
      <w:r>
        <w:t xml:space="preserve"> to </w:t>
      </w:r>
      <w:r w:rsidR="007F3BEB">
        <w:t xml:space="preserve">minimise the </w:t>
      </w:r>
      <w:r w:rsidR="003E7130">
        <w:t>perceived</w:t>
      </w:r>
      <w:r w:rsidR="007F3BEB">
        <w:t xml:space="preserve"> </w:t>
      </w:r>
      <w:r w:rsidR="007D3EC8">
        <w:t xml:space="preserve">risks </w:t>
      </w:r>
      <w:r w:rsidR="00786181">
        <w:t xml:space="preserve">and costs </w:t>
      </w:r>
      <w:r w:rsidR="007D3EC8">
        <w:t>of supply chain disruptions</w:t>
      </w:r>
      <w:r w:rsidR="00D12EE5">
        <w:t xml:space="preserve">. </w:t>
      </w:r>
      <w:r w:rsidR="006D01F8">
        <w:t xml:space="preserve">Examples include the </w:t>
      </w:r>
      <w:r w:rsidR="007A59C7">
        <w:t>European Union’s (</w:t>
      </w:r>
      <w:r w:rsidR="00157A45" w:rsidRPr="004E6A29">
        <w:t>EU’s</w:t>
      </w:r>
      <w:r w:rsidR="007A59C7">
        <w:t>)</w:t>
      </w:r>
      <w:r w:rsidR="00157A45" w:rsidRPr="004E6A29">
        <w:t xml:space="preserve"> focus </w:t>
      </w:r>
      <w:r w:rsidR="006E52AF" w:rsidRPr="004E6A29">
        <w:t>on reducing strategic import dependencies for essential raw materials through initiatives like the Critical Raw Materials Act</w:t>
      </w:r>
      <w:r w:rsidR="00403D0F">
        <w:t xml:space="preserve"> </w:t>
      </w:r>
      <w:r w:rsidR="00403D0F">
        <w:fldChar w:fldCharType="begin"/>
      </w:r>
      <w:r w:rsidR="00ED6B7B">
        <w:instrText xml:space="preserve"> ADDIN ZOTERO_ITEM CSL_CITATION {"citationID":"0TawZBiF","properties":{"formattedCitation":"(McDonagh\\uc0\\u160{}2024)","plainCitation":"(McDonagh 2024)","noteIndex":0},"citationItems":[{"id":2761,"uris":["http://zotero.org/groups/5560192/items/ET4QVK7Z"],"itemData":{"id":2761,"type":"webpage","container-title":"Australian Institute of International Affairs","title":"Critical Minerals and the Race for Economic Security","URL":"https://www.internationalaffairs.org.au/australianoutlook/critical-minerals-and-the-race-for-economic-security/","author":[{"family":"McDonagh","given":"Naoise"}],"accessed":{"date-parts":[["2025",5,16]]},"issued":{"date-parts":[["2024",10,15]]}}}],"schema":"https://github.com/citation-style-language/schema/raw/master/csl-citation.json"} </w:instrText>
      </w:r>
      <w:r w:rsidR="00403D0F">
        <w:fldChar w:fldCharType="separate"/>
      </w:r>
      <w:r w:rsidR="00403D0F" w:rsidRPr="00403D0F">
        <w:rPr>
          <w:rFonts w:ascii="Arial" w:hAnsi="Arial" w:cs="Arial"/>
        </w:rPr>
        <w:t>(McDonagh 2024)</w:t>
      </w:r>
      <w:r w:rsidR="00403D0F">
        <w:fldChar w:fldCharType="end"/>
      </w:r>
      <w:r w:rsidR="006E52AF" w:rsidRPr="004E6A29">
        <w:t xml:space="preserve">. </w:t>
      </w:r>
      <w:r w:rsidR="006D01F8">
        <w:t xml:space="preserve">Likewise, </w:t>
      </w:r>
      <w:r w:rsidR="009B193E" w:rsidRPr="004E6A29">
        <w:t xml:space="preserve">the US </w:t>
      </w:r>
      <w:r w:rsidR="006E52AF" w:rsidRPr="004E6A29">
        <w:t xml:space="preserve">CHIPS and Science Act </w:t>
      </w:r>
      <w:r w:rsidR="00385FC6" w:rsidRPr="00385FC6">
        <w:t xml:space="preserve">authorises $278.2 billion in funding towards domestic semiconductor manufacturing and public sector research </w:t>
      </w:r>
      <w:r w:rsidR="00FE041B">
        <w:t>and</w:t>
      </w:r>
      <w:r w:rsidR="00385FC6" w:rsidRPr="00385FC6">
        <w:t xml:space="preserve"> development up to 2027 </w:t>
      </w:r>
      <w:r w:rsidR="00B00E0E">
        <w:fldChar w:fldCharType="begin"/>
      </w:r>
      <w:r w:rsidR="00ED6B7B">
        <w:instrText xml:space="preserve"> ADDIN ZOTERO_ITEM CSL_CITATION {"citationID":"U5N2LkC2","properties":{"formattedCitation":"(Cooper\\uc0\\u160{}2022; Library of Congress\\uc0\\u160{}2023)","plainCitation":"(Cooper 2022; Library of Congress 2023)","noteIndex":0},"citationItems":[{"id":3069,"uris":["http://zotero.org/groups/5749450/items/IBUFJY5L"],"itemData":{"id":3069,"type":"webpage","container-title":"United States Studies Centre","language":"en-AU","title":"Explainer: The CHIPS and Science Act 2022","title-short":"Explainer","URL":"https://www.ussc.edu.au/explainer-the-chips-and-science-act-2022","author":[{"family":"Cooper","given":"Victoria"}],"accessed":{"date-parts":[["2025",5,8]]},"issued":{"date-parts":[["2022",8]]}}},{"id":3066,"uris":["http://zotero.org/groups/5749450/items/Z2XARN33"],"itemData":{"id":3066,"type":"webpage","genre":"legislation","language":"eng","license":"Text is government work","title":"Frequently Asked Questions: CHIPS Act of 2022 Provisions and Implementation","title-short":"Frequently Asked Questions","URL":"https://www.congress.gov/crs-product/R47523","author":[{"literal":"Library of Congress"}],"accessed":{"date-parts":[["2025",5,8]]},"issued":{"date-parts":[["2023",5]]}}}],"schema":"https://github.com/citation-style-language/schema/raw/master/csl-citation.json"} </w:instrText>
      </w:r>
      <w:r w:rsidR="00B00E0E">
        <w:fldChar w:fldCharType="separate"/>
      </w:r>
      <w:r w:rsidR="00250F13" w:rsidRPr="00250F13">
        <w:rPr>
          <w:rFonts w:ascii="Arial" w:hAnsi="Arial" w:cs="Arial"/>
        </w:rPr>
        <w:t>(Cooper 2022; Library of Congress 2023)</w:t>
      </w:r>
      <w:r w:rsidR="00B00E0E">
        <w:fldChar w:fldCharType="end"/>
      </w:r>
      <w:r w:rsidR="00B00E0E">
        <w:t>.</w:t>
      </w:r>
      <w:r w:rsidR="008C0E31">
        <w:rPr>
          <w:rStyle w:val="FootnoteReference"/>
        </w:rPr>
        <w:footnoteReference w:id="2"/>
      </w:r>
      <w:r w:rsidR="00B00E0E">
        <w:t xml:space="preserve"> </w:t>
      </w:r>
      <w:r w:rsidR="009B193E" w:rsidRPr="004E6A29">
        <w:t xml:space="preserve">The US has </w:t>
      </w:r>
      <w:r w:rsidR="001E36B4">
        <w:t xml:space="preserve">coupled these initiatives with trade restrictions </w:t>
      </w:r>
      <w:r w:rsidR="008C2CB2">
        <w:t xml:space="preserve">on </w:t>
      </w:r>
      <w:r w:rsidR="001E36B4">
        <w:t>semiconductors going to China</w:t>
      </w:r>
      <w:r w:rsidR="008C2CB2">
        <w:t xml:space="preserve"> </w:t>
      </w:r>
      <w:r w:rsidR="008C2CB2">
        <w:fldChar w:fldCharType="begin"/>
      </w:r>
      <w:r w:rsidR="00ED6B7B">
        <w:instrText xml:space="preserve"> ADDIN ZOTERO_ITEM CSL_CITATION {"citationID":"yk1aRWFU","properties":{"formattedCitation":"(Shivakumar et al.\\uc0\\u160{}2025)","plainCitation":"(Shivakumar et al. 2025)","noteIndex":0},"citationItems":[{"id":2762,"uris":["http://zotero.org/groups/5560192/items/93N57HNJ"],"itemData":{"id":2762,"type":"article-journal","abstract":"Export controls alone cannot substitute for comprehensive industrial and research policy measures necessary to ensure U.S. leadership in semiconductor design, production, and infrastructure.","language":"en","source":"www.csis.org","title":"The Limits of Chip Export Controls in Meeting the China Challenge","URL":"https://www.csis.org/analysis/limits-chip-export-controls-meeting-china-challenge","author":[{"family":"Shivakumar","given":"Sujai"},{"family":"Wessner","given":"Charles"},{"family":"Howell","given":"Thomas"}],"accessed":{"date-parts":[["2025",5,16]]},"issued":{"date-parts":[["2025",4,14]]}}}],"schema":"https://github.com/citation-style-language/schema/raw/master/csl-citation.json"} </w:instrText>
      </w:r>
      <w:r w:rsidR="008C2CB2">
        <w:fldChar w:fldCharType="separate"/>
      </w:r>
      <w:r w:rsidR="008C2CB2" w:rsidRPr="008C2CB2">
        <w:rPr>
          <w:rFonts w:ascii="Arial" w:hAnsi="Arial" w:cs="Arial"/>
        </w:rPr>
        <w:t>(Shivakumar et al. 2025)</w:t>
      </w:r>
      <w:r w:rsidR="008C2CB2">
        <w:fldChar w:fldCharType="end"/>
      </w:r>
      <w:r w:rsidR="001E36B4">
        <w:t xml:space="preserve">. </w:t>
      </w:r>
    </w:p>
    <w:p w14:paraId="59354B3F" w14:textId="71AA68E5" w:rsidR="006E52AF" w:rsidRDefault="00BC6143" w:rsidP="008B5081">
      <w:pPr>
        <w:pStyle w:val="BodyText"/>
      </w:pPr>
      <w:r>
        <w:t>The second major theme is industry policy</w:t>
      </w:r>
      <w:r w:rsidR="00740B58">
        <w:t xml:space="preserve"> being used </w:t>
      </w:r>
      <w:r w:rsidR="0083701F">
        <w:t xml:space="preserve">as a tool to </w:t>
      </w:r>
      <w:r w:rsidR="00582C0A">
        <w:t>help countries achieve their net zero emissions goals</w:t>
      </w:r>
      <w:r w:rsidR="00153E96">
        <w:t xml:space="preserve"> </w:t>
      </w:r>
      <w:r w:rsidR="00B94AAF">
        <w:t>and</w:t>
      </w:r>
      <w:r w:rsidR="0088545D">
        <w:t xml:space="preserve"> to</w:t>
      </w:r>
      <w:r w:rsidR="00B94AAF">
        <w:t xml:space="preserve"> position</w:t>
      </w:r>
      <w:r w:rsidR="00850265">
        <w:t xml:space="preserve"> </w:t>
      </w:r>
      <w:r w:rsidR="00B94AAF">
        <w:t>countr</w:t>
      </w:r>
      <w:r w:rsidR="006825AE">
        <w:t>ies</w:t>
      </w:r>
      <w:r w:rsidR="00B94AAF">
        <w:t xml:space="preserve"> to capture the benefits of </w:t>
      </w:r>
      <w:r w:rsidR="00DE2A33">
        <w:t>emerging</w:t>
      </w:r>
      <w:r w:rsidR="00B94AAF">
        <w:t xml:space="preserve"> industries</w:t>
      </w:r>
      <w:r w:rsidR="006D01F8">
        <w:t>.</w:t>
      </w:r>
      <w:r w:rsidR="00BA74FB">
        <w:t xml:space="preserve"> </w:t>
      </w:r>
      <w:r w:rsidR="008B5081">
        <w:t>For example, the</w:t>
      </w:r>
      <w:r w:rsidR="00476ED5">
        <w:t xml:space="preserve"> EU</w:t>
      </w:r>
      <w:r w:rsidR="006E52AF" w:rsidRPr="004E6A29">
        <w:t xml:space="preserve"> Green Deal Industrial Plan aims to enhance the bloc's manufacturing capacity for net</w:t>
      </w:r>
      <w:r w:rsidR="00FE0A30">
        <w:t xml:space="preserve"> </w:t>
      </w:r>
      <w:r w:rsidR="006E52AF" w:rsidRPr="004E6A29">
        <w:t xml:space="preserve">zero technologies </w:t>
      </w:r>
      <w:r w:rsidR="00EA3F7A" w:rsidRPr="004E6A29">
        <w:t xml:space="preserve">through a simplified regulatory environment, faster permitting, skills development and facilitating finance </w:t>
      </w:r>
      <w:r w:rsidR="00EA3F7A" w:rsidRPr="004E6A29">
        <w:fldChar w:fldCharType="begin"/>
      </w:r>
      <w:r w:rsidR="00ED6B7B">
        <w:instrText xml:space="preserve"> ADDIN ZOTERO_ITEM CSL_CITATION {"citationID":"6pBCEDD1","properties":{"formattedCitation":"(Dullien\\uc0\\u160{}2024)","plainCitation":"(Dullien 2024)","noteIndex":0},"citationItems":[{"id":2781,"uris":["http://zotero.org/groups/5560192/items/WG2BV3UQ"],"itemData":{"id":2781,"type":"article-journal","abstract":"By now, the claim that “industrial policy is back” is well-worn. As late as 2019, industrial policy was labelled by an IMF working paper as the “policy that shall not be named” (Cherif &amp; Hasanov, 2019), and economists regularly tried to steer discussions of industrial policy towards broader and general growth-enhancing policies (Enderlein et al., 2019). Yet by 2024, we have not only ample evidence on the recent empirical spread of industrial policy actions around the globe (Juhász et al., 2022), but can also observe a new resurgence of economic research on the topic.","issue":"5","language":"en","page":"249-253","source":"www.intereconomics.eu","title":"European Industrial Policy in the 2020s: Rationale, Challenges and Limitations","title-short":"European Industrial Policy in the 2020s","volume":"2024","author":[{"family":"Dullien","given":"Sebastian"}],"issued":{"date-parts":[["2024"]]}}}],"schema":"https://github.com/citation-style-language/schema/raw/master/csl-citation.json"} </w:instrText>
      </w:r>
      <w:r w:rsidR="00EA3F7A" w:rsidRPr="004E6A29">
        <w:fldChar w:fldCharType="separate"/>
      </w:r>
      <w:r w:rsidR="00EA3F7A" w:rsidRPr="004E6A29">
        <w:t>(Dullien 2024)</w:t>
      </w:r>
      <w:r w:rsidR="00EA3F7A" w:rsidRPr="004E6A29">
        <w:fldChar w:fldCharType="end"/>
      </w:r>
      <w:r w:rsidR="00E94338" w:rsidRPr="004E6A29">
        <w:t xml:space="preserve">. </w:t>
      </w:r>
      <w:r w:rsidR="00306156">
        <w:t>Similarly</w:t>
      </w:r>
      <w:r w:rsidR="00DE2A33">
        <w:t>, t</w:t>
      </w:r>
      <w:r w:rsidR="006E52AF" w:rsidRPr="004E6A29">
        <w:t xml:space="preserve">he </w:t>
      </w:r>
      <w:r w:rsidR="00C34C45">
        <w:t>US</w:t>
      </w:r>
      <w:r w:rsidR="006E52AF" w:rsidRPr="004E6A29">
        <w:t xml:space="preserve"> Inflation Reduction Act</w:t>
      </w:r>
      <w:r w:rsidR="000E48AE" w:rsidDel="00C75419">
        <w:t xml:space="preserve"> </w:t>
      </w:r>
      <w:r w:rsidR="00086628" w:rsidRPr="004E6A29">
        <w:t>provide</w:t>
      </w:r>
      <w:r w:rsidR="00086628">
        <w:t>d</w:t>
      </w:r>
      <w:r w:rsidR="006E52AF" w:rsidRPr="004E6A29">
        <w:t xml:space="preserve"> extensive financial incentives,</w:t>
      </w:r>
      <w:r w:rsidR="00305F21" w:rsidRPr="009E1673">
        <w:rPr>
          <w:rStyle w:val="FootnoteReference"/>
        </w:rPr>
        <w:footnoteReference w:id="3"/>
      </w:r>
      <w:r w:rsidR="006E52AF" w:rsidRPr="004E6A29">
        <w:t xml:space="preserve"> including tax credits for renewable energy projects and domestic clean energy manufacturing, to accelerate industrial </w:t>
      </w:r>
      <w:r w:rsidR="003C3800" w:rsidRPr="004E6A29">
        <w:t>decarboni</w:t>
      </w:r>
      <w:r w:rsidR="003C3800">
        <w:t>s</w:t>
      </w:r>
      <w:r w:rsidR="003C3800" w:rsidRPr="004E6A29">
        <w:t>ation</w:t>
      </w:r>
      <w:r w:rsidR="006E52AF" w:rsidRPr="004E6A29">
        <w:t xml:space="preserve"> </w:t>
      </w:r>
      <w:r w:rsidR="00AB2359">
        <w:fldChar w:fldCharType="begin"/>
      </w:r>
      <w:r w:rsidR="00ED6B7B">
        <w:instrText xml:space="preserve"> ADDIN ZOTERO_ITEM CSL_CITATION {"citationID":"wx0xMfvX","properties":{"formattedCitation":"(US Treasury\\uc0\\u160{}2025)","plainCitation":"(US Treasury 2025)","noteIndex":0},"citationItems":[{"id":3099,"uris":["http://zotero.org/groups/5749450/items/J4B6AGWU"],"itemData":{"id":3099,"type":"webpage","abstract":"Arik Levinson, Deputy Assistant Secretary for Climate &amp; Energy EconomicsKarl Dunkle Werner, Economist, Office of Microeconomic AnalysisMatthew Ashenfarb, Research Economist, Office of Climate &amp; Energy EconomicsAnnelise Britten, Senior Policy Advisor, Office of Economic PolicyThe Inflation Reduction Act (IRA) represents the United States’ biggest investment to date in fighting climate change.  In recent months, we have considered two important economic aspects of the IRA: its role as a pro-growth policy that expands our economy while reducing greenhouse gas emissions, and its role as a place-based policy that directs climate investments to parts of the country that have been historically reliant on the fossil fuel economy and that have relatively low wages, employment, and college graduation rates. In this post, we make a different point: The economic case for the IRA is stronger than sometimes realized.  Common projections of the IRA’s effect on reducing greenhouse gas pollution underestimate the IRA’s benefits, and typical projections of the IRA’s effect on the federal budget overstate the IRA’s costs to the U.S. economy. The IRA will yield cumulative global economic benefits from reduced greenhouse gas pollution of over $5 trillion from the present to 2050. That understates the IRA’s benefits by counting only climate benefits, omitting many of the benefits we described earlier, including the fact that the IRA will also reduce local air pollution, providing domestic health and productivity gains to the United States. Lower-bound estimates of the benefits from those local pollution reductions range from $20 to $49 billion in 2030 alone, compared to that year’s climate benefits estimated at $137 billion.[1] The IRA’s projected costs to the U.S. federal budget are mostly reductions in taxes owed by U.S. taxpayers or increases in federal payments to those taxpayers.  Those are important but overstate the true resource costs the IRA imposes on the U.S. economy, because they only include one side of each transaction.  Tax credits paid by the federal government are received as benefits by American drivers who purchase electric cars, homeowners who install efficient heat pumps, and investors who build factories and power plants to equip and fuel the clean energy transitionThe Benefits of the IRA: Worldwide Climate Benefits and Improved Air Quality in the United StatesBurning fossil fuels—for electricity, transportation, manufacturing, or any other purpose—causes two major environmental problems.  One is the global climate damages caused by greenhouse gases, or CO2e.  A second involves damage to local air quality here in the United States, including from sulfur dioxide, nitrogen oxides, volatile organic compounds, and particulate matter. Much of the attention paid to the IRA’s environmental benefits has involved the first problem, global climate change from greenhouses gases. A recent paper in Science summarizes nine independent, state-of-the-art analyses that forecast the CO2e emissions reductions the IRA will provide.[2]  Three of the models focus solely on the electricity sector.  Six are more comprehensive, capturing not just clean electricity but also transportation and electric vehicles, energy efficiency, carbon capture, and clean hydrogen.  Figure 1 depicts the effect of the IRA on CO2e emissions.  The thick black line from 2000 until 2021 shows how historical emissions have been declining for the past 20 years.  The colored lines through 2050 depict projected future emissions, with and without the IRA, based on the six most comprehensive models summarized by Science; the thinner colored lines depict each of the six models projections separately; and the thick blue lines depict the average of the six models’ projections with and without the IRA.[3] The green shaded area between the two averages represents the total greenhouse gases (CO2e) that the IRA is projected to mitigate from now through 2050, 21 billion tons. Figure 1. Projected Greenhouse Gas Emissions Reductions Source:  Historic net emissions for 2000-2021 from EPA Emissions Inventory (2022).   Projected future emissions based on Bistline et al. (2023).  Each pair of dashed and solid lines represents the projections from one of the six models, with and without the IRA.  The thick lines represent the simple averages of the six. What are the economic benefits of the IRA’s greenhouse gas reductions?  Each ton of carbon emitted causes additional future economic damages here in the United States and around the world in the form of floods, hurricanes, and other extreme weather. Each ton not emitted (or captured and permanently stored) reduces those damages, providing economic benefits. As greenhouse gases accumulate in the atmosphere and temperatures rise, each new ton of greenhouse gases will cause a larger temperature increase, and each temperature increase will cause more damages.  And as countries’ populations and incomes grow, each hurricane or drought will affect more people and property, further magnifying damages.  As a consequence, the costs of pollution and benefits of mitigation will increase each year. The U.S. government has long had an official measure of the value of those avoided damages, which the U.S. Environmental Protection Agency (EPA) recently updated: $212 per ton in 2025, rising steadily to $308 per ton in 2050.[4]To describe how the economic benefits of the IRA’s greenhouse gas reductions will change over time, Figure 2 multiplies each ton of projected emissions reductions depicted in Figure 1 by the EPA’s assessment of the corresponding year’s value of avoided damages.  The green shaded area in Figure 2 depicts those benefits all the way to 2050, and they amount to $5.6 trillion.Figure 2. Climate Benefits of the IRA Source:  Projected emissions based on Bistline et al. (2023).  Value of benefits based on  EPA Social Cost of Greenhouse Gases (2023).Comparison of these figures reveals an important point. Figure 1 shows that even without the IRA, U.S. emissions are projected to decline.  The IRA accelerates a transition already underway.  But as shown in Figure 2, without the IRA, the monetary damages caused by U.S. emissions are projected to rise.  That’s because the economic damage caused by each ton of greenhouse gases grows faster over time than U.S. emissions without the IRA fall, meaning the net effect shown by the top line in Figure 2 is rising global damages.  The IRA reverses that.  Over the next decade, while the bulk of the tax credits are in force, the IRA causes projected global damages to fall. The IRA’s $5.6 trillion benefit depicted in Figure 2 represents worldwide gains, not just those experienced in the United States.  That’s appropriate, for reasons explained in Box 1.  But it’s also true that some portion of that $5.6 trillion will directly benefit people residing in the United States.  An influential 2018 study estimates that U.S. residents will suffer about 11% of global climate damages, with varying assumptions leading to values ranging from 2.7 to 44%.[5] Taken literally, that means 11% of the $5.6 trillion global benefits in Figure 1, or $640 billion, involve direct U.S. benefits, with a range anywhere from $150 billion to $2.5 trillion.But again, as Box 1 explains, assessing the IRA correctly requires using its global benefits, the whole $5.6 trillion.  And importantly, even that $5.6 trillion valuation understates the IRA’s merits by excluding some direct benefits to the United States we covered in an earlier post. One critical exclusion is the improved health and productivity that will follow reductions in local air pollutants like particulates and smog. Whose climate benefits?The $5.6 trillion of benefits in Figure 2 rest on the EPA’s official value for the avoided damage from emitting carbon, called the “social cost of greenhouse gases.”  That value represents worldwide gains, not just gains experienced in the United States. Two different U.S. interagency task forces endorsed valuing greenhouse gases using global benefits, not domestic benefits.[6]  They provide multiple justifications. For one, climate change is a global problem.  Every country’s emissions cause damage to every other country.  If the United States and other counties enact climate policies accounting only for their own benefits, solving the climate problem will be impossible.  That’s why at the UN Climate Change Conference in Paris in 2015, nearly 200 countries agreed to submit individual plans as to how they would reduce emissions of the greenhouse gases that contribute to climate change.  By signing the Inflation Reduction Act, President Biden took a significant step towards meeting the U.S. pledge. Common sense and economic research tell us that other countries will be less inclined to participate in an international effort if the United States fails to act.[7]  And it’s not just whether we act that matters, but how much. More common sense—and more research—suggests that the more effort the United States makes to combat climate change, the more other countries will follow.[8]  For every ton of CO2e that the United States pledged to reduce as part of the Paris Agreement, other countries pledged to cut another 2.5 to 10.8 tons.[9] So it makes sense for the United States to enact climate policies targeting benefits beyond just those accruing within our borders. We benefit from other countries’ policies, and their policies depend on ours.Beyond reciprocity with other countries, there are additional reasons why U.S. policy goals should not be restricted to benefits within U.S. borders. Climate damages to other countries will disrupt international trade, tourism, and financial markets to the economic detriment of the United States.  And climate change may contribute to the destabilization of foreign governments and cross-border migration with adverse consequences for the United States.In the context here—evaluating the IRA’s benefits—we can either credit the IRA with its global benefits as measured by the EPA’s social cost of carbon, or we can presume U.S. policy efforts are complemented by other countries’, in which case the benefits of U.S. policies include reductions in climate damages from collective international actions.  Either way, the appropriate benefits to consider are global.Local Pollution Benefits of the IRARecent research provides abundant examples of harms from local air pollution.[10]  Airborne particulates reduce worker productivity.[11]  Pollution causes people to work fewer hours,[12] perform worse on tests of cognition,[13] and even have more car accidents.[14] And the damages are long-lasting. People exposed to more pollution when they are in utero, as small children, or during their later lives, are less likely to attend college, go on work and earn less at their jobs, and are more likely to suffer from dementia more when they are older.[15]Because these local pollutants are emitted alongside greenhouse gases that affect the global climate, government climate policies like the IRA that limit greenhouse gas emissions can have additional benefits of improving local air quality. Figure 3 shows how the IRA will deliver benefits in the United States by reducing the risk of fatalities from sicknesses caused by airborne particulates, as reported by three separate analyses.  The estimated benefits for 2030 range from $20 billion (counting only reductions in sulfur dioxide and nitrogen oxides from the electric power sector) to $49 billion (including effects from electric vehicles, energy efficient buildings, and others).   This is just for one year – 2030 – and does not include estimates from previous or subsequent years.  Like the IRA’s climate benefits, we can expect the IRA’s local air pollution benefits to also grow over time, as the investments encouraged by the IRA begin to pay returns and existing gas and diesel-powered cars and trucks and fossil-fuel powered appliances and power plants are replaced.  One of the three studies (REPEAT) forecasts that the IRA’s pollution reductions will be even larger in subsequent years, with fatality risk reductions valued 150% higher in 2035 than in 2030. All the valuations in Figure 3 are also underestimates because they include only the IRA’s reductions in fatality risk, omitting other important benefits like improved health and productivity, as well as benefits from reductions in other types of local pollution.  One study, by Energy Innovation, also examined the IRA’s effect on non-fatal illnesses. It projects 85,900 fewer asthma attacks in 2030, 3,700 fewer heart attacks, 1,700 fewer hospital admissions, and 350,700 fewer lost workdays.[16]Figure 3. Local Air Pollution Benefits of the IRA  Sources:  Resources for the Future (RFF) RFF: “Beyond Clean Energy: The Financial Incidence and Health Effects of the IRA” Table 5.  Energy Innovation (EI): “Updated Inflation Reduction Act Modeling Using the Energy Policy Simulator” Table 5.   Rapid Energy Policy Evaluation and Analysis Toolkit (REPEAT): “Explore Our Results” comparison of IRA (mid-range) vs IIJA Only.  Mortality risk reductions valued using RFF’s approach, accounting for expected economic growth.  Graph shows undiscounted values: $15.3 million for 2030 and $16.5 million for 2035, both in real 2020 USD. Like any forecast, all of these involve uncertain predictions of the future. Nevertheless, they give a sense of the scale of the IRA’s domestic pollution benefits relative to its global climate benefits. The global climate benefits of the IRA for 2030, depicted in Figure 2, amount to $137 billion.  Just one part of the additional local benefits, fatality risk reduction from improved local air quality, would add another 15 to 35% on top of those carbon reduction benefits. Fiscal Cost Estimates Overstate the IRA’s True Cost to Our EconomyJust as the global value of the IRA’s projected carbon reductions understate its overall benefits, forecasts of the IRA’s fiscal costs overstate its true resource costs to the U.S. economy.  Fiscal costs are reductions in federal revenues or increases in federal payments.  They are monetary payments from the government to individuals, with no net loss to the country.  Resource costs are net losses to the aggregate U.S. economy from things like distorted incentives caused by the need to raise taxes, or damages to people and infrastructure from severe weather. Multiple groups have forecast the IRA’s fiscal costs over its 10-year life.  In November 2022, Credit Suisse forecast that the IRA’s fiscal cost to the federal budget would amount to more than $800 billion over 10 years.  In March of 2023, researchers at the Brookings Institution estimated the IRA fiscal cost to be $780 billion through 2031.  That same month, Goldman Sachs forecast the IRA fiscal cost at $1.2 trillion. And in April, University of Pennsylvania researchers expected the IRA fiscal cost to be just over $1 trillion from 2023 to 2032.[17] In addition, CBO recently increased its projected fiscal costs of energy related tax provisions, making their forecast roughly in line with these outside projections.[18]Estimating and understanding fiscal costs is important. The fiscal costs of a program describe its effect on the federal government’s annual deficit and the national debt.  And fiscal costs can affect inequality, because some households benefit financially while others incur higher taxes or higher interest rates to finance the debt. The IRA takes significant steps to ensure that the distribution of its tax incentives is equitable.  For example, high-income taxpayers are ineligible to receive tax rebates for purchasing electric cars.  Also, the IRA includes tax credit bonuses designed to steer clean investments to low-income communities and communities historically reliant on the fossil fuel economy, or “Energy Communities.”  Our recent blog post shows that most new clean investment announcements are in these disadvantaged communities. But for the purposes of a benefit-cost analysis to evaluate the IRA, fiscal costs are the wrong costs to consider.  That’s because the tax credits paid by the federal government are received as benefits by American drivers who purchase electric cars, homeowners who install efficient heat pumps, and investors who build factories and power plants to equip and fuel the clean energy transition. The bulk of the IRA’s fiscal costs are these types of tax credits, that is, reductions in taxes paid by individuals and businesses.  Each of those is a cost to the federal government, matched by an equal benefit to the recipient, with no net cost to the economy. Economists call money exchanged between parties, such as tax credits, “transfers.” Decades of federal guidance has been clear that transfers are not economic resource costs. The Office of Management and Budget (OMB) recently issued guidance for how federal agencies should evaluate regulations using benefit–cost analysis.[19]  It devotes a whole section to transfers, including “tax payments from individuals or businesses to the government … and tax refunds from the government to individuals or businesses.”  OMB recommends that analyses of tax changes either exclude both sides of the transaction, or include both.  In the case of the IRA’s $7,500 electric vehicle credit, that means excluding the $7,500 entirely, or counting the money both as a benefit to the taxpayer and a cost to the government. The previous version of the OMB guidance, in effect from 2003 until last year, made the same point. “Transfer payments are monetary payments from one group to another that do not affect total resources available to society.” [20]  It recommended that analysts examining federal regulations “not include transfers in the estimates of the benefits and costs of a regulation. Instead, address them in a separate discussion of the regulation’s distributional effects.”In fact, simple economic theory shows that the fiscal costs of a subsidy will always exceed its true economic costs.  That’s why it’s particularly noteworthy when studies describe the climate benefits of the IRA as being larger than those fiscal costs.  The Goldman Sachs analysis calculated that each ton of greenhouse gases abated by the IRA would cost the U.S. government $52.  Similarly, the Brookings report projected that each ton reduced by the IRA’s power sector subsidies would cost $36 to $87 of government funds.  Those outlays fall far short of the EPA’s social cost of carbon dioxide, which rises from $200 to $300 per ton.  So, according to these models, the benefits of the IRA far exceed its fiscal costs.  And according to economic theory the benefits will exceed the true economic costs by even more. [1] Unless noted, all dollar figures related to benefits or social costs are real (inflation-adjusted) 2020 USD.[2] Bistline, John, et al. 2023. “Emissions and energy impacts of the Inflation Reduction Act” Science 380(6652):1324-1327.[3] The Science article’s models we use for Figure 1 are based on Energy Innovation’s Energy Policy Simulator (EPS-EI), the U.S. National Energy Technology Laboratory’s implementation of the International Energy Agency’s MARKAL model (MARKAL-NETL), the Electric Power Research Institute’s Regional Economy, Greenhouse Gas, and Energy model (REGEN-EPRI), Evolved Energy Research’s Regional Investment and Operations model (RIO-REPEAT), the Rhodium Group’s implementation of the U.S. Energy Information Administration’s National Energy Modeling System (NEMS-RHG), and the Center for Global Sustainability’s Global Change Analysis Model (GCAM-CGS).  Only the first four have model projections for 2040 to 2050, so the forecast for those years is an average of only those models.[4] EPA Report on the Social Cost of Greenhouse Gases: Estimates Incorporating Recent Scientific Advances, Table A.5.1, in 2020 USD and using 2% initial discount rate.[5] Ricke, Katharine, Laurent Drouet, Ken Caldeira, and Massimo Tavoni. 2018. “Country-level social cost of carbon” Nature Climate Change p. 895-900. https://doi.org/10.1038/s41558-018-0282-y. Authors’ calculations of the US country social cost of carbon share of the global social cost of carbon.[6] U.S. Interagency Working Group on the Social Cost of Greenhouse Gases. 2021. “Technical Support Document: Social Cost of Carbon, Methane, and Nitrous Oxide – Interim Estimates under Executive Order 13990.” https://www.whitehouse.gov/wp-content/uploads/2021/02/TechnicalSupportDocument_SocialCostofCarbonMethaneNitrousOxide.pdf.[7] Barrett, Scott. 2011. “Avoiding disastrous climate change is possible but not inevitable.” PNAS 108 (29): 11733-11734. [8] Kotchen, Matthew J. 2018. Which social cost of carbon? A theoretical perspective. Journal of the Association of Environmental and Resource Economists, 5(3), 673-694.; Carleton, T., &amp; Greenstone, M. 2021. Updating the United States Government's Social Cost of Carbon. University of Chicago, Becker Friedman Institute for Economics Working Paper, (2021-04).[9]Houser, Trevor, Kate Larsen, and Michael Greenstone. 2021. “Does the World Free Ride on US Pledges to Reduce Greenhouse Gas Emissions? Evidence from the Paris Climate Agreement” University of Chicago Becker Friedman Institute for Economics Working Paper No. 2023-146.[10] Aguilar-Gomez, Sandra, Holt Dwyer, Joshua Graff Zivin, and Matthew Neidell. 2022. “This Is Air: The ‘Nonhealth’ Effects of Air Pollution.” Annual Review of Resource Economics 14: 403-425.[11] Chang, Tom, Joshua Graff Zivin, Tal Gross, and Matthew Neidell. 2016. “Particulate Pollution and the Productivity of Pear Packers.” American Economic Journal: Economic Policy 8 (3): 141-169.; He, Jiaxiu, Haoming Liu, and Alberto Salvo. 2019. “Severe Air Pollution and Labor Productivity: Evidence from Industrial Towns in China.” American Economic Journal: Applied Economics 11 (1): 173-201.[12] Aragón, Fernando, Juan Jose Miranda, and Paulina Oliva. 2017. “Particulate matter and labor supply: The role of caregiving and non-linearities.” Journal of Environmental Economics and Management 86: 295-309; Holub, Felix, Laura Hospido, Ulrich J. Wagner. 2021. “Urban air pollution and sick leaves: evidence from social security data.” Social Science Research Network, August 21, 2021.[13] Zhang, Xin, Xi Chen, and Xiaobo Zhang. 2018. The impact of exposure to air pollution on cognitive performance. Proceedings of the National Academy of Sciences, 115(37), pp.9193-9197.; Roth, Sefi J. 2018. “The effect of indoor air pollution on cognitive performance: Evidence from the UK.” Working paper. Accessed August 11, 2023. https://personal.lse.ac.uk/roths/JMP.pdf.[14] Sager, Lutz. 2019. “Estimating the effect of air pollution on road safety using atmospheric temperature inversions.” Journal of Environmental Economics and Management 98: 102-250.[15] Isen, Adam, Maya Rossin-Slater, and W. Reed Walker. 2017. “Every breath you take—every dollar you’ll make: The long-term consequences of the Clean Air Act of 1970.” Journal of Political Economy 125 (3): 848-902.; Voorheis, John. 2017. “Air quality, human capital formation and the long-term effects of environmental inequality at birth.” Center for Administrative Records Research and Applications, U.S. Census Bureau, working paper 2017-05.; Bishop, Kelly, Jonathan Ketcham, Nicolai Kuminoff. 2023. “Hazed and Confused: The Effect of Air Pollution on Dementia” Review of Economic Studies 90(5): 2188-2214.[16] Mahajan, Megan, Olivia Ashmoore, Jeffrey Rissman, Robbie Orvis, and Anand Gopal. 2022. “Updated Inflation Reduction Act Modeling Using the Energy Policy Simulator.” Energy Innovation, August 23, 2022. https://energyinnovation.org/publication/updated-inflation-reduction-act-modeling-using-the-energy-policy-simulator/. [17] We report these studies’ original dollar figures, without applying any inflation adjustment.[18] Congressional Budget Office. 2024. The Budget and Economic Outlook: 2024 to 2034 (accessed February 11, 2024). The CBO forecast now incorporates the EPA’s proposed vehicle emissions standards that would begin with the 2027 model year, with a 50-percent weight, following CBO’s typical practice for rules that are not yet finalized.[19] Office of Management and Budget. 2023. Circular A-4, (accessed January 18, 2024).[20] Office of Management and Budget. 2003. Circular A-4 (archives.gov), (accessed January 18, 2024).","container-title":"U.S. Department of the Treasury","language":"en","title":"The Inflation Reduction Act’s Benefits and Costs","URL":"https://home.treasury.gov/news/featured-stories/the-inflation-reduction-acts-benefits-and-costs","author":[{"literal":"US Treasury"}],"accessed":{"date-parts":[["2025",4,30]]},"issued":{"date-parts":[["2025",2,8]]}}}],"schema":"https://github.com/citation-style-language/schema/raw/master/csl-citation.json"} </w:instrText>
      </w:r>
      <w:r w:rsidR="00AB2359">
        <w:fldChar w:fldCharType="separate"/>
      </w:r>
      <w:r w:rsidR="00AC28EF" w:rsidRPr="00AC28EF">
        <w:rPr>
          <w:rFonts w:ascii="Arial" w:hAnsi="Arial" w:cs="Arial"/>
        </w:rPr>
        <w:t>(US Treasury 2025)</w:t>
      </w:r>
      <w:r w:rsidR="00AB2359">
        <w:fldChar w:fldCharType="end"/>
      </w:r>
      <w:r w:rsidR="006E52AF" w:rsidRPr="004E6A29">
        <w:t>.</w:t>
      </w:r>
    </w:p>
    <w:p w14:paraId="72187252" w14:textId="34B52003" w:rsidR="00D331A0" w:rsidRDefault="00B17FFC" w:rsidP="00C76889">
      <w:pPr>
        <w:pStyle w:val="Heading3-noTOC"/>
      </w:pPr>
      <w:r>
        <w:t>Modern industry policy in Australia</w:t>
      </w:r>
    </w:p>
    <w:p w14:paraId="31892AB2" w14:textId="5231B855" w:rsidR="00A517A4" w:rsidRPr="00C76889" w:rsidRDefault="00A517A4" w:rsidP="008E049D">
      <w:pPr>
        <w:pStyle w:val="Heading4"/>
      </w:pPr>
      <w:r w:rsidRPr="00C76889">
        <w:t xml:space="preserve">The Future Made in Australia </w:t>
      </w:r>
      <w:r w:rsidR="005D50CF" w:rsidRPr="00C76889">
        <w:t>agenda</w:t>
      </w:r>
    </w:p>
    <w:p w14:paraId="38EF4193" w14:textId="21FBCA67" w:rsidR="00E94338" w:rsidRDefault="006E16DB" w:rsidP="00E94338">
      <w:pPr>
        <w:pStyle w:val="BodyText"/>
      </w:pPr>
      <w:r>
        <w:t xml:space="preserve">The </w:t>
      </w:r>
      <w:r w:rsidR="00E94338">
        <w:t xml:space="preserve">Australian Government is </w:t>
      </w:r>
      <w:r w:rsidR="00166B64">
        <w:t>pursuing</w:t>
      </w:r>
      <w:r w:rsidR="00811F1E">
        <w:t xml:space="preserve"> similar modern industry policy initiatives</w:t>
      </w:r>
      <w:r w:rsidR="00E94338">
        <w:t>. While maintaining commitments to free trade</w:t>
      </w:r>
      <w:r w:rsidR="009A12D2">
        <w:t xml:space="preserve"> as an enabler of economic security,</w:t>
      </w:r>
      <w:r w:rsidR="009A12D2" w:rsidRPr="00B262DF">
        <w:rPr>
          <w:rStyle w:val="FootnoteReference"/>
        </w:rPr>
        <w:footnoteReference w:id="4"/>
      </w:r>
      <w:r w:rsidR="009A12D2">
        <w:t xml:space="preserve"> </w:t>
      </w:r>
      <w:r w:rsidR="00E94338">
        <w:t xml:space="preserve">there is an increasing focus on </w:t>
      </w:r>
      <w:r w:rsidR="00CA74B2">
        <w:t>industry policy</w:t>
      </w:r>
      <w:r w:rsidR="00E94338">
        <w:t xml:space="preserve"> designed to strengthen domestic supply chains and foster growth in strategic industries, particularly those related to the transition to a net zero economy. </w:t>
      </w:r>
    </w:p>
    <w:p w14:paraId="366006EB" w14:textId="27B7F701" w:rsidR="00CB5A77" w:rsidRDefault="00025C7B" w:rsidP="00C9458E">
      <w:pPr>
        <w:pStyle w:val="BodyText"/>
      </w:pPr>
      <w:r>
        <w:t xml:space="preserve">Initiatives such as </w:t>
      </w:r>
      <w:r w:rsidR="00614CCB">
        <w:t>the</w:t>
      </w:r>
      <w:r>
        <w:t xml:space="preserve"> ‘Future Made in Australia’ (FMIA) </w:t>
      </w:r>
      <w:r w:rsidR="00614CCB">
        <w:t xml:space="preserve">program </w:t>
      </w:r>
      <w:r>
        <w:t>exemplify t</w:t>
      </w:r>
      <w:r w:rsidR="00394B6A">
        <w:t xml:space="preserve">his </w:t>
      </w:r>
      <w:r w:rsidR="00FA7BFA">
        <w:t xml:space="preserve">modern </w:t>
      </w:r>
      <w:r>
        <w:t>approach</w:t>
      </w:r>
      <w:r w:rsidR="00394B6A">
        <w:t xml:space="preserve"> to industry policy</w:t>
      </w:r>
      <w:r>
        <w:t xml:space="preserve">. FMIA signifies a greater </w:t>
      </w:r>
      <w:r w:rsidR="004529A3">
        <w:t xml:space="preserve">interest in </w:t>
      </w:r>
      <w:r w:rsidR="00DF7E01">
        <w:t>targeted industry policy interventions</w:t>
      </w:r>
      <w:r>
        <w:t xml:space="preserve"> in the Australian economy</w:t>
      </w:r>
      <w:r w:rsidR="00170673">
        <w:t xml:space="preserve">, </w:t>
      </w:r>
      <w:r>
        <w:t xml:space="preserve">aimed at leveraging public resources </w:t>
      </w:r>
      <w:r w:rsidR="00A517A4" w:rsidRPr="00EE306F">
        <w:t>to build supply chain resilience, encourage emissions abatement, and position Australia to benefit from the</w:t>
      </w:r>
      <w:r w:rsidR="00A517A4">
        <w:t xml:space="preserve"> emerging</w:t>
      </w:r>
      <w:r w:rsidR="00A517A4" w:rsidRPr="00EE306F">
        <w:t xml:space="preserve"> global net</w:t>
      </w:r>
      <w:r w:rsidR="00FE0A30">
        <w:t xml:space="preserve"> </w:t>
      </w:r>
      <w:r w:rsidR="00A517A4" w:rsidRPr="00EE306F">
        <w:t xml:space="preserve">zero </w:t>
      </w:r>
      <w:r w:rsidR="00A517A4">
        <w:t xml:space="preserve">economy </w:t>
      </w:r>
      <w:r w:rsidR="00A517A4">
        <w:fldChar w:fldCharType="begin"/>
      </w:r>
      <w:r w:rsidR="00ED6B7B">
        <w:instrText xml:space="preserve"> ADDIN ZOTERO_ITEM CSL_CITATION {"citationID":"IKKvKxOA","properties":{"formattedCitation":"(Australian Government\\uc0\\u160{}2024, p.\\uc0\\u160{}3)","plainCitation":"(Australian Government 2024, p. 3)","noteIndex":0},"citationItems":[{"id":2834,"uris":["http://zotero.org/groups/5560192/items/Q5WL6KVF"],"itemData":{"id":2834,"type":"article-journal","language":"en","source":"Zotero","title":"Future Made in Australia – National Interest Framework supporting paper","URL":"https://treasury.gov.au/sites/default/files/2024-05/p2024-526942-fmia-nif.pdf","author":[{"family":"Australian Government","given":""}],"issued":{"date-parts":[["2024",5,14]]}},"locator":"3","label":"page"}],"schema":"https://github.com/citation-style-language/schema/raw/master/csl-citation.json"} </w:instrText>
      </w:r>
      <w:r w:rsidR="00A517A4">
        <w:fldChar w:fldCharType="separate"/>
      </w:r>
      <w:r w:rsidR="00A517A4" w:rsidRPr="00910FCB">
        <w:rPr>
          <w:rFonts w:ascii="Arial" w:hAnsi="Arial" w:cs="Arial"/>
        </w:rPr>
        <w:t>(Australian Government 2024, p. 3)</w:t>
      </w:r>
      <w:r w:rsidR="00A517A4">
        <w:fldChar w:fldCharType="end"/>
      </w:r>
      <w:r w:rsidR="00A517A4">
        <w:t>.</w:t>
      </w:r>
    </w:p>
    <w:p w14:paraId="530E65D0" w14:textId="0414D918" w:rsidR="00A517A4" w:rsidRPr="00EE306F" w:rsidRDefault="007A173E" w:rsidP="00A517A4">
      <w:pPr>
        <w:pStyle w:val="BodyText"/>
      </w:pPr>
      <w:r>
        <w:t xml:space="preserve">The </w:t>
      </w:r>
      <w:r w:rsidR="00A517A4" w:rsidRPr="00EE306F">
        <w:t>Australian Government</w:t>
      </w:r>
      <w:r w:rsidR="00A517A4">
        <w:t xml:space="preserve"> has</w:t>
      </w:r>
      <w:r w:rsidR="00A517A4" w:rsidRPr="00EE306F">
        <w:t xml:space="preserve"> adopt</w:t>
      </w:r>
      <w:r w:rsidR="00A517A4">
        <w:t>ed</w:t>
      </w:r>
      <w:r w:rsidR="00A517A4" w:rsidRPr="00EE306F">
        <w:t xml:space="preserve"> a clear </w:t>
      </w:r>
      <w:r w:rsidR="00A517A4">
        <w:t xml:space="preserve">conceptual </w:t>
      </w:r>
      <w:r w:rsidR="00A517A4" w:rsidRPr="00EE306F">
        <w:t>framework</w:t>
      </w:r>
      <w:r w:rsidR="00766287">
        <w:t xml:space="preserve"> – </w:t>
      </w:r>
      <w:r w:rsidR="00A517A4" w:rsidRPr="00EE306F">
        <w:t xml:space="preserve">the </w:t>
      </w:r>
      <w:r w:rsidR="00A517A4">
        <w:t>National Interest Framework (NIF)</w:t>
      </w:r>
      <w:r w:rsidR="00766287">
        <w:t xml:space="preserve"> – </w:t>
      </w:r>
      <w:r w:rsidR="00A517A4" w:rsidRPr="00EE306F">
        <w:t xml:space="preserve">to assess </w:t>
      </w:r>
      <w:r w:rsidR="00A517A4">
        <w:t xml:space="preserve">proposed </w:t>
      </w:r>
      <w:r w:rsidR="00A517A4" w:rsidRPr="00EE306F">
        <w:t>sectoral interventions</w:t>
      </w:r>
      <w:r w:rsidR="00A517A4">
        <w:t xml:space="preserve"> and mitigate the risk of poorly targeted investment</w:t>
      </w:r>
      <w:r w:rsidR="00A517A4" w:rsidRPr="00EE306F">
        <w:t>.</w:t>
      </w:r>
      <w:r w:rsidR="000E48AE" w:rsidRPr="009E1673">
        <w:rPr>
          <w:rStyle w:val="FootnoteReference"/>
        </w:rPr>
        <w:footnoteReference w:id="5"/>
      </w:r>
      <w:r w:rsidR="00A517A4" w:rsidRPr="00EE306F">
        <w:t xml:space="preserve"> </w:t>
      </w:r>
      <w:r w:rsidR="00A517A4">
        <w:t xml:space="preserve">The </w:t>
      </w:r>
      <w:r w:rsidR="00A517A4">
        <w:lastRenderedPageBreak/>
        <w:t>PC welcomes the NIF and its</w:t>
      </w:r>
      <w:r w:rsidR="00A517A4" w:rsidRPr="00EE306F">
        <w:t xml:space="preserve"> </w:t>
      </w:r>
      <w:r w:rsidR="00A517A4">
        <w:t>operationalisation through Sector Assessments, which can play an important role in ensuring the FMIA objectives are met at best value to the Australian public.</w:t>
      </w:r>
    </w:p>
    <w:p w14:paraId="6A64C2FD" w14:textId="59E499FF" w:rsidR="00A517A4" w:rsidRPr="00EE306F" w:rsidRDefault="00A517A4" w:rsidP="00A517A4">
      <w:pPr>
        <w:pStyle w:val="BodyText"/>
      </w:pPr>
      <w:r w:rsidRPr="00EE306F">
        <w:t>The NI</w:t>
      </w:r>
      <w:r>
        <w:t>F</w:t>
      </w:r>
      <w:r w:rsidR="00FE2BBA">
        <w:t xml:space="preserve"> </w:t>
      </w:r>
      <w:r w:rsidRPr="00EE306F">
        <w:t>provides for the allocation of FMIA funding under two streams</w:t>
      </w:r>
      <w:r w:rsidR="003032B5">
        <w:t>:</w:t>
      </w:r>
      <w:r w:rsidRPr="00EE306F">
        <w:t xml:space="preserve"> the net zero transformation stream and the economic resilience and security stream</w:t>
      </w:r>
      <w:r>
        <w:t xml:space="preserve"> </w:t>
      </w:r>
      <w:r>
        <w:fldChar w:fldCharType="begin"/>
      </w:r>
      <w:r w:rsidR="00ED6B7B">
        <w:instrText xml:space="preserve"> ADDIN ZOTERO_ITEM CSL_CITATION {"citationID":"qJ9dVA4a","properties":{"formattedCitation":"(Australian Government\\uc0\\u160{}2024)","plainCitation":"(Australian Government 2024)","noteIndex":0},"citationItems":[{"id":2834,"uris":["http://zotero.org/groups/5560192/items/Q5WL6KVF"],"itemData":{"id":2834,"type":"article-journal","language":"en","source":"Zotero","title":"Future Made in Australia – National Interest Framework supporting paper","URL":"https://treasury.gov.au/sites/default/files/2024-05/p2024-526942-fmia-nif.pdf","author":[{"family":"Australian Government","given":""}],"issued":{"date-parts":[["2024",5,14]]}}}],"schema":"https://github.com/citation-style-language/schema/raw/master/csl-citation.json"} </w:instrText>
      </w:r>
      <w:r>
        <w:fldChar w:fldCharType="separate"/>
      </w:r>
      <w:r w:rsidRPr="00DC6327">
        <w:rPr>
          <w:rFonts w:ascii="Arial" w:hAnsi="Arial" w:cs="Arial"/>
        </w:rPr>
        <w:t>(Australian Government 2024)</w:t>
      </w:r>
      <w:r>
        <w:fldChar w:fldCharType="end"/>
      </w:r>
      <w:r w:rsidRPr="00EE306F">
        <w:t>.</w:t>
      </w:r>
      <w:r>
        <w:t xml:space="preserve"> </w:t>
      </w:r>
    </w:p>
    <w:p w14:paraId="3699495D" w14:textId="27C4022F" w:rsidR="00A517A4" w:rsidRDefault="00A517A4" w:rsidP="00A517A4">
      <w:pPr>
        <w:pStyle w:val="BodyText"/>
      </w:pPr>
      <w:r w:rsidRPr="000E53D1">
        <w:t>A sector could qualify for support under the economic resilience and security stream if</w:t>
      </w:r>
      <w:r>
        <w:t>:</w:t>
      </w:r>
    </w:p>
    <w:p w14:paraId="31A04C61" w14:textId="77777777" w:rsidR="00A517A4" w:rsidRDefault="00A517A4" w:rsidP="00A517A4">
      <w:pPr>
        <w:pStyle w:val="ListBullet"/>
      </w:pPr>
      <w:r>
        <w:t>s</w:t>
      </w:r>
      <w:r w:rsidRPr="000E53D1">
        <w:t xml:space="preserve">ome level of domestic production capability </w:t>
      </w:r>
      <w:r>
        <w:t>is</w:t>
      </w:r>
      <w:r w:rsidRPr="000E53D1">
        <w:t xml:space="preserve"> judged necessary or efficient to deliver adequate economic resilience and security</w:t>
      </w:r>
    </w:p>
    <w:p w14:paraId="6D9EE5AD" w14:textId="77777777" w:rsidR="00A517A4" w:rsidRDefault="00A517A4" w:rsidP="00A517A4">
      <w:pPr>
        <w:pStyle w:val="ListBullet"/>
      </w:pPr>
      <w:r>
        <w:t>a</w:t>
      </w:r>
      <w:r w:rsidRPr="000E53D1">
        <w:t xml:space="preserve"> disruption to supply of that good or service </w:t>
      </w:r>
      <w:r>
        <w:t>is</w:t>
      </w:r>
      <w:r w:rsidRPr="000E53D1">
        <w:t xml:space="preserve"> judged to have unacceptably high impacts on safety, economic stability, or wellbeing</w:t>
      </w:r>
    </w:p>
    <w:p w14:paraId="03DDFFC8" w14:textId="77777777" w:rsidR="00A517A4" w:rsidRDefault="00A517A4" w:rsidP="00A517A4">
      <w:pPr>
        <w:pStyle w:val="ListBullet"/>
      </w:pPr>
      <w:r>
        <w:t>t</w:t>
      </w:r>
      <w:r w:rsidRPr="000E53D1">
        <w:t>he private sector would not invest in this capability without public investment</w:t>
      </w:r>
    </w:p>
    <w:p w14:paraId="76AA5EB7" w14:textId="7732C364" w:rsidR="00A517A4" w:rsidRPr="000E53D1" w:rsidRDefault="00A517A4" w:rsidP="00A517A4">
      <w:pPr>
        <w:pStyle w:val="ListBullet"/>
      </w:pPr>
      <w:r>
        <w:t>p</w:t>
      </w:r>
      <w:r w:rsidRPr="000E53D1">
        <w:t>ublic investment could address the risks to economic security and resilience in a way that represent</w:t>
      </w:r>
      <w:r>
        <w:t>s</w:t>
      </w:r>
      <w:r w:rsidRPr="000E53D1">
        <w:t xml:space="preserve"> ‘compelling public value’ </w:t>
      </w:r>
      <w:r w:rsidRPr="000E53D1">
        <w:fldChar w:fldCharType="begin"/>
      </w:r>
      <w:r w:rsidR="00ED6B7B">
        <w:instrText xml:space="preserve"> ADDIN ZOTERO_ITEM CSL_CITATION {"citationID":"bzbhKax5","properties":{"formattedCitation":"(Australian Government\\uc0\\u160{}2024, p.\\uc0\\u160{}12)","plainCitation":"(Australian Government 2024, p. 12)","noteIndex":0},"citationItems":[{"id":2834,"uris":["http://zotero.org/groups/5560192/items/Q5WL6KVF"],"itemData":{"id":2834,"type":"article-journal","language":"en","source":"Zotero","title":"Future Made in Australia – National Interest Framework supporting paper","URL":"https://treasury.gov.au/sites/default/files/2024-05/p2024-526942-fmia-nif.pdf","author":[{"family":"Australian Government","given":""}],"issued":{"date-parts":[["2024",5,14]]}},"locator":"12","label":"page"}],"schema":"https://github.com/citation-style-language/schema/raw/master/csl-citation.json"} </w:instrText>
      </w:r>
      <w:r w:rsidRPr="000E53D1">
        <w:fldChar w:fldCharType="separate"/>
      </w:r>
      <w:r w:rsidRPr="000E53D1">
        <w:t>(Australian Government 2024, p. 12)</w:t>
      </w:r>
      <w:r w:rsidRPr="000E53D1">
        <w:fldChar w:fldCharType="end"/>
      </w:r>
      <w:r w:rsidRPr="000E53D1">
        <w:t xml:space="preserve">. </w:t>
      </w:r>
    </w:p>
    <w:p w14:paraId="01008221" w14:textId="77777777" w:rsidR="00A517A4" w:rsidRPr="000E53D1" w:rsidRDefault="00A517A4" w:rsidP="00A517A4">
      <w:pPr>
        <w:pStyle w:val="BodyText"/>
      </w:pPr>
      <w:r w:rsidRPr="000E53D1">
        <w:t>A sector could qualify for support under the net zero transformation stream if</w:t>
      </w:r>
      <w:r>
        <w:t>:</w:t>
      </w:r>
    </w:p>
    <w:p w14:paraId="0B8CD1FB" w14:textId="6B9BB6A6" w:rsidR="00A517A4" w:rsidRPr="001E2C59" w:rsidRDefault="00A517A4" w:rsidP="00A517A4">
      <w:pPr>
        <w:pStyle w:val="ListBullet"/>
      </w:pPr>
      <w:r>
        <w:t>i</w:t>
      </w:r>
      <w:r w:rsidRPr="001E2C59">
        <w:t xml:space="preserve">t </w:t>
      </w:r>
      <w:r>
        <w:t>is</w:t>
      </w:r>
      <w:r w:rsidRPr="001E2C59">
        <w:t xml:space="preserve"> judged to have grounds for sustained comparative advantage in a net zero global economy</w:t>
      </w:r>
    </w:p>
    <w:p w14:paraId="3460412F" w14:textId="57A92CB5" w:rsidR="00A517A4" w:rsidRPr="001E2C59" w:rsidRDefault="00A517A4" w:rsidP="00A517A4">
      <w:pPr>
        <w:pStyle w:val="ListBullet"/>
      </w:pPr>
      <w:r>
        <w:t>p</w:t>
      </w:r>
      <w:r w:rsidRPr="001E2C59">
        <w:t>ublic investment</w:t>
      </w:r>
      <w:r w:rsidRPr="001E2C59" w:rsidDel="008D699D">
        <w:t xml:space="preserve"> </w:t>
      </w:r>
      <w:r>
        <w:t>is</w:t>
      </w:r>
      <w:r w:rsidRPr="001E2C59">
        <w:t xml:space="preserve"> judged to be necessary for the sector to make a significant contribution to emissions reduction at an efficient cost </w:t>
      </w:r>
      <w:r w:rsidRPr="001E2C59">
        <w:fldChar w:fldCharType="begin"/>
      </w:r>
      <w:r w:rsidR="00ED6B7B">
        <w:instrText xml:space="preserve"> ADDIN ZOTERO_ITEM CSL_CITATION {"citationID":"1O4Bze4B","properties":{"formattedCitation":"(Australian Government\\uc0\\u160{}2024, p.\\uc0\\u160{}9)","plainCitation":"(Australian Government 2024, p. 9)","noteIndex":0},"citationItems":[{"id":2834,"uris":["http://zotero.org/groups/5560192/items/Q5WL6KVF"],"itemData":{"id":2834,"type":"article-journal","language":"en","source":"Zotero","title":"Future Made in Australia – National Interest Framework supporting paper","URL":"https://treasury.gov.au/sites/default/files/2024-05/p2024-526942-fmia-nif.pdf","author":[{"family":"Australian Government","given":""}],"issued":{"date-parts":[["2024",5,14]]}},"locator":"9","label":"page"}],"schema":"https://github.com/citation-style-language/schema/raw/master/csl-citation.json"} </w:instrText>
      </w:r>
      <w:r w:rsidRPr="001E2C59">
        <w:fldChar w:fldCharType="separate"/>
      </w:r>
      <w:r w:rsidRPr="001E2C59">
        <w:t>(Australian Government 2024, p. 9)</w:t>
      </w:r>
      <w:r w:rsidRPr="001E2C59">
        <w:fldChar w:fldCharType="end"/>
      </w:r>
      <w:r w:rsidRPr="001E2C59">
        <w:t xml:space="preserve">. </w:t>
      </w:r>
    </w:p>
    <w:p w14:paraId="6BB1737D" w14:textId="130C4FC9" w:rsidR="00A517A4" w:rsidRDefault="00A517A4" w:rsidP="00A517A4">
      <w:pPr>
        <w:pStyle w:val="BodyText"/>
      </w:pPr>
      <w:r>
        <w:t>W</w:t>
      </w:r>
      <w:r w:rsidRPr="00EE306F">
        <w:t xml:space="preserve">hether the NIF is effective in managing these risks will depend on </w:t>
      </w:r>
      <w:r>
        <w:t>the final design of the</w:t>
      </w:r>
      <w:r w:rsidRPr="00EE306F">
        <w:t xml:space="preserve"> sector assessments</w:t>
      </w:r>
      <w:r>
        <w:t>, and the extent to which they are used to guide FMIA support to industry.</w:t>
      </w:r>
    </w:p>
    <w:p w14:paraId="73AAADFE" w14:textId="49455A70" w:rsidR="00D331A0" w:rsidRDefault="00D331A0" w:rsidP="00D331A0">
      <w:pPr>
        <w:pStyle w:val="Heading4"/>
      </w:pPr>
      <w:r>
        <w:t xml:space="preserve">Other initiatives to build supply chain resilience and </w:t>
      </w:r>
      <w:r w:rsidR="006B4E1C">
        <w:t>support</w:t>
      </w:r>
      <w:r>
        <w:t xml:space="preserve"> net zero industry</w:t>
      </w:r>
    </w:p>
    <w:p w14:paraId="281F2F8F" w14:textId="69FC5A39" w:rsidR="0034066F" w:rsidRDefault="00D331A0" w:rsidP="00D331A0">
      <w:pPr>
        <w:pStyle w:val="BodyText"/>
      </w:pPr>
      <w:r>
        <w:t xml:space="preserve">FMIA </w:t>
      </w:r>
      <w:r w:rsidR="00066AAF">
        <w:t>does not encompass all modern industry policy initiatives</w:t>
      </w:r>
      <w:r w:rsidR="00FC71A5">
        <w:t xml:space="preserve"> </w:t>
      </w:r>
      <w:r w:rsidR="00066AAF">
        <w:t xml:space="preserve">in Australia. </w:t>
      </w:r>
      <w:r w:rsidR="004904CD">
        <w:t xml:space="preserve">The </w:t>
      </w:r>
      <w:r w:rsidR="00FF5D5B">
        <w:t xml:space="preserve">PC’s </w:t>
      </w:r>
      <w:r w:rsidR="004904CD" w:rsidRPr="008E049D">
        <w:rPr>
          <w:i/>
          <w:iCs/>
        </w:rPr>
        <w:t>Trade and Assistance Review 2021</w:t>
      </w:r>
      <w:r w:rsidR="00D25956">
        <w:rPr>
          <w:i/>
          <w:iCs/>
        </w:rPr>
        <w:noBreakHyphen/>
      </w:r>
      <w:r w:rsidR="004904CD" w:rsidRPr="008E049D">
        <w:rPr>
          <w:i/>
          <w:iCs/>
        </w:rPr>
        <w:t>22</w:t>
      </w:r>
      <w:r w:rsidR="00066AAF">
        <w:t xml:space="preserve"> noted the growing role of net zero </w:t>
      </w:r>
      <w:r w:rsidR="00CA74B2">
        <w:t>industry policy</w:t>
      </w:r>
      <w:r w:rsidR="00066AAF">
        <w:t xml:space="preserve"> well before the announcement of FMIA</w:t>
      </w:r>
      <w:r w:rsidR="007F4C35">
        <w:t xml:space="preserve"> </w:t>
      </w:r>
      <w:r w:rsidR="007F4C35">
        <w:fldChar w:fldCharType="begin"/>
      </w:r>
      <w:r w:rsidR="00ED6B7B">
        <w:instrText xml:space="preserve"> ADDIN ZOTERO_ITEM CSL_CITATION {"citationID":"AmKP89Tn","properties":{"formattedCitation":"(PC\\uc0\\u160{}2023b, pp.\\uc0\\u160{}52\\uc0\\u8211{}58)","plainCitation":"(PC 2023b, pp. 52–58)","noteIndex":0},"citationItems":[{"id":897,"uris":["http://zotero.org/groups/164861/items/ILZ2Y4Y7"],"itemData":{"id":897,"type":"report","collection-title":"Annual Report Series","event-place":"Canberra","publisher-place":"Canberra","title":"Trade and Assistance Review 2021-22","author":[{"family":"Productivity Commission","given":""}],"translator":[{"family":"PC","given":""}],"issued":{"date-parts":[["2023"]]}},"locator":"52-58","label":"page"}],"schema":"https://github.com/citation-style-language/schema/raw/master/csl-citation.json"} </w:instrText>
      </w:r>
      <w:r w:rsidR="007F4C35">
        <w:fldChar w:fldCharType="separate"/>
      </w:r>
      <w:r w:rsidR="00EE1E91" w:rsidRPr="00EE1E91">
        <w:rPr>
          <w:rFonts w:ascii="Arial" w:hAnsi="Arial" w:cs="Arial"/>
        </w:rPr>
        <w:t>(PC 2023b, pp. 52–58)</w:t>
      </w:r>
      <w:r w:rsidR="007F4C35">
        <w:fldChar w:fldCharType="end"/>
      </w:r>
      <w:r w:rsidR="00066AAF">
        <w:t xml:space="preserve">. Many measures such as the </w:t>
      </w:r>
      <w:r w:rsidR="006143E7">
        <w:t>C</w:t>
      </w:r>
      <w:r w:rsidR="00066AAF">
        <w:t xml:space="preserve">apacity </w:t>
      </w:r>
      <w:r w:rsidR="008679BA">
        <w:t>I</w:t>
      </w:r>
      <w:r w:rsidR="00066AAF">
        <w:t xml:space="preserve">nvestment </w:t>
      </w:r>
      <w:r w:rsidR="008679BA">
        <w:t>S</w:t>
      </w:r>
      <w:r w:rsidR="00066AAF">
        <w:t xml:space="preserve">cheme, </w:t>
      </w:r>
      <w:r w:rsidR="00CC193D">
        <w:t>P</w:t>
      </w:r>
      <w:r w:rsidR="00066AAF">
        <w:t xml:space="preserve">owering the </w:t>
      </w:r>
      <w:r w:rsidR="00CC193D">
        <w:t>R</w:t>
      </w:r>
      <w:r w:rsidR="00066AAF">
        <w:t xml:space="preserve">egions </w:t>
      </w:r>
      <w:r w:rsidR="00CC193D">
        <w:t>F</w:t>
      </w:r>
      <w:r w:rsidR="00066AAF">
        <w:t xml:space="preserve">und and the </w:t>
      </w:r>
      <w:r w:rsidR="007A58B4">
        <w:t>H</w:t>
      </w:r>
      <w:r w:rsidR="00066AAF">
        <w:t xml:space="preserve">ydrogen </w:t>
      </w:r>
      <w:r w:rsidR="007A58B4">
        <w:t>H</w:t>
      </w:r>
      <w:r w:rsidR="00066AAF">
        <w:t xml:space="preserve">ubs </w:t>
      </w:r>
      <w:r w:rsidR="007A58B4">
        <w:t>P</w:t>
      </w:r>
      <w:r w:rsidR="00066AAF">
        <w:t xml:space="preserve">rogram </w:t>
      </w:r>
      <w:r w:rsidR="008E074F">
        <w:t>which</w:t>
      </w:r>
      <w:r w:rsidR="00066AAF">
        <w:t xml:space="preserve"> provide support for net zero industry </w:t>
      </w:r>
      <w:r w:rsidR="006F4C90">
        <w:t>and are not</w:t>
      </w:r>
      <w:r w:rsidR="00066AAF">
        <w:t xml:space="preserve"> </w:t>
      </w:r>
      <w:r w:rsidR="00887692">
        <w:t xml:space="preserve">formally listed as part of </w:t>
      </w:r>
      <w:r w:rsidR="00066AAF">
        <w:t>FMIA, based on available documents</w:t>
      </w:r>
      <w:r w:rsidR="001413DC">
        <w:t xml:space="preserve"> </w:t>
      </w:r>
      <w:r w:rsidR="001413DC">
        <w:fldChar w:fldCharType="begin"/>
      </w:r>
      <w:r w:rsidR="00ED6B7B">
        <w:instrText xml:space="preserve"> ADDIN ZOTERO_ITEM CSL_CITATION {"citationID":"kIfbL5tE","properties":{"formattedCitation":"(Australian Government\\uc0\\u160{}2025; Commonwealth of Australia\\uc0\\u160{}2024, pp.\\uc0\\u160{}62\\uc0\\u8211{}72)","plainCitation":"(Australian Government 2025; Commonwealth of Australia 2024, pp. 62–72)","noteIndex":0},"citationItems":[{"id":2744,"uris":["http://zotero.org/groups/5560192/items/SUZZ9N5T"],"itemData":{"id":2744,"type":"webpage","title":"Future Made in Australia","URL":"https://futuremadeinaustralia.gov.au/","author":[{"literal":"Australian Government"}],"accessed":{"date-parts":[["2025",3,27]]},"issued":{"date-parts":[["2025",3,27]]}}},{"id":2748,"uris":["http://zotero.org/groups/5560192/items/7V5L3DN3"],"itemData":{"id":2748,"type":"report","title":"Budget Paper No. 2: Budget 2024-25","URL":"https://budget.gov.au/content/bp2/download/bp2_2024-25.pdf","author":[{"family":"Commonwealth of Australia","given":""}],"issued":{"date-parts":[["2024"]]}},"locator":"62-72","label":"page"}],"schema":"https://github.com/citation-style-language/schema/raw/master/csl-citation.json"} </w:instrText>
      </w:r>
      <w:r w:rsidR="001413DC">
        <w:fldChar w:fldCharType="separate"/>
      </w:r>
      <w:r w:rsidR="00C04B9C" w:rsidRPr="00C04B9C">
        <w:rPr>
          <w:rFonts w:ascii="Arial" w:hAnsi="Arial" w:cs="Arial"/>
        </w:rPr>
        <w:t>(Australian Government 2025; Commonwealth of Australia 2024, pp. 62–72)</w:t>
      </w:r>
      <w:r w:rsidR="001413DC">
        <w:fldChar w:fldCharType="end"/>
      </w:r>
      <w:r w:rsidR="00066AAF">
        <w:t xml:space="preserve">. </w:t>
      </w:r>
    </w:p>
    <w:p w14:paraId="5E597B88" w14:textId="093DE0FA" w:rsidR="0034066F" w:rsidRDefault="0034066F" w:rsidP="00D331A0">
      <w:pPr>
        <w:pStyle w:val="BodyText"/>
      </w:pPr>
      <w:r>
        <w:t xml:space="preserve">The Australian Government has also embarked on several initiatives aiming to promote economic security and </w:t>
      </w:r>
      <w:r w:rsidR="00D95BC6">
        <w:t>resilience</w:t>
      </w:r>
      <w:r>
        <w:t xml:space="preserve"> outside of FMIA. Examples </w:t>
      </w:r>
      <w:r w:rsidR="00146E6D">
        <w:t xml:space="preserve">include the implementation of the national medical stockpile, which was labelled as </w:t>
      </w:r>
      <w:r w:rsidR="00094B88">
        <w:t>‘</w:t>
      </w:r>
      <w:r w:rsidR="00146E6D">
        <w:t>deficient</w:t>
      </w:r>
      <w:r w:rsidR="00094B88">
        <w:t>’</w:t>
      </w:r>
      <w:r w:rsidR="00146E6D">
        <w:t xml:space="preserve"> in the recent COVID</w:t>
      </w:r>
      <w:r w:rsidR="00D25956">
        <w:noBreakHyphen/>
      </w:r>
      <w:r w:rsidR="00146E6D">
        <w:t>19 Response Inquiry</w:t>
      </w:r>
      <w:r w:rsidR="00D95BC6">
        <w:t xml:space="preserve"> </w:t>
      </w:r>
      <w:r w:rsidR="00D95BC6">
        <w:fldChar w:fldCharType="begin"/>
      </w:r>
      <w:r w:rsidR="00ED6B7B">
        <w:instrText xml:space="preserve"> ADDIN ZOTERO_ITEM CSL_CITATION {"citationID":"kM8TLnkC","properties":{"formattedCitation":"(Albanese et al.\\uc0\\u160{}2024)","plainCitation":"(Albanese et al. 2024)","noteIndex":0},"citationItems":[{"id":2754,"uris":["http://zotero.org/groups/5560192/items/XVKI2F6N"],"itemData":{"id":2754,"type":"webpage","abstract":"Australia was one of the most successful nations in its pandemic response, but an investigation by the independent COVID-19 Response Inquiry finds the country was not adequately prepared for a pandemic.The Inquiry is a reminder of the incredible service and sacrifice of so many people, not just frontline workers, but every single person in Australia.It was a time of great uncertainty and adversity. Thousands of Australians lost their lives. Borders were closed. Australians were asked to stay in their homes.","container-title":"Prime Minister of Australia","language":"en","title":"Release of the Covid-19 Inquiry Report","URL":"https://www.pm.gov.au/media/release-covid-19-inquiry-report","author":[{"family":"Albanese","given":"Anthony"},{"family":"Chalmers","given":"Jim"},{"family":"Butler","given":"Mark"}],"accessed":{"date-parts":[["2025",5,22]]},"issued":{"date-parts":[["2024",10,29]]}}}],"schema":"https://github.com/citation-style-language/schema/raw/master/csl-citation.json"} </w:instrText>
      </w:r>
      <w:r w:rsidR="00D95BC6">
        <w:fldChar w:fldCharType="separate"/>
      </w:r>
      <w:r w:rsidR="00D95BC6" w:rsidRPr="00D95BC6">
        <w:rPr>
          <w:rFonts w:ascii="Arial" w:hAnsi="Arial" w:cs="Arial"/>
        </w:rPr>
        <w:t>(Albanese et al. 2024)</w:t>
      </w:r>
      <w:r w:rsidR="00D95BC6">
        <w:fldChar w:fldCharType="end"/>
      </w:r>
      <w:r w:rsidR="00146E6D">
        <w:t>.</w:t>
      </w:r>
      <w:r w:rsidR="00C66C4E">
        <w:t xml:space="preserve"> Another example includes funding to </w:t>
      </w:r>
      <w:r w:rsidR="00C00439">
        <w:t>upgrade Australia’s two oil refineries to improve fuel security</w:t>
      </w:r>
      <w:r w:rsidR="00363ADA">
        <w:t xml:space="preserve"> </w:t>
      </w:r>
      <w:r w:rsidR="0057411C">
        <w:fldChar w:fldCharType="begin"/>
      </w:r>
      <w:r w:rsidR="00561D22">
        <w:instrText xml:space="preserve"> ADDIN ZOTERO_ITEM CSL_CITATION {"citationID":"UmGhaMvb","properties":{"formattedCitation":"(DCCEEW\\uc0\\u160{}2024)","plainCitation":"(DCCEEW 2024)","noteIndex":0},"citationItems":[{"id":2755,"uris":["http://zotero.org/groups/5560192/items/ZFVDVX93"],"itemData":{"id":2755,"type":"webpage","container-title":"Department of Climate Change, Energy, the Environment and Water","title":"Australia's fuel security -","URL":"https://www.dcceew.gov.au/energy/security/australias-fuel-security","translator":[{"literal":"DCCEEW"}],"author":[{"literal":"Department of Climate Change, Energy, the Environment and Water"}],"accessed":{"date-parts":[["2025",5,22]]},"issued":{"date-parts":[["2024",12,13]]}}}],"schema":"https://github.com/citation-style-language/schema/raw/master/csl-citation.json"} </w:instrText>
      </w:r>
      <w:r w:rsidR="0057411C">
        <w:fldChar w:fldCharType="separate"/>
      </w:r>
      <w:r w:rsidR="00561D22" w:rsidRPr="00561D22">
        <w:rPr>
          <w:rFonts w:ascii="Arial" w:hAnsi="Arial" w:cs="Arial"/>
        </w:rPr>
        <w:t>(DCCEEW 2024)</w:t>
      </w:r>
      <w:r w:rsidR="0057411C">
        <w:fldChar w:fldCharType="end"/>
      </w:r>
      <w:r w:rsidR="00C00439">
        <w:t xml:space="preserve">. </w:t>
      </w:r>
      <w:r w:rsidR="00363ADA">
        <w:t xml:space="preserve">These </w:t>
      </w:r>
      <w:r w:rsidR="00D95BC6">
        <w:t>fall</w:t>
      </w:r>
      <w:r w:rsidR="00363ADA">
        <w:t xml:space="preserve"> outside FMIA’s remit, while promoting similar objectives. </w:t>
      </w:r>
    </w:p>
    <w:p w14:paraId="51035FAC" w14:textId="481CA0F5" w:rsidR="00E95C00" w:rsidRPr="00C76889" w:rsidRDefault="00E95C00" w:rsidP="00C76889">
      <w:pPr>
        <w:pStyle w:val="Heading3-noTOC"/>
      </w:pPr>
      <w:r w:rsidRPr="00C76889">
        <w:t>The risks posed by modern industry policy</w:t>
      </w:r>
    </w:p>
    <w:p w14:paraId="152758B1" w14:textId="4ED196CD" w:rsidR="00E965AB" w:rsidRDefault="00AF5744" w:rsidP="005A10BE">
      <w:pPr>
        <w:pStyle w:val="BodyText"/>
      </w:pPr>
      <w:r>
        <w:t xml:space="preserve">Modern industry policy </w:t>
      </w:r>
      <w:r w:rsidR="002434A1">
        <w:t xml:space="preserve">addresses legitimate concerns, but </w:t>
      </w:r>
      <w:r w:rsidR="00E92C45">
        <w:t xml:space="preserve">all forms of </w:t>
      </w:r>
      <w:r w:rsidR="00CA74B2">
        <w:t>industry policy</w:t>
      </w:r>
      <w:r w:rsidR="00E92C45">
        <w:t xml:space="preserve"> </w:t>
      </w:r>
      <w:r w:rsidR="00256CB6">
        <w:t>present</w:t>
      </w:r>
      <w:r w:rsidR="00E92C45">
        <w:t xml:space="preserve"> risks</w:t>
      </w:r>
      <w:r w:rsidR="00A739B5">
        <w:t>.</w:t>
      </w:r>
      <w:r w:rsidR="00310C59">
        <w:t xml:space="preserve"> </w:t>
      </w:r>
      <w:r w:rsidR="00356231">
        <w:t xml:space="preserve">Foremost among these is the potential for an inefficient allocation of scarce resources if </w:t>
      </w:r>
      <w:r w:rsidR="0097796B">
        <w:t>governments</w:t>
      </w:r>
      <w:r w:rsidR="00356231">
        <w:t xml:space="preserve"> attempt to ‘pick winners’</w:t>
      </w:r>
      <w:r w:rsidR="00DB7BCF">
        <w:t xml:space="preserve"> by favouring one firm or sector over another.</w:t>
      </w:r>
      <w:r w:rsidR="0087624C">
        <w:t xml:space="preserve"> Industry policy diverts capital, skilled labour and other resources from </w:t>
      </w:r>
      <w:r w:rsidR="001717BB">
        <w:t xml:space="preserve">potentially </w:t>
      </w:r>
      <w:r w:rsidR="0087624C">
        <w:t xml:space="preserve">more productive uses elsewhere in the </w:t>
      </w:r>
      <w:proofErr w:type="gramStart"/>
      <w:r w:rsidR="0087624C">
        <w:t xml:space="preserve">economy, </w:t>
      </w:r>
      <w:r w:rsidR="001717BB">
        <w:t>and</w:t>
      </w:r>
      <w:proofErr w:type="gramEnd"/>
      <w:r w:rsidR="0087624C" w:rsidDel="00A168A4">
        <w:t xml:space="preserve"> </w:t>
      </w:r>
      <w:r w:rsidR="00A168A4">
        <w:t xml:space="preserve">imposes </w:t>
      </w:r>
      <w:r w:rsidR="0087624C">
        <w:t>costs on taxpayers and unassisted sectors</w:t>
      </w:r>
      <w:r w:rsidR="00E11884">
        <w:t xml:space="preserve">. </w:t>
      </w:r>
      <w:r w:rsidR="00CF7E94">
        <w:t xml:space="preserve">While </w:t>
      </w:r>
      <w:r w:rsidR="006826F2">
        <w:t>government</w:t>
      </w:r>
      <w:r w:rsidR="00CF7E94">
        <w:t>s</w:t>
      </w:r>
      <w:r w:rsidR="006826F2">
        <w:t xml:space="preserve"> </w:t>
      </w:r>
      <w:r w:rsidR="00CF7E94">
        <w:t>may</w:t>
      </w:r>
      <w:r w:rsidR="006826F2">
        <w:t xml:space="preserve"> pick </w:t>
      </w:r>
      <w:r w:rsidR="00E57987">
        <w:t>an occasional</w:t>
      </w:r>
      <w:r w:rsidR="006826F2">
        <w:t xml:space="preserve"> winner, they can also ‘pick losers’ by propping up otherwise unviable firms, depriving other industries of those resources</w:t>
      </w:r>
      <w:r w:rsidR="009A6006">
        <w:t xml:space="preserve"> </w:t>
      </w:r>
      <w:r w:rsidR="009A6006">
        <w:fldChar w:fldCharType="begin"/>
      </w:r>
      <w:r w:rsidR="00ED6B7B">
        <w:instrText xml:space="preserve"> ADDIN ZOTERO_ITEM CSL_CITATION {"citationID":"5MbYRJQR","properties":{"formattedCitation":"(Wood and Reeve\\uc0\\u160{}2024, pp.\\uc0\\u160{}6\\uc0\\u8211{}7)","plainCitation":"(Wood and Reeve 2024, pp. 6–7)","noteIndex":0},"citationItems":[{"id":2760,"uris":["http://zotero.org/groups/5560192/items/5MC4G8VQ"],"itemData":{"id":2760,"type":"report","publisher":"Grattan Institute","title":"How to forge a Future Made in Australia","URL":"https://grattan.edu.au/wp-content/uploads/2024/11/How-to-forge-a-Future-Made-in-Australia-Grattan-Institute-Submission.pdf","author":[{"family":"Wood","given":"Tony"},{"family":"Reeve","given":"Alison"}],"issued":{"date-parts":[["2024",11]]}},"locator":"6-7","label":"page"}],"schema":"https://github.com/citation-style-language/schema/raw/master/csl-citation.json"} </w:instrText>
      </w:r>
      <w:r w:rsidR="009A6006">
        <w:fldChar w:fldCharType="separate"/>
      </w:r>
      <w:r w:rsidR="009A6006" w:rsidRPr="009A6006">
        <w:rPr>
          <w:rFonts w:ascii="Arial" w:hAnsi="Arial" w:cs="Arial"/>
        </w:rPr>
        <w:t>(Wood and Reeve 2024, pp. 6–7)</w:t>
      </w:r>
      <w:r w:rsidR="009A6006">
        <w:fldChar w:fldCharType="end"/>
      </w:r>
      <w:r w:rsidR="0087624C">
        <w:t>.</w:t>
      </w:r>
      <w:r w:rsidR="00DB7BCF">
        <w:t xml:space="preserve"> </w:t>
      </w:r>
    </w:p>
    <w:p w14:paraId="02AEB031" w14:textId="7A025D70" w:rsidR="00E92C45" w:rsidRDefault="003710F2" w:rsidP="005A10BE">
      <w:pPr>
        <w:pStyle w:val="BodyText"/>
      </w:pPr>
      <w:r>
        <w:t xml:space="preserve">Industry </w:t>
      </w:r>
      <w:r w:rsidR="00E302BC">
        <w:t>policy</w:t>
      </w:r>
      <w:r>
        <w:t xml:space="preserve"> </w:t>
      </w:r>
      <w:r w:rsidR="00432B17">
        <w:t xml:space="preserve">also </w:t>
      </w:r>
      <w:r w:rsidR="00BE7948">
        <w:t xml:space="preserve">creates </w:t>
      </w:r>
      <w:r w:rsidR="00432B17">
        <w:t>the</w:t>
      </w:r>
      <w:r w:rsidR="00BE7948">
        <w:t xml:space="preserve"> potential for rent seeking and political capture. </w:t>
      </w:r>
      <w:r w:rsidR="00A27973">
        <w:t>Broad</w:t>
      </w:r>
      <w:r w:rsidR="00D25956">
        <w:noBreakHyphen/>
      </w:r>
      <w:r w:rsidR="00A27973">
        <w:t xml:space="preserve">based </w:t>
      </w:r>
      <w:r w:rsidR="00CA74B2">
        <w:t>industry policy</w:t>
      </w:r>
      <w:r w:rsidR="00A27973">
        <w:t xml:space="preserve"> objectives encourage firms to invest resources in lobbying for government favours</w:t>
      </w:r>
      <w:r w:rsidR="003706E2">
        <w:t>,</w:t>
      </w:r>
      <w:r w:rsidR="00041F7E" w:rsidDel="003706E2">
        <w:t xml:space="preserve"> </w:t>
      </w:r>
      <w:r w:rsidR="00041F7E">
        <w:t>making ‘protection for sale’</w:t>
      </w:r>
      <w:r w:rsidR="00971CAE">
        <w:t xml:space="preserve"> </w:t>
      </w:r>
      <w:r w:rsidR="00AE6204">
        <w:fldChar w:fldCharType="begin"/>
      </w:r>
      <w:r w:rsidR="00ED6B7B">
        <w:instrText xml:space="preserve"> ADDIN ZOTERO_ITEM CSL_CITATION {"citationID":"FBzr1eAN","properties":{"formattedCitation":"(Goldberg and Maggi\\uc0\\u160{}1999)","plainCitation":"(Goldberg and Maggi 1999)","noteIndex":0},"citationItems":[{"id":2759,"uris":["http://zotero.org/groups/5560192/items/WY3AKSQP"],"itemData":{"id":2759,"type":"article-journal","container-title":"American Economic Review","DOI":"10.1257/aer.89.5.1135","issue":"5","page":"1135–1155","title":"Protection for Sale: An Empirical Investigation","volume":"89","author":[{"family":"Goldberg","given":"Pinelopi Koujianou"},{"family":"Maggi","given":"Giovanni"}],"issued":{"date-parts":[["1999",12]]}}}],"schema":"https://github.com/citation-style-language/schema/raw/master/csl-citation.json"} </w:instrText>
      </w:r>
      <w:r w:rsidR="00AE6204">
        <w:fldChar w:fldCharType="separate"/>
      </w:r>
      <w:r w:rsidR="00AE6204" w:rsidRPr="00AE6204">
        <w:rPr>
          <w:rFonts w:ascii="Arial" w:hAnsi="Arial" w:cs="Arial"/>
        </w:rPr>
        <w:t>(Goldberg and Maggi 1999)</w:t>
      </w:r>
      <w:r w:rsidR="00AE6204">
        <w:fldChar w:fldCharType="end"/>
      </w:r>
      <w:r w:rsidR="00A27973">
        <w:t xml:space="preserve">. </w:t>
      </w:r>
      <w:r w:rsidR="000A514F">
        <w:t xml:space="preserve">Such processes can also </w:t>
      </w:r>
      <w:r w:rsidR="006C3C77">
        <w:t>favour incumbents and discourage new entrants</w:t>
      </w:r>
      <w:r w:rsidR="00413667">
        <w:t xml:space="preserve">; </w:t>
      </w:r>
      <w:r w:rsidR="00413667">
        <w:lastRenderedPageBreak/>
        <w:t>as support is directed more towards firms with a proven track record</w:t>
      </w:r>
      <w:r w:rsidR="00F605F3">
        <w:t xml:space="preserve">, better networks </w:t>
      </w:r>
      <w:r w:rsidR="004E42AB">
        <w:t>and more resources</w:t>
      </w:r>
      <w:r w:rsidR="00413667">
        <w:t xml:space="preserve"> </w:t>
      </w:r>
      <w:r w:rsidR="00413667">
        <w:fldChar w:fldCharType="begin"/>
      </w:r>
      <w:r w:rsidR="00ED6B7B">
        <w:instrText xml:space="preserve"> ADDIN ZOTERO_ITEM CSL_CITATION {"citationID":"HK13Vre5","properties":{"formattedCitation":"(OECD\\uc0\\u160{}2024, pp.\\uc0\\u160{}24\\uc0\\u8211{}25)","plainCitation":"(OECD 2024, pp. 24–25)","noteIndex":0},"citationItems":[{"id":2745,"uris":["http://zotero.org/groups/5560192/items/YDUNGJJU"],"itemData":{"id":2745,"type":"report","abstract":"Résumé The return of industrial policies: Policy considerations in the current context The paper contributes to renewed debates about industrial policy in the context of recent initiatives in several OECD economies. It discusses the pros and cons of industrial policies motivated by environmental, national security and place-based/inclusiveness objectives. The paper also considers implementation and design issues, and how to respond to industrial policies in other countries. There are well-grounded economic, social and environmental justifications for some industrial policies. However, there are legitimate concerns that the benefits of such policies could be limited and the costs high. This mainly relates to measures curbing domestic and international competition and the practical and political challenges in designing and implementing effective measures. Thus, while governments may want to experiment with future and welfare-oriented industrial policies, they should exert moderation in scope, exercise caution in design and implementation, and be mindful of possible negative international implications.","genre":"OECD Economic Policy Papers","language":"en","note":"collection-title: OECD Economic Policy Papers\nvolume: 34\nDOI: 10.1787/051ce36d-en","number":"34","source":"DOI.org (Crossref)","title":"The return of industrial policies: Policy considerations in the current context","title-short":"The return of industrial policies","URL":"https://www.oecd.org/en/publications/the-return-of-industrial-policies_051ce36d-en.html","translator":[{"literal":"OECD"}],"author":[{"literal":"Organisation for Economic Co-operation and Development"}],"accessed":{"date-parts":[["2025",6,4]]},"issued":{"date-parts":[["2024",5,31]]}},"locator":"24-25","label":"page"}],"schema":"https://github.com/citation-style-language/schema/raw/master/csl-citation.json"} </w:instrText>
      </w:r>
      <w:r w:rsidR="00413667">
        <w:fldChar w:fldCharType="separate"/>
      </w:r>
      <w:r w:rsidR="00C25CDC" w:rsidRPr="00C25CDC">
        <w:rPr>
          <w:rFonts w:ascii="Arial" w:hAnsi="Arial" w:cs="Arial"/>
        </w:rPr>
        <w:t>(OECD 2024, pp. 24–25)</w:t>
      </w:r>
      <w:r w:rsidR="00413667">
        <w:fldChar w:fldCharType="end"/>
      </w:r>
      <w:r w:rsidR="00C77D3F">
        <w:t xml:space="preserve">. </w:t>
      </w:r>
    </w:p>
    <w:p w14:paraId="32C2ADB8" w14:textId="0BB68E25" w:rsidR="00FA5A2B" w:rsidRDefault="00FF4B3C" w:rsidP="00FF4B3C">
      <w:pPr>
        <w:pStyle w:val="BodyText"/>
      </w:pPr>
      <w:r>
        <w:t>These risks are heightened for small</w:t>
      </w:r>
      <w:r w:rsidR="00D25956">
        <w:noBreakHyphen/>
      </w:r>
      <w:r w:rsidR="00FA4CAA">
        <w:t>to-</w:t>
      </w:r>
      <w:r>
        <w:t xml:space="preserve">medium sized economies like Australia. </w:t>
      </w:r>
      <w:r w:rsidR="0034498B">
        <w:t>Smaller economies</w:t>
      </w:r>
      <w:r w:rsidR="007E0A06">
        <w:t xml:space="preserve"> lack the market power to </w:t>
      </w:r>
      <w:r w:rsidR="008066D5">
        <w:t xml:space="preserve">significantly </w:t>
      </w:r>
      <w:r w:rsidR="00FB5ABF">
        <w:t>affect</w:t>
      </w:r>
      <w:r w:rsidR="008066D5">
        <w:t xml:space="preserve"> global supply and demand factors</w:t>
      </w:r>
      <w:r w:rsidR="00B22CF8">
        <w:t xml:space="preserve">, </w:t>
      </w:r>
      <w:r w:rsidR="00A5666E">
        <w:t xml:space="preserve">meaning </w:t>
      </w:r>
      <w:r w:rsidR="0010322A">
        <w:t xml:space="preserve">the </w:t>
      </w:r>
      <w:r w:rsidR="00A5666E">
        <w:t>heavy</w:t>
      </w:r>
      <w:r w:rsidR="00D25956">
        <w:noBreakHyphen/>
      </w:r>
      <w:r w:rsidR="00A5666E">
        <w:t>handed industry polic</w:t>
      </w:r>
      <w:r w:rsidR="00FA5A2B">
        <w:t>ies</w:t>
      </w:r>
      <w:r w:rsidR="00A5666E">
        <w:t xml:space="preserve"> </w:t>
      </w:r>
      <w:r w:rsidR="0010322A">
        <w:t>prosecuted</w:t>
      </w:r>
      <w:r w:rsidR="00A5666E">
        <w:t xml:space="preserve"> by larger economies </w:t>
      </w:r>
      <w:r>
        <w:t xml:space="preserve">can be more difficult to manage, while </w:t>
      </w:r>
      <w:r w:rsidR="00B0687D">
        <w:t>delivering</w:t>
      </w:r>
      <w:r>
        <w:t xml:space="preserve"> less </w:t>
      </w:r>
      <w:r w:rsidR="00B0687D">
        <w:t>of a</w:t>
      </w:r>
      <w:r>
        <w:t xml:space="preserve"> result</w:t>
      </w:r>
      <w:r w:rsidR="00E615CA">
        <w:t>.</w:t>
      </w:r>
      <w:r w:rsidR="00993346">
        <w:t xml:space="preserve"> </w:t>
      </w:r>
      <w:r w:rsidR="00E615CA">
        <w:t xml:space="preserve">Small economies </w:t>
      </w:r>
      <w:r w:rsidR="00AA3425">
        <w:t>will</w:t>
      </w:r>
      <w:r w:rsidR="00E615CA">
        <w:t xml:space="preserve"> likely struggle to compete in a market crowded with much better resourced players. </w:t>
      </w:r>
      <w:r w:rsidR="00D134F7">
        <w:t xml:space="preserve">Instead, smaller economies are generally best served by continuing to focus where they are </w:t>
      </w:r>
      <w:r w:rsidR="00C1749E">
        <w:t>best</w:t>
      </w:r>
      <w:r w:rsidR="00D134F7">
        <w:t xml:space="preserve"> placed to fit within </w:t>
      </w:r>
      <w:r w:rsidR="00CF453F">
        <w:t>global production patterns</w:t>
      </w:r>
      <w:r w:rsidR="00433A83">
        <w:t xml:space="preserve"> </w:t>
      </w:r>
      <w:r w:rsidR="00433A83">
        <w:fldChar w:fldCharType="begin"/>
      </w:r>
      <w:r w:rsidR="00ED6B7B">
        <w:instrText xml:space="preserve"> ADDIN ZOTERO_ITEM CSL_CITATION {"citationID":"ycJH9tTk","properties":{"formattedCitation":"(Robson\\uc0\\u160{}2023, p.\\uc0\\u160{}6)","plainCitation":"(Robson 2023, p. 6)","noteIndex":0},"citationItems":[{"id":1390,"uris":["http://zotero.org/groups/164861/items/Z6QJQ7SH"],"itemData":{"id":1390,"type":"report","genre":"Productivity Commission Deputy Chair's Speech","publisher":"CSIRO Innovation for Impact Summit","title":"Optimal industry policy","author":[{"family":"Robson","given":"Alex"}],"issued":{"date-parts":[["2023",8,30]]}},"locator":"6","label":"page"}],"schema":"https://github.com/citation-style-language/schema/raw/master/csl-citation.json"} </w:instrText>
      </w:r>
      <w:r w:rsidR="00433A83">
        <w:fldChar w:fldCharType="separate"/>
      </w:r>
      <w:r w:rsidR="00433A83" w:rsidRPr="00433A83">
        <w:rPr>
          <w:rFonts w:ascii="Arial" w:hAnsi="Arial" w:cs="Arial"/>
        </w:rPr>
        <w:t>(Robson 2023, p. 6)</w:t>
      </w:r>
      <w:r w:rsidR="00433A83">
        <w:fldChar w:fldCharType="end"/>
      </w:r>
      <w:r w:rsidR="00E615CA">
        <w:t>.</w:t>
      </w:r>
    </w:p>
    <w:p w14:paraId="0E293440" w14:textId="35F12ED7" w:rsidR="003913A3" w:rsidRPr="005F7C78" w:rsidRDefault="003913A3" w:rsidP="003913A3">
      <w:pPr>
        <w:pStyle w:val="BodyText"/>
        <w:rPr>
          <w:spacing w:val="-2"/>
        </w:rPr>
      </w:pPr>
      <w:r w:rsidRPr="005F7C78">
        <w:rPr>
          <w:spacing w:val="-2"/>
        </w:rPr>
        <w:t>While this industry policy is modern in its scope, it is not ‘new’</w:t>
      </w:r>
      <w:r w:rsidR="001C3D94" w:rsidRPr="005F7C78">
        <w:rPr>
          <w:spacing w:val="-2"/>
        </w:rPr>
        <w:t xml:space="preserve"> and past mistakes must be learned from</w:t>
      </w:r>
      <w:r w:rsidRPr="005F7C78">
        <w:rPr>
          <w:spacing w:val="-2"/>
        </w:rPr>
        <w:t>.</w:t>
      </w:r>
      <w:r w:rsidR="00E877DD" w:rsidRPr="005F7C78">
        <w:rPr>
          <w:spacing w:val="-2"/>
        </w:rPr>
        <w:t xml:space="preserve"> For example, Australia’s extensive s</w:t>
      </w:r>
      <w:r w:rsidR="000B1E53" w:rsidRPr="005F7C78">
        <w:rPr>
          <w:spacing w:val="-2"/>
        </w:rPr>
        <w:t xml:space="preserve">upport for </w:t>
      </w:r>
      <w:r w:rsidR="00E877DD" w:rsidRPr="005F7C78">
        <w:rPr>
          <w:spacing w:val="-2"/>
        </w:rPr>
        <w:t xml:space="preserve">its </w:t>
      </w:r>
      <w:r w:rsidR="000B1E53" w:rsidRPr="005F7C78">
        <w:rPr>
          <w:spacing w:val="-2"/>
        </w:rPr>
        <w:t>car industry was often justified on</w:t>
      </w:r>
      <w:r w:rsidR="00306769" w:rsidRPr="005F7C78">
        <w:rPr>
          <w:spacing w:val="-2"/>
        </w:rPr>
        <w:t xml:space="preserve"> national security grounds, stating that </w:t>
      </w:r>
      <w:r w:rsidR="00E877DD" w:rsidRPr="005F7C78">
        <w:rPr>
          <w:spacing w:val="-2"/>
        </w:rPr>
        <w:t>the</w:t>
      </w:r>
      <w:r w:rsidR="00306769" w:rsidRPr="005F7C78">
        <w:rPr>
          <w:spacing w:val="-2"/>
        </w:rPr>
        <w:t xml:space="preserve"> industry </w:t>
      </w:r>
      <w:r w:rsidR="00996BF4" w:rsidRPr="005F7C78">
        <w:rPr>
          <w:spacing w:val="-2"/>
        </w:rPr>
        <w:t xml:space="preserve">would </w:t>
      </w:r>
      <w:r w:rsidR="00F93A89" w:rsidRPr="005F7C78">
        <w:rPr>
          <w:spacing w:val="-2"/>
        </w:rPr>
        <w:t xml:space="preserve">provide option value in a crisis </w:t>
      </w:r>
      <w:r w:rsidR="00467C34" w:rsidRPr="005F7C78">
        <w:rPr>
          <w:spacing w:val="-2"/>
        </w:rPr>
        <w:t>allowing Australia to</w:t>
      </w:r>
      <w:r w:rsidR="00F93A89" w:rsidRPr="005F7C78">
        <w:rPr>
          <w:spacing w:val="-2"/>
        </w:rPr>
        <w:t xml:space="preserve"> </w:t>
      </w:r>
      <w:r w:rsidR="00B0580C" w:rsidRPr="005F7C78">
        <w:rPr>
          <w:spacing w:val="-2"/>
        </w:rPr>
        <w:t xml:space="preserve">manufacture </w:t>
      </w:r>
      <w:r w:rsidR="00F93A89" w:rsidRPr="005F7C78">
        <w:rPr>
          <w:spacing w:val="-2"/>
        </w:rPr>
        <w:t xml:space="preserve">defence vehicles </w:t>
      </w:r>
      <w:r w:rsidRPr="005F7C78">
        <w:rPr>
          <w:spacing w:val="-2"/>
        </w:rPr>
        <w:fldChar w:fldCharType="begin"/>
      </w:r>
      <w:r w:rsidR="00ED6B7B" w:rsidRPr="005F7C78">
        <w:rPr>
          <w:spacing w:val="-2"/>
        </w:rPr>
        <w:instrText xml:space="preserve"> ADDIN ZOTERO_ITEM CSL_CITATION {"citationID":"AHbZkDRA","properties":{"formattedCitation":"(Wood and Reeve\\uc0\\u160{}2024, p.\\uc0\\u160{}8)","plainCitation":"(Wood and Reeve 2024, p. 8)","noteIndex":0},"citationItems":[{"id":2760,"uris":["http://zotero.org/groups/5560192/items/5MC4G8VQ"],"itemData":{"id":2760,"type":"report","publisher":"Grattan Institute","title":"How to forge a Future Made in Australia","URL":"https://grattan.edu.au/wp-content/uploads/2024/11/How-to-forge-a-Future-Made-in-Australia-Grattan-Institute-Submission.pdf","author":[{"family":"Wood","given":"Tony"},{"family":"Reeve","given":"Alison"}],"issued":{"date-parts":[["2024",11]]}},"locator":"8","label":"page"}],"schema":"https://github.com/citation-style-language/schema/raw/master/csl-citation.json"} </w:instrText>
      </w:r>
      <w:r w:rsidRPr="005F7C78">
        <w:rPr>
          <w:spacing w:val="-2"/>
        </w:rPr>
        <w:fldChar w:fldCharType="separate"/>
      </w:r>
      <w:r w:rsidRPr="005F7C78">
        <w:rPr>
          <w:rFonts w:cs="Arial"/>
          <w:spacing w:val="-2"/>
        </w:rPr>
        <w:t>(Wood and Reeve 2024, p. 8)</w:t>
      </w:r>
      <w:r w:rsidRPr="005F7C78">
        <w:rPr>
          <w:spacing w:val="-2"/>
        </w:rPr>
        <w:fldChar w:fldCharType="end"/>
      </w:r>
      <w:r w:rsidRPr="005F7C78">
        <w:rPr>
          <w:spacing w:val="-2"/>
        </w:rPr>
        <w:t>.</w:t>
      </w:r>
      <w:r w:rsidR="002141E3" w:rsidRPr="005F7C78">
        <w:rPr>
          <w:spacing w:val="-2"/>
        </w:rPr>
        <w:t xml:space="preserve"> </w:t>
      </w:r>
      <w:r w:rsidRPr="005F7C78">
        <w:rPr>
          <w:spacing w:val="-2"/>
        </w:rPr>
        <w:t xml:space="preserve">Likewise, governments have routinely invested in ‘emerging’ technologies, </w:t>
      </w:r>
      <w:r w:rsidR="0018246A" w:rsidRPr="005F7C78">
        <w:rPr>
          <w:spacing w:val="-2"/>
        </w:rPr>
        <w:t>expected to be pivotal for future economic growth or security</w:t>
      </w:r>
      <w:r w:rsidRPr="005F7C78">
        <w:rPr>
          <w:spacing w:val="-2"/>
        </w:rPr>
        <w:t>. For instance, the US Synthetic Fuels Corporation</w:t>
      </w:r>
      <w:r w:rsidR="00B23884" w:rsidRPr="005F7C78">
        <w:rPr>
          <w:spacing w:val="-2"/>
        </w:rPr>
        <w:t>,</w:t>
      </w:r>
      <w:r w:rsidRPr="005F7C78">
        <w:rPr>
          <w:spacing w:val="-2"/>
        </w:rPr>
        <w:t xml:space="preserve"> </w:t>
      </w:r>
      <w:r w:rsidR="001D7143" w:rsidRPr="005F7C78">
        <w:rPr>
          <w:spacing w:val="-2"/>
        </w:rPr>
        <w:t>which</w:t>
      </w:r>
      <w:r w:rsidR="00CF22F3" w:rsidRPr="005F7C78">
        <w:rPr>
          <w:spacing w:val="-2"/>
        </w:rPr>
        <w:t xml:space="preserve"> aimed </w:t>
      </w:r>
      <w:r w:rsidR="007E6341" w:rsidRPr="005F7C78">
        <w:rPr>
          <w:spacing w:val="-2"/>
        </w:rPr>
        <w:t>at domestic fuel security</w:t>
      </w:r>
      <w:r w:rsidR="00B23884" w:rsidRPr="005F7C78">
        <w:rPr>
          <w:spacing w:val="-2"/>
        </w:rPr>
        <w:t>,</w:t>
      </w:r>
      <w:r w:rsidR="007E6341" w:rsidRPr="005F7C78">
        <w:rPr>
          <w:spacing w:val="-2"/>
        </w:rPr>
        <w:t xml:space="preserve"> failed</w:t>
      </w:r>
      <w:r w:rsidRPr="005F7C78">
        <w:rPr>
          <w:spacing w:val="-2"/>
        </w:rPr>
        <w:t xml:space="preserve">. Falling oil prices, high costs and technological hurdles </w:t>
      </w:r>
      <w:r w:rsidR="00D4550A" w:rsidRPr="005F7C78">
        <w:rPr>
          <w:spacing w:val="-2"/>
        </w:rPr>
        <w:t xml:space="preserve">led </w:t>
      </w:r>
      <w:r w:rsidR="006F5224" w:rsidRPr="005F7C78">
        <w:rPr>
          <w:spacing w:val="-2"/>
        </w:rPr>
        <w:t>these projects to fail quickly</w:t>
      </w:r>
      <w:r w:rsidRPr="005F7C78">
        <w:rPr>
          <w:spacing w:val="-2"/>
        </w:rPr>
        <w:t xml:space="preserve"> </w:t>
      </w:r>
      <w:r w:rsidR="00E339C8" w:rsidRPr="005F7C78">
        <w:rPr>
          <w:spacing w:val="-2"/>
        </w:rPr>
        <w:t xml:space="preserve">despite </w:t>
      </w:r>
      <w:r w:rsidR="00891DE0" w:rsidRPr="005F7C78">
        <w:rPr>
          <w:spacing w:val="-2"/>
        </w:rPr>
        <w:t>investments worth over US $1 billion by 1986</w:t>
      </w:r>
      <w:r w:rsidR="00BF61F0" w:rsidRPr="005F7C78">
        <w:rPr>
          <w:spacing w:val="-2"/>
        </w:rPr>
        <w:t xml:space="preserve"> </w:t>
      </w:r>
      <w:r w:rsidRPr="005F7C78">
        <w:rPr>
          <w:spacing w:val="-2"/>
        </w:rPr>
        <w:fldChar w:fldCharType="begin"/>
      </w:r>
      <w:r w:rsidR="00ED6B7B" w:rsidRPr="005F7C78">
        <w:rPr>
          <w:spacing w:val="-2"/>
        </w:rPr>
        <w:instrText xml:space="preserve"> ADDIN ZOTERO_ITEM CSL_CITATION {"citationID":"GjN6QxV5","properties":{"formattedCitation":"(McGillis\\uc0\\u160{}2021)","plainCitation":"(McGillis 2021)","noteIndex":0},"citationItems":[{"id":2758,"uris":["http://zotero.org/groups/5560192/items/FDP7QMPZ"],"itemData":{"id":2758,"type":"post-weblog","abstract":"The Synthetic Fuels Corporation (SFC) might be the biggest boondoggle you’ve never heard of. Established under the Energy Security Act…","container-title":"IER","language":"en-US","title":"Remembering Synfuels, 35 Years Later","URL":"https://www.instituteforenergyresearch.org/biofuel/remembering-synfuels-35-years-later/","author":[{"family":"McGillis","given":"Jordan"}],"accessed":{"date-parts":[["2025",5,20]]},"issued":{"date-parts":[["2021",8,25]]}}}],"schema":"https://github.com/citation-style-language/schema/raw/master/csl-citation.json"} </w:instrText>
      </w:r>
      <w:r w:rsidRPr="005F7C78">
        <w:rPr>
          <w:spacing w:val="-2"/>
        </w:rPr>
        <w:fldChar w:fldCharType="separate"/>
      </w:r>
      <w:r w:rsidRPr="005F7C78">
        <w:rPr>
          <w:rFonts w:cs="Arial"/>
          <w:spacing w:val="-2"/>
        </w:rPr>
        <w:t>(McGillis 2021)</w:t>
      </w:r>
      <w:r w:rsidRPr="005F7C78">
        <w:rPr>
          <w:spacing w:val="-2"/>
        </w:rPr>
        <w:fldChar w:fldCharType="end"/>
      </w:r>
      <w:r w:rsidRPr="005F7C78">
        <w:rPr>
          <w:spacing w:val="-2"/>
        </w:rPr>
        <w:t xml:space="preserve">. </w:t>
      </w:r>
    </w:p>
    <w:p w14:paraId="5ABA1875" w14:textId="57519EBD" w:rsidR="00B5440E" w:rsidRDefault="008C1B52" w:rsidP="005A10BE">
      <w:pPr>
        <w:pStyle w:val="BodyText"/>
      </w:pPr>
      <w:r>
        <w:t>Given that industry policy always involves risks, strong guardrails are essential. These guardrails should include sensible economic frameworks, decision making processes that are transparent and contestable</w:t>
      </w:r>
      <w:r w:rsidR="00045068">
        <w:t>, clear methods for measuring performance</w:t>
      </w:r>
      <w:r w:rsidR="00881C3C">
        <w:t>,</w:t>
      </w:r>
      <w:r w:rsidR="00045068">
        <w:t xml:space="preserve"> and defined plans for ending those that fail to perform. Adopting such measures is crucial to ensure that industry assistance genuinely serves the national </w:t>
      </w:r>
      <w:r w:rsidR="002F3BD1">
        <w:t>interest and</w:t>
      </w:r>
      <w:r w:rsidR="00045068">
        <w:t xml:space="preserve"> is delivered at lowest cost.</w:t>
      </w:r>
      <w:r>
        <w:t xml:space="preserve"> </w:t>
      </w:r>
    </w:p>
    <w:p w14:paraId="7FE0ABE9" w14:textId="7EFF9429" w:rsidR="00921D11" w:rsidRDefault="00921D11" w:rsidP="00921D11">
      <w:pPr>
        <w:pStyle w:val="Heading2"/>
      </w:pPr>
      <w:bookmarkStart w:id="16" w:name="_Toc210942149"/>
      <w:r>
        <w:t>Scope</w:t>
      </w:r>
      <w:bookmarkEnd w:id="16"/>
    </w:p>
    <w:p w14:paraId="0B37B3FE" w14:textId="4E960FC3" w:rsidR="008421B5" w:rsidRDefault="008421B5">
      <w:pPr>
        <w:pStyle w:val="BodyText"/>
      </w:pPr>
      <w:r>
        <w:t xml:space="preserve">This </w:t>
      </w:r>
      <w:r w:rsidR="00F14DB0">
        <w:t>paper</w:t>
      </w:r>
      <w:r>
        <w:t xml:space="preserve"> </w:t>
      </w:r>
      <w:r w:rsidR="00660028">
        <w:t>presents</w:t>
      </w:r>
      <w:r>
        <w:t xml:space="preserve"> a broad framework </w:t>
      </w:r>
      <w:r w:rsidR="00660028">
        <w:t>to address</w:t>
      </w:r>
      <w:r>
        <w:t xml:space="preserve"> the </w:t>
      </w:r>
      <w:r w:rsidR="00291746">
        <w:t xml:space="preserve">risks </w:t>
      </w:r>
      <w:r>
        <w:t xml:space="preserve">associated with modern industry policy. The framework aims to </w:t>
      </w:r>
      <w:r w:rsidR="003B52C4">
        <w:t xml:space="preserve">provide some </w:t>
      </w:r>
      <w:r>
        <w:t xml:space="preserve">discipline </w:t>
      </w:r>
      <w:r w:rsidR="003B52C4">
        <w:t xml:space="preserve">to </w:t>
      </w:r>
      <w:r>
        <w:t xml:space="preserve">the </w:t>
      </w:r>
      <w:r w:rsidR="002E57EC">
        <w:t>industr</w:t>
      </w:r>
      <w:r w:rsidR="002015A2">
        <w:t>y</w:t>
      </w:r>
      <w:r w:rsidR="002E57EC">
        <w:t xml:space="preserve"> </w:t>
      </w:r>
      <w:r>
        <w:t>policy</w:t>
      </w:r>
      <w:r w:rsidR="00BB30C7">
        <w:t xml:space="preserve"> </w:t>
      </w:r>
      <w:r>
        <w:t xml:space="preserve">making process. It is a set of </w:t>
      </w:r>
      <w:r w:rsidR="00884CAF">
        <w:t>principles, not</w:t>
      </w:r>
      <w:r>
        <w:t xml:space="preserve"> prescriptions</w:t>
      </w:r>
      <w:r w:rsidR="009237AE">
        <w:t xml:space="preserve">, </w:t>
      </w:r>
      <w:r w:rsidR="003B52C4">
        <w:t xml:space="preserve">to </w:t>
      </w:r>
      <w:r w:rsidR="00876E12">
        <w:t>encourage</w:t>
      </w:r>
      <w:r w:rsidR="0051645A">
        <w:t xml:space="preserve"> policymakers </w:t>
      </w:r>
      <w:r w:rsidR="0016332D">
        <w:t xml:space="preserve">to </w:t>
      </w:r>
      <w:r w:rsidR="00D26FCD">
        <w:t xml:space="preserve">consider </w:t>
      </w:r>
      <w:r w:rsidR="0051645A">
        <w:t xml:space="preserve">the costs stemming from disruptions or externalities </w:t>
      </w:r>
      <w:r w:rsidR="006C50AE">
        <w:t xml:space="preserve">required to justify a proposed </w:t>
      </w:r>
      <w:r w:rsidR="00AB34B7">
        <w:t>intervention.</w:t>
      </w:r>
      <w:r w:rsidR="00AB34B7" w:rsidRPr="00AB34B7">
        <w:t xml:space="preserve"> </w:t>
      </w:r>
      <w:r w:rsidR="0050146B">
        <w:t xml:space="preserve">The framework does not dictate or decide the level of risk </w:t>
      </w:r>
      <w:r w:rsidR="00AB34B7" w:rsidRPr="00AB34B7">
        <w:t xml:space="preserve">that a country is willing to bear </w:t>
      </w:r>
      <w:r w:rsidR="0050146B">
        <w:t xml:space="preserve">which </w:t>
      </w:r>
      <w:r w:rsidR="00AB34B7" w:rsidRPr="00AB34B7">
        <w:t>is ultimately a choice for society, intermediated through government</w:t>
      </w:r>
      <w:r w:rsidR="00EF0F07">
        <w:t>.</w:t>
      </w:r>
    </w:p>
    <w:p w14:paraId="119516BB" w14:textId="5BAD406B" w:rsidR="00895E46" w:rsidRDefault="00E87FDE" w:rsidP="00895E46">
      <w:pPr>
        <w:pStyle w:val="BodyText"/>
      </w:pPr>
      <w:r>
        <w:t>T</w:t>
      </w:r>
      <w:r w:rsidR="0060172C">
        <w:t>his framework</w:t>
      </w:r>
      <w:r w:rsidR="00E1131C">
        <w:t xml:space="preserve"> </w:t>
      </w:r>
      <w:r w:rsidR="0060172C">
        <w:t xml:space="preserve">is designed to </w:t>
      </w:r>
      <w:r w:rsidR="00F8452D">
        <w:t>both</w:t>
      </w:r>
      <w:r w:rsidR="0060172C">
        <w:t xml:space="preserve"> </w:t>
      </w:r>
      <w:r w:rsidR="00B2383C">
        <w:t>complement</w:t>
      </w:r>
      <w:r w:rsidR="0060172C">
        <w:t xml:space="preserve"> processes like the sector assessments under the NIF</w:t>
      </w:r>
      <w:r w:rsidR="00F8452D">
        <w:t>, and to be</w:t>
      </w:r>
      <w:r w:rsidR="002B4A8D">
        <w:t xml:space="preserve"> more broadly</w:t>
      </w:r>
      <w:r w:rsidR="00187A28">
        <w:t xml:space="preserve"> </w:t>
      </w:r>
      <w:r w:rsidR="00895E46">
        <w:t>applicable</w:t>
      </w:r>
      <w:r w:rsidR="00187A28">
        <w:t xml:space="preserve"> </w:t>
      </w:r>
      <w:r w:rsidR="004A031F">
        <w:t>to non-FMIA industry policy</w:t>
      </w:r>
      <w:r w:rsidR="00533ED0">
        <w:t>:</w:t>
      </w:r>
    </w:p>
    <w:p w14:paraId="0A28C820" w14:textId="7A2DE20D" w:rsidR="003220D0" w:rsidRPr="003220D0" w:rsidRDefault="00045B16" w:rsidP="001B18EF">
      <w:pPr>
        <w:pStyle w:val="ListBullet"/>
      </w:pPr>
      <w:r>
        <w:t>I</w:t>
      </w:r>
      <w:r w:rsidR="00DE1FDF" w:rsidRPr="003220D0">
        <w:t xml:space="preserve">t </w:t>
      </w:r>
      <w:r w:rsidR="006828CB">
        <w:t xml:space="preserve">complements </w:t>
      </w:r>
      <w:r w:rsidR="00850BE1">
        <w:t xml:space="preserve">the NIF process </w:t>
      </w:r>
      <w:r w:rsidR="006828CB">
        <w:t xml:space="preserve">by </w:t>
      </w:r>
      <w:r w:rsidR="0084215E">
        <w:t xml:space="preserve">setting out questions that can </w:t>
      </w:r>
      <w:r w:rsidR="00225BCE">
        <w:t xml:space="preserve">help bring out some of the </w:t>
      </w:r>
      <w:r w:rsidR="008F56B5">
        <w:t xml:space="preserve">considerations </w:t>
      </w:r>
      <w:r w:rsidR="00BD56B8">
        <w:t>that appear to be</w:t>
      </w:r>
      <w:r w:rsidR="00225BCE">
        <w:t xml:space="preserve"> </w:t>
      </w:r>
      <w:r w:rsidR="0037284F">
        <w:t xml:space="preserve">embedded within the NIF, and </w:t>
      </w:r>
      <w:r w:rsidR="00F07ED9">
        <w:t xml:space="preserve">how these can be </w:t>
      </w:r>
      <w:r w:rsidR="0034012A">
        <w:t>integrat</w:t>
      </w:r>
      <w:r w:rsidR="00F07ED9">
        <w:t>ed</w:t>
      </w:r>
      <w:r w:rsidR="0034012A">
        <w:t xml:space="preserve"> into the </w:t>
      </w:r>
      <w:r w:rsidR="00F5583D">
        <w:t xml:space="preserve">broader </w:t>
      </w:r>
      <w:r w:rsidR="00E96EC4">
        <w:t>policy design process</w:t>
      </w:r>
      <w:r w:rsidR="00E15BD0" w:rsidRPr="003220D0">
        <w:t>.</w:t>
      </w:r>
      <w:r w:rsidR="00007BD2" w:rsidRPr="003220D0">
        <w:t xml:space="preserve"> </w:t>
      </w:r>
    </w:p>
    <w:p w14:paraId="1042C956" w14:textId="5042FED6" w:rsidR="00F963DC" w:rsidRDefault="00E47455" w:rsidP="003220D0">
      <w:pPr>
        <w:pStyle w:val="ListBullet"/>
      </w:pPr>
      <w:r>
        <w:t>I</w:t>
      </w:r>
      <w:r w:rsidR="00F327B4" w:rsidRPr="003220D0">
        <w:t xml:space="preserve">t can be applied to </w:t>
      </w:r>
      <w:r w:rsidR="00D43925">
        <w:t xml:space="preserve">industry policy </w:t>
      </w:r>
      <w:r w:rsidR="00F327B4" w:rsidRPr="003220D0">
        <w:t xml:space="preserve">measures </w:t>
      </w:r>
      <w:r w:rsidR="00A42F73">
        <w:t xml:space="preserve">seeking to </w:t>
      </w:r>
      <w:r w:rsidR="00F327B4" w:rsidRPr="003220D0">
        <w:t>achiev</w:t>
      </w:r>
      <w:r w:rsidR="00A42F73">
        <w:t>e</w:t>
      </w:r>
      <w:r w:rsidR="00F327B4" w:rsidRPr="003220D0">
        <w:t xml:space="preserve"> </w:t>
      </w:r>
      <w:r w:rsidR="0089572D">
        <w:t xml:space="preserve">similar </w:t>
      </w:r>
      <w:r w:rsidR="00F327B4" w:rsidRPr="003220D0">
        <w:t xml:space="preserve">goals whether they are listed as a FMIA measure or not. </w:t>
      </w:r>
      <w:r w:rsidR="006E66DE">
        <w:t>For e</w:t>
      </w:r>
      <w:r w:rsidR="00BB3DFE">
        <w:t>xample</w:t>
      </w:r>
      <w:r w:rsidR="000A598E">
        <w:t>,</w:t>
      </w:r>
      <w:r w:rsidR="00BB3DFE">
        <w:t xml:space="preserve"> </w:t>
      </w:r>
      <w:r w:rsidR="00AF03C3">
        <w:t xml:space="preserve">some </w:t>
      </w:r>
      <w:r w:rsidR="00BB3DFE">
        <w:t xml:space="preserve">recent changes to strategic stockpiles for fuel, </w:t>
      </w:r>
      <w:r w:rsidR="004E7455">
        <w:t>medical</w:t>
      </w:r>
      <w:r w:rsidR="008F4F8F">
        <w:t xml:space="preserve">, </w:t>
      </w:r>
      <w:r w:rsidR="004E7455">
        <w:t>items and other goods</w:t>
      </w:r>
      <w:r w:rsidR="008F4F8F">
        <w:t xml:space="preserve"> </w:t>
      </w:r>
      <w:r w:rsidR="000238FE">
        <w:t>and some</w:t>
      </w:r>
      <w:r w:rsidR="008F4F8F">
        <w:t xml:space="preserve"> </w:t>
      </w:r>
      <w:r w:rsidR="00EA4769">
        <w:t xml:space="preserve">net zero </w:t>
      </w:r>
      <w:r w:rsidR="008F4F8F">
        <w:t>industry policy measures</w:t>
      </w:r>
      <w:r w:rsidR="007B06B4">
        <w:t xml:space="preserve"> do not fall under </w:t>
      </w:r>
      <w:r w:rsidR="004121A3">
        <w:t>the</w:t>
      </w:r>
      <w:r w:rsidR="007B06B4">
        <w:t xml:space="preserve"> FMIA umbrella.</w:t>
      </w:r>
    </w:p>
    <w:p w14:paraId="717551B0" w14:textId="38797ED4" w:rsidR="00C43E5C" w:rsidRDefault="008C3415" w:rsidP="008C3415">
      <w:pPr>
        <w:pStyle w:val="Heading2"/>
      </w:pPr>
      <w:bookmarkStart w:id="17" w:name="_Toc210942150"/>
      <w:r>
        <w:t xml:space="preserve">Organisation of the </w:t>
      </w:r>
      <w:r w:rsidR="00F14DB0">
        <w:t>paper</w:t>
      </w:r>
      <w:bookmarkEnd w:id="17"/>
    </w:p>
    <w:p w14:paraId="6D9B91ED" w14:textId="3B4A95DB" w:rsidR="008A579F" w:rsidRDefault="003D4CC4" w:rsidP="0041440A">
      <w:pPr>
        <w:pStyle w:val="BodyText"/>
      </w:pPr>
      <w:r>
        <w:t>Chapter two examines the role of industry policy in addressing economic security and resilience concerns</w:t>
      </w:r>
      <w:r w:rsidR="005C4C7B">
        <w:t>.</w:t>
      </w:r>
      <w:r w:rsidR="00DA5A13">
        <w:t xml:space="preserve"> This includes a framework for assessing special cases where national security </w:t>
      </w:r>
      <w:r w:rsidR="00CB521E">
        <w:t xml:space="preserve">is </w:t>
      </w:r>
      <w:r w:rsidR="00DA5A13">
        <w:t>a driving motivation for intervention.</w:t>
      </w:r>
      <w:r w:rsidR="005C4C7B">
        <w:t xml:space="preserve"> A case study is provided for </w:t>
      </w:r>
      <w:r w:rsidR="00DA5A13">
        <w:t>both</w:t>
      </w:r>
      <w:r w:rsidR="005C4C7B">
        <w:t xml:space="preserve"> </w:t>
      </w:r>
      <w:r w:rsidR="00DA5A13">
        <w:t>cases.</w:t>
      </w:r>
    </w:p>
    <w:p w14:paraId="3A42E881" w14:textId="3F904572" w:rsidR="005C4C7B" w:rsidRDefault="005C4C7B" w:rsidP="0041440A">
      <w:pPr>
        <w:pStyle w:val="BodyText"/>
      </w:pPr>
      <w:r>
        <w:lastRenderedPageBreak/>
        <w:t xml:space="preserve">Chapter three looks at the role of industry policy in </w:t>
      </w:r>
      <w:r w:rsidR="00DA5A13">
        <w:t xml:space="preserve">decarbonising </w:t>
      </w:r>
      <w:r>
        <w:t xml:space="preserve">the economy. This is complementary to the </w:t>
      </w:r>
      <w:r w:rsidR="004563C5">
        <w:t xml:space="preserve">PC </w:t>
      </w:r>
      <w:r w:rsidR="00C027D1">
        <w:t xml:space="preserve">inquiry </w:t>
      </w:r>
      <w:r w:rsidR="00791890">
        <w:t>titled</w:t>
      </w:r>
      <w:r w:rsidR="00C027D1">
        <w:t xml:space="preserve"> </w:t>
      </w:r>
      <w:r w:rsidR="00256D25" w:rsidRPr="0041440A">
        <w:rPr>
          <w:i/>
          <w:iCs/>
        </w:rPr>
        <w:t>Investing in cheaper, cleaner energy and the net zero transformation</w:t>
      </w:r>
      <w:r w:rsidR="006249B8">
        <w:rPr>
          <w:i/>
          <w:iCs/>
        </w:rPr>
        <w:t xml:space="preserve"> </w:t>
      </w:r>
      <w:r w:rsidR="006249B8">
        <w:rPr>
          <w:i/>
          <w:iCs/>
        </w:rPr>
        <w:fldChar w:fldCharType="begin"/>
      </w:r>
      <w:r w:rsidR="006249B8">
        <w:rPr>
          <w:i/>
          <w:iCs/>
        </w:rPr>
        <w:instrText xml:space="preserve"> ADDIN ZOTERO_ITEM CSL_CITATION {"citationID":"Xgwh2dlg","properties":{"formattedCitation":"(PC\\uc0\\u160{}2025)","plainCitation":"(PC 2025)","noteIndex":0},"citationItems":[{"id":5104,"uris":["http://zotero.org/groups/164861/items/L6FYSGEJ"],"itemData":{"id":5104,"type":"report","genre":"Interim report","title":"Investing in cheaper cleaner energy and the net zero transformation","author":[{"family":"Productivity Commission","given":""}],"translator":[{"family":"PC","given":""}],"issued":{"date-parts":[["2025"]]}}}],"schema":"https://github.com/citation-style-language/schema/raw/master/csl-citation.json"} </w:instrText>
      </w:r>
      <w:r w:rsidR="006249B8">
        <w:rPr>
          <w:i/>
          <w:iCs/>
        </w:rPr>
        <w:fldChar w:fldCharType="separate"/>
      </w:r>
      <w:r w:rsidR="006249B8" w:rsidRPr="006249B8">
        <w:rPr>
          <w:rFonts w:ascii="Arial" w:hAnsi="Arial" w:cs="Arial"/>
        </w:rPr>
        <w:t>(PC 2025)</w:t>
      </w:r>
      <w:r w:rsidR="006249B8">
        <w:rPr>
          <w:i/>
          <w:iCs/>
        </w:rPr>
        <w:fldChar w:fldCharType="end"/>
      </w:r>
      <w:r w:rsidR="00052514">
        <w:t>.</w:t>
      </w:r>
    </w:p>
    <w:p w14:paraId="77DB710E" w14:textId="0246CC93" w:rsidR="004E08D5" w:rsidRPr="008C3415" w:rsidRDefault="004E08D5" w:rsidP="0041440A">
      <w:pPr>
        <w:pStyle w:val="BodyText"/>
      </w:pPr>
      <w:r>
        <w:t xml:space="preserve">In </w:t>
      </w:r>
      <w:r w:rsidR="00DA5A13">
        <w:t>addition,</w:t>
      </w:r>
      <w:r w:rsidR="000403B3">
        <w:t xml:space="preserve"> there are three appendices </w:t>
      </w:r>
      <w:r w:rsidR="00C12910">
        <w:t>detailing</w:t>
      </w:r>
      <w:r w:rsidR="000403B3">
        <w:t xml:space="preserve"> policy options </w:t>
      </w:r>
      <w:r w:rsidR="00B959D0">
        <w:t xml:space="preserve">including ones that </w:t>
      </w:r>
      <w:r w:rsidR="000403B3">
        <w:t xml:space="preserve">are </w:t>
      </w:r>
      <w:r w:rsidR="00615BF4">
        <w:t xml:space="preserve">complements </w:t>
      </w:r>
      <w:r w:rsidR="000403B3">
        <w:t xml:space="preserve">or substitutes for </w:t>
      </w:r>
      <w:r w:rsidR="00CA74B2">
        <w:t>industry policy</w:t>
      </w:r>
      <w:r w:rsidR="005E09AD">
        <w:t xml:space="preserve"> supporting domestic production</w:t>
      </w:r>
      <w:r w:rsidR="00EA4F99">
        <w:t>,</w:t>
      </w:r>
      <w:r w:rsidR="000403B3">
        <w:t xml:space="preserve"> </w:t>
      </w:r>
      <w:r w:rsidR="005F7238">
        <w:t xml:space="preserve">followed by a summary of </w:t>
      </w:r>
      <w:r w:rsidR="00EA4F99">
        <w:t xml:space="preserve">the </w:t>
      </w:r>
      <w:proofErr w:type="gramStart"/>
      <w:r w:rsidR="008A5DB3">
        <w:t>PC’s</w:t>
      </w:r>
      <w:proofErr w:type="gramEnd"/>
      <w:r w:rsidR="008A5DB3">
        <w:t xml:space="preserve"> </w:t>
      </w:r>
      <w:r w:rsidR="00EA4F99">
        <w:t xml:space="preserve">past work on supply chain resilience and </w:t>
      </w:r>
      <w:r w:rsidR="00C45F79">
        <w:t xml:space="preserve">work on empirically </w:t>
      </w:r>
      <w:r w:rsidR="00EA4F99">
        <w:t>identifying comparative advantage.</w:t>
      </w:r>
    </w:p>
    <w:p w14:paraId="2D4733D5" w14:textId="77777777" w:rsidR="005278FA" w:rsidRDefault="005278FA" w:rsidP="005A2AF8">
      <w:pPr>
        <w:pStyle w:val="ListBullet"/>
        <w:numPr>
          <w:ilvl w:val="0"/>
          <w:numId w:val="0"/>
        </w:numPr>
        <w:sectPr w:rsidR="005278FA" w:rsidSect="002E3F19">
          <w:headerReference w:type="even" r:id="rId41"/>
          <w:headerReference w:type="default" r:id="rId42"/>
          <w:headerReference w:type="first" r:id="rId43"/>
          <w:pgSz w:w="11906" w:h="16838" w:code="9"/>
          <w:pgMar w:top="1134" w:right="1134" w:bottom="1134" w:left="1134" w:header="794" w:footer="510" w:gutter="0"/>
          <w:cols w:space="708"/>
          <w:docGrid w:linePitch="360"/>
        </w:sectPr>
      </w:pPr>
    </w:p>
    <w:p w14:paraId="6B533BD7" w14:textId="6FE8CF98" w:rsidR="001969BC" w:rsidRPr="00905E71" w:rsidRDefault="001969BC" w:rsidP="00525DB2">
      <w:pPr>
        <w:pStyle w:val="Heading1"/>
        <w:rPr>
          <w:spacing w:val="-6"/>
        </w:rPr>
      </w:pPr>
      <w:bookmarkStart w:id="18" w:name="_Toc195696821"/>
      <w:bookmarkStart w:id="19" w:name="_Toc195696910"/>
      <w:bookmarkStart w:id="20" w:name="_Toc195696954"/>
      <w:bookmarkStart w:id="21" w:name="_Toc195697020"/>
      <w:bookmarkStart w:id="22" w:name="_Toc195697239"/>
      <w:bookmarkStart w:id="23" w:name="_Toc195696822"/>
      <w:bookmarkStart w:id="24" w:name="_Toc195696911"/>
      <w:bookmarkStart w:id="25" w:name="_Toc195696955"/>
      <w:bookmarkStart w:id="26" w:name="_Toc195697021"/>
      <w:bookmarkStart w:id="27" w:name="_Toc195697240"/>
      <w:bookmarkStart w:id="28" w:name="_Toc195696823"/>
      <w:bookmarkStart w:id="29" w:name="_Toc195696912"/>
      <w:bookmarkStart w:id="30" w:name="_Toc195696956"/>
      <w:bookmarkStart w:id="31" w:name="_Toc195697022"/>
      <w:bookmarkStart w:id="32" w:name="_Toc195697241"/>
      <w:bookmarkStart w:id="33" w:name="_Toc195696825"/>
      <w:bookmarkStart w:id="34" w:name="_Toc195696914"/>
      <w:bookmarkStart w:id="35" w:name="_Toc195696958"/>
      <w:bookmarkStart w:id="36" w:name="_Toc195697024"/>
      <w:bookmarkStart w:id="37" w:name="_Toc195697243"/>
      <w:bookmarkStart w:id="38" w:name="_Toc195696826"/>
      <w:bookmarkStart w:id="39" w:name="_Toc195696915"/>
      <w:bookmarkStart w:id="40" w:name="_Toc195696959"/>
      <w:bookmarkStart w:id="41" w:name="_Toc195697025"/>
      <w:bookmarkStart w:id="42" w:name="_Toc195697244"/>
      <w:bookmarkStart w:id="43" w:name="_Toc195696827"/>
      <w:bookmarkStart w:id="44" w:name="_Toc195696916"/>
      <w:bookmarkStart w:id="45" w:name="_Toc195696960"/>
      <w:bookmarkStart w:id="46" w:name="_Toc195697026"/>
      <w:bookmarkStart w:id="47" w:name="_Toc195697245"/>
      <w:bookmarkStart w:id="48" w:name="_Toc195696829"/>
      <w:bookmarkStart w:id="49" w:name="_Toc195696918"/>
      <w:bookmarkStart w:id="50" w:name="_Toc195696962"/>
      <w:bookmarkStart w:id="51" w:name="_Toc195697028"/>
      <w:bookmarkStart w:id="52" w:name="_Toc195697247"/>
      <w:bookmarkStart w:id="53" w:name="_Toc195696830"/>
      <w:bookmarkStart w:id="54" w:name="_Toc195696919"/>
      <w:bookmarkStart w:id="55" w:name="_Toc195696963"/>
      <w:bookmarkStart w:id="56" w:name="_Toc195697029"/>
      <w:bookmarkStart w:id="57" w:name="_Toc195697248"/>
      <w:bookmarkStart w:id="58" w:name="_Toc183530084"/>
      <w:bookmarkStart w:id="59" w:name="_Toc183785526"/>
      <w:bookmarkStart w:id="60" w:name="_Toc195696923"/>
      <w:bookmarkStart w:id="61" w:name="_Toc210942151"/>
      <w:bookmarkStart w:id="62" w:name="_Toc183530087"/>
      <w:bookmarkStart w:id="63" w:name="_Toc18378552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905E71">
        <w:rPr>
          <w:spacing w:val="-6"/>
        </w:rPr>
        <w:lastRenderedPageBreak/>
        <w:t>Economic resilience and security</w:t>
      </w:r>
      <w:bookmarkEnd w:id="58"/>
      <w:bookmarkEnd w:id="59"/>
      <w:bookmarkEnd w:id="60"/>
      <w:bookmarkEnd w:id="61"/>
    </w:p>
    <w:tbl>
      <w:tblPr>
        <w:tblStyle w:val="Texttable-Paleblue"/>
        <w:tblW w:w="5000" w:type="pct"/>
        <w:shd w:val="clear" w:color="auto" w:fill="E7F6FD"/>
        <w:tblLook w:val="04A0" w:firstRow="1" w:lastRow="0" w:firstColumn="1" w:lastColumn="0" w:noHBand="0" w:noVBand="1"/>
      </w:tblPr>
      <w:tblGrid>
        <w:gridCol w:w="577"/>
        <w:gridCol w:w="9061"/>
      </w:tblGrid>
      <w:tr w:rsidR="007E2E5D" w:rsidRPr="002F759A" w14:paraId="5E013ED3" w14:textId="77777777">
        <w:tc>
          <w:tcPr>
            <w:tcW w:w="9638" w:type="dxa"/>
            <w:gridSpan w:val="2"/>
            <w:shd w:val="clear" w:color="auto" w:fill="E7F6FD"/>
            <w:tcMar>
              <w:left w:w="170" w:type="dxa"/>
            </w:tcMar>
          </w:tcPr>
          <w:p w14:paraId="517A5AFB" w14:textId="562F8BDE" w:rsidR="009D64D6" w:rsidRPr="002F759A" w:rsidRDefault="009D64D6">
            <w:pPr>
              <w:pStyle w:val="Keypoints-heading"/>
            </w:pPr>
            <w:bookmarkStart w:id="64" w:name="_Toc195696924"/>
            <w:r w:rsidRPr="002F759A">
              <w:t>Key points</w:t>
            </w:r>
            <w:bookmarkEnd w:id="64"/>
          </w:p>
        </w:tc>
      </w:tr>
      <w:tr w:rsidR="00786291" w14:paraId="72E1657B" w14:textId="77777777">
        <w:tc>
          <w:tcPr>
            <w:tcW w:w="577" w:type="dxa"/>
            <w:shd w:val="clear" w:color="auto" w:fill="E7F6FD"/>
            <w:tcMar>
              <w:top w:w="0" w:type="dxa"/>
              <w:bottom w:w="0" w:type="dxa"/>
              <w:right w:w="113" w:type="dxa"/>
            </w:tcMar>
          </w:tcPr>
          <w:p w14:paraId="70D41737" w14:textId="77777777" w:rsidR="009D64D6" w:rsidRDefault="009D64D6" w:rsidP="000C6B77">
            <w:pPr>
              <w:pStyle w:val="KeyPointsicon"/>
            </w:pPr>
            <w:r w:rsidRPr="00A51374">
              <w:rPr>
                <w:noProof/>
              </w:rPr>
              <w:drawing>
                <wp:inline distT="0" distB="0" distL="0" distR="0" wp14:anchorId="68D3FA07" wp14:editId="272BC918">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35D06FA" w14:textId="50A60F00" w:rsidR="00F26B70" w:rsidRDefault="00F71EFE" w:rsidP="005A4B56">
            <w:pPr>
              <w:pStyle w:val="KeyPoints-Bold"/>
            </w:pPr>
            <w:r>
              <w:t xml:space="preserve">Supply chain disruptions </w:t>
            </w:r>
            <w:r w:rsidR="00D6625D">
              <w:t>can be costly</w:t>
            </w:r>
            <w:r w:rsidR="00EE10AA">
              <w:t xml:space="preserve"> and detrimental to the wellbeing of Australians</w:t>
            </w:r>
            <w:r w:rsidR="00D6625D">
              <w:t xml:space="preserve">. </w:t>
            </w:r>
            <w:r w:rsidR="000F00BC">
              <w:t>On this basis w</w:t>
            </w:r>
            <w:r w:rsidR="004B511F">
              <w:t xml:space="preserve">e propose a </w:t>
            </w:r>
            <w:r>
              <w:t>three</w:t>
            </w:r>
            <w:r w:rsidR="00D25956">
              <w:noBreakHyphen/>
            </w:r>
            <w:r>
              <w:t>step</w:t>
            </w:r>
            <w:r w:rsidR="004B511F">
              <w:t xml:space="preserve"> process for considering responses to supply chain risks</w:t>
            </w:r>
            <w:r w:rsidR="000870CA">
              <w:t>.</w:t>
            </w:r>
          </w:p>
        </w:tc>
      </w:tr>
      <w:tr w:rsidR="000870CA" w14:paraId="4D288132" w14:textId="77777777">
        <w:tc>
          <w:tcPr>
            <w:tcW w:w="577" w:type="dxa"/>
            <w:shd w:val="clear" w:color="auto" w:fill="E7F6FD"/>
            <w:tcMar>
              <w:top w:w="0" w:type="dxa"/>
              <w:bottom w:w="0" w:type="dxa"/>
              <w:right w:w="113" w:type="dxa"/>
            </w:tcMar>
          </w:tcPr>
          <w:p w14:paraId="11BDD52C" w14:textId="1BEAED1F" w:rsidR="000870CA" w:rsidRPr="00A51374" w:rsidRDefault="000870CA" w:rsidP="000C6B77">
            <w:pPr>
              <w:pStyle w:val="KeyPointsicon"/>
              <w:rPr>
                <w:noProof/>
              </w:rPr>
            </w:pPr>
            <w:r w:rsidRPr="00F31E73">
              <w:rPr>
                <w:noProof/>
              </w:rPr>
              <w:drawing>
                <wp:inline distT="0" distB="0" distL="0" distR="0" wp14:anchorId="1E977C88" wp14:editId="34911EB6">
                  <wp:extent cx="180000" cy="180000"/>
                  <wp:effectExtent l="0" t="0" r="0" b="0"/>
                  <wp:docPr id="1865024285" name="Graphic 1865024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A7A9C3" w14:textId="67576563" w:rsidR="000870CA" w:rsidRPr="00F42D67" w:rsidRDefault="000870CA" w:rsidP="009F29AC">
            <w:pPr>
              <w:pStyle w:val="KeyPoints-Bold"/>
            </w:pPr>
            <w:r>
              <w:t xml:space="preserve">The first step is to assess the scale and nature of any potential disruption. This </w:t>
            </w:r>
            <w:r w:rsidR="00F42D67">
              <w:t xml:space="preserve">step </w:t>
            </w:r>
            <w:r>
              <w:t>examines whether a good is essential</w:t>
            </w:r>
            <w:r w:rsidR="00F42D67">
              <w:t xml:space="preserve"> and critical to welfare, whether it is </w:t>
            </w:r>
            <w:r>
              <w:t>vulnerable or prone to disruption</w:t>
            </w:r>
            <w:r w:rsidR="00F42D67">
              <w:t>, and if government intervention is appropriate to protect welfare.</w:t>
            </w:r>
          </w:p>
        </w:tc>
      </w:tr>
      <w:tr w:rsidR="00F42D67" w14:paraId="3B00AAA2" w14:textId="77777777">
        <w:tc>
          <w:tcPr>
            <w:tcW w:w="577" w:type="dxa"/>
            <w:shd w:val="clear" w:color="auto" w:fill="E7F6FD"/>
            <w:tcMar>
              <w:top w:w="0" w:type="dxa"/>
              <w:bottom w:w="0" w:type="dxa"/>
              <w:right w:w="113" w:type="dxa"/>
            </w:tcMar>
          </w:tcPr>
          <w:p w14:paraId="384425D6" w14:textId="4C6C7862" w:rsidR="00F42D67" w:rsidRPr="00F31E73" w:rsidRDefault="00F42D67" w:rsidP="000C6B77">
            <w:pPr>
              <w:pStyle w:val="KeyPointsicon"/>
              <w:rPr>
                <w:noProof/>
              </w:rPr>
            </w:pPr>
            <w:r w:rsidRPr="00F31E73">
              <w:rPr>
                <w:noProof/>
              </w:rPr>
              <w:drawing>
                <wp:inline distT="0" distB="0" distL="0" distR="0" wp14:anchorId="78531573" wp14:editId="266AD26B">
                  <wp:extent cx="180000" cy="180000"/>
                  <wp:effectExtent l="0" t="0" r="0" b="0"/>
                  <wp:docPr id="660380722" name="Graphic 660380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6C4E32" w14:textId="7242D179" w:rsidR="00F42D67" w:rsidRDefault="00566FCC" w:rsidP="00F42D67">
            <w:pPr>
              <w:pStyle w:val="KeyPoints-Bold"/>
            </w:pPr>
            <w:r>
              <w:t>The second step is to assess the potential policy responses to mitigate these disruptions. Policy responses could include stockpiling, developing international partnerships to diversify supply chains and investing in domestic production capabilities.</w:t>
            </w:r>
          </w:p>
        </w:tc>
      </w:tr>
      <w:tr w:rsidR="006869FA" w14:paraId="2288D89D" w14:textId="77777777">
        <w:tc>
          <w:tcPr>
            <w:tcW w:w="577" w:type="dxa"/>
            <w:shd w:val="clear" w:color="auto" w:fill="E7F6FD"/>
            <w:tcMar>
              <w:top w:w="0" w:type="dxa"/>
              <w:bottom w:w="0" w:type="dxa"/>
              <w:right w:w="113" w:type="dxa"/>
            </w:tcMar>
          </w:tcPr>
          <w:p w14:paraId="5FCB4238" w14:textId="590769FE" w:rsidR="006869FA" w:rsidRPr="00F31E73" w:rsidRDefault="006869FA" w:rsidP="000C6B77">
            <w:pPr>
              <w:pStyle w:val="KeyPointsicon"/>
              <w:rPr>
                <w:noProof/>
              </w:rPr>
            </w:pPr>
            <w:r w:rsidRPr="00A51374">
              <w:rPr>
                <w:noProof/>
              </w:rPr>
              <w:drawing>
                <wp:inline distT="0" distB="0" distL="0" distR="0" wp14:anchorId="0C7A1137" wp14:editId="41F31996">
                  <wp:extent cx="180000" cy="180000"/>
                  <wp:effectExtent l="0" t="0" r="0" b="0"/>
                  <wp:docPr id="1000379499" name="Graphic 1000379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3B85B07" w14:textId="5E0C300B" w:rsidR="006869FA" w:rsidRDefault="004B0D7C" w:rsidP="00F42D67">
            <w:pPr>
              <w:pStyle w:val="KeyPoints-Bold"/>
            </w:pPr>
            <w:r>
              <w:t>The third step is to e</w:t>
            </w:r>
            <w:r w:rsidRPr="00C06EC7">
              <w:t>stimate the implied frequency of disruption (or length of disruption, or time to disruption) as a final sense check</w:t>
            </w:r>
            <w:r>
              <w:t xml:space="preserve">. This </w:t>
            </w:r>
            <w:r w:rsidR="00CE1945">
              <w:t>gives an indication of</w:t>
            </w:r>
            <w:r>
              <w:t xml:space="preserve"> how significant </w:t>
            </w:r>
            <w:r w:rsidR="006C41D2">
              <w:t xml:space="preserve">and frequent </w:t>
            </w:r>
            <w:r>
              <w:t xml:space="preserve">a disruption </w:t>
            </w:r>
            <w:r w:rsidR="00EC7AE4">
              <w:t xml:space="preserve">may </w:t>
            </w:r>
            <w:r>
              <w:t>need</w:t>
            </w:r>
            <w:r w:rsidR="00EC7AE4">
              <w:t xml:space="preserve"> </w:t>
            </w:r>
            <w:r>
              <w:t xml:space="preserve">to be </w:t>
            </w:r>
            <w:r w:rsidR="00EC7AE4">
              <w:t>for</w:t>
            </w:r>
            <w:r>
              <w:t xml:space="preserve"> a given policy response</w:t>
            </w:r>
            <w:r w:rsidR="006C41D2">
              <w:t xml:space="preserve"> </w:t>
            </w:r>
            <w:r w:rsidR="00EC7AE4">
              <w:t>to offer</w:t>
            </w:r>
            <w:r w:rsidR="006C41D2">
              <w:t xml:space="preserve"> public value</w:t>
            </w:r>
            <w:r>
              <w:t>.</w:t>
            </w:r>
          </w:p>
        </w:tc>
      </w:tr>
      <w:tr w:rsidR="00786291" w14:paraId="3CB03883" w14:textId="77777777">
        <w:tc>
          <w:tcPr>
            <w:tcW w:w="577" w:type="dxa"/>
            <w:shd w:val="clear" w:color="auto" w:fill="E7F6FD"/>
            <w:tcMar>
              <w:top w:w="0" w:type="dxa"/>
              <w:bottom w:w="0" w:type="dxa"/>
              <w:right w:w="113" w:type="dxa"/>
            </w:tcMar>
          </w:tcPr>
          <w:p w14:paraId="4BFF1685" w14:textId="77777777" w:rsidR="009D64D6" w:rsidRPr="00A51374" w:rsidRDefault="009D64D6" w:rsidP="000C6B77">
            <w:pPr>
              <w:pStyle w:val="KeyPointsicon"/>
            </w:pPr>
            <w:r w:rsidRPr="00F31E73">
              <w:rPr>
                <w:noProof/>
              </w:rPr>
              <w:drawing>
                <wp:inline distT="0" distB="0" distL="0" distR="0" wp14:anchorId="55CE5C6F" wp14:editId="68BCE96F">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40FC975" w14:textId="52DA1B7C" w:rsidR="00E66FB6" w:rsidRPr="00610627" w:rsidRDefault="008A65F5" w:rsidP="009F29AC">
            <w:pPr>
              <w:pStyle w:val="KeyPoints-Bold"/>
            </w:pPr>
            <w:r>
              <w:t xml:space="preserve">National security considerations are </w:t>
            </w:r>
            <w:r w:rsidR="00033DD7">
              <w:t>being</w:t>
            </w:r>
            <w:r>
              <w:t xml:space="preserve"> increasingly </w:t>
            </w:r>
            <w:r w:rsidR="00F26B70">
              <w:t xml:space="preserve">embedded into industry policy decision making. </w:t>
            </w:r>
            <w:r w:rsidR="00EA79E4">
              <w:t xml:space="preserve">Such decisions can be aided by </w:t>
            </w:r>
            <w:r w:rsidR="00C41BBC">
              <w:t xml:space="preserve">this process. We modify </w:t>
            </w:r>
            <w:r w:rsidR="00517650">
              <w:t>the framework</w:t>
            </w:r>
            <w:r w:rsidR="00C41BBC">
              <w:t xml:space="preserve"> in these cases to </w:t>
            </w:r>
            <w:r w:rsidR="00EA79E4" w:rsidRPr="00F26B70">
              <w:t xml:space="preserve">iteratively update the perceived likelihood of </w:t>
            </w:r>
            <w:r w:rsidR="00657617" w:rsidRPr="00F26B70">
              <w:t>an</w:t>
            </w:r>
            <w:r w:rsidR="00EA79E4" w:rsidRPr="00F26B70">
              <w:t xml:space="preserve"> </w:t>
            </w:r>
            <w:r w:rsidR="005D1553">
              <w:t>identified</w:t>
            </w:r>
            <w:r w:rsidR="00EA79E4" w:rsidRPr="00F26B70">
              <w:t xml:space="preserve"> risk event as new information becomes available.</w:t>
            </w:r>
            <w:r w:rsidR="00EA79E4">
              <w:t xml:space="preserve"> </w:t>
            </w:r>
          </w:p>
        </w:tc>
      </w:tr>
      <w:tr w:rsidR="00786291" w14:paraId="16943198" w14:textId="77777777">
        <w:tc>
          <w:tcPr>
            <w:tcW w:w="577" w:type="dxa"/>
            <w:shd w:val="clear" w:color="auto" w:fill="E7F6FD"/>
            <w:tcMar>
              <w:top w:w="0" w:type="dxa"/>
              <w:bottom w:w="0" w:type="dxa"/>
              <w:right w:w="113" w:type="dxa"/>
            </w:tcMar>
          </w:tcPr>
          <w:p w14:paraId="4F74DD78" w14:textId="77777777" w:rsidR="009D64D6" w:rsidRPr="00A51374" w:rsidRDefault="009D64D6" w:rsidP="000C6B77">
            <w:pPr>
              <w:pStyle w:val="KeyPointsicon"/>
            </w:pPr>
            <w:r w:rsidRPr="00F31E73">
              <w:rPr>
                <w:noProof/>
              </w:rPr>
              <w:drawing>
                <wp:inline distT="0" distB="0" distL="0" distR="0" wp14:anchorId="325442BB" wp14:editId="6590DFFD">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161234D" w14:textId="0BD4B688" w:rsidR="009D64D6" w:rsidRPr="00610627" w:rsidRDefault="00104D2C" w:rsidP="00610627">
            <w:pPr>
              <w:pStyle w:val="KeyPoints-Bold"/>
            </w:pPr>
            <w:r w:rsidRPr="00DA18D0">
              <w:t xml:space="preserve">The </w:t>
            </w:r>
            <w:r>
              <w:t>process is intended to</w:t>
            </w:r>
            <w:r w:rsidRPr="00DA18D0">
              <w:t xml:space="preserve"> guide policymaking without being prescriptive.</w:t>
            </w:r>
            <w:r>
              <w:t xml:space="preserve"> T</w:t>
            </w:r>
            <w:r w:rsidR="00DA18D0" w:rsidRPr="00DA18D0">
              <w:t xml:space="preserve">he level of risk tolerance (and therefore the </w:t>
            </w:r>
            <w:r w:rsidR="00916820">
              <w:t xml:space="preserve">appropriate </w:t>
            </w:r>
            <w:r w:rsidR="00541EC0">
              <w:t xml:space="preserve">cost </w:t>
            </w:r>
            <w:r w:rsidR="00453C06">
              <w:t>incurred in</w:t>
            </w:r>
            <w:r w:rsidR="00541EC0">
              <w:t xml:space="preserve"> </w:t>
            </w:r>
            <w:r w:rsidR="00DA18D0" w:rsidRPr="00DA18D0">
              <w:t xml:space="preserve">mitigating </w:t>
            </w:r>
            <w:r w:rsidR="00453C06">
              <w:t>the risk</w:t>
            </w:r>
            <w:r w:rsidR="00DA18D0" w:rsidRPr="00DA18D0">
              <w:t>) is a soci</w:t>
            </w:r>
            <w:r w:rsidR="00453C06">
              <w:t xml:space="preserve">al choice, </w:t>
            </w:r>
            <w:r w:rsidR="00D451B8">
              <w:t xml:space="preserve">made </w:t>
            </w:r>
            <w:r w:rsidR="002F3323">
              <w:t>by</w:t>
            </w:r>
            <w:r w:rsidR="006B3261">
              <w:t xml:space="preserve"> elected governments</w:t>
            </w:r>
            <w:r w:rsidR="00DA18D0" w:rsidRPr="00DA18D0">
              <w:t xml:space="preserve">. </w:t>
            </w:r>
          </w:p>
        </w:tc>
      </w:tr>
    </w:tbl>
    <w:p w14:paraId="5D4F6C04" w14:textId="4E4C01C0" w:rsidR="009D64D6" w:rsidRDefault="009D64D6">
      <w:pPr>
        <w:pStyle w:val="NoSpacing"/>
      </w:pPr>
    </w:p>
    <w:p w14:paraId="732BA49C" w14:textId="72E2D2D6" w:rsidR="001969BC" w:rsidRPr="00004D18" w:rsidRDefault="001969BC" w:rsidP="006526F8">
      <w:pPr>
        <w:pStyle w:val="Heading2"/>
      </w:pPr>
      <w:bookmarkStart w:id="65" w:name="_Toc195696836"/>
      <w:bookmarkStart w:id="66" w:name="_Toc195696925"/>
      <w:bookmarkStart w:id="67" w:name="_Toc195696968"/>
      <w:bookmarkStart w:id="68" w:name="_Toc195697034"/>
      <w:bookmarkStart w:id="69" w:name="_Toc195697253"/>
      <w:bookmarkStart w:id="70" w:name="_Toc198818496"/>
      <w:bookmarkStart w:id="71" w:name="_Toc195696926"/>
      <w:bookmarkStart w:id="72" w:name="_Toc210942152"/>
      <w:bookmarkEnd w:id="65"/>
      <w:bookmarkEnd w:id="66"/>
      <w:bookmarkEnd w:id="67"/>
      <w:bookmarkEnd w:id="68"/>
      <w:bookmarkEnd w:id="69"/>
      <w:bookmarkEnd w:id="70"/>
      <w:r w:rsidRPr="00004D18">
        <w:t>A three</w:t>
      </w:r>
      <w:r w:rsidR="00410C80">
        <w:noBreakHyphen/>
      </w:r>
      <w:r w:rsidRPr="00004D18">
        <w:t>step process for considering responses to supply chain risk</w:t>
      </w:r>
      <w:bookmarkEnd w:id="71"/>
      <w:bookmarkEnd w:id="72"/>
    </w:p>
    <w:p w14:paraId="2FC1EED4" w14:textId="77777777" w:rsidR="00A57D06" w:rsidRPr="00BF63AA" w:rsidRDefault="00A57D06" w:rsidP="006526F8">
      <w:pPr>
        <w:pStyle w:val="Heading3-noTOC"/>
      </w:pPr>
      <w:bookmarkStart w:id="73" w:name="_Toc195696927"/>
      <w:r w:rsidRPr="00BF63AA">
        <w:t>Step one: assess the scale and nature of any potential disruption</w:t>
      </w:r>
      <w:bookmarkEnd w:id="73"/>
    </w:p>
    <w:p w14:paraId="3DF3FDA1" w14:textId="77777777" w:rsidR="00A57D06" w:rsidRPr="00004D18" w:rsidRDefault="00A57D06" w:rsidP="00A57D06">
      <w:pPr>
        <w:pStyle w:val="BodyText"/>
      </w:pPr>
      <w:r w:rsidRPr="00004D18">
        <w:t xml:space="preserve">Disruptions to supply chains can have major impacts on the wellbeing of the Australian community. The consequences of some of these disruptions can be particularly severe, </w:t>
      </w:r>
      <w:r>
        <w:t>for example if there are</w:t>
      </w:r>
      <w:r w:rsidRPr="00004D18">
        <w:t xml:space="preserve"> disruptions to the supply of medicines, petrol and other liquid fuels, </w:t>
      </w:r>
      <w:r>
        <w:t>or</w:t>
      </w:r>
      <w:r w:rsidRPr="00004D18">
        <w:t xml:space="preserve"> spare parts used in the supply of essential services. </w:t>
      </w:r>
    </w:p>
    <w:p w14:paraId="5455E653" w14:textId="152C8653" w:rsidR="00A57D06" w:rsidRDefault="00A57D06" w:rsidP="00A57D06">
      <w:pPr>
        <w:pStyle w:val="BodyText"/>
      </w:pPr>
      <w:r>
        <w:t xml:space="preserve">However, not all supply chains are vulnerable to </w:t>
      </w:r>
      <w:proofErr w:type="gramStart"/>
      <w:r>
        <w:t>disruption</w:t>
      </w:r>
      <w:proofErr w:type="gramEnd"/>
      <w:r>
        <w:t xml:space="preserve"> and not all disruptions will have notable impacts on Australians’ welfare. Moreover, businesses </w:t>
      </w:r>
      <w:r w:rsidRPr="00252D57">
        <w:t>are</w:t>
      </w:r>
      <w:r>
        <w:t xml:space="preserve"> often</w:t>
      </w:r>
      <w:r w:rsidRPr="00252D57">
        <w:t xml:space="preserve"> best placed to manage the risks associated with </w:t>
      </w:r>
      <w:r w:rsidRPr="00252D57">
        <w:lastRenderedPageBreak/>
        <w:t>their supply chains</w:t>
      </w:r>
      <w:r>
        <w:t>, as they generally have a better understanding of their production processes and better knowledge of available production alternatives than do policy makers.</w:t>
      </w:r>
    </w:p>
    <w:p w14:paraId="7E71DA03" w14:textId="338B3EBB" w:rsidR="00A57D06" w:rsidRPr="00905E71" w:rsidRDefault="00A57D06" w:rsidP="00E04ECC">
      <w:pPr>
        <w:pStyle w:val="BodyText"/>
        <w:rPr>
          <w:spacing w:val="-2"/>
        </w:rPr>
      </w:pPr>
      <w:r w:rsidRPr="00905E71">
        <w:rPr>
          <w:spacing w:val="-2"/>
        </w:rPr>
        <w:t>As such, supply chain risks can be misidentified</w:t>
      </w:r>
      <w:r w:rsidR="000B52D0" w:rsidRPr="00905E71">
        <w:rPr>
          <w:spacing w:val="-2"/>
        </w:rPr>
        <w:t xml:space="preserve"> by policymakers</w:t>
      </w:r>
      <w:r w:rsidRPr="00905E71">
        <w:rPr>
          <w:spacing w:val="-2"/>
        </w:rPr>
        <w:t xml:space="preserve">, and only some of those risks are likely to have a material impact on the living standards of Australians if they eventuate. What may intuitively seem to </w:t>
      </w:r>
      <w:r w:rsidRPr="00905E71" w:rsidDel="0078477B">
        <w:rPr>
          <w:spacing w:val="-2"/>
        </w:rPr>
        <w:t xml:space="preserve">be </w:t>
      </w:r>
      <w:r w:rsidR="0078477B" w:rsidRPr="00905E71">
        <w:rPr>
          <w:spacing w:val="-2"/>
        </w:rPr>
        <w:t>a</w:t>
      </w:r>
      <w:r w:rsidRPr="00905E71">
        <w:rPr>
          <w:spacing w:val="-2"/>
        </w:rPr>
        <w:t xml:space="preserve"> risk at first glance could overlook important characteristics of the goods and services being considered (</w:t>
      </w:r>
      <w:r w:rsidR="00E607FB" w:rsidRPr="00905E71">
        <w:rPr>
          <w:spacing w:val="-2"/>
        </w:rPr>
        <w:t>box</w:t>
      </w:r>
      <w:r w:rsidR="00D25956" w:rsidRPr="00905E71">
        <w:rPr>
          <w:spacing w:val="-2"/>
        </w:rPr>
        <w:t> </w:t>
      </w:r>
      <w:r w:rsidR="00E607FB" w:rsidRPr="00905E71">
        <w:rPr>
          <w:spacing w:val="-2"/>
        </w:rPr>
        <w:t>2.1</w:t>
      </w:r>
      <w:r w:rsidRPr="00905E71">
        <w:rPr>
          <w:spacing w:val="-2"/>
        </w:rPr>
        <w:t>), and initial policy instincts might not survive a data</w:t>
      </w:r>
      <w:r w:rsidR="00D25956" w:rsidRPr="00905E71">
        <w:rPr>
          <w:spacing w:val="-2"/>
        </w:rPr>
        <w:noBreakHyphen/>
      </w:r>
      <w:r w:rsidRPr="00905E71">
        <w:rPr>
          <w:spacing w:val="-2"/>
        </w:rPr>
        <w:t xml:space="preserve">based assessment of the perceived vulnerability. </w:t>
      </w:r>
    </w:p>
    <w:p w14:paraId="70C59973" w14:textId="636EC760" w:rsidR="00A57D06" w:rsidRPr="00586876" w:rsidRDefault="00A57D06" w:rsidP="00A57D06">
      <w:pPr>
        <w:pStyle w:val="BodyText"/>
        <w:spacing w:before="0" w:after="0" w:line="80" w:lineRule="atLeast"/>
      </w:pPr>
    </w:p>
    <w:tbl>
      <w:tblPr>
        <w:tblStyle w:val="Boxtable"/>
        <w:tblW w:w="5000" w:type="pct"/>
        <w:tblLook w:val="04A0" w:firstRow="1" w:lastRow="0" w:firstColumn="1" w:lastColumn="0" w:noHBand="0" w:noVBand="1"/>
      </w:tblPr>
      <w:tblGrid>
        <w:gridCol w:w="9638"/>
      </w:tblGrid>
      <w:tr w:rsidR="00A57D06" w14:paraId="068E38FC" w14:textId="77777777">
        <w:trPr>
          <w:tblHeader/>
        </w:trPr>
        <w:tc>
          <w:tcPr>
            <w:tcW w:w="9638" w:type="dxa"/>
            <w:shd w:val="clear" w:color="auto" w:fill="EBEBEB"/>
            <w:tcMar>
              <w:top w:w="170" w:type="dxa"/>
              <w:left w:w="170" w:type="dxa"/>
              <w:bottom w:w="113" w:type="dxa"/>
              <w:right w:w="170" w:type="dxa"/>
            </w:tcMar>
            <w:hideMark/>
          </w:tcPr>
          <w:p w14:paraId="679CD46D" w14:textId="5D77A6CD" w:rsidR="00A57D06" w:rsidRDefault="00A57D06" w:rsidP="00A50806">
            <w:pPr>
              <w:pStyle w:val="BoxHeading1"/>
            </w:pPr>
            <w:bookmarkStart w:id="74" w:name="_Ref193466413"/>
            <w:r>
              <w:t xml:space="preserve">Box </w:t>
            </w:r>
            <w:r w:rsidR="00B36C83">
              <w:fldChar w:fldCharType="begin"/>
            </w:r>
            <w:r w:rsidR="00B36C83">
              <w:instrText xml:space="preserve"> STYLEREF 1 \s </w:instrText>
            </w:r>
            <w:r w:rsidR="00B36C83">
              <w:fldChar w:fldCharType="separate"/>
            </w:r>
            <w:r w:rsidR="00E57184">
              <w:rPr>
                <w:noProof/>
              </w:rPr>
              <w:t>2</w:t>
            </w:r>
            <w:r w:rsidR="00B36C83">
              <w:rPr>
                <w:noProof/>
              </w:rPr>
              <w:fldChar w:fldCharType="end"/>
            </w:r>
            <w:r w:rsidR="00CD5534">
              <w:t>.</w:t>
            </w:r>
            <w:r w:rsidR="00B36C83">
              <w:fldChar w:fldCharType="begin"/>
            </w:r>
            <w:r w:rsidR="00B36C83">
              <w:instrText xml:space="preserve"> SEQ Box \* ARABIC \s 1 </w:instrText>
            </w:r>
            <w:r w:rsidR="00B36C83">
              <w:fldChar w:fldCharType="separate"/>
            </w:r>
            <w:r w:rsidR="00E57184">
              <w:rPr>
                <w:noProof/>
              </w:rPr>
              <w:t>1</w:t>
            </w:r>
            <w:r w:rsidR="00B36C83">
              <w:rPr>
                <w:noProof/>
              </w:rPr>
              <w:fldChar w:fldCharType="end"/>
            </w:r>
            <w:bookmarkEnd w:id="74"/>
            <w:r>
              <w:t xml:space="preserve"> – Capital and consumption goods compared </w:t>
            </w:r>
          </w:p>
        </w:tc>
      </w:tr>
      <w:tr w:rsidR="00A57D06" w14:paraId="30772AC5" w14:textId="77777777">
        <w:tc>
          <w:tcPr>
            <w:tcW w:w="9638" w:type="dxa"/>
            <w:shd w:val="clear" w:color="auto" w:fill="EBEBEB"/>
            <w:tcMar>
              <w:top w:w="28" w:type="dxa"/>
              <w:left w:w="170" w:type="dxa"/>
              <w:bottom w:w="170" w:type="dxa"/>
              <w:right w:w="170" w:type="dxa"/>
            </w:tcMar>
            <w:hideMark/>
          </w:tcPr>
          <w:p w14:paraId="192CD7CB" w14:textId="77777777" w:rsidR="00A57D06" w:rsidRDefault="00A57D06">
            <w:pPr>
              <w:pStyle w:val="BodyText"/>
            </w:pPr>
            <w:r>
              <w:t xml:space="preserve">Capital goods provide a stream of </w:t>
            </w:r>
            <w:r w:rsidRPr="00D76C7C">
              <w:t>output</w:t>
            </w:r>
            <w:r>
              <w:t xml:space="preserve"> over time. They differ from consumption goods which can only be used once</w:t>
            </w:r>
            <w:r w:rsidRPr="00D76C7C">
              <w:t>.</w:t>
            </w:r>
          </w:p>
          <w:p w14:paraId="685F3BB8" w14:textId="77777777" w:rsidR="00A57D06" w:rsidRDefault="00A57D06">
            <w:pPr>
              <w:pStyle w:val="BodyText"/>
            </w:pPr>
            <w:r>
              <w:t xml:space="preserve">Disruptions to the supply of capital goods are generally less impactful to welfare in the short term since people and firms can rely on an existing stock of the goods. For instance, if there is a temporary shortage of new farm equipment, farmers can continue to use </w:t>
            </w:r>
            <w:r w:rsidRPr="00090F20">
              <w:t>existing machinery, repair it, and even recycle parts</w:t>
            </w:r>
            <w:r>
              <w:t>. Similarly, a shortage of new solar panels does not prevent existing solar installations from continuing to provide electricity to the grid.</w:t>
            </w:r>
          </w:p>
          <w:p w14:paraId="2882EBCB" w14:textId="7FED3E5A" w:rsidR="00A57D06" w:rsidRDefault="00A57D06">
            <w:pPr>
              <w:pStyle w:val="BodyText"/>
            </w:pPr>
            <w:r>
              <w:t>In contrast, short</w:t>
            </w:r>
            <w:r>
              <w:noBreakHyphen/>
              <w:t>term disruptions are more likely to have a bigger impact on consumable</w:t>
            </w:r>
            <w:r w:rsidR="00F202C5">
              <w:t xml:space="preserve"> products</w:t>
            </w:r>
            <w:r>
              <w:t xml:space="preserve">, which generally need to be regularly replenished. For instance, even with Australia’s existing stockpiles there is only sufficient liquid fuel to supply Australia for </w:t>
            </w:r>
            <w:r w:rsidR="00034440">
              <w:t xml:space="preserve">34 </w:t>
            </w:r>
            <w:r>
              <w:t xml:space="preserve">days without imports (as </w:t>
            </w:r>
            <w:proofErr w:type="gramStart"/>
            <w:r>
              <w:t>at</w:t>
            </w:r>
            <w:proofErr w:type="gramEnd"/>
            <w:r>
              <w:t xml:space="preserve"> </w:t>
            </w:r>
            <w:r w:rsidR="00034440">
              <w:t>March 2025</w:t>
            </w:r>
            <w:r>
              <w:t>). A short</w:t>
            </w:r>
            <w:r>
              <w:noBreakHyphen/>
              <w:t xml:space="preserve">term disruption to fuel imports would reverberate throughout the economy after only a few weeks. </w:t>
            </w:r>
          </w:p>
          <w:p w14:paraId="419C9E71" w14:textId="00C8E477" w:rsidR="00A57D06" w:rsidRDefault="00A57D06">
            <w:pPr>
              <w:pStyle w:val="Source"/>
            </w:pPr>
            <w:r>
              <w:t xml:space="preserve">Source: DCCEEW </w:t>
            </w:r>
            <w:r>
              <w:fldChar w:fldCharType="begin"/>
            </w:r>
            <w:r w:rsidR="00561D22">
              <w:instrText xml:space="preserve"> ADDIN ZOTERO_ITEM CSL_CITATION {"citationID":"dNvDdwlC","properties":{"formattedCitation":"(2025a)","plainCitation":"(2025a)","noteIndex":0},"citationItems":[{"id":2747,"uris":["http://zotero.org/groups/5560192/items/R6CWIPHJ"],"itemData":{"id":2747,"type":"webpage","container-title":"energy.gov.au","title":"Australian Petroleum Statistics - Data Extract March 2025","URL":"https://www.energy.gov.au/publications/australian-petroleum-statistics-2024","author":[{"family":"Australian Government Department of Climate Change, Energy, the Environment and Water","given":""}],"translator":[{"family":"DCCEEW","given":""}],"accessed":{"date-parts":[["2024",12,2]]},"issued":{"date-parts":[["2025",6,4]]}},"suppress-author":true}],"schema":"https://github.com/citation-style-language/schema/raw/master/csl-citation.json"} </w:instrText>
            </w:r>
            <w:r>
              <w:fldChar w:fldCharType="separate"/>
            </w:r>
            <w:r w:rsidR="00561D22" w:rsidRPr="00561D22">
              <w:rPr>
                <w:rFonts w:ascii="Arial" w:hAnsi="Arial" w:cs="Arial"/>
              </w:rPr>
              <w:t>(2025a)</w:t>
            </w:r>
            <w:r>
              <w:fldChar w:fldCharType="end"/>
            </w:r>
            <w:r>
              <w:t xml:space="preserve"> and PC </w:t>
            </w:r>
            <w:r>
              <w:fldChar w:fldCharType="begin"/>
            </w:r>
            <w:r w:rsidR="00ED6B7B">
              <w:instrText xml:space="preserve"> ADDIN ZOTERO_ITEM CSL_CITATION {"citationID":"gLi6iJAu","properties":{"formattedCitation":"(2021, pp.\\uc0\\u160{}62\\uc0\\u8211{}63)","plainCitation":"(2021, pp. 62–63)","noteIndex":0},"citationItems":[{"id":946,"uris":["http://zotero.org/groups/164861/items/FIEXKB8K"],"itemData":{"id":946,"type":"report","genre":"Study Report","title":"Vulnerable Supply Chains","author":[{"family":"Productivity Commission","given":""}],"translator":[{"family":"PC","given":""}],"issued":{"date-parts":[["2021"]]}},"locator":"62-63","label":"page","suppress-author":true}],"schema":"https://github.com/citation-style-language/schema/raw/master/csl-citation.json"} </w:instrText>
            </w:r>
            <w:r>
              <w:fldChar w:fldCharType="separate"/>
            </w:r>
            <w:r w:rsidRPr="0069656F">
              <w:rPr>
                <w:rFonts w:ascii="Arial" w:hAnsi="Arial" w:cs="Arial"/>
              </w:rPr>
              <w:t>(2021, pp. 62–63)</w:t>
            </w:r>
            <w:r>
              <w:fldChar w:fldCharType="end"/>
            </w:r>
            <w:r>
              <w:t>.</w:t>
            </w:r>
          </w:p>
        </w:tc>
      </w:tr>
      <w:tr w:rsidR="00A57D06" w14:paraId="2001F1E8" w14:textId="77777777">
        <w:trPr>
          <w:hidden/>
        </w:trPr>
        <w:tc>
          <w:tcPr>
            <w:tcW w:w="9638" w:type="dxa"/>
            <w:shd w:val="clear" w:color="auto" w:fill="auto"/>
            <w:tcMar>
              <w:top w:w="0" w:type="dxa"/>
              <w:left w:w="170" w:type="dxa"/>
              <w:bottom w:w="0" w:type="dxa"/>
              <w:right w:w="170" w:type="dxa"/>
            </w:tcMar>
          </w:tcPr>
          <w:p w14:paraId="66B0999C" w14:textId="5B81D1F5" w:rsidR="00A57D06" w:rsidRPr="00465191" w:rsidRDefault="00A57D06">
            <w:pPr>
              <w:pStyle w:val="BodyText"/>
              <w:spacing w:before="0" w:after="0" w:line="80" w:lineRule="atLeast"/>
              <w:rPr>
                <w:smallCaps/>
                <w:vanish/>
              </w:rPr>
            </w:pPr>
          </w:p>
        </w:tc>
      </w:tr>
    </w:tbl>
    <w:p w14:paraId="05AA0AE8" w14:textId="7F45469D" w:rsidR="00A57D06" w:rsidRDefault="00A57D06" w:rsidP="004F457F">
      <w:pPr>
        <w:pStyle w:val="BodyText"/>
        <w:spacing w:before="240"/>
      </w:pPr>
      <w:r>
        <w:t xml:space="preserve">The </w:t>
      </w:r>
      <w:r w:rsidR="00057BD7">
        <w:t>PC</w:t>
      </w:r>
      <w:r>
        <w:t xml:space="preserve"> proposed a ‘data with experts’ framework to identifying supply chain vulnerabilities that would benefit from policy intervention in our report </w:t>
      </w:r>
      <w:r>
        <w:rPr>
          <w:i/>
          <w:iCs/>
        </w:rPr>
        <w:t xml:space="preserve">Vulnerable supply chains </w:t>
      </w:r>
      <w:r>
        <w:rPr>
          <w:i/>
          <w:iCs/>
        </w:rPr>
        <w:fldChar w:fldCharType="begin"/>
      </w:r>
      <w:r w:rsidR="00ED6B7B">
        <w:rPr>
          <w:i/>
          <w:iCs/>
        </w:rPr>
        <w:instrText xml:space="preserve"> ADDIN ZOTERO_ITEM CSL_CITATION {"citationID":"gx5Ypgvq","properties":{"formattedCitation":"(2021)","plainCitation":"(2021)","noteIndex":0},"citationItems":[{"id":946,"uris":["http://zotero.org/groups/164861/items/FIEXKB8K"],"itemData":{"id":946,"type":"report","genre":"Study Report","title":"Vulnerable Supply Chains","author":[{"family":"Productivity Commission","given":""}],"translator":[{"family":"PC","given":""}],"issued":{"date-parts":[["2021"]]}},"suppress-author":true}],"schema":"https://github.com/citation-style-language/schema/raw/master/csl-citation.json"} </w:instrText>
      </w:r>
      <w:r>
        <w:rPr>
          <w:i/>
          <w:iCs/>
        </w:rPr>
        <w:fldChar w:fldCharType="separate"/>
      </w:r>
      <w:r w:rsidRPr="008959B4">
        <w:rPr>
          <w:rFonts w:ascii="Arial" w:hAnsi="Arial" w:cs="Arial"/>
        </w:rPr>
        <w:t>(2021)</w:t>
      </w:r>
      <w:r>
        <w:rPr>
          <w:i/>
          <w:iCs/>
        </w:rPr>
        <w:fldChar w:fldCharType="end"/>
      </w:r>
      <w:r>
        <w:t>. Under that framework, goods and services were described as ‘vulnerable’ if there was a material risk of supply chain disruption due to geographical concentration,</w:t>
      </w:r>
      <w:r w:rsidRPr="00B262DF">
        <w:rPr>
          <w:rStyle w:val="FootnoteReference"/>
        </w:rPr>
        <w:footnoteReference w:id="6"/>
      </w:r>
      <w:r>
        <w:t xml:space="preserve"> ‘essential’ if they were material to living standards, and ‘critical’ if there was a lack of available substitutes (appendix</w:t>
      </w:r>
      <w:r w:rsidR="00D25956">
        <w:t> </w:t>
      </w:r>
      <w:r>
        <w:t>B)</w:t>
      </w:r>
      <w:r w:rsidRPr="00EB3155">
        <w:t xml:space="preserve">. </w:t>
      </w:r>
      <w:r>
        <w:t xml:space="preserve">This approach was later adapted and operationalised by Australia’s Office of Supply Chain Resilience </w:t>
      </w:r>
      <w:r>
        <w:fldChar w:fldCharType="begin"/>
      </w:r>
      <w:r w:rsidR="00ED6B7B">
        <w:instrText xml:space="preserve"> ADDIN ZOTERO_ITEM CSL_CITATION {"citationID":"cUJEcLu5","properties":{"formattedCitation":"(DFAT\\uc0\\u160{}2023, p.\\uc0\\u160{}6)","plainCitation":"(DFAT 2023, p. 6)","noteIndex":0},"citationItems":[{"id":2827,"uris":["http://zotero.org/groups/5560192/items/MTWCTM6S"],"itemData":{"id":2827,"type":"document","title":"IPEF Supply Chain Agreement Policy Impact Analysis","URL":"https://oia.pmc.gov.au/sites/default/files/posts/2023/11/Impact_Analysis_-_IPEF_Supply_Chain_Agreement%5B1%5D.pdf","translator":[{"family":"DFAT","given":""}],"author":[{"family":"Australian Government Department of Foreign Affairs and Trade","given":""}],"issued":{"date-parts":[["2023",11,21]]}},"locator":"6","label":"page"}],"schema":"https://github.com/citation-style-language/schema/raw/master/csl-citation.json"} </w:instrText>
      </w:r>
      <w:r>
        <w:fldChar w:fldCharType="separate"/>
      </w:r>
      <w:r w:rsidRPr="0089711B">
        <w:rPr>
          <w:rFonts w:ascii="Arial" w:hAnsi="Arial" w:cs="Arial"/>
        </w:rPr>
        <w:t>(DFAT 2023, p. 6)</w:t>
      </w:r>
      <w:r>
        <w:fldChar w:fldCharType="end"/>
      </w:r>
      <w:r>
        <w:t>.</w:t>
      </w:r>
    </w:p>
    <w:p w14:paraId="67710D8B" w14:textId="6B38CED1" w:rsidR="00A57D06" w:rsidRDefault="00A57D06" w:rsidP="00A57D06">
      <w:pPr>
        <w:pStyle w:val="BodyText"/>
      </w:pPr>
      <w:r w:rsidRPr="00AB5D1C">
        <w:t>Building on previous work, this</w:t>
      </w:r>
      <w:r>
        <w:t xml:space="preserve"> framework </w:t>
      </w:r>
      <w:r w:rsidRPr="00AB5D1C">
        <w:t>highlights</w:t>
      </w:r>
      <w:r>
        <w:t xml:space="preserve"> the </w:t>
      </w:r>
      <w:r w:rsidRPr="00AB5D1C">
        <w:t xml:space="preserve">importance of </w:t>
      </w:r>
      <w:r w:rsidR="0051078F">
        <w:t xml:space="preserve">country and </w:t>
      </w:r>
      <w:r>
        <w:t>firm</w:t>
      </w:r>
      <w:r w:rsidR="00D25956">
        <w:noBreakHyphen/>
      </w:r>
      <w:r>
        <w:t xml:space="preserve">level concentration in assessing supply chain risks, and places these considerations within the emerging global context, where a range of countries have set about responding to similar supply chain concerns </w:t>
      </w:r>
      <w:r w:rsidR="00AD77AF">
        <w:t>over recent years</w:t>
      </w:r>
      <w:r w:rsidDel="000011D0">
        <w:t xml:space="preserve"> </w:t>
      </w:r>
      <w:r>
        <w:t xml:space="preserve">by building domestic production capability in those goods and services. To the extent they continue to do so, they are </w:t>
      </w:r>
      <w:r w:rsidR="001272C6">
        <w:t xml:space="preserve">undertaking </w:t>
      </w:r>
      <w:r>
        <w:t xml:space="preserve">the supply chain diversification that supply chain resilience proponents might like to see, potentially reducing the value of Australia doing </w:t>
      </w:r>
      <w:r w:rsidDel="0078477B">
        <w:t xml:space="preserve">so </w:t>
      </w:r>
      <w:r w:rsidR="0078477B">
        <w:t>through</w:t>
      </w:r>
      <w:r>
        <w:t xml:space="preserve"> support for domestic production. </w:t>
      </w:r>
    </w:p>
    <w:p w14:paraId="77216E3A" w14:textId="5B6486E1" w:rsidR="00A57D06" w:rsidRDefault="00A57D06" w:rsidP="00A57D06">
      <w:pPr>
        <w:pStyle w:val="BodyText"/>
      </w:pPr>
      <w:r>
        <w:t>Decision tree 1 (</w:t>
      </w:r>
      <w:r w:rsidR="00BE1A5E">
        <w:t>figure</w:t>
      </w:r>
      <w:r w:rsidR="00D25956">
        <w:t> </w:t>
      </w:r>
      <w:r w:rsidR="00BE1A5E">
        <w:t>2.1</w:t>
      </w:r>
      <w:r>
        <w:t>) lays out these considerations to help policy makers identify</w:t>
      </w:r>
      <w:r w:rsidDel="00F009D3">
        <w:t xml:space="preserve"> </w:t>
      </w:r>
      <w:r>
        <w:t xml:space="preserve">goods and services that might warrant policy attention. This decision tree does not aim to be definitive about when a particular </w:t>
      </w:r>
      <w:r>
        <w:lastRenderedPageBreak/>
        <w:t>good or service should attract a policy response, but to highlight those considerations that can help determine the case for policy intervention.</w:t>
      </w:r>
      <w:r w:rsidRPr="00101085">
        <w:t xml:space="preserve"> </w:t>
      </w:r>
    </w:p>
    <w:p w14:paraId="0DAEB306" w14:textId="46A3323F" w:rsidR="00B938F7" w:rsidRPr="00146382" w:rsidRDefault="00B938F7" w:rsidP="00B938F7">
      <w:pPr>
        <w:pStyle w:val="FigureTableHeading"/>
      </w:pPr>
      <w:r>
        <w:t>Figure </w:t>
      </w:r>
      <w:r w:rsidR="00C223E9">
        <w:fldChar w:fldCharType="begin"/>
      </w:r>
      <w:r w:rsidR="00C223E9">
        <w:instrText xml:space="preserve"> STYLEREF 1 \s </w:instrText>
      </w:r>
      <w:r w:rsidR="00C223E9">
        <w:fldChar w:fldCharType="separate"/>
      </w:r>
      <w:r w:rsidR="00E57184">
        <w:rPr>
          <w:noProof/>
        </w:rPr>
        <w:t>2</w:t>
      </w:r>
      <w:r w:rsidR="00C223E9">
        <w:rPr>
          <w:noProof/>
        </w:rPr>
        <w:fldChar w:fldCharType="end"/>
      </w:r>
      <w:r>
        <w:t>.</w:t>
      </w:r>
      <w:r w:rsidR="00C223E9">
        <w:fldChar w:fldCharType="begin"/>
      </w:r>
      <w:r w:rsidR="00C223E9">
        <w:instrText xml:space="preserve"> SEQ Figure \* ARABIC \s 1 </w:instrText>
      </w:r>
      <w:r w:rsidR="00C223E9">
        <w:fldChar w:fldCharType="separate"/>
      </w:r>
      <w:r w:rsidR="00E57184">
        <w:rPr>
          <w:noProof/>
        </w:rPr>
        <w:t>1</w:t>
      </w:r>
      <w:r w:rsidR="00C223E9">
        <w:rPr>
          <w:noProof/>
        </w:rPr>
        <w:fldChar w:fldCharType="end"/>
      </w:r>
      <w:r>
        <w:rPr>
          <w:noProof/>
        </w:rPr>
        <w:t xml:space="preserve"> </w:t>
      </w:r>
      <w:r>
        <w:t>– Decision tree 1: Questions to assess supply chain risks and the case for government intervention</w:t>
      </w:r>
    </w:p>
    <w:p w14:paraId="0216AE4C" w14:textId="3F1E5C24" w:rsidR="00B938F7" w:rsidRDefault="00745BF2" w:rsidP="00D8225B">
      <w:pPr>
        <w:pStyle w:val="BodyText"/>
        <w:spacing w:before="240"/>
      </w:pPr>
      <w:r w:rsidRPr="00745BF2">
        <w:rPr>
          <w:noProof/>
        </w:rPr>
        <w:drawing>
          <wp:inline distT="0" distB="0" distL="0" distR="0" wp14:anchorId="0E35AC24" wp14:editId="6BC09EE8">
            <wp:extent cx="6120130" cy="7009130"/>
            <wp:effectExtent l="0" t="0" r="0" b="1270"/>
            <wp:docPr id="703778778" name="Picture 17" descr="&#10;Figure 1 Decision tree 1 &#10;&#10;A list of questions for policy makers to consider  &#10;&#10;Question 1: Would supply disruption to goods or services have serious welfare impacts on Australia (Are they essential)?  &#10;&#10;Question 2: Are there any substitute goods and services available in a disruption (Part of the 'criticality' test)? &#10;&#10;Question 3: Is there only a small number of producers of the good or service (Part of the 'vulnerability' test)? &#10;&#10;Question 4: Are those producers concentrated in a single country? &#10;&#10;Question 5: Are other countries moving to materially diversify their supplies of that good or service? &#10;&#10;Question 6: Can companies manage these supply chain risks themselv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78778" name="Picture 17" descr="&#10;Figure 1 Decision tree 1 &#10;&#10;A list of questions for policy makers to consider  &#10;&#10;Question 1: Would supply disruption to goods or services have serious welfare impacts on Australia (Are they essential)?  &#10;&#10;Question 2: Are there any substitute goods and services available in a disruption (Part of the 'criticality' test)? &#10;&#10;Question 3: Is there only a small number of producers of the good or service (Part of the 'vulnerability' test)? &#10;&#10;Question 4: Are those producers concentrated in a single country? &#10;&#10;Question 5: Are other countries moving to materially diversify their supplies of that good or service? &#10;&#10;Question 6: Can companies manage these supply chain risks themselves? &#10;&#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7009130"/>
                    </a:xfrm>
                    <a:prstGeom prst="rect">
                      <a:avLst/>
                    </a:prstGeom>
                    <a:noFill/>
                    <a:ln>
                      <a:noFill/>
                    </a:ln>
                  </pic:spPr>
                </pic:pic>
              </a:graphicData>
            </a:graphic>
          </wp:inline>
        </w:drawing>
      </w:r>
    </w:p>
    <w:p w14:paraId="588E9404" w14:textId="77777777" w:rsidR="00A57D06" w:rsidRPr="00004D18" w:rsidRDefault="00A57D06" w:rsidP="006526F8">
      <w:pPr>
        <w:pStyle w:val="Heading3-noTOC"/>
      </w:pPr>
      <w:bookmarkStart w:id="75" w:name="_Toc195696928"/>
      <w:r w:rsidRPr="00004D18">
        <w:lastRenderedPageBreak/>
        <w:t>Step two: assess possible policy responses</w:t>
      </w:r>
      <w:bookmarkEnd w:id="75"/>
    </w:p>
    <w:p w14:paraId="70D13B7C" w14:textId="199FC914" w:rsidR="00A57D06" w:rsidRPr="00CF6D4A" w:rsidDel="00625D1A" w:rsidRDefault="00A57D06" w:rsidP="00A57D06">
      <w:pPr>
        <w:pStyle w:val="BodyText"/>
      </w:pPr>
      <w:r w:rsidRPr="67A82B0B">
        <w:t xml:space="preserve">If the process set out in decision tree 1 identifies a good or service that might </w:t>
      </w:r>
      <w:r>
        <w:t>present policy concerns,</w:t>
      </w:r>
      <w:r w:rsidRPr="67A82B0B">
        <w:t xml:space="preserve"> </w:t>
      </w:r>
      <w:r>
        <w:t xml:space="preserve">further </w:t>
      </w:r>
      <w:r w:rsidR="0032346F">
        <w:t>consideration</w:t>
      </w:r>
      <w:r w:rsidRPr="67A82B0B">
        <w:t xml:space="preserve"> can then be given to which policy </w:t>
      </w:r>
      <w:r w:rsidRPr="00D33172">
        <w:t>measures</w:t>
      </w:r>
      <w:r w:rsidRPr="67A82B0B">
        <w:t xml:space="preserve"> </w:t>
      </w:r>
      <w:r>
        <w:t>are best placed to manage those risks.</w:t>
      </w:r>
      <w:r w:rsidR="005F08D7">
        <w:t xml:space="preserve"> </w:t>
      </w:r>
      <w:r w:rsidR="001067AC">
        <w:t>Appendix</w:t>
      </w:r>
      <w:r w:rsidR="00D25956">
        <w:t> </w:t>
      </w:r>
      <w:r w:rsidR="001067AC">
        <w:t xml:space="preserve">A provides </w:t>
      </w:r>
      <w:r w:rsidR="005F08D7">
        <w:t>more detail on some of the different policy options available.</w:t>
      </w:r>
    </w:p>
    <w:p w14:paraId="25E402AD" w14:textId="71CECD54" w:rsidR="00A57D06" w:rsidRDefault="00A57D06" w:rsidP="00A57D06">
      <w:pPr>
        <w:pStyle w:val="BodyText"/>
      </w:pPr>
      <w:r w:rsidRPr="008C44E6">
        <w:t xml:space="preserve">There </w:t>
      </w:r>
      <w:r w:rsidR="006C70F1">
        <w:t>is</w:t>
      </w:r>
      <w:r w:rsidRPr="008C44E6">
        <w:t xml:space="preserve"> a range of policy responses to </w:t>
      </w:r>
      <w:r>
        <w:t>perceived</w:t>
      </w:r>
      <w:r w:rsidRPr="008C44E6">
        <w:t xml:space="preserve"> supply chain vulnerabilities</w:t>
      </w:r>
      <w:r>
        <w:t>,</w:t>
      </w:r>
      <w:r w:rsidRPr="008C44E6">
        <w:t xml:space="preserve"> from building a domestic stockpile to working with other countries to manage shared concerns through a club goods arrangement</w:t>
      </w:r>
      <w:r>
        <w:t>.</w:t>
      </w:r>
      <w:r w:rsidR="009F2277">
        <w:t xml:space="preserve"> </w:t>
      </w:r>
      <w:r>
        <w:t xml:space="preserve">These options </w:t>
      </w:r>
      <w:r w:rsidRPr="67A82B0B">
        <w:t xml:space="preserve">should be </w:t>
      </w:r>
      <w:r>
        <w:t>evaluated</w:t>
      </w:r>
      <w:r w:rsidRPr="67A82B0B">
        <w:t xml:space="preserve"> before </w:t>
      </w:r>
      <w:r>
        <w:t>considering</w:t>
      </w:r>
      <w:r w:rsidRPr="67A82B0B">
        <w:t xml:space="preserve"> likely higher</w:t>
      </w:r>
      <w:r>
        <w:noBreakHyphen/>
      </w:r>
      <w:r w:rsidRPr="67A82B0B">
        <w:t xml:space="preserve">cost options </w:t>
      </w:r>
      <w:r>
        <w:t>such as</w:t>
      </w:r>
      <w:r w:rsidRPr="67A82B0B">
        <w:t xml:space="preserve"> </w:t>
      </w:r>
      <w:r>
        <w:t xml:space="preserve">providing policy support for a sector in which Australia has not yet demonstrated a comparative advantage. </w:t>
      </w:r>
    </w:p>
    <w:p w14:paraId="37477FCA" w14:textId="3EC9C000" w:rsidR="00A57D06" w:rsidRDefault="00A57D06" w:rsidP="00A57D06">
      <w:pPr>
        <w:pStyle w:val="BodyText"/>
      </w:pPr>
      <w:r>
        <w:t xml:space="preserve">Moreover, having a domestic production capability in a sector might not protect a country from shocks to the global supply of that good or service, particularly if the domestic supply of that good or service </w:t>
      </w:r>
      <w:r w:rsidR="00F7503F">
        <w:t>can</w:t>
      </w:r>
      <w:r>
        <w:t xml:space="preserve"> simply </w:t>
      </w:r>
      <w:r w:rsidR="00B007C1">
        <w:t xml:space="preserve">be </w:t>
      </w:r>
      <w:r>
        <w:t xml:space="preserve">exported to take advantage of higher international prices during the shortage. Avoiding such scenarios may require well designed and targeted export controls being put in place </w:t>
      </w:r>
      <w:proofErr w:type="gramStart"/>
      <w:r>
        <w:t>during the course of</w:t>
      </w:r>
      <w:proofErr w:type="gramEnd"/>
      <w:r>
        <w:t xml:space="preserve"> the crisis. The potential domestic supply benefits of doing so, however, would need to be weighed against the loss of export revenue during such global shortages, and subsequent impacts on the willingness of businesses to invest in sectors subject to export controls.</w:t>
      </w:r>
    </w:p>
    <w:p w14:paraId="5D66F9F1" w14:textId="33D28573" w:rsidR="009B5F12" w:rsidRDefault="00AA3E44" w:rsidP="00A57D06">
      <w:pPr>
        <w:pStyle w:val="BodyText"/>
      </w:pPr>
      <w:r>
        <w:t>In addition</w:t>
      </w:r>
      <w:r w:rsidR="009B5F12">
        <w:t xml:space="preserve">, </w:t>
      </w:r>
      <w:r w:rsidR="006C2C0D">
        <w:t xml:space="preserve">policy </w:t>
      </w:r>
      <w:r w:rsidR="00183157">
        <w:t>support</w:t>
      </w:r>
      <w:r w:rsidR="006C2C0D">
        <w:t xml:space="preserve"> for</w:t>
      </w:r>
      <w:r w:rsidR="00183157">
        <w:t xml:space="preserve"> one </w:t>
      </w:r>
      <w:r>
        <w:t>or more</w:t>
      </w:r>
      <w:r w:rsidR="006C2C0D">
        <w:t xml:space="preserve"> </w:t>
      </w:r>
      <w:r w:rsidR="00183157">
        <w:t>industr</w:t>
      </w:r>
      <w:r>
        <w:t>ies</w:t>
      </w:r>
      <w:r w:rsidR="006C2C0D">
        <w:t xml:space="preserve"> </w:t>
      </w:r>
      <w:r w:rsidR="00995AB7">
        <w:t xml:space="preserve">in response to supply chain concerns </w:t>
      </w:r>
      <w:r w:rsidR="00E4386A">
        <w:t xml:space="preserve">means </w:t>
      </w:r>
      <w:r w:rsidR="00991DD4">
        <w:t xml:space="preserve">reallocating resources away from other </w:t>
      </w:r>
      <w:r w:rsidR="006A30AA">
        <w:t xml:space="preserve">domestic industries, potentially creating other supply chain resilience concerns in the process. </w:t>
      </w:r>
      <w:r w:rsidR="00A95859">
        <w:t xml:space="preserve">As a result, policy measures to reduce </w:t>
      </w:r>
      <w:r w:rsidR="00D04C5C">
        <w:t xml:space="preserve">supply chain resilience concerns in one sector can simply </w:t>
      </w:r>
      <w:proofErr w:type="gramStart"/>
      <w:r w:rsidR="00D04C5C">
        <w:t>open up</w:t>
      </w:r>
      <w:proofErr w:type="gramEnd"/>
      <w:r w:rsidR="00C80175">
        <w:t xml:space="preserve"> supply chain vulnerabilities in others</w:t>
      </w:r>
      <w:r w:rsidR="00FC5429">
        <w:t xml:space="preserve"> (</w:t>
      </w:r>
      <w:r w:rsidR="00D25956">
        <w:t>a</w:t>
      </w:r>
      <w:r w:rsidR="00FC5429">
        <w:t>ppendix</w:t>
      </w:r>
      <w:r w:rsidR="00D25956">
        <w:t> </w:t>
      </w:r>
      <w:r w:rsidR="00FC5429">
        <w:t>A).</w:t>
      </w:r>
    </w:p>
    <w:p w14:paraId="4CFE3329" w14:textId="2162A9EA" w:rsidR="00A57D06" w:rsidRPr="00004D18" w:rsidRDefault="00A57D06" w:rsidP="00A57D06">
      <w:pPr>
        <w:pStyle w:val="BodyText"/>
      </w:pPr>
      <w:r>
        <w:t>To assess the most appropriate</w:t>
      </w:r>
      <w:r w:rsidRPr="00004D18">
        <w:t xml:space="preserve"> policy response, it can be helpful to distinguish between two broad classes of risk events. The first </w:t>
      </w:r>
      <w:r>
        <w:t>class of risk events</w:t>
      </w:r>
      <w:r w:rsidRPr="00004D18">
        <w:t xml:space="preserve"> offer little advance notice of their realisation, while the second can arrive with some degree of forewarning </w:t>
      </w:r>
      <w:r w:rsidR="00057BD7">
        <w:t>–</w:t>
      </w:r>
      <w:r w:rsidRPr="00004D18">
        <w:t xml:space="preserve"> as </w:t>
      </w:r>
      <w:r>
        <w:t>forward indicators</w:t>
      </w:r>
      <w:r w:rsidRPr="00004D18">
        <w:t xml:space="preserve"> of the risk </w:t>
      </w:r>
      <w:r>
        <w:t xml:space="preserve">rise and fall </w:t>
      </w:r>
      <w:r w:rsidRPr="00004D18">
        <w:t>over time. Here the degree of advance notice is relative to the time that would be required to build resilience to the risk event.</w:t>
      </w:r>
    </w:p>
    <w:p w14:paraId="4EFD905F" w14:textId="2485F4E9" w:rsidR="00A57D06" w:rsidRPr="00004D18" w:rsidRDefault="00A57D06" w:rsidP="00A57D06">
      <w:pPr>
        <w:pStyle w:val="BodyText"/>
      </w:pPr>
      <w:r w:rsidRPr="00004D18">
        <w:t>Traditional supply chain risks</w:t>
      </w:r>
      <w:r w:rsidR="007F4656">
        <w:t xml:space="preserve"> (such as natural disasters)</w:t>
      </w:r>
      <w:r w:rsidR="00924206">
        <w:t xml:space="preserve"> that do not </w:t>
      </w:r>
      <w:r w:rsidR="002235B7">
        <w:t>impact national security</w:t>
      </w:r>
      <w:r w:rsidRPr="00004D18">
        <w:t xml:space="preserve"> can be thought of as being in the first class of risk events. While we know that </w:t>
      </w:r>
      <w:r w:rsidR="00EF27FE">
        <w:t>such</w:t>
      </w:r>
      <w:r w:rsidRPr="00004D18">
        <w:t xml:space="preserve"> supply chain disruptions will occur from time to time, we do not know </w:t>
      </w:r>
      <w:r>
        <w:t>when they will occur</w:t>
      </w:r>
      <w:r w:rsidR="00AE6134">
        <w:t>,</w:t>
      </w:r>
      <w:r w:rsidRPr="00004D18">
        <w:t xml:space="preserve"> and they are likely to materialise with little advance notice. By contrast, some national security events can be thought of as being in the second class of risks. By observing the build</w:t>
      </w:r>
      <w:r>
        <w:noBreakHyphen/>
      </w:r>
      <w:r w:rsidRPr="00004D18">
        <w:t>up of military capability by some countries over time, and/or growing tensions between countries in international diplomatic fora, for example, some national security events can arrive with some degree of advance notice.</w:t>
      </w:r>
    </w:p>
    <w:p w14:paraId="70987C9A" w14:textId="701A5D13" w:rsidR="00A57D06" w:rsidRDefault="00A57D06" w:rsidP="00E04ECC">
      <w:pPr>
        <w:pStyle w:val="BodyText"/>
      </w:pPr>
      <w:r>
        <w:t>Since</w:t>
      </w:r>
      <w:r w:rsidRPr="00004D18">
        <w:t xml:space="preserve"> the first class of events can materialise with little advance notice</w:t>
      </w:r>
      <w:r>
        <w:t xml:space="preserve">, it </w:t>
      </w:r>
      <w:r w:rsidR="002235B7">
        <w:t xml:space="preserve">can be </w:t>
      </w:r>
      <w:r>
        <w:t xml:space="preserve">valuable to </w:t>
      </w:r>
      <w:r w:rsidRPr="00004D18">
        <w:t xml:space="preserve">be prepared for </w:t>
      </w:r>
      <w:r>
        <w:t>their occurrence at any given point in time</w:t>
      </w:r>
      <w:r w:rsidRPr="00004D18">
        <w:t>.</w:t>
      </w:r>
      <w:r>
        <w:t xml:space="preserve"> However,</w:t>
      </w:r>
      <w:r w:rsidRPr="00004D18">
        <w:t xml:space="preserve"> the </w:t>
      </w:r>
      <w:r>
        <w:t>slower</w:t>
      </w:r>
      <w:r w:rsidR="00D25956">
        <w:noBreakHyphen/>
      </w:r>
      <w:r>
        <w:t xml:space="preserve">moving nature of the </w:t>
      </w:r>
      <w:r w:rsidRPr="00004D18">
        <w:t xml:space="preserve">second </w:t>
      </w:r>
      <w:r>
        <w:t>category</w:t>
      </w:r>
      <w:r w:rsidRPr="00004D18">
        <w:t xml:space="preserve"> of risk events</w:t>
      </w:r>
      <w:r>
        <w:t xml:space="preserve"> allows </w:t>
      </w:r>
      <w:r w:rsidR="006C1B32">
        <w:t>resilience meas</w:t>
      </w:r>
      <w:r w:rsidR="009C7D03">
        <w:t>u</w:t>
      </w:r>
      <w:r w:rsidR="006C1B32">
        <w:t>res to be scaled</w:t>
      </w:r>
      <w:r w:rsidRPr="00004D18">
        <w:t xml:space="preserve"> as </w:t>
      </w:r>
      <w:r>
        <w:t>new</w:t>
      </w:r>
      <w:r w:rsidRPr="00004D18">
        <w:t xml:space="preserve"> information comes to hand.</w:t>
      </w:r>
    </w:p>
    <w:p w14:paraId="4B315730" w14:textId="70683F87" w:rsidR="00A37262" w:rsidRPr="00004D18" w:rsidRDefault="001969BC" w:rsidP="00F71EFE">
      <w:pPr>
        <w:pStyle w:val="Heading3-noTOC"/>
      </w:pPr>
      <w:r w:rsidRPr="00004D18">
        <w:t xml:space="preserve">Final step: </w:t>
      </w:r>
      <w:r w:rsidR="00C33B59" w:rsidRPr="00004D18">
        <w:t>E</w:t>
      </w:r>
      <w:r w:rsidRPr="00004D18">
        <w:t>stimate the implied frequency of disruption (or length of disruption, or time to disruption) as a final sense</w:t>
      </w:r>
      <w:r w:rsidR="00410C80">
        <w:noBreakHyphen/>
      </w:r>
      <w:r w:rsidRPr="00004D18">
        <w:t>check</w:t>
      </w:r>
    </w:p>
    <w:p w14:paraId="4DB451B6" w14:textId="0EAC1C79" w:rsidR="00C60DAE" w:rsidRDefault="00C60DAE" w:rsidP="00C60DAE">
      <w:pPr>
        <w:pStyle w:val="BodyText"/>
      </w:pPr>
      <w:r w:rsidRPr="00004D18">
        <w:t xml:space="preserve">Finally, because </w:t>
      </w:r>
      <w:r>
        <w:t>even the least cost measure could exceed the expected cost of the disruption, a final benefit</w:t>
      </w:r>
      <w:r>
        <w:noBreakHyphen/>
        <w:t>cost assessment is crucial. For the first class of risk events, this benefit</w:t>
      </w:r>
      <w:r>
        <w:noBreakHyphen/>
        <w:t xml:space="preserve">cost assessment can then be expressed in terms of how frequently the risk event would have to occur on average, for the costs of the intervention to be lower than the cost of the disruption itself (the </w:t>
      </w:r>
      <w:r w:rsidRPr="004742C8">
        <w:rPr>
          <w:i/>
        </w:rPr>
        <w:t>implied frequency of disruption</w:t>
      </w:r>
      <w:r>
        <w:t>). In this way, policy makers can consider the costs of intervention as being like an ‘insurance premium’, enabling explicit judgement of whether these costs are commensurate with the risks being insured against (</w:t>
      </w:r>
      <w:r w:rsidR="002B7456">
        <w:t>box</w:t>
      </w:r>
      <w:r w:rsidR="00D25956">
        <w:t> </w:t>
      </w:r>
      <w:r w:rsidR="002B7456">
        <w:t>2.2</w:t>
      </w:r>
      <w:r>
        <w:t xml:space="preserve">). </w:t>
      </w:r>
    </w:p>
    <w:p w14:paraId="19AF8DDC" w14:textId="6BF57BF7" w:rsidR="00C60DAE" w:rsidRPr="00F82BD9" w:rsidRDefault="00C60DAE" w:rsidP="00C60DAE">
      <w:pPr>
        <w:pStyle w:val="NoSpacing"/>
      </w:pPr>
    </w:p>
    <w:tbl>
      <w:tblPr>
        <w:tblStyle w:val="Boxtable"/>
        <w:tblW w:w="5000" w:type="pct"/>
        <w:tblLook w:val="04A0" w:firstRow="1" w:lastRow="0" w:firstColumn="1" w:lastColumn="0" w:noHBand="0" w:noVBand="1"/>
      </w:tblPr>
      <w:tblGrid>
        <w:gridCol w:w="9638"/>
      </w:tblGrid>
      <w:tr w:rsidR="00C60DAE" w14:paraId="3AD310ED" w14:textId="77777777">
        <w:trPr>
          <w:tblHeader/>
        </w:trPr>
        <w:tc>
          <w:tcPr>
            <w:tcW w:w="9638" w:type="dxa"/>
            <w:shd w:val="clear" w:color="auto" w:fill="EBEBEB"/>
            <w:tcMar>
              <w:top w:w="170" w:type="dxa"/>
              <w:left w:w="170" w:type="dxa"/>
              <w:bottom w:w="113" w:type="dxa"/>
              <w:right w:w="170" w:type="dxa"/>
            </w:tcMar>
            <w:hideMark/>
          </w:tcPr>
          <w:p w14:paraId="7EE1E31F" w14:textId="3BE0781F" w:rsidR="00C60DAE" w:rsidRDefault="00C60DAE" w:rsidP="00EB0BF7">
            <w:pPr>
              <w:pStyle w:val="BoxHeading1"/>
            </w:pPr>
            <w:bookmarkStart w:id="76" w:name="_Ref193467972"/>
            <w:r>
              <w:lastRenderedPageBreak/>
              <w:t>Box</w:t>
            </w:r>
            <w:r w:rsidDel="001052DD">
              <w:t xml:space="preserve"> </w:t>
            </w:r>
            <w:r w:rsidR="00B36C83">
              <w:fldChar w:fldCharType="begin"/>
            </w:r>
            <w:r w:rsidR="00B36C83">
              <w:instrText xml:space="preserve"> STYLEREF 1 \s </w:instrText>
            </w:r>
            <w:r w:rsidR="00B36C83">
              <w:fldChar w:fldCharType="separate"/>
            </w:r>
            <w:r w:rsidR="00E57184">
              <w:rPr>
                <w:noProof/>
              </w:rPr>
              <w:t>2</w:t>
            </w:r>
            <w:r w:rsidR="00B36C83">
              <w:rPr>
                <w:noProof/>
              </w:rPr>
              <w:fldChar w:fldCharType="end"/>
            </w:r>
            <w:r w:rsidR="00CD5534">
              <w:t>.</w:t>
            </w:r>
            <w:bookmarkEnd w:id="76"/>
            <w:r w:rsidDel="00F647D4">
              <w:fldChar w:fldCharType="begin"/>
            </w:r>
            <w:r w:rsidDel="00F647D4">
              <w:instrText xml:space="preserve"> SEQ Box \* ARABIC \s 1 </w:instrText>
            </w:r>
            <w:r w:rsidDel="00F647D4">
              <w:fldChar w:fldCharType="separate"/>
            </w:r>
            <w:r w:rsidR="00E57184">
              <w:rPr>
                <w:noProof/>
              </w:rPr>
              <w:t>2</w:t>
            </w:r>
            <w:r w:rsidDel="00F647D4">
              <w:fldChar w:fldCharType="end"/>
            </w:r>
            <w:r>
              <w:rPr>
                <w:noProof/>
              </w:rPr>
              <w:t xml:space="preserve"> </w:t>
            </w:r>
            <w:r>
              <w:t xml:space="preserve">– </w:t>
            </w:r>
            <w:r w:rsidRPr="00EB0BF7">
              <w:t>Estimating</w:t>
            </w:r>
            <w:r w:rsidRPr="00A30AD6">
              <w:t xml:space="preserve"> the implied frequency of disruption of a resilience measure</w:t>
            </w:r>
          </w:p>
        </w:tc>
      </w:tr>
      <w:tr w:rsidR="00C60DAE" w14:paraId="1ABA76D0" w14:textId="77777777">
        <w:tc>
          <w:tcPr>
            <w:tcW w:w="9638" w:type="dxa"/>
            <w:shd w:val="clear" w:color="auto" w:fill="EBEBEB"/>
            <w:tcMar>
              <w:top w:w="28" w:type="dxa"/>
              <w:left w:w="170" w:type="dxa"/>
              <w:bottom w:w="170" w:type="dxa"/>
              <w:right w:w="170" w:type="dxa"/>
            </w:tcMar>
            <w:hideMark/>
          </w:tcPr>
          <w:p w14:paraId="4E3D26E5" w14:textId="77777777" w:rsidR="00C60DAE" w:rsidRDefault="00C60DAE">
            <w:pPr>
              <w:pStyle w:val="BodyText"/>
            </w:pPr>
            <w:r>
              <w:t xml:space="preserve">Supply chain disruptions commonly manifest as an increase in the price that must be paid to access an affected good at the time of the disruption, rather than an outright inability to access that good. The higher prices that need to be paid to access a good during a disruption, and the ongoing higher costs of a domestic production capability in that good, can be used to estimate the frequency of disruption that would be required to justify the costs of public support for that domestic production capability. </w:t>
            </w:r>
          </w:p>
          <w:p w14:paraId="1B09EE05" w14:textId="7492E0C7" w:rsidR="00C60DAE" w:rsidRPr="00A30AD6" w:rsidRDefault="00C60DAE">
            <w:pPr>
              <w:pStyle w:val="BodyText"/>
            </w:pPr>
            <w:r>
              <w:t>Specifically, t</w:t>
            </w:r>
            <w:r w:rsidRPr="00A30AD6">
              <w:t xml:space="preserve">he implied frequency of disruption of a particular measure can be estimated by comparing the net present value (NPV) of a situation subject to disruptions, with the </w:t>
            </w:r>
            <w:r>
              <w:t>NPV</w:t>
            </w:r>
            <w:r w:rsidRPr="00A30AD6">
              <w:t xml:space="preserve"> of that same situation </w:t>
            </w:r>
            <w:r w:rsidR="002B0E9A">
              <w:t>once</w:t>
            </w:r>
            <w:r w:rsidRPr="00A30AD6">
              <w:t xml:space="preserve"> insurance measures </w:t>
            </w:r>
            <w:r w:rsidR="002B0E9A">
              <w:t>are</w:t>
            </w:r>
            <w:r w:rsidRPr="00A30AD6">
              <w:t xml:space="preserve"> in place.</w:t>
            </w:r>
          </w:p>
          <w:p w14:paraId="66FCEC96" w14:textId="12292F81" w:rsidR="00C60DAE" w:rsidRPr="00A30AD6" w:rsidRDefault="00C60DAE">
            <w:pPr>
              <w:pStyle w:val="BodyText"/>
            </w:pPr>
            <w:r w:rsidRPr="00A30AD6">
              <w:t xml:space="preserve">Adjusting the frequency of disruptions in the first scenario until it equals the net present value of the second scenario produces the implied frequency of disruption </w:t>
            </w:r>
            <w:r w:rsidR="000461CB">
              <w:t>–</w:t>
            </w:r>
            <w:r w:rsidRPr="00A30AD6">
              <w:t xml:space="preserve"> the minimum frequency that would be required for the investment to cost less than the disruption itself.</w:t>
            </w:r>
          </w:p>
          <w:p w14:paraId="100D2E3B" w14:textId="77777777" w:rsidR="00C60DAE" w:rsidRPr="00A30AD6" w:rsidRDefault="00C60DAE">
            <w:pPr>
              <w:pStyle w:val="BodyText"/>
            </w:pPr>
            <w:r w:rsidRPr="00A30AD6">
              <w:t xml:space="preserve">This methodology can be applied to the supply chain resilience measures </w:t>
            </w:r>
            <w:r>
              <w:t xml:space="preserve">like </w:t>
            </w:r>
            <w:r w:rsidRPr="00A30AD6">
              <w:t>government support for the development of a domestic production capability.</w:t>
            </w:r>
          </w:p>
          <w:p w14:paraId="64B34AF3" w14:textId="20DB7AA8" w:rsidR="00C60DAE" w:rsidRDefault="00C60DAE">
            <w:pPr>
              <w:pStyle w:val="BodyText"/>
            </w:pPr>
            <w:r w:rsidRPr="00A30AD6">
              <w:t xml:space="preserve">To illustrate, </w:t>
            </w:r>
            <w:r>
              <w:t>consider a sector that generates</w:t>
            </w:r>
            <w:r w:rsidRPr="00A30AD6">
              <w:t xml:space="preserve"> $</w:t>
            </w:r>
            <w:r>
              <w:t>20</w:t>
            </w:r>
            <w:r w:rsidRPr="00A30AD6">
              <w:t xml:space="preserve"> </w:t>
            </w:r>
            <w:r>
              <w:t>b</w:t>
            </w:r>
            <w:r w:rsidRPr="00A30AD6">
              <w:t xml:space="preserve">illion in </w:t>
            </w:r>
            <w:r>
              <w:t xml:space="preserve">welfare each </w:t>
            </w:r>
            <w:proofErr w:type="gramStart"/>
            <w:r>
              <w:t>year;</w:t>
            </w:r>
            <w:proofErr w:type="gramEnd"/>
            <w:r>
              <w:t xml:space="preserve"> using</w:t>
            </w:r>
            <w:r w:rsidRPr="00A30AD6">
              <w:t xml:space="preserve"> $</w:t>
            </w:r>
            <w:r>
              <w:t>15</w:t>
            </w:r>
            <w:r w:rsidRPr="00A30AD6">
              <w:t xml:space="preserve"> </w:t>
            </w:r>
            <w:r>
              <w:t>b</w:t>
            </w:r>
            <w:r w:rsidRPr="00A30AD6">
              <w:t>illion</w:t>
            </w:r>
            <w:r>
              <w:t xml:space="preserve"> of inputs</w:t>
            </w:r>
            <w:r w:rsidRPr="00A30AD6">
              <w:t xml:space="preserve">, and </w:t>
            </w:r>
            <w:r>
              <w:t>value adding</w:t>
            </w:r>
            <w:r w:rsidRPr="00A30AD6">
              <w:t xml:space="preserve"> $</w:t>
            </w:r>
            <w:r>
              <w:t>5</w:t>
            </w:r>
            <w:r w:rsidRPr="00A30AD6">
              <w:t xml:space="preserve"> </w:t>
            </w:r>
            <w:r>
              <w:t>b</w:t>
            </w:r>
            <w:r w:rsidRPr="00A30AD6">
              <w:t>illion per annum</w:t>
            </w:r>
            <w:r>
              <w:t>. In a ‘smooth</w:t>
            </w:r>
            <w:r w:rsidR="00AE6134">
              <w:t xml:space="preserve"> </w:t>
            </w:r>
            <w:r>
              <w:t xml:space="preserve">sailing’ world </w:t>
            </w:r>
            <w:r w:rsidR="00F30FD3">
              <w:t>(</w:t>
            </w:r>
            <w:r w:rsidR="00437921">
              <w:t>s</w:t>
            </w:r>
            <w:r w:rsidR="00F30FD3">
              <w:t>cena</w:t>
            </w:r>
            <w:r w:rsidR="00E84AD4">
              <w:t xml:space="preserve">rio one) </w:t>
            </w:r>
            <w:r>
              <w:t>there are no disruptions to the supply of inputs and the net present value of the welfare generated by the sector, assuming a 3% discount rate per annum, over the following 20 years is $7</w:t>
            </w:r>
            <w:r w:rsidR="007905D0">
              <w:t>4.4</w:t>
            </w:r>
            <w:r>
              <w:t xml:space="preserve"> billion</w:t>
            </w:r>
            <w:r w:rsidR="69859B84">
              <w:t xml:space="preserve"> (</w:t>
            </w:r>
            <w:r w:rsidR="6F67DBFD">
              <w:t>assum</w:t>
            </w:r>
            <w:r w:rsidR="00CB0E85">
              <w:t>ing</w:t>
            </w:r>
            <w:r w:rsidR="6F67DBFD">
              <w:t xml:space="preserve"> revenue and costs are incurred at the end of each year</w:t>
            </w:r>
            <w:r w:rsidR="69859B84">
              <w:t>)</w:t>
            </w:r>
            <w:r>
              <w:t xml:space="preserve">. </w:t>
            </w:r>
          </w:p>
          <w:p w14:paraId="6DCC510D" w14:textId="77777777" w:rsidR="00372775" w:rsidRDefault="00C60DAE">
            <w:pPr>
              <w:pStyle w:val="BoxHeading2"/>
            </w:pPr>
            <w:r w:rsidRPr="00EE306F">
              <w:t xml:space="preserve">Scenario </w:t>
            </w:r>
            <w:r>
              <w:t>one</w:t>
            </w:r>
          </w:p>
          <w:p w14:paraId="3A6D73D1" w14:textId="798569B3" w:rsidR="00372775" w:rsidRDefault="003A68DC" w:rsidP="008D6303">
            <w:pPr>
              <w:pStyle w:val="BodyText"/>
            </w:pPr>
            <w:r w:rsidRPr="003A68DC">
              <w:rPr>
                <w:noProof/>
              </w:rPr>
              <w:drawing>
                <wp:inline distT="0" distB="0" distL="0" distR="0" wp14:anchorId="0FA9C049" wp14:editId="0E782531">
                  <wp:extent cx="5940000" cy="550291"/>
                  <wp:effectExtent l="0" t="0" r="0" b="0"/>
                  <wp:docPr id="682024023" name="Picture 3" descr="This box contains three 20 year timelines, setting out the annual revenues and costs that would face a given project under three different scenarios. Each of these scenarios produces a different net present each of which has different characteristics, and thereby has a different net present value which is discussed in thi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24023" name="Picture 3" descr="This box contains three 20 year timelines, setting out the annual revenues and costs that would face a given project under three different scenarios. Each of these scenarios produces a different net present each of which has different characteristics, and thereby has a different net present value which is discussed in this text."/>
                          <pic:cNvPicPr>
                            <a:picLocks noChangeAspect="1" noChangeArrowheads="1"/>
                          </pic:cNvPicPr>
                        </pic:nvPicPr>
                        <pic:blipFill rotWithShape="1">
                          <a:blip r:embed="rId47">
                            <a:extLst>
                              <a:ext uri="{28A0092B-C50C-407E-A947-70E740481C1C}">
                                <a14:useLocalDpi xmlns:a14="http://schemas.microsoft.com/office/drawing/2010/main" val="0"/>
                              </a:ext>
                            </a:extLst>
                          </a:blip>
                          <a:srcRect l="771"/>
                          <a:stretch>
                            <a:fillRect/>
                          </a:stretch>
                        </pic:blipFill>
                        <pic:spPr bwMode="auto">
                          <a:xfrm>
                            <a:off x="0" y="0"/>
                            <a:ext cx="5940000" cy="550291"/>
                          </a:xfrm>
                          <a:prstGeom prst="rect">
                            <a:avLst/>
                          </a:prstGeom>
                          <a:noFill/>
                          <a:ln>
                            <a:noFill/>
                          </a:ln>
                          <a:extLst>
                            <a:ext uri="{53640926-AAD7-44D8-BBD7-CCE9431645EC}">
                              <a14:shadowObscured xmlns:a14="http://schemas.microsoft.com/office/drawing/2010/main"/>
                            </a:ext>
                          </a:extLst>
                        </pic:spPr>
                      </pic:pic>
                    </a:graphicData>
                  </a:graphic>
                </wp:inline>
              </w:drawing>
            </w:r>
          </w:p>
          <w:p w14:paraId="7130F629" w14:textId="5158D9B6" w:rsidR="00C60DAE" w:rsidRDefault="00C60DAE">
            <w:pPr>
              <w:pStyle w:val="BodyText"/>
            </w:pPr>
            <w:r>
              <w:t>In time, however, supply chain concerns begin to materialise</w:t>
            </w:r>
            <w:r w:rsidR="004137C0">
              <w:t>,</w:t>
            </w:r>
            <w:r>
              <w:t xml:space="preserve"> and policy support is provided for a domestic production capability in the sector</w:t>
            </w:r>
            <w:r w:rsidR="00FA1920">
              <w:t>’</w:t>
            </w:r>
            <w:r>
              <w:t xml:space="preserve">s input, in the hope that this will help the sector avoid any fallout from global supply chain disruptions. This comes at a higher cost to the sector though, with annual input costs rising from $15 billion to $16 billion per annum. These higher costs mean that less welfare is generated by the sector, the </w:t>
            </w:r>
            <w:r w:rsidR="0000169B">
              <w:t>NPV</w:t>
            </w:r>
            <w:r>
              <w:t xml:space="preserve"> of which falls to $5</w:t>
            </w:r>
            <w:r w:rsidR="00F256B2">
              <w:t>9</w:t>
            </w:r>
            <w:r w:rsidR="00F007CC">
              <w:t>.</w:t>
            </w:r>
            <w:r w:rsidR="00F256B2">
              <w:t>5</w:t>
            </w:r>
            <w:r>
              <w:t xml:space="preserve"> billion (</w:t>
            </w:r>
            <w:r w:rsidR="00EC680A">
              <w:t>s</w:t>
            </w:r>
            <w:r w:rsidR="003C3800">
              <w:t>cenario two</w:t>
            </w:r>
            <w:r>
              <w:t>).</w:t>
            </w:r>
          </w:p>
          <w:p w14:paraId="4BE1779A" w14:textId="77777777" w:rsidR="00C25446" w:rsidRDefault="00C60DAE">
            <w:pPr>
              <w:pStyle w:val="BoxHeading2"/>
            </w:pPr>
            <w:r w:rsidRPr="00B05516">
              <w:t xml:space="preserve">Scenario </w:t>
            </w:r>
            <w:r>
              <w:t>two</w:t>
            </w:r>
          </w:p>
          <w:p w14:paraId="7E608351" w14:textId="6CA31F43" w:rsidR="00C60DAE" w:rsidRPr="00F23842" w:rsidRDefault="00C062A3">
            <w:pPr>
              <w:pStyle w:val="BoxHeading2"/>
              <w:rPr>
                <w:rStyle w:val="BodyTextChar"/>
              </w:rPr>
            </w:pPr>
            <w:r w:rsidRPr="00C062A3">
              <w:rPr>
                <w:noProof/>
              </w:rPr>
              <w:drawing>
                <wp:inline distT="0" distB="0" distL="0" distR="0" wp14:anchorId="48B55AA0" wp14:editId="649363E9">
                  <wp:extent cx="5940000" cy="529709"/>
                  <wp:effectExtent l="0" t="0" r="0" b="0"/>
                  <wp:docPr id="988501505" name="Picture 4" descr="This box contains three 20 year timelines, setting out the annual revenues and costs that would face a given project under three different scenarios. Each of these scenarios produces a different net present each of which has different characteristics, and thereby has a different net present value which is discussed in thi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01505" name="Picture 4" descr="This box contains three 20 year timelines, setting out the annual revenues and costs that would face a given project under three different scenarios. Each of these scenarios produces a different net present each of which has different characteristics, and thereby has a different net present value which is discussed in this text."/>
                          <pic:cNvPicPr>
                            <a:picLocks noChangeAspect="1" noChangeArrowheads="1"/>
                          </pic:cNvPicPr>
                        </pic:nvPicPr>
                        <pic:blipFill rotWithShape="1">
                          <a:blip r:embed="rId48">
                            <a:extLst>
                              <a:ext uri="{28A0092B-C50C-407E-A947-70E740481C1C}">
                                <a14:useLocalDpi xmlns:a14="http://schemas.microsoft.com/office/drawing/2010/main" val="0"/>
                              </a:ext>
                            </a:extLst>
                          </a:blip>
                          <a:srcRect l="850" r="-1"/>
                          <a:stretch>
                            <a:fillRect/>
                          </a:stretch>
                        </pic:blipFill>
                        <pic:spPr bwMode="auto">
                          <a:xfrm>
                            <a:off x="0" y="0"/>
                            <a:ext cx="5940000" cy="529709"/>
                          </a:xfrm>
                          <a:prstGeom prst="rect">
                            <a:avLst/>
                          </a:prstGeom>
                          <a:noFill/>
                          <a:ln>
                            <a:noFill/>
                          </a:ln>
                          <a:extLst>
                            <a:ext uri="{53640926-AAD7-44D8-BBD7-CCE9431645EC}">
                              <a14:shadowObscured xmlns:a14="http://schemas.microsoft.com/office/drawing/2010/main"/>
                            </a:ext>
                          </a:extLst>
                        </pic:spPr>
                      </pic:pic>
                    </a:graphicData>
                  </a:graphic>
                </wp:inline>
              </w:drawing>
            </w:r>
          </w:p>
          <w:p w14:paraId="579AC784" w14:textId="1FF95440" w:rsidR="00C60DAE" w:rsidRDefault="00C60DAE">
            <w:pPr>
              <w:pStyle w:val="BodyText"/>
            </w:pPr>
            <w:r>
              <w:t xml:space="preserve">This increase in input costs, and associated reduction in the net present value of the welfare generated by the sector, can be considered the insurance cost of avoiding the fallout. And by making assumptions about the cost of the feared supply chain disruption, and its duration, it is possible to calculate how frequently that assumed disruption would have to occur for the </w:t>
            </w:r>
            <w:r w:rsidR="005941E8">
              <w:t>‘</w:t>
            </w:r>
            <w:r>
              <w:t>insurance</w:t>
            </w:r>
            <w:r w:rsidR="005941E8">
              <w:t>’ (the higher cost domestic production capacity)</w:t>
            </w:r>
            <w:r>
              <w:t xml:space="preserve"> to be worth </w:t>
            </w:r>
            <w:r w:rsidR="001C2795">
              <w:t>purchasing</w:t>
            </w:r>
            <w:r w:rsidR="00A60504">
              <w:t>.</w:t>
            </w:r>
            <w:r>
              <w:t xml:space="preserve"> This can be done by calculating the frequency of disruption </w:t>
            </w:r>
            <w:r w:rsidR="001C2795">
              <w:t xml:space="preserve">required </w:t>
            </w:r>
            <w:r>
              <w:t xml:space="preserve">for the </w:t>
            </w:r>
            <w:r w:rsidR="0000169B">
              <w:t>NPV</w:t>
            </w:r>
            <w:r>
              <w:t xml:space="preserve"> of the periodic supply shock scenario to be equal to that of that of the domestic production scenario. For example, if we assumed that each supply side shock lasts for a </w:t>
            </w:r>
            <w:proofErr w:type="gramStart"/>
            <w:r>
              <w:t>year, and</w:t>
            </w:r>
            <w:proofErr w:type="gramEnd"/>
            <w:r>
              <w:t xml:space="preserve"> raised </w:t>
            </w:r>
            <w:r>
              <w:lastRenderedPageBreak/>
              <w:t>input costs from $15 billion to $20 billion in that year, the feared disruption would have to occur at least once every five years for domestic production capacity to begin to make sense (</w:t>
            </w:r>
            <w:r w:rsidR="00AC6952">
              <w:t>s</w:t>
            </w:r>
            <w:r w:rsidR="003C3800">
              <w:t>cenario three</w:t>
            </w:r>
            <w:r>
              <w:t>)</w:t>
            </w:r>
            <w:r w:rsidR="00CC5E28">
              <w:t>.</w:t>
            </w:r>
          </w:p>
          <w:p w14:paraId="67E4EDFD" w14:textId="4D91DBE4" w:rsidR="00C60DAE" w:rsidRDefault="00C60DAE">
            <w:pPr>
              <w:pStyle w:val="BodyText"/>
              <w:rPr>
                <w:b/>
                <w:bCs/>
              </w:rPr>
            </w:pPr>
            <w:r w:rsidRPr="009D09B6">
              <w:rPr>
                <w:b/>
                <w:bCs/>
              </w:rPr>
              <w:t xml:space="preserve">Scenario </w:t>
            </w:r>
            <w:r w:rsidR="00872AF6">
              <w:rPr>
                <w:b/>
                <w:bCs/>
              </w:rPr>
              <w:t>three</w:t>
            </w:r>
          </w:p>
          <w:p w14:paraId="548AF759" w14:textId="1F3BD676" w:rsidR="00C60DAE" w:rsidRPr="004D1D1D" w:rsidRDefault="004D1D1D">
            <w:pPr>
              <w:pStyle w:val="BodyText"/>
            </w:pPr>
            <w:r w:rsidRPr="004D1D1D">
              <w:rPr>
                <w:b/>
                <w:bCs/>
                <w:noProof/>
              </w:rPr>
              <w:drawing>
                <wp:inline distT="0" distB="0" distL="0" distR="0" wp14:anchorId="50DD0ECD" wp14:editId="3A9A509A">
                  <wp:extent cx="5940000" cy="540182"/>
                  <wp:effectExtent l="0" t="0" r="0" b="0"/>
                  <wp:docPr id="1677211965" name="Picture 6" descr="This box contains three 20 year timelines, setting out the annual revenues and costs that would face a given project under three different scenarios. Each of these scenarios produces a different net present each of which has different characteristics, and thereby has a different net present value which is discussed in thi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11965" name="Picture 6" descr="This box contains three 20 year timelines, setting out the annual revenues and costs that would face a given project under three different scenarios. Each of these scenarios produces a different net present each of which has different characteristics, and thereby has a different net present value which is discussed in this text."/>
                          <pic:cNvPicPr>
                            <a:picLocks noChangeAspect="1" noChangeArrowheads="1"/>
                          </pic:cNvPicPr>
                        </pic:nvPicPr>
                        <pic:blipFill rotWithShape="1">
                          <a:blip r:embed="rId49">
                            <a:extLst>
                              <a:ext uri="{28A0092B-C50C-407E-A947-70E740481C1C}">
                                <a14:useLocalDpi xmlns:a14="http://schemas.microsoft.com/office/drawing/2010/main" val="0"/>
                              </a:ext>
                            </a:extLst>
                          </a:blip>
                          <a:srcRect l="1123"/>
                          <a:stretch>
                            <a:fillRect/>
                          </a:stretch>
                        </pic:blipFill>
                        <pic:spPr bwMode="auto">
                          <a:xfrm>
                            <a:off x="0" y="0"/>
                            <a:ext cx="5940000" cy="540182"/>
                          </a:xfrm>
                          <a:prstGeom prst="rect">
                            <a:avLst/>
                          </a:prstGeom>
                          <a:noFill/>
                          <a:ln>
                            <a:noFill/>
                          </a:ln>
                          <a:extLst>
                            <a:ext uri="{53640926-AAD7-44D8-BBD7-CCE9431645EC}">
                              <a14:shadowObscured xmlns:a14="http://schemas.microsoft.com/office/drawing/2010/main"/>
                            </a:ext>
                          </a:extLst>
                        </pic:spPr>
                      </pic:pic>
                    </a:graphicData>
                  </a:graphic>
                </wp:inline>
              </w:drawing>
            </w:r>
          </w:p>
          <w:p w14:paraId="723FF582" w14:textId="666133D7" w:rsidR="00C60DAE" w:rsidRDefault="00C60DAE">
            <w:pPr>
              <w:pStyle w:val="BodyText"/>
            </w:pPr>
            <w:r>
              <w:t>In this example</w:t>
            </w:r>
            <w:r w:rsidRPr="00CD24AB">
              <w:t>, the implied frequency of disruption of the domestic production plan would be</w:t>
            </w:r>
            <w:r>
              <w:t xml:space="preserve"> at least once every</w:t>
            </w:r>
            <w:r w:rsidRPr="00CD24AB">
              <w:t xml:space="preserve"> </w:t>
            </w:r>
            <w:r>
              <w:t>five</w:t>
            </w:r>
            <w:r w:rsidRPr="00CD24AB">
              <w:t xml:space="preserve"> years.</w:t>
            </w:r>
            <w:r w:rsidR="00022857">
              <w:t xml:space="preserve"> This means that f</w:t>
            </w:r>
            <w:r w:rsidR="00022857" w:rsidRPr="00CD24AB">
              <w:t xml:space="preserve">or the investment in domestic production capability to be worthwhile, </w:t>
            </w:r>
            <w:r w:rsidR="00022857">
              <w:t>policy makers</w:t>
            </w:r>
            <w:r w:rsidR="00022857" w:rsidRPr="00CD24AB">
              <w:t xml:space="preserve"> would have to believe that </w:t>
            </w:r>
            <w:r w:rsidR="00022857">
              <w:t xml:space="preserve">the assumed supply chain </w:t>
            </w:r>
            <w:r w:rsidR="00022857" w:rsidRPr="00CD24AB">
              <w:t>disruption</w:t>
            </w:r>
            <w:r w:rsidR="00022857">
              <w:t xml:space="preserve"> would need to</w:t>
            </w:r>
            <w:r w:rsidR="00022857" w:rsidRPr="00CD24AB">
              <w:t xml:space="preserve"> occur at </w:t>
            </w:r>
            <w:r w:rsidR="001664E9">
              <w:t xml:space="preserve">a greater frequency than once </w:t>
            </w:r>
            <w:r w:rsidR="00022857" w:rsidRPr="00CD24AB">
              <w:t>every five years.</w:t>
            </w:r>
          </w:p>
        </w:tc>
      </w:tr>
    </w:tbl>
    <w:p w14:paraId="7E6CC354" w14:textId="63F03B92" w:rsidR="00C60DAE" w:rsidRDefault="00C60DAE" w:rsidP="00C60DAE">
      <w:pPr>
        <w:pStyle w:val="BodyText"/>
      </w:pPr>
      <w:r>
        <w:rPr>
          <w:rFonts w:eastAsia="Arial" w:cs="Arial"/>
        </w:rPr>
        <w:lastRenderedPageBreak/>
        <w:t>E</w:t>
      </w:r>
      <w:r w:rsidRPr="67A82B0B">
        <w:rPr>
          <w:rFonts w:eastAsia="Arial" w:cs="Arial"/>
        </w:rPr>
        <w:t>stimating the implied frequency of disruption of a particular policy option need not be used deterministically</w:t>
      </w:r>
      <w:r>
        <w:rPr>
          <w:rFonts w:eastAsia="Arial" w:cs="Arial"/>
        </w:rPr>
        <w:t xml:space="preserve"> (t</w:t>
      </w:r>
      <w:r w:rsidRPr="67A82B0B">
        <w:rPr>
          <w:rFonts w:eastAsia="Arial" w:cs="Arial"/>
        </w:rPr>
        <w:t>hat is, to determine whether one specific resilience measure is worth undertaking</w:t>
      </w:r>
      <w:r w:rsidR="004D3FB1">
        <w:rPr>
          <w:rFonts w:eastAsia="Arial" w:cs="Arial"/>
        </w:rPr>
        <w:t xml:space="preserve"> or not</w:t>
      </w:r>
      <w:r>
        <w:rPr>
          <w:rFonts w:eastAsia="Arial" w:cs="Arial"/>
        </w:rPr>
        <w:t>)</w:t>
      </w:r>
      <w:r w:rsidRPr="67A82B0B">
        <w:rPr>
          <w:rFonts w:eastAsia="Arial" w:cs="Arial"/>
        </w:rPr>
        <w:t xml:space="preserve">. The level of risk borne by society is a collective </w:t>
      </w:r>
      <w:r w:rsidR="00E8543E">
        <w:rPr>
          <w:rFonts w:eastAsia="Arial" w:cs="Arial"/>
        </w:rPr>
        <w:t xml:space="preserve">social </w:t>
      </w:r>
      <w:r w:rsidRPr="67A82B0B">
        <w:rPr>
          <w:rFonts w:eastAsia="Arial" w:cs="Arial"/>
        </w:rPr>
        <w:t>choice. The</w:t>
      </w:r>
      <w:r>
        <w:rPr>
          <w:rFonts w:eastAsia="Arial" w:cs="Arial"/>
        </w:rPr>
        <w:t xml:space="preserve"> estimate</w:t>
      </w:r>
      <w:r w:rsidRPr="67A82B0B">
        <w:rPr>
          <w:rFonts w:eastAsia="Arial" w:cs="Arial"/>
        </w:rPr>
        <w:t xml:space="preserve"> simply provides a sense check </w:t>
      </w:r>
      <w:r w:rsidR="00F818F1">
        <w:rPr>
          <w:rFonts w:eastAsia="Arial" w:cs="Arial"/>
        </w:rPr>
        <w:t>for</w:t>
      </w:r>
      <w:r w:rsidRPr="67A82B0B">
        <w:rPr>
          <w:rFonts w:eastAsia="Arial" w:cs="Arial"/>
        </w:rPr>
        <w:t xml:space="preserve"> whether a particular measure is broadly consistent with the risk appetite of the community at any given point in time</w:t>
      </w:r>
      <w:r>
        <w:rPr>
          <w:rFonts w:eastAsia="Arial" w:cs="Arial"/>
        </w:rPr>
        <w:t>. It also</w:t>
      </w:r>
      <w:r w:rsidRPr="67A82B0B">
        <w:rPr>
          <w:rFonts w:eastAsia="Arial" w:cs="Arial"/>
        </w:rPr>
        <w:t xml:space="preserve"> provides a common metric to compare different </w:t>
      </w:r>
      <w:r w:rsidR="00B4333B">
        <w:rPr>
          <w:rFonts w:eastAsia="Arial" w:cs="Arial"/>
        </w:rPr>
        <w:t xml:space="preserve">available </w:t>
      </w:r>
      <w:r w:rsidRPr="67A82B0B">
        <w:rPr>
          <w:rFonts w:eastAsia="Arial" w:cs="Arial"/>
        </w:rPr>
        <w:t>risk management options.</w:t>
      </w:r>
    </w:p>
    <w:p w14:paraId="2D8E6F71" w14:textId="77777777" w:rsidR="00C60DAE" w:rsidRDefault="00C60DAE" w:rsidP="00C60DAE">
      <w:pPr>
        <w:pStyle w:val="BodyText"/>
        <w:rPr>
          <w:rFonts w:eastAsia="Arial" w:cs="Arial"/>
        </w:rPr>
      </w:pPr>
      <w:r>
        <w:rPr>
          <w:rFonts w:eastAsia="Arial" w:cs="Arial"/>
        </w:rPr>
        <w:t xml:space="preserve">This analysis can also be extended to estimating the duration and severity of the risk event. This could provide an indication of how </w:t>
      </w:r>
      <w:r w:rsidRPr="00B11B77">
        <w:rPr>
          <w:rFonts w:eastAsia="Arial" w:cs="Arial"/>
        </w:rPr>
        <w:t>large a risk must be, and how long</w:t>
      </w:r>
      <w:r>
        <w:rPr>
          <w:rFonts w:eastAsia="Arial" w:cs="Arial"/>
        </w:rPr>
        <w:t xml:space="preserve"> the disruption might need to be, to build confidence in the grounds for one policy measure relative to another.</w:t>
      </w:r>
    </w:p>
    <w:p w14:paraId="4C561AB1" w14:textId="66F0D9D0" w:rsidR="00C60DAE" w:rsidRDefault="00C60DAE" w:rsidP="00C60DAE">
      <w:pPr>
        <w:pStyle w:val="BodyText"/>
        <w:rPr>
          <w:rFonts w:eastAsia="Arial" w:cs="Arial"/>
        </w:rPr>
      </w:pPr>
      <w:r>
        <w:rPr>
          <w:rFonts w:eastAsia="Arial" w:cs="Arial"/>
        </w:rPr>
        <w:t>T</w:t>
      </w:r>
      <w:r w:rsidRPr="67A82B0B">
        <w:rPr>
          <w:rFonts w:eastAsia="Arial" w:cs="Arial"/>
        </w:rPr>
        <w:t>he dynamic nature of the global economy</w:t>
      </w:r>
      <w:r>
        <w:rPr>
          <w:rFonts w:eastAsia="Arial" w:cs="Arial"/>
        </w:rPr>
        <w:t xml:space="preserve"> means that such assessments should be reviewed periodically. I</w:t>
      </w:r>
      <w:r w:rsidRPr="67A82B0B">
        <w:rPr>
          <w:rFonts w:eastAsia="Arial" w:cs="Arial"/>
        </w:rPr>
        <w:t xml:space="preserve">t </w:t>
      </w:r>
      <w:r w:rsidR="00100BD3">
        <w:rPr>
          <w:rFonts w:eastAsia="Arial" w:cs="Arial"/>
        </w:rPr>
        <w:t>is likely</w:t>
      </w:r>
      <w:r w:rsidRPr="67A82B0B">
        <w:rPr>
          <w:rFonts w:eastAsia="Arial" w:cs="Arial"/>
        </w:rPr>
        <w:t xml:space="preserve"> that supply chain vulnerabilities </w:t>
      </w:r>
      <w:r w:rsidR="008A09DF">
        <w:rPr>
          <w:rFonts w:eastAsia="Arial" w:cs="Arial"/>
        </w:rPr>
        <w:t>will</w:t>
      </w:r>
      <w:r w:rsidRPr="67A82B0B">
        <w:rPr>
          <w:rFonts w:eastAsia="Arial" w:cs="Arial"/>
        </w:rPr>
        <w:t xml:space="preserve"> </w:t>
      </w:r>
      <w:r w:rsidR="00203E7B">
        <w:rPr>
          <w:rFonts w:eastAsia="Arial" w:cs="Arial"/>
        </w:rPr>
        <w:t>evolve</w:t>
      </w:r>
      <w:r w:rsidRPr="67A82B0B">
        <w:rPr>
          <w:rFonts w:eastAsia="Arial" w:cs="Arial"/>
        </w:rPr>
        <w:t xml:space="preserve"> over time</w:t>
      </w:r>
      <w:r w:rsidR="008A09DF">
        <w:rPr>
          <w:rFonts w:eastAsia="Arial" w:cs="Arial"/>
        </w:rPr>
        <w:t xml:space="preserve"> </w:t>
      </w:r>
      <w:r w:rsidR="00203E7B">
        <w:rPr>
          <w:rFonts w:eastAsia="Arial" w:cs="Arial"/>
        </w:rPr>
        <w:t>alongside</w:t>
      </w:r>
      <w:r w:rsidR="008A09DF">
        <w:rPr>
          <w:rFonts w:eastAsia="Arial" w:cs="Arial"/>
        </w:rPr>
        <w:t xml:space="preserve"> </w:t>
      </w:r>
      <w:r w:rsidR="008A1716">
        <w:rPr>
          <w:rFonts w:eastAsia="Arial" w:cs="Arial"/>
        </w:rPr>
        <w:t>the structure of economies</w:t>
      </w:r>
      <w:r w:rsidRPr="67A82B0B">
        <w:rPr>
          <w:rFonts w:eastAsia="Arial" w:cs="Arial"/>
        </w:rPr>
        <w:t xml:space="preserve">, or that the efficacy of measures to manage ongoing supply chain vulnerabilities </w:t>
      </w:r>
      <w:r>
        <w:rPr>
          <w:rFonts w:eastAsia="Arial" w:cs="Arial"/>
        </w:rPr>
        <w:t xml:space="preserve">change, or that the costs incurred </w:t>
      </w:r>
      <w:proofErr w:type="gramStart"/>
      <w:r>
        <w:rPr>
          <w:rFonts w:eastAsia="Arial" w:cs="Arial"/>
        </w:rPr>
        <w:t>as a result of</w:t>
      </w:r>
      <w:proofErr w:type="gramEnd"/>
      <w:r>
        <w:rPr>
          <w:rFonts w:eastAsia="Arial" w:cs="Arial"/>
        </w:rPr>
        <w:t xml:space="preserve"> the shock are not the same as predicted. G</w:t>
      </w:r>
      <w:r w:rsidRPr="67A82B0B">
        <w:rPr>
          <w:rFonts w:eastAsia="Arial" w:cs="Arial"/>
        </w:rPr>
        <w:t>overnments should includ</w:t>
      </w:r>
      <w:r>
        <w:rPr>
          <w:rFonts w:eastAsia="Arial" w:cs="Arial"/>
        </w:rPr>
        <w:t>e</w:t>
      </w:r>
      <w:r w:rsidRPr="67A82B0B">
        <w:rPr>
          <w:rFonts w:eastAsia="Arial" w:cs="Arial"/>
        </w:rPr>
        <w:t xml:space="preserve"> exit ramps in the initial design of these measures</w:t>
      </w:r>
      <w:r>
        <w:rPr>
          <w:rFonts w:eastAsia="Arial" w:cs="Arial"/>
        </w:rPr>
        <w:t>, to be triggered if review determines they are not achieving their objectives in a cost</w:t>
      </w:r>
      <w:r>
        <w:rPr>
          <w:rFonts w:eastAsia="Arial" w:cs="Arial"/>
        </w:rPr>
        <w:noBreakHyphen/>
        <w:t>effective way</w:t>
      </w:r>
      <w:r w:rsidRPr="67A82B0B">
        <w:rPr>
          <w:rFonts w:eastAsia="Arial" w:cs="Arial"/>
        </w:rPr>
        <w:t>.</w:t>
      </w:r>
    </w:p>
    <w:p w14:paraId="1E4ACD92" w14:textId="1DFF9B00" w:rsidR="00C60DAE" w:rsidRDefault="00C60DAE" w:rsidP="00C60DAE">
      <w:pPr>
        <w:pStyle w:val="BodyText"/>
      </w:pPr>
      <w:r w:rsidRPr="67A82B0B">
        <w:t>These considerations are set out in the following decision tree</w:t>
      </w:r>
      <w:r>
        <w:t xml:space="preserve"> 2A (</w:t>
      </w:r>
      <w:r w:rsidR="00BE1A5E">
        <w:t>figure</w:t>
      </w:r>
      <w:r w:rsidR="00D25956">
        <w:t> </w:t>
      </w:r>
      <w:r w:rsidR="00BE1A5E">
        <w:t>2.2</w:t>
      </w:r>
      <w:r>
        <w:t>)</w:t>
      </w:r>
      <w:r w:rsidRPr="67A82B0B">
        <w:t xml:space="preserve">, which is designed to help policy makers identify </w:t>
      </w:r>
      <w:r>
        <w:t xml:space="preserve">those policy </w:t>
      </w:r>
      <w:r w:rsidRPr="67A82B0B">
        <w:t>options that might have a greater chance of representing compelling value for money for the Australian community.</w:t>
      </w:r>
      <w:r w:rsidRPr="00101085">
        <w:t xml:space="preserve"> </w:t>
      </w:r>
    </w:p>
    <w:p w14:paraId="5034F86A" w14:textId="49352174" w:rsidR="001969BC" w:rsidRPr="00146382" w:rsidRDefault="001969BC" w:rsidP="001969BC">
      <w:pPr>
        <w:pStyle w:val="FigureTableHeading"/>
      </w:pPr>
      <w:bookmarkStart w:id="77" w:name="_Ref198630418"/>
      <w:bookmarkStart w:id="78" w:name="_Ref195104011"/>
      <w:r>
        <w:lastRenderedPageBreak/>
        <w:t>Figure</w:t>
      </w:r>
      <w:r w:rsidR="00410C80">
        <w:t> </w:t>
      </w:r>
      <w:r w:rsidR="00C223E9">
        <w:fldChar w:fldCharType="begin"/>
      </w:r>
      <w:r w:rsidR="00C223E9">
        <w:instrText xml:space="preserve"> STYLEREF 1 \s </w:instrText>
      </w:r>
      <w:r w:rsidR="00C223E9">
        <w:fldChar w:fldCharType="separate"/>
      </w:r>
      <w:r w:rsidR="00E57184">
        <w:rPr>
          <w:noProof/>
        </w:rPr>
        <w:t>2</w:t>
      </w:r>
      <w:r w:rsidR="00C223E9">
        <w:rPr>
          <w:noProof/>
        </w:rPr>
        <w:fldChar w:fldCharType="end"/>
      </w:r>
      <w:r w:rsidR="008B1E25">
        <w:t>.</w:t>
      </w:r>
      <w:r w:rsidR="00C223E9">
        <w:fldChar w:fldCharType="begin"/>
      </w:r>
      <w:r w:rsidR="00C223E9">
        <w:instrText xml:space="preserve"> SEQ Figure \* ARABIC \s 1 </w:instrText>
      </w:r>
      <w:r w:rsidR="00C223E9">
        <w:fldChar w:fldCharType="separate"/>
      </w:r>
      <w:r w:rsidR="00E57184">
        <w:rPr>
          <w:noProof/>
        </w:rPr>
        <w:t>2</w:t>
      </w:r>
      <w:r w:rsidR="00C223E9">
        <w:rPr>
          <w:noProof/>
        </w:rPr>
        <w:fldChar w:fldCharType="end"/>
      </w:r>
      <w:bookmarkEnd w:id="77"/>
      <w:bookmarkEnd w:id="78"/>
      <w:r>
        <w:rPr>
          <w:noProof/>
        </w:rPr>
        <w:t xml:space="preserve"> </w:t>
      </w:r>
      <w:r>
        <w:t xml:space="preserve">– </w:t>
      </w:r>
      <w:r w:rsidRPr="001679CF">
        <w:t>Decision tree 2</w:t>
      </w:r>
      <w:r>
        <w:t>A</w:t>
      </w:r>
      <w:r w:rsidRPr="001679CF">
        <w:t>: Questions to assess possible policy responses to supply chain risks identified through decision tree 1</w:t>
      </w:r>
    </w:p>
    <w:p w14:paraId="649F24D7" w14:textId="3DD142E1" w:rsidR="00427FB3" w:rsidRPr="00146382" w:rsidRDefault="00427FB3" w:rsidP="00BF0B21">
      <w:pPr>
        <w:pStyle w:val="BodyText"/>
      </w:pPr>
      <w:r w:rsidRPr="00427FB3">
        <w:rPr>
          <w:noProof/>
        </w:rPr>
        <w:drawing>
          <wp:inline distT="0" distB="0" distL="0" distR="0" wp14:anchorId="7E6102B5" wp14:editId="2CD335FB">
            <wp:extent cx="6120130" cy="7599045"/>
            <wp:effectExtent l="0" t="0" r="0" b="1905"/>
            <wp:docPr id="1004648440" name="Picture 1" descr="A list of questions for policy makers to consider and inform policy options in response to the first decision tree: &#10;&#10;Question 1: Can the good or service be stockpiled? &#10;&#10;Potential Policy Response: &quot;Stockpiling might be worth exploring further.&quot; &#10;&#10;Question 2: Is it possible to partner with a group of friendly countries that are well-placed to produce that good or service? &#10;&#10;Potential Policy Response: &quot;International 'club' approaches to managing risks might be worth exploring further.&quot; &#10;&#10;Question 3: Does Australia have the skills and inputs necessary to develop a domestic production capacity in the sector? &#10;&#10;Question 4: Was a cost-benefit analysis of the option undertaken, including assessment of implied frequency of disruption? &#10;&#10;Question 5: Did cost-benefit analysis include assessment of potential supply chain risks created by reallocation of resources driven by the measure? &#10;&#10;Question 6: Were the overall benefits of the measure estimated to be greater than its costs, at a reasonable implied frequency of disruption? &#10;&#10;Question 7: Will the policy be subject to periodic review, with pre-defined exit ramps to be triggered if not achieving pre-defined policy goals? &#10;&#10;Potential Case for Policy Intervention. &#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48440" name="Picture 1" descr="A list of questions for policy makers to consider and inform policy options in response to the first decision tree: &#10;&#10;Question 1: Can the good or service be stockpiled? &#10;&#10;Potential Policy Response: &quot;Stockpiling might be worth exploring further.&quot; &#10;&#10;Question 2: Is it possible to partner with a group of friendly countries that are well-placed to produce that good or service? &#10;&#10;Potential Policy Response: &quot;International 'club' approaches to managing risks might be worth exploring further.&quot; &#10;&#10;Question 3: Does Australia have the skills and inputs necessary to develop a domestic production capacity in the sector? &#10;&#10;Question 4: Was a cost-benefit analysis of the option undertaken, including assessment of implied frequency of disruption? &#10;&#10;Question 5: Did cost-benefit analysis include assessment of potential supply chain risks created by reallocation of resources driven by the measure? &#10;&#10;Question 6: Were the overall benefits of the measure estimated to be greater than its costs, at a reasonable implied frequency of disruption? &#10;&#10;Question 7: Will the policy be subject to periodic review, with pre-defined exit ramps to be triggered if not achieving pre-defined policy goals? &#10;&#10;Potential Case for Policy Intervention. &#10;&#10;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7599045"/>
                    </a:xfrm>
                    <a:prstGeom prst="rect">
                      <a:avLst/>
                    </a:prstGeom>
                    <a:noFill/>
                    <a:ln>
                      <a:noFill/>
                    </a:ln>
                  </pic:spPr>
                </pic:pic>
              </a:graphicData>
            </a:graphic>
          </wp:inline>
        </w:drawing>
      </w:r>
    </w:p>
    <w:p w14:paraId="58C30E8E" w14:textId="77777777" w:rsidR="00BF0B21" w:rsidRDefault="006B47D0" w:rsidP="006B47D0">
      <w:pPr>
        <w:pStyle w:val="Note"/>
      </w:pPr>
      <w:r>
        <w:t>Note: Implied frequency of disruption estimate assumes that domestic production not exported amidst global shortages</w:t>
      </w:r>
      <w:r w:rsidR="00391D07">
        <w:t>.</w:t>
      </w:r>
    </w:p>
    <w:p w14:paraId="1B2ADF4A" w14:textId="5B975C76" w:rsidR="001969BC" w:rsidRDefault="001969BC" w:rsidP="006B47D0">
      <w:pPr>
        <w:pStyle w:val="Note"/>
      </w:pPr>
      <w:r>
        <w:br w:type="page"/>
      </w:r>
    </w:p>
    <w:p w14:paraId="4DE12007" w14:textId="77777777" w:rsidR="00441B85" w:rsidRPr="00525DB2" w:rsidRDefault="00441B85" w:rsidP="006526F8">
      <w:pPr>
        <w:pStyle w:val="Heading2"/>
      </w:pPr>
      <w:bookmarkStart w:id="79" w:name="_Toc195696929"/>
      <w:bookmarkStart w:id="80" w:name="_Toc210942153"/>
      <w:bookmarkEnd w:id="62"/>
      <w:bookmarkEnd w:id="63"/>
      <w:r w:rsidRPr="00525DB2">
        <w:lastRenderedPageBreak/>
        <w:t>Case study: personal protective equipment for healthcare workers</w:t>
      </w:r>
      <w:bookmarkEnd w:id="79"/>
      <w:bookmarkEnd w:id="80"/>
    </w:p>
    <w:p w14:paraId="50969A2A" w14:textId="5E07F90B" w:rsidR="00441B85" w:rsidRPr="00507CE9" w:rsidRDefault="00441B85" w:rsidP="000251A5">
      <w:pPr>
        <w:pStyle w:val="BodyText"/>
      </w:pPr>
      <w:r w:rsidRPr="00004D18">
        <w:t>An illustrative case study, which provides a practical demonstration of how this process can be undertaken</w:t>
      </w:r>
      <w:r>
        <w:t xml:space="preserve"> for the first class of risk events</w:t>
      </w:r>
      <w:r w:rsidR="00AD4F92">
        <w:t>,</w:t>
      </w:r>
      <w:r w:rsidRPr="00004D18">
        <w:t xml:space="preserve"> is provided</w:t>
      </w:r>
      <w:r>
        <w:t xml:space="preserve"> below</w:t>
      </w:r>
      <w:r w:rsidRPr="00004D18">
        <w:t xml:space="preserve">. </w:t>
      </w:r>
    </w:p>
    <w:p w14:paraId="3CA50D22" w14:textId="2DED1C25" w:rsidR="00441B85" w:rsidRDefault="00441B85" w:rsidP="00441B85">
      <w:pPr>
        <w:pStyle w:val="BodyText"/>
      </w:pPr>
      <w:r>
        <w:t>Personal protective equipment (PPE) is widely used in healthcare settings to reduce the spread of infection. The COVID</w:t>
      </w:r>
      <w:r>
        <w:noBreakHyphen/>
        <w:t>19 pandemic presented a significant shock to global PPE supply. Demand rose substantially, and existing supply chains were unable to meet it in the short term, in part due to export restrictions in manufacturing countries. PPE prices rose and shortfalls were widespread. In response, governments intervened to secure PPE.</w:t>
      </w:r>
      <w:r w:rsidRPr="00B262DF">
        <w:rPr>
          <w:rStyle w:val="FootnoteReference"/>
        </w:rPr>
        <w:footnoteReference w:id="7"/>
      </w:r>
    </w:p>
    <w:p w14:paraId="22F59CF5" w14:textId="25FCC5D6" w:rsidR="00441B85" w:rsidRPr="00D7057D" w:rsidRDefault="00441B85" w:rsidP="00441B85">
      <w:pPr>
        <w:pStyle w:val="BodyText"/>
      </w:pPr>
      <w:r w:rsidRPr="00D7057D">
        <w:t xml:space="preserve">Part of this response included releasing existing stockpiles, such as Australia’s National Medical Stockpile, which contains PPE </w:t>
      </w:r>
      <w:r>
        <w:t xml:space="preserve">for distribution </w:t>
      </w:r>
      <w:r w:rsidRPr="00D7057D">
        <w:t xml:space="preserve">to essential health workers </w:t>
      </w:r>
      <w:r>
        <w:t>during a</w:t>
      </w:r>
      <w:r w:rsidRPr="00D7057D">
        <w:t xml:space="preserve"> pandemic</w:t>
      </w:r>
      <w:r>
        <w:t xml:space="preserve"> </w:t>
      </w:r>
      <w:r>
        <w:fldChar w:fldCharType="begin"/>
      </w:r>
      <w:r w:rsidR="00ED6B7B">
        <w:instrText xml:space="preserve"> ADDIN ZOTERO_ITEM CSL_CITATION {"citationID":"jhW4TjJC","properties":{"formattedCitation":"(ANAO\\uc0\\u160{}2021, pp.\\uc0\\u160{}14\\uc0\\u8211{}15)","plainCitation":"(ANAO 2021, pp. 14–15)","noteIndex":0},"citationItems":[{"id":2573,"uris":["http://zotero.org/groups/5560192/items/8ZXAADJN"],"itemData":{"id":2573,"type":"report","genre":"Auditor-General Report","number":"39 of 2020-21","title":"COVID-19 Procurements and Deployments of the National Medical Stockpile","URL":"https://www.anao.gov.au/work/performance-audit/covid-19-procurements-and-deployments-the-national-medical-stockpile","author":[{"family":"Australian National Audit Office","given":""}],"translator":[{"family":"ANAO","given":""}],"accessed":{"date-parts":[["2024",8,5]]},"issued":{"date-parts":[["2021",5,27]]}},"locator":"14-15","label":"page"}],"schema":"https://github.com/citation-style-language/schema/raw/master/csl-citation.json"} </w:instrText>
      </w:r>
      <w:r>
        <w:fldChar w:fldCharType="separate"/>
      </w:r>
      <w:r w:rsidRPr="000F1EC2">
        <w:rPr>
          <w:rFonts w:cs="Arial"/>
        </w:rPr>
        <w:t>(ANAO 2021, pp. 14–15)</w:t>
      </w:r>
      <w:r>
        <w:fldChar w:fldCharType="end"/>
      </w:r>
      <w:r w:rsidRPr="00D7057D">
        <w:t xml:space="preserve">. However, national stockpiles in many countries, including Australia, had limited stocks of PPE to deal with the combination of high demand and </w:t>
      </w:r>
      <w:r>
        <w:t xml:space="preserve">long </w:t>
      </w:r>
      <w:r w:rsidRPr="00D7057D">
        <w:t>duration of disruption caused by the COVID</w:t>
      </w:r>
      <w:r>
        <w:noBreakHyphen/>
      </w:r>
      <w:r w:rsidRPr="00D7057D">
        <w:t xml:space="preserve">19 pandemic </w:t>
      </w:r>
      <w:r w:rsidRPr="00D7057D">
        <w:fldChar w:fldCharType="begin"/>
      </w:r>
      <w:r w:rsidR="00ED6B7B">
        <w:instrText xml:space="preserve"> ADDIN ZOTERO_ITEM CSL_CITATION {"citationID":"8fid12qr","properties":{"formattedCitation":"(PC\\uc0\\u160{}2021, pp.\\uc0\\u160{}124\\uc0\\u8211{}126)","plainCitation":"(PC 2021, pp. 124–126)","noteIndex":0},"citationItems":[{"id":946,"uris":["http://zotero.org/groups/164861/items/FIEXKB8K"],"itemData":{"id":946,"type":"report","genre":"Study Report","title":"Vulnerable Supply Chains","author":[{"family":"Productivity Commission","given":""}],"translator":[{"family":"PC","given":""}],"issued":{"date-parts":[["2021"]]}},"locator":"124-126","label":"page"}],"schema":"https://github.com/citation-style-language/schema/raw/master/csl-citation.json"} </w:instrText>
      </w:r>
      <w:r w:rsidRPr="00D7057D">
        <w:fldChar w:fldCharType="separate"/>
      </w:r>
      <w:r w:rsidRPr="006A5951">
        <w:rPr>
          <w:rFonts w:ascii="Arial" w:hAnsi="Arial" w:cs="Arial"/>
        </w:rPr>
        <w:t>(PC 2021, pp. 124–126)</w:t>
      </w:r>
      <w:r w:rsidRPr="00D7057D">
        <w:fldChar w:fldCharType="end"/>
      </w:r>
      <w:r w:rsidRPr="00D7057D">
        <w:t xml:space="preserve">. </w:t>
      </w:r>
    </w:p>
    <w:p w14:paraId="4393210B" w14:textId="77777777" w:rsidR="00441B85" w:rsidRPr="00CB552A" w:rsidRDefault="00441B85" w:rsidP="00441B85">
      <w:pPr>
        <w:pStyle w:val="BodyText"/>
      </w:pPr>
      <w:r w:rsidRPr="00CB552A">
        <w:t xml:space="preserve">This example uses the </w:t>
      </w:r>
      <w:r>
        <w:t>PC’s</w:t>
      </w:r>
      <w:r w:rsidRPr="00CB552A">
        <w:t xml:space="preserve"> framework to examine Australian PPE </w:t>
      </w:r>
      <w:r>
        <w:t>stockpiling</w:t>
      </w:r>
      <w:r w:rsidRPr="00CB552A">
        <w:t xml:space="preserve"> for </w:t>
      </w:r>
      <w:r>
        <w:t>hospital workers during</w:t>
      </w:r>
      <w:r w:rsidRPr="00CB552A">
        <w:t xml:space="preserve"> pandemics. It is purely illustrative: while based on data, we have made assumptions that simplify real</w:t>
      </w:r>
      <w:r>
        <w:noBreakHyphen/>
      </w:r>
      <w:r w:rsidRPr="00CB552A">
        <w:t xml:space="preserve">world complexities. The existing </w:t>
      </w:r>
      <w:r>
        <w:t>National Medical</w:t>
      </w:r>
      <w:r w:rsidRPr="00CB552A">
        <w:t xml:space="preserve"> </w:t>
      </w:r>
      <w:r>
        <w:t>S</w:t>
      </w:r>
      <w:r w:rsidRPr="00CB552A">
        <w:t>tockpile is ignored</w:t>
      </w:r>
      <w:r>
        <w:t xml:space="preserve"> for simplicity</w:t>
      </w:r>
      <w:r w:rsidRPr="00CB552A">
        <w:t>. This example is meant to highlight relevant considerations, not to assess current policies or make policy recommendations.</w:t>
      </w:r>
    </w:p>
    <w:p w14:paraId="7E678C1E" w14:textId="77777777" w:rsidR="00441B85" w:rsidRDefault="00441B85" w:rsidP="006526F8">
      <w:pPr>
        <w:pStyle w:val="Heading3-noTOC"/>
      </w:pPr>
      <w:r>
        <w:t>Step one: assessing the grounds for intervention</w:t>
      </w:r>
    </w:p>
    <w:p w14:paraId="65775508" w14:textId="77777777" w:rsidR="00441B85" w:rsidRPr="00EF579C" w:rsidRDefault="00441B85" w:rsidP="001C0893">
      <w:pPr>
        <w:pStyle w:val="ListNumber"/>
        <w:numPr>
          <w:ilvl w:val="0"/>
          <w:numId w:val="19"/>
        </w:numPr>
        <w:rPr>
          <w:b/>
          <w:bCs/>
        </w:rPr>
      </w:pPr>
      <w:r w:rsidRPr="00EF579C">
        <w:rPr>
          <w:b/>
          <w:bCs/>
        </w:rPr>
        <w:t>Would a supply disruption to PPE have serious welfare impacts on Australia?</w:t>
      </w:r>
    </w:p>
    <w:p w14:paraId="2E05F0BE" w14:textId="77777777" w:rsidR="00441B85" w:rsidRDefault="00441B85" w:rsidP="00441B85">
      <w:pPr>
        <w:pStyle w:val="BodyText"/>
      </w:pPr>
      <w:r>
        <w:t>Yes. The COVID</w:t>
      </w:r>
      <w:r>
        <w:noBreakHyphen/>
        <w:t xml:space="preserve">19 pandemic demonstrated the importance of having access to medical PPE supplies. As a healthcare product that is effective in preventing the spread of infection, PPE helps protect individual and community health. </w:t>
      </w:r>
    </w:p>
    <w:p w14:paraId="34F184E3" w14:textId="77777777" w:rsidR="00441B85" w:rsidRPr="00312DE6" w:rsidRDefault="00441B85" w:rsidP="00441B85">
      <w:pPr>
        <w:pStyle w:val="ListNumber"/>
        <w:keepNext/>
        <w:numPr>
          <w:ilvl w:val="0"/>
          <w:numId w:val="14"/>
        </w:numPr>
        <w:tabs>
          <w:tab w:val="num" w:pos="360"/>
        </w:tabs>
        <w:ind w:left="357" w:hanging="357"/>
        <w:rPr>
          <w:b/>
        </w:rPr>
      </w:pPr>
      <w:r w:rsidRPr="00312DE6">
        <w:rPr>
          <w:b/>
        </w:rPr>
        <w:t>Are there any substitute goods that would be readily available in the event of a disruption?</w:t>
      </w:r>
    </w:p>
    <w:p w14:paraId="3083C677" w14:textId="3FD5294E" w:rsidR="00441B85" w:rsidRDefault="00441B85" w:rsidP="00441B85">
      <w:pPr>
        <w:pStyle w:val="BodyText"/>
      </w:pPr>
      <w:r>
        <w:t>No. There are few</w:t>
      </w:r>
      <w:r>
        <w:noBreakHyphen/>
        <w:t>to</w:t>
      </w:r>
      <w:r>
        <w:noBreakHyphen/>
        <w:t>no substitutes for medical PPE. The early stages of the COVID</w:t>
      </w:r>
      <w:r>
        <w:noBreakHyphen/>
        <w:t xml:space="preserve">19 pandemic demonstrated the very </w:t>
      </w:r>
      <w:proofErr w:type="gramStart"/>
      <w:r>
        <w:t>low price</w:t>
      </w:r>
      <w:proofErr w:type="gramEnd"/>
      <w:r>
        <w:t xml:space="preserve"> elasticity of demand for PPE. Despite up to six</w:t>
      </w:r>
      <w:r>
        <w:noBreakHyphen/>
        <w:t xml:space="preserve">fold price increases, demand for PPE continued to rise </w:t>
      </w:r>
      <w:r>
        <w:fldChar w:fldCharType="begin"/>
      </w:r>
      <w:r w:rsidR="00ED6B7B">
        <w:instrText xml:space="preserve"> ADDIN ZOTERO_ITEM CSL_CITATION {"citationID":"ahfq76f5","properties":{"formattedCitation":"(The Global Fund\\uc0\\u160{}2021, p.\\uc0\\u160{}14)","plainCitation":"(The Global Fund 2021, p. 14)","noteIndex":0},"citationItems":[{"id":2599,"uris":["http://zotero.org/groups/5560192/items/VGZ5SAC7"],"itemData":{"id":2599,"type":"report","title":"Transforming the Medical PPE Ecosystem","URL":"https://www.theglobalfund.org/media/11243/publication_ppe-synthesis_paper_en.pdf","author":[{"literal":"The Global Fund"}],"issued":{"date-parts":[["2021",8]]}},"locator":"14","label":"page"}],"schema":"https://github.com/citation-style-language/schema/raw/master/csl-citation.json"} </w:instrText>
      </w:r>
      <w:r>
        <w:fldChar w:fldCharType="separate"/>
      </w:r>
      <w:r w:rsidRPr="0031296C">
        <w:rPr>
          <w:rFonts w:ascii="Arial" w:hAnsi="Arial" w:cs="Arial"/>
        </w:rPr>
        <w:t>(The Global Fund 2021, p. 14)</w:t>
      </w:r>
      <w:r>
        <w:fldChar w:fldCharType="end"/>
      </w:r>
      <w:r>
        <w:t>, and insufficient supply meant that PPE was rationed</w:t>
      </w:r>
      <w:r w:rsidR="003032B5">
        <w:t>,</w:t>
      </w:r>
      <w:r>
        <w:t xml:space="preserve"> including in Australia </w:t>
      </w:r>
      <w:r>
        <w:rPr>
          <w:rFonts w:ascii="Arial" w:eastAsia="Arial" w:hAnsi="Arial" w:cs="Times New Roman"/>
        </w:rPr>
        <w:fldChar w:fldCharType="begin"/>
      </w:r>
      <w:r w:rsidR="00ED6B7B">
        <w:rPr>
          <w:rFonts w:ascii="Arial" w:eastAsia="Arial" w:hAnsi="Arial" w:cs="Times New Roman"/>
        </w:rPr>
        <w:instrText xml:space="preserve"> ADDIN ZOTERO_ITEM CSL_CITATION {"citationID":"Zc4GiBFZ","properties":{"formattedCitation":"(Ayton et al.\\uc0\\u160{}2022, p.\\uc0\\u160{}2)","plainCitation":"(Ayton et al. 2022, p. 2)","noteIndex":0},"citationItems":[{"id":2648,"uris":["http://zotero.org/groups/5560192/items/UTX7YG6I"],"itemData":{"id":2648,"type":"article-journal","container-title":"PLOS ONE","DOI":"10.1371","issue":"6","title":"Experiences of personal protective equipment by Australian healthcare workers during the COVID-19 pandemic, 2020: A cross-sectional study","volume":"17","author":[{"family":"Ayton","given":"Darshini"},{"family":"Soh","given":"Sze-Ee"},{"family":"Berkovic","given":"Danielle"},{"family":"Parker","given":"Catriona"},{"family":"Yu","given":"Kathryn"},{"family":"Honeyman","given":"Damian"},{"family":"Manocha","given":"Rameesh"},{"family":"MacIntyre","given":"Raina"},{"family":"Ananda-Rajah","given":"Michelle"}],"issued":{"date-parts":[["2022",6,7]]}},"locator":"2","label":"page"}],"schema":"https://github.com/citation-style-language/schema/raw/master/csl-citation.json"} </w:instrText>
      </w:r>
      <w:r>
        <w:rPr>
          <w:rFonts w:ascii="Arial" w:eastAsia="Arial" w:hAnsi="Arial" w:cs="Times New Roman"/>
        </w:rPr>
        <w:fldChar w:fldCharType="separate"/>
      </w:r>
      <w:r w:rsidRPr="00807E06">
        <w:rPr>
          <w:rFonts w:ascii="Arial" w:hAnsi="Arial" w:cs="Arial"/>
        </w:rPr>
        <w:t>(Ayton et al. 2022, p. 2)</w:t>
      </w:r>
      <w:r>
        <w:rPr>
          <w:rFonts w:ascii="Arial" w:eastAsia="Arial" w:hAnsi="Arial" w:cs="Times New Roman"/>
        </w:rPr>
        <w:fldChar w:fldCharType="end"/>
      </w:r>
      <w:r>
        <w:rPr>
          <w:rFonts w:ascii="Arial" w:eastAsia="Arial" w:hAnsi="Arial" w:cs="Times New Roman"/>
        </w:rPr>
        <w:t>.</w:t>
      </w:r>
    </w:p>
    <w:p w14:paraId="4A61A071" w14:textId="77777777" w:rsidR="00441B85" w:rsidRDefault="00441B85" w:rsidP="00441B85">
      <w:pPr>
        <w:pStyle w:val="ListNumber"/>
        <w:numPr>
          <w:ilvl w:val="0"/>
          <w:numId w:val="14"/>
        </w:numPr>
        <w:tabs>
          <w:tab w:val="num" w:pos="360"/>
        </w:tabs>
        <w:ind w:left="360" w:hanging="360"/>
        <w:rPr>
          <w:b/>
          <w:bCs/>
        </w:rPr>
      </w:pPr>
      <w:r w:rsidRPr="001D57D3">
        <w:rPr>
          <w:b/>
          <w:bCs/>
        </w:rPr>
        <w:t>Is there only a small number of producers of medical PPE?</w:t>
      </w:r>
    </w:p>
    <w:p w14:paraId="1E54E765" w14:textId="7020C9F9" w:rsidR="00441B85" w:rsidRPr="001D57D3" w:rsidRDefault="00441B85" w:rsidP="00441B85">
      <w:pPr>
        <w:pStyle w:val="BodyText"/>
      </w:pPr>
      <w:r>
        <w:t xml:space="preserve">No. There are </w:t>
      </w:r>
      <w:proofErr w:type="gramStart"/>
      <w:r>
        <w:t>a large number of</w:t>
      </w:r>
      <w:proofErr w:type="gramEnd"/>
      <w:r>
        <w:t xml:space="preserve"> companies that produce medical PPE. </w:t>
      </w:r>
    </w:p>
    <w:p w14:paraId="3A3DC716" w14:textId="77777777" w:rsidR="00441B85" w:rsidRPr="001D57D3" w:rsidRDefault="00441B85" w:rsidP="00441B85">
      <w:pPr>
        <w:pStyle w:val="ListNumber"/>
        <w:keepNext/>
        <w:numPr>
          <w:ilvl w:val="0"/>
          <w:numId w:val="14"/>
        </w:numPr>
        <w:tabs>
          <w:tab w:val="num" w:pos="360"/>
        </w:tabs>
        <w:ind w:left="360" w:hanging="360"/>
        <w:rPr>
          <w:b/>
          <w:bCs/>
        </w:rPr>
      </w:pPr>
      <w:r w:rsidRPr="001D57D3">
        <w:rPr>
          <w:b/>
          <w:bCs/>
        </w:rPr>
        <w:t>Are the producers concentrated in a single country?</w:t>
      </w:r>
    </w:p>
    <w:p w14:paraId="6F0B7613" w14:textId="4EBB2B1B" w:rsidR="00441B85" w:rsidRDefault="00441B85" w:rsidP="00441B85">
      <w:pPr>
        <w:pStyle w:val="BodyText"/>
      </w:pPr>
      <w:r>
        <w:t xml:space="preserve">Some sources of PPE are concentrated, but the Australian Bureau of Statistics (ABS) data available is not sufficiently granular to assess for all products. According to ABS import data, China accounted for </w:t>
      </w:r>
      <w:r w:rsidDel="00F609F3">
        <w:t>5</w:t>
      </w:r>
      <w:r>
        <w:t>7% of the value of Australia’s PPE imports in FY22</w:t>
      </w:r>
      <w:r>
        <w:noBreakHyphen/>
        <w:t>23. The</w:t>
      </w:r>
      <w:r w:rsidDel="00B3134B">
        <w:t xml:space="preserve"> </w:t>
      </w:r>
      <w:r>
        <w:t>United States supplied 11%, and other suppliers include Taiwan, Germany,</w:t>
      </w:r>
      <w:r w:rsidDel="00F21A5C">
        <w:t xml:space="preserve"> </w:t>
      </w:r>
      <w:r>
        <w:t xml:space="preserve">Singapore and Vietnam </w:t>
      </w:r>
      <w:r>
        <w:fldChar w:fldCharType="begin"/>
      </w:r>
      <w:r w:rsidR="00ED6B7B">
        <w:instrText xml:space="preserve"> ADDIN ZOTERO_ITEM CSL_CITATION {"citationID":"nx2qObdb","properties":{"formattedCitation":"(ABS\\uc0\\u160{}2020, 2024)","plainCitation":"(ABS 2020, 2024)","noteIndex":0},"citationItems":[{"id":2584,"uris":["http://zotero.org/groups/5560192/items/JV4FJUHI"],"itemData":{"id":2584,"type":"webpage","language":"en","title":"Imports of Personal Protective Equipment (PPE)","URL":"https://www.abs.gov.au/articles/imports-personal-protective-equipment-ppe","author":[{"literal":"Australian Bureau of Statistics"}],"translator":[{"literal":"ABS"}],"accessed":{"date-parts":[["2024",8,5]]},"issued":{"date-parts":[["2020",9,3]]}}},{"id":2741,"uris":["http://zotero.org/groups/5560192/items/RWU4E2KJ"],"itemData":{"id":2741,"type":"report","event-place":"Canberra","genre":"Data release","publisher":"Australian Government","publisher-place":"Canberra","title":"5368.0 - International Trade in Goods and Services, March 2024","author":[{"family":"Australian Bureau of Statistics","given":""}],"translator":[{"family":"ABS","given":""}],"issued":{"date-parts":[["2024"]]}}}],"schema":"https://github.com/citation-style-language/schema/raw/master/csl-citation.json"} </w:instrText>
      </w:r>
      <w:r>
        <w:fldChar w:fldCharType="separate"/>
      </w:r>
      <w:r w:rsidR="00BF135A" w:rsidRPr="00BF135A">
        <w:rPr>
          <w:rFonts w:ascii="Arial" w:hAnsi="Arial" w:cs="Arial"/>
        </w:rPr>
        <w:t>(ABS 2020, 2024)</w:t>
      </w:r>
      <w:r>
        <w:fldChar w:fldCharType="end"/>
      </w:r>
      <w:r>
        <w:t>.</w:t>
      </w:r>
      <w:r w:rsidRPr="009E1673">
        <w:rPr>
          <w:rStyle w:val="FootnoteReference"/>
        </w:rPr>
        <w:footnoteReference w:id="8"/>
      </w:r>
      <w:r>
        <w:t xml:space="preserve"> The PC’s </w:t>
      </w:r>
      <w:r w:rsidRPr="00DB4F4A">
        <w:rPr>
          <w:i/>
        </w:rPr>
        <w:t xml:space="preserve">Vulnerable </w:t>
      </w:r>
      <w:r w:rsidR="009B0935" w:rsidRPr="00DB4F4A">
        <w:rPr>
          <w:i/>
          <w:iCs/>
        </w:rPr>
        <w:t>s</w:t>
      </w:r>
      <w:r w:rsidRPr="00DB4F4A">
        <w:rPr>
          <w:i/>
          <w:iCs/>
        </w:rPr>
        <w:t xml:space="preserve">upply </w:t>
      </w:r>
      <w:r w:rsidR="009B0935" w:rsidRPr="00DB4F4A">
        <w:rPr>
          <w:i/>
          <w:iCs/>
        </w:rPr>
        <w:t>c</w:t>
      </w:r>
      <w:r w:rsidRPr="00DB4F4A">
        <w:rPr>
          <w:i/>
          <w:iCs/>
        </w:rPr>
        <w:t>hains</w:t>
      </w:r>
      <w:r>
        <w:t xml:space="preserve"> </w:t>
      </w:r>
      <w:r>
        <w:lastRenderedPageBreak/>
        <w:t>report identified that at a more granular level, some (but not all) medical PPE product imports are highly concentrated with over 80% of those products sourced from a single country</w:t>
      </w:r>
      <w:r w:rsidR="00605D23">
        <w:t xml:space="preserve"> </w:t>
      </w:r>
      <w:r w:rsidR="00605D23">
        <w:fldChar w:fldCharType="begin"/>
      </w:r>
      <w:r w:rsidR="00ED6B7B">
        <w:instrText xml:space="preserve"> ADDIN ZOTERO_ITEM CSL_CITATION {"citationID":"LKcsAq9j","properties":{"formattedCitation":"(PC\\uc0\\u160{}2021, pp.\\uc0\\u160{}67, 169)","plainCitation":"(PC 2021, pp. 67, 169)","noteIndex":0},"citationItems":[{"id":946,"uris":["http://zotero.org/groups/164861/items/FIEXKB8K"],"itemData":{"id":946,"type":"report","genre":"Study Report","title":"Vulnerable Supply Chains","author":[{"family":"Productivity Commission","given":""}],"translator":[{"family":"PC","given":""}],"issued":{"date-parts":[["2021"]]}},"locator":"67, 169","label":"page"}],"schema":"https://github.com/citation-style-language/schema/raw/master/csl-citation.json"} </w:instrText>
      </w:r>
      <w:r w:rsidR="00605D23">
        <w:fldChar w:fldCharType="separate"/>
      </w:r>
      <w:r w:rsidR="00605D23" w:rsidRPr="00605D23">
        <w:rPr>
          <w:rFonts w:ascii="Arial" w:hAnsi="Arial" w:cs="Arial"/>
        </w:rPr>
        <w:t>(PC 2021, pp. 67, 169)</w:t>
      </w:r>
      <w:r w:rsidR="00605D23">
        <w:fldChar w:fldCharType="end"/>
      </w:r>
      <w:r w:rsidR="00605D23">
        <w:t>.</w:t>
      </w:r>
    </w:p>
    <w:p w14:paraId="25BDA400" w14:textId="0AC24A22" w:rsidR="00441B85" w:rsidRPr="00905E71" w:rsidRDefault="002327DE" w:rsidP="00441B85">
      <w:pPr>
        <w:pStyle w:val="BodyText"/>
        <w:rPr>
          <w:spacing w:val="-2"/>
        </w:rPr>
      </w:pPr>
      <w:r w:rsidRPr="00905E71">
        <w:rPr>
          <w:spacing w:val="-2"/>
        </w:rPr>
        <w:t xml:space="preserve">While Australia may have been able to respond to a supply shock for some of these products, the experience of the COVID-19 pandemic indicates that </w:t>
      </w:r>
      <w:r w:rsidR="00441B85" w:rsidRPr="00905E71">
        <w:rPr>
          <w:spacing w:val="-2"/>
        </w:rPr>
        <w:t xml:space="preserve">a range of countries that produce PPE were unable to </w:t>
      </w:r>
      <w:r w:rsidR="001872BD" w:rsidRPr="00905E71">
        <w:rPr>
          <w:spacing w:val="-2"/>
        </w:rPr>
        <w:t>mitigate or fully meet</w:t>
      </w:r>
      <w:r w:rsidR="007256A4" w:rsidRPr="00905E71">
        <w:rPr>
          <w:spacing w:val="-2"/>
        </w:rPr>
        <w:t xml:space="preserve"> the</w:t>
      </w:r>
      <w:r w:rsidR="00441B85" w:rsidRPr="00905E71">
        <w:rPr>
          <w:spacing w:val="-2"/>
        </w:rPr>
        <w:t xml:space="preserve"> global demand shock</w:t>
      </w:r>
      <w:r w:rsidRPr="00905E71">
        <w:rPr>
          <w:spacing w:val="-2"/>
        </w:rPr>
        <w:t>, and therefore Australia</w:t>
      </w:r>
      <w:r w:rsidR="000A1958" w:rsidRPr="00905E71">
        <w:rPr>
          <w:spacing w:val="-2"/>
        </w:rPr>
        <w:t>’s supply of PPE</w:t>
      </w:r>
      <w:r w:rsidRPr="00905E71">
        <w:rPr>
          <w:spacing w:val="-2"/>
        </w:rPr>
        <w:t xml:space="preserve"> was vulnerable</w:t>
      </w:r>
      <w:r w:rsidR="00441B85" w:rsidRPr="00905E71">
        <w:rPr>
          <w:spacing w:val="-2"/>
        </w:rPr>
        <w:t>. Further investigation would be required to determine whether Australian supply or global supply remain vulnerable to global demand shocks</w:t>
      </w:r>
      <w:r w:rsidR="00F52118" w:rsidRPr="00905E71">
        <w:rPr>
          <w:spacing w:val="-2"/>
        </w:rPr>
        <w:t xml:space="preserve"> </w:t>
      </w:r>
      <w:r w:rsidR="005E3541" w:rsidRPr="00905E71">
        <w:rPr>
          <w:spacing w:val="-2"/>
        </w:rPr>
        <w:t>post-pandemic</w:t>
      </w:r>
      <w:r w:rsidR="00F52118" w:rsidRPr="00905E71">
        <w:rPr>
          <w:spacing w:val="-2"/>
        </w:rPr>
        <w:t xml:space="preserve"> – meaning the analysis proceeds with caution following this ‘check’</w:t>
      </w:r>
      <w:r w:rsidR="00441B85" w:rsidRPr="00905E71">
        <w:rPr>
          <w:spacing w:val="-2"/>
        </w:rPr>
        <w:t>.</w:t>
      </w:r>
    </w:p>
    <w:p w14:paraId="77495975" w14:textId="77777777" w:rsidR="00441B85" w:rsidRPr="00BD07C3" w:rsidRDefault="00441B85" w:rsidP="00441B85">
      <w:pPr>
        <w:pStyle w:val="ListNumber"/>
        <w:keepNext/>
        <w:numPr>
          <w:ilvl w:val="0"/>
          <w:numId w:val="14"/>
        </w:numPr>
        <w:tabs>
          <w:tab w:val="num" w:pos="360"/>
        </w:tabs>
        <w:ind w:left="360" w:hanging="360"/>
        <w:rPr>
          <w:b/>
          <w:bCs/>
        </w:rPr>
      </w:pPr>
      <w:r w:rsidRPr="00BD07C3">
        <w:rPr>
          <w:b/>
          <w:bCs/>
        </w:rPr>
        <w:t>Are other countries moving to materially diversify their supplies of medical PPE?</w:t>
      </w:r>
    </w:p>
    <w:p w14:paraId="53F9C5F4" w14:textId="5AF0A066" w:rsidR="00441B85" w:rsidRDefault="00441B85" w:rsidP="00441B85">
      <w:pPr>
        <w:pStyle w:val="BodyText"/>
      </w:pPr>
      <w:r>
        <w:t xml:space="preserve">Likely no. Supply diversity appears likely to return </w:t>
      </w:r>
      <w:r w:rsidR="003C3800">
        <w:t>to</w:t>
      </w:r>
      <w:r>
        <w:t xml:space="preserve"> pre</w:t>
      </w:r>
      <w:r>
        <w:noBreakHyphen/>
        <w:t>pandemic levels over the near future. During the COVID</w:t>
      </w:r>
      <w:r>
        <w:noBreakHyphen/>
        <w:t xml:space="preserve">19 pandemic, many governments (including Australia’s) intervened to support the domestic manufacture of medical PPE </w:t>
      </w:r>
      <w:r>
        <w:fldChar w:fldCharType="begin"/>
      </w:r>
      <w:r w:rsidR="00ED6B7B">
        <w:instrText xml:space="preserve"> ADDIN ZOTERO_ITEM CSL_CITATION {"citationID":"siQVnuGB","properties":{"formattedCitation":"(Andrews\\uc0\\u160{}2020; EOHSP\\uc0\\u160{}2020)","plainCitation":"(Andrews 2020; EOHSP 2020)","noteIndex":0},"citationItems":[{"id":2743,"uris":["http://zotero.org/groups/5560192/items/BMNIBVMD"],"itemData":{"id":2743,"type":"webpage","abstract":"The Morrison Government is strengthening Australia’s sovereign capability to produce essential medical supplies, with support for innovative companies to manufacture the materials needed to make Personal Protective Equipment (PPE).","language":"en","title":"Growing Australia's PPE capability","URL":"https://www.minister.industry.gov.au/ministers/karenandrews/media-releases/growing-australias-ppe-capability","author":[{"family":"Andrews","given":"Karen"}],"accessed":{"date-parts":[["2024",12,5]]},"issued":{"date-parts":[["2020",6,15]]}}},{"id":2590,"uris":["http://zotero.org/groups/5560192/items/I36LJNMA"],"itemData":{"id":2590,"type":"webpage","title":"What strategies are countries using to find new Personal Protective Equipment (PPE)?","URL":"https://eurohealthobservatory.who.int/monitors/hsrm/analyses/hsrm/what-strategies-are-countries-using-to-find-new-personal-protective-equipment-(ppe)","author":[{"literal":"European Observatory on Health Systems and Policies"}],"translator":[{"literal":"EOHSP"}],"accessed":{"date-parts":[["2024",2,8]]},"issued":{"date-parts":[["2020",4,20]]}}}],"schema":"https://github.com/citation-style-language/schema/raw/master/csl-citation.json"} </w:instrText>
      </w:r>
      <w:r>
        <w:fldChar w:fldCharType="separate"/>
      </w:r>
      <w:r w:rsidRPr="005F3F02">
        <w:t>(Andrews 2020; EOHSP 2020)</w:t>
      </w:r>
      <w:r>
        <w:fldChar w:fldCharType="end"/>
      </w:r>
      <w:r>
        <w:t>. However,</w:t>
      </w:r>
      <w:r w:rsidRPr="004A5E9F">
        <w:t xml:space="preserve"> </w:t>
      </w:r>
      <w:r>
        <w:t>governments internationally are now withdrawing support, which may return country</w:t>
      </w:r>
      <w:r>
        <w:noBreakHyphen/>
        <w:t>level production concentrations to pre</w:t>
      </w:r>
      <w:r>
        <w:noBreakHyphen/>
        <w:t xml:space="preserve">pandemic levels </w:t>
      </w:r>
      <w:r>
        <w:fldChar w:fldCharType="begin"/>
      </w:r>
      <w:r w:rsidR="00ED6B7B">
        <w:instrText xml:space="preserve"> ADDIN ZOTERO_ITEM CSL_CITATION {"citationID":"oSokd8cS","properties":{"formattedCitation":"(Advisory Board\\uc0\\u160{}2023; Nelson Star\\uc0\\u160{}2023)","plainCitation":"(Advisory Board 2023; Nelson Star 2023)","noteIndex":0},"citationItems":[{"id":2668,"uris":["http://zotero.org/groups/5560192/items/9FESJEG7"],"itemData":{"id":2668,"type":"webpage","abstract":"When the pandemic highlighted the United States' dependence on foreign manufacturers for personal protective equipment, the government encouraged U.S. production of these materials—an effort that most U.S. companies have since scaled back or shut down completely, according to an analysis by the Associated Press.","language":"en","title":"Why is 'made in America' PPE shutting down?","URL":"https://www.advisory.com/daily-briefing/2022/04/13/ppe-manufacturing","author":[{"literal":"Advisory Board"}],"accessed":{"date-parts":[["2024",11,4]]},"issued":{"date-parts":[["2023",3,18]]}}},{"id":2589,"uris":["http://zotero.org/groups/5560192/items/YEIGUKHH"],"itemData":{"id":2589,"type":"webpage","title":"Rise and fall of Canada’s domestic PPE market blamed on government policy","URL":"https://www.nelsonstar.com/business/rise-and-fall-of-canadas-domestic-ppe-market-blamed-on-government-policy-4911640","author":[{"literal":"Nelson Star"}],"accessed":{"date-parts":[["2024",8,2]]},"issued":{"date-parts":[["2023",3,16]]}}}],"schema":"https://github.com/citation-style-language/schema/raw/master/csl-citation.json"} </w:instrText>
      </w:r>
      <w:r>
        <w:fldChar w:fldCharType="separate"/>
      </w:r>
      <w:r w:rsidRPr="005F3F02">
        <w:t>(Advisory Board 2023; Nelson Star 2023)</w:t>
      </w:r>
      <w:r>
        <w:fldChar w:fldCharType="end"/>
      </w:r>
      <w:r>
        <w:t>.</w:t>
      </w:r>
    </w:p>
    <w:p w14:paraId="302C0393" w14:textId="77777777" w:rsidR="00441B85" w:rsidRPr="00D16BAD" w:rsidRDefault="00441B85" w:rsidP="00441B85">
      <w:pPr>
        <w:pStyle w:val="ListNumber"/>
        <w:numPr>
          <w:ilvl w:val="0"/>
          <w:numId w:val="14"/>
        </w:numPr>
        <w:tabs>
          <w:tab w:val="num" w:pos="360"/>
        </w:tabs>
        <w:ind w:left="360" w:hanging="360"/>
        <w:rPr>
          <w:b/>
          <w:bCs/>
        </w:rPr>
      </w:pPr>
      <w:r w:rsidRPr="00D16BAD">
        <w:rPr>
          <w:b/>
          <w:bCs/>
        </w:rPr>
        <w:t>Can companies manage this supply chain risk themselves?</w:t>
      </w:r>
    </w:p>
    <w:p w14:paraId="2391E164" w14:textId="07FFB93F" w:rsidR="00441B85" w:rsidRPr="00D7057D" w:rsidRDefault="00441B85" w:rsidP="00441B85">
      <w:pPr>
        <w:pStyle w:val="BodyText"/>
      </w:pPr>
      <w:r w:rsidRPr="00D7057D">
        <w:t>Uncertain. The COVID</w:t>
      </w:r>
      <w:r>
        <w:noBreakHyphen/>
      </w:r>
      <w:r w:rsidRPr="00D7057D">
        <w:t xml:space="preserve">19 pandemic disruptions indicated that private sector and public hospital inventories were insufficient to deal with the demand shock </w:t>
      </w:r>
      <w:r>
        <w:t xml:space="preserve">resulting in hospitals reusing or extending the use of PPE beyond the recommended timeframes in Australia </w:t>
      </w:r>
      <w:r w:rsidRPr="00D7057D">
        <w:fldChar w:fldCharType="begin"/>
      </w:r>
      <w:r w:rsidR="00ED6B7B">
        <w:instrText xml:space="preserve"> ADDIN ZOTERO_ITEM CSL_CITATION {"citationID":"mTLeSbVe","properties":{"formattedCitation":"(Ayton et al.\\uc0\\u160{}2022, p.\\uc0\\u160{}8)","plainCitation":"(Ayton et al. 2022, p. 8)","noteIndex":0},"citationItems":[{"id":2648,"uris":["http://zotero.org/groups/5560192/items/UTX7YG6I"],"itemData":{"id":2648,"type":"article-journal","container-title":"PLOS ONE","DOI":"10.1371","issue":"6","title":"Experiences of personal protective equipment by Australian healthcare workers during the COVID-19 pandemic, 2020: A cross-sectional study","volume":"17","author":[{"family":"Ayton","given":"Darshini"},{"family":"Soh","given":"Sze-Ee"},{"family":"Berkovic","given":"Danielle"},{"family":"Parker","given":"Catriona"},{"family":"Yu","given":"Kathryn"},{"family":"Honeyman","given":"Damian"},{"family":"Manocha","given":"Rameesh"},{"family":"MacIntyre","given":"Raina"},{"family":"Ananda-Rajah","given":"Michelle"}],"issued":{"date-parts":[["2022",6,7]]}},"locator":"8","label":"page"}],"schema":"https://github.com/citation-style-language/schema/raw/master/csl-citation.json"} </w:instrText>
      </w:r>
      <w:r w:rsidRPr="00D7057D">
        <w:fldChar w:fldCharType="separate"/>
      </w:r>
      <w:r w:rsidRPr="00BC2026">
        <w:rPr>
          <w:rFonts w:cs="Arial"/>
        </w:rPr>
        <w:t>(Ayton et al. 2022, p. 8)</w:t>
      </w:r>
      <w:r w:rsidRPr="00D7057D">
        <w:fldChar w:fldCharType="end"/>
      </w:r>
      <w:r w:rsidRPr="00D7057D">
        <w:t>. It is plausible that the public benefits of higher PPE inventories are greater than their corresponding private benefits to inventory holders. Further assessment would be required.</w:t>
      </w:r>
    </w:p>
    <w:p w14:paraId="2E807BA4" w14:textId="3535D2A0" w:rsidR="00441B85" w:rsidRDefault="00441B85" w:rsidP="006526F8">
      <w:pPr>
        <w:pStyle w:val="Heading3-noTOC"/>
      </w:pPr>
      <w:r>
        <w:t xml:space="preserve">Step </w:t>
      </w:r>
      <w:r w:rsidR="00525DB2">
        <w:t>two</w:t>
      </w:r>
      <w:r>
        <w:t>: assessing available interventions</w:t>
      </w:r>
    </w:p>
    <w:p w14:paraId="121412E8" w14:textId="77777777" w:rsidR="00441B85" w:rsidRPr="00A5432A" w:rsidRDefault="00441B85" w:rsidP="001C0893">
      <w:pPr>
        <w:pStyle w:val="ListNumber"/>
        <w:keepNext/>
        <w:numPr>
          <w:ilvl w:val="0"/>
          <w:numId w:val="18"/>
        </w:numPr>
        <w:rPr>
          <w:b/>
          <w:bCs/>
        </w:rPr>
      </w:pPr>
      <w:r w:rsidRPr="00A5432A">
        <w:rPr>
          <w:b/>
          <w:bCs/>
        </w:rPr>
        <w:t>Can medical PPE be stockpiled?</w:t>
      </w:r>
    </w:p>
    <w:p w14:paraId="2725F6F8" w14:textId="5515FB26" w:rsidR="00441B85" w:rsidRPr="005F3F02" w:rsidRDefault="00441B85" w:rsidP="00441B85">
      <w:pPr>
        <w:rPr>
          <w:rStyle w:val="BodyTextChar"/>
        </w:rPr>
      </w:pPr>
      <w:r w:rsidRPr="005F3F02">
        <w:rPr>
          <w:rStyle w:val="BodyTextChar"/>
        </w:rPr>
        <w:t>Yes. PPE has many characteristics that make it suitable for stockpiling</w:t>
      </w:r>
      <w:r>
        <w:rPr>
          <w:rStyle w:val="BodyTextChar"/>
        </w:rPr>
        <w:t xml:space="preserve"> (appendix</w:t>
      </w:r>
      <w:r w:rsidR="00D25956">
        <w:rPr>
          <w:rStyle w:val="BodyTextChar"/>
        </w:rPr>
        <w:t> </w:t>
      </w:r>
      <w:r>
        <w:rPr>
          <w:rStyle w:val="BodyTextChar"/>
        </w:rPr>
        <w:t>A)</w:t>
      </w:r>
      <w:r w:rsidRPr="005F3F02">
        <w:rPr>
          <w:rStyle w:val="BodyTextChar"/>
        </w:rPr>
        <w:t>. It is relatively durable</w:t>
      </w:r>
      <w:r>
        <w:rPr>
          <w:rStyle w:val="BodyTextChar"/>
        </w:rPr>
        <w:t>,</w:t>
      </w:r>
      <w:r w:rsidRPr="00B262DF">
        <w:rPr>
          <w:rStyle w:val="FootnoteReference"/>
        </w:rPr>
        <w:footnoteReference w:id="9"/>
      </w:r>
      <w:r>
        <w:t xml:space="preserve"> </w:t>
      </w:r>
      <w:r w:rsidRPr="005F3F02">
        <w:rPr>
          <w:rStyle w:val="BodyTextChar"/>
        </w:rPr>
        <w:t>easy to store</w:t>
      </w:r>
      <w:r w:rsidRPr="005F3F02" w:rsidDel="00386191">
        <w:rPr>
          <w:rStyle w:val="BodyTextChar"/>
        </w:rPr>
        <w:t>;</w:t>
      </w:r>
      <w:r w:rsidRPr="005F3F02">
        <w:rPr>
          <w:rStyle w:val="BodyTextChar"/>
        </w:rPr>
        <w:t xml:space="preserve"> consumable (meaning a short term disruption can have high costs), a mature technology (so unlikely to become obsolete within its shelf</w:t>
      </w:r>
      <w:r>
        <w:rPr>
          <w:rStyle w:val="BodyTextChar"/>
        </w:rPr>
        <w:noBreakHyphen/>
      </w:r>
      <w:r w:rsidRPr="005F3F02">
        <w:rPr>
          <w:rStyle w:val="BodyTextChar"/>
        </w:rPr>
        <w:t xml:space="preserve">life), and production can be scaled up relatively quickly (so a stockpile could help mitigate initial disruptions until new supplies come online </w:t>
      </w:r>
      <w:r w:rsidRPr="005F3F02">
        <w:rPr>
          <w:rStyle w:val="BodyTextChar"/>
        </w:rPr>
        <w:fldChar w:fldCharType="begin"/>
      </w:r>
      <w:r w:rsidR="00ED6B7B">
        <w:rPr>
          <w:rStyle w:val="BodyTextChar"/>
        </w:rPr>
        <w:instrText xml:space="preserve"> ADDIN ZOTERO_ITEM CSL_CITATION {"citationID":"Gq4XbI7d","properties":{"formattedCitation":"(Bown\\uc0\\u160{}2022, pp.\\uc0\\u160{}118\\uc0\\u8211{}120)","plainCitation":"(Bown 2022, pp. 118–120)","noteIndex":0},"citationItems":[{"id":2641,"uris":["http://zotero.org/groups/5560192/items/KLL6E4JH"],"itemData":{"id":2641,"type":"article-journal","abstract":"Early in the COVID</w:instrText>
      </w:r>
      <w:r w:rsidR="00ED6B7B">
        <w:rPr>
          <w:rStyle w:val="BodyTextChar"/>
          <w:rFonts w:ascii="Cambria Math" w:hAnsi="Cambria Math" w:cs="Cambria Math"/>
        </w:rPr>
        <w:instrText>‐</w:instrText>
      </w:r>
      <w:r w:rsidR="00ED6B7B">
        <w:rPr>
          <w:rStyle w:val="BodyTextChar"/>
        </w:rPr>
        <w:instrText>19 pandemic, a global shortage of hospital gowns, gloves, surgical masks, and respirators caused policymakers globally to panic. China increased imports and decreased exports of this personal protective equipment, removing supplies from world markets. Shortages led to European Union and US export controls as well as other extraordinary policy actions, including a US effort to reserve supplies manufactured in China by a US</w:instrText>
      </w:r>
      <w:r w:rsidR="00ED6B7B">
        <w:rPr>
          <w:rStyle w:val="BodyTextChar"/>
          <w:rFonts w:ascii="Cambria Math" w:hAnsi="Cambria Math" w:cs="Cambria Math"/>
        </w:rPr>
        <w:instrText>‐</w:instrText>
      </w:r>
      <w:r w:rsidR="00ED6B7B">
        <w:rPr>
          <w:rStyle w:val="BodyTextChar"/>
        </w:rPr>
        <w:instrText>headquartered multinational. By April 2020, China's exports had mostly resumed, and over the rest of the year its export volumes surged. But China's export prices also skyrocketed and remained elevated through 2020, reflecting severe and continued shortages. This paper explores these and other government actions, such as US trade war tariffs and US industrial policy in the form of over $1 billion of subsidies to build out its domestic personal protective equipment supply chain, as well as potential lessons for future pandemic preparedness and international policy cooperation.","container-title":"Asian Economic Policy Review","DOI":"10.1111/aepr.12359","ISSN":"1832-8105, 1748-3131","issue":"1","journalAbbreviation":"Asian Economic Policy Review","language":"en","page":"114-135","source":"DOI.org (Crossref)","title":"How COVID</w:instrText>
      </w:r>
      <w:r w:rsidR="00ED6B7B">
        <w:rPr>
          <w:rStyle w:val="BodyTextChar"/>
          <w:rFonts w:ascii="Cambria Math" w:hAnsi="Cambria Math" w:cs="Cambria Math"/>
        </w:rPr>
        <w:instrText>‐</w:instrText>
      </w:r>
      <w:r w:rsidR="00ED6B7B">
        <w:rPr>
          <w:rStyle w:val="BodyTextChar"/>
        </w:rPr>
        <w:instrText xml:space="preserve">19 medical supply shortages led to extraordinary trade and industrial policy","title-short":"How &lt;span style=\"font-variant","volume":"17","author":[{"family":"Bown","given":"Chad P."}],"issued":{"date-parts":[["2022",1]]}},"locator":"118-120","label":"page"}],"schema":"https://github.com/citation-style-language/schema/raw/master/csl-citation.json"} </w:instrText>
      </w:r>
      <w:r w:rsidRPr="005F3F02">
        <w:rPr>
          <w:rStyle w:val="BodyTextChar"/>
        </w:rPr>
        <w:fldChar w:fldCharType="separate"/>
      </w:r>
      <w:r w:rsidRPr="005F3F02">
        <w:rPr>
          <w:rStyle w:val="BodyTextChar"/>
        </w:rPr>
        <w:t>(Bown 2022, pp. 118–120)</w:t>
      </w:r>
      <w:r w:rsidRPr="005F3F02">
        <w:rPr>
          <w:rStyle w:val="BodyTextChar"/>
        </w:rPr>
        <w:fldChar w:fldCharType="end"/>
      </w:r>
      <w:r w:rsidRPr="005F3F02">
        <w:rPr>
          <w:rStyle w:val="BodyTextChar"/>
        </w:rPr>
        <w:t>).</w:t>
      </w:r>
    </w:p>
    <w:p w14:paraId="04B0FEC5" w14:textId="32C6B20A" w:rsidR="00017122" w:rsidRPr="00017122" w:rsidRDefault="00441B85" w:rsidP="002166E9">
      <w:pPr>
        <w:pStyle w:val="BodyText"/>
      </w:pPr>
      <w:r>
        <w:t>The remainder of this example considers the costs and potential benefits of expanding stockpiles of PPE for hospital workers to address severe pandemic situations using the implied frequency of disruption framework</w:t>
      </w:r>
      <w:r w:rsidR="00017122" w:rsidRPr="001A2475">
        <w:t>.</w:t>
      </w:r>
    </w:p>
    <w:p w14:paraId="64453972" w14:textId="77777777" w:rsidR="00017122" w:rsidRPr="0002381E" w:rsidRDefault="00017122" w:rsidP="00017122">
      <w:pPr>
        <w:pStyle w:val="ListNumber"/>
        <w:numPr>
          <w:ilvl w:val="0"/>
          <w:numId w:val="14"/>
        </w:numPr>
        <w:rPr>
          <w:b/>
        </w:rPr>
      </w:pPr>
      <w:r w:rsidRPr="0002381E">
        <w:rPr>
          <w:b/>
        </w:rPr>
        <w:t>Is it possible to partner with a group of nations that are well placed to produce that good?</w:t>
      </w:r>
    </w:p>
    <w:p w14:paraId="543B671D" w14:textId="3372BEB7" w:rsidR="00CA6A00" w:rsidRPr="00B27BC3" w:rsidRDefault="00017122" w:rsidP="007B31DE">
      <w:pPr>
        <w:spacing w:before="60"/>
      </w:pPr>
      <w:r>
        <w:t>Not applicable as we answered yes to question 1.</w:t>
      </w:r>
    </w:p>
    <w:p w14:paraId="6FDA86D0" w14:textId="1472BCE0" w:rsidR="00441B85" w:rsidRPr="00EE306F" w:rsidRDefault="00441B85" w:rsidP="00D91FC5">
      <w:pPr>
        <w:pStyle w:val="ListNumber"/>
        <w:numPr>
          <w:ilvl w:val="0"/>
          <w:numId w:val="14"/>
        </w:numPr>
        <w:rPr>
          <w:b/>
          <w:bCs/>
        </w:rPr>
      </w:pPr>
      <w:r w:rsidRPr="00EE306F">
        <w:rPr>
          <w:b/>
          <w:bCs/>
        </w:rPr>
        <w:t xml:space="preserve">Does Australia have the skills and inputs </w:t>
      </w:r>
      <w:r w:rsidRPr="006642F0">
        <w:rPr>
          <w:b/>
          <w:bCs/>
        </w:rPr>
        <w:t>necessary</w:t>
      </w:r>
      <w:r w:rsidRPr="00EE306F">
        <w:rPr>
          <w:b/>
          <w:bCs/>
        </w:rPr>
        <w:t xml:space="preserve"> to develop a domestic production capacity in the sector?</w:t>
      </w:r>
    </w:p>
    <w:p w14:paraId="2D72D4F9" w14:textId="77777777" w:rsidR="00441B85" w:rsidRPr="0098127F" w:rsidRDefault="00441B85" w:rsidP="00441B85">
      <w:pPr>
        <w:pStyle w:val="BodyText"/>
      </w:pPr>
      <w:r>
        <w:t>Not applicable as we answered yes to question 1.</w:t>
      </w:r>
    </w:p>
    <w:p w14:paraId="29610E3A" w14:textId="77777777" w:rsidR="00441B85" w:rsidRPr="0098127F" w:rsidRDefault="00441B85" w:rsidP="00CA6A00">
      <w:pPr>
        <w:pStyle w:val="ListNumber"/>
        <w:numPr>
          <w:ilvl w:val="0"/>
          <w:numId w:val="14"/>
        </w:numPr>
        <w:rPr>
          <w:b/>
          <w:bCs/>
        </w:rPr>
      </w:pPr>
      <w:r w:rsidRPr="0098127F">
        <w:rPr>
          <w:b/>
          <w:bCs/>
        </w:rPr>
        <w:t>Was a cost</w:t>
      </w:r>
      <w:r>
        <w:rPr>
          <w:b/>
          <w:bCs/>
        </w:rPr>
        <w:noBreakHyphen/>
      </w:r>
      <w:r w:rsidRPr="0098127F">
        <w:rPr>
          <w:b/>
          <w:bCs/>
        </w:rPr>
        <w:t xml:space="preserve">benefit analysis of stockpiling </w:t>
      </w:r>
      <w:r>
        <w:rPr>
          <w:b/>
          <w:bCs/>
        </w:rPr>
        <w:t xml:space="preserve">for hospital workers’ </w:t>
      </w:r>
      <w:r w:rsidRPr="0098127F">
        <w:rPr>
          <w:b/>
          <w:bCs/>
        </w:rPr>
        <w:t>PPE undertaken, including assessment of the implied frequency of disruption?</w:t>
      </w:r>
    </w:p>
    <w:p w14:paraId="0B6BA2A3" w14:textId="77777777" w:rsidR="00441B85" w:rsidRPr="00D7057D" w:rsidRDefault="00441B85" w:rsidP="00441B85">
      <w:pPr>
        <w:pStyle w:val="BodyText"/>
        <w:rPr>
          <w:rFonts w:ascii="Arial" w:eastAsia="Arial" w:hAnsi="Arial" w:cs="Times New Roman"/>
        </w:rPr>
      </w:pPr>
      <w:r>
        <w:rPr>
          <w:rFonts w:ascii="Arial" w:eastAsia="Arial" w:hAnsi="Arial" w:cs="Times New Roman"/>
        </w:rPr>
        <w:t xml:space="preserve">Yes. </w:t>
      </w:r>
      <w:r w:rsidRPr="0002381E">
        <w:rPr>
          <w:rFonts w:ascii="Arial" w:hAnsi="Arial"/>
        </w:rPr>
        <w:t>An example cost</w:t>
      </w:r>
      <w:r>
        <w:rPr>
          <w:rFonts w:ascii="Arial" w:hAnsi="Arial"/>
        </w:rPr>
        <w:noBreakHyphen/>
      </w:r>
      <w:r w:rsidRPr="0002381E">
        <w:rPr>
          <w:rFonts w:ascii="Arial" w:hAnsi="Arial"/>
        </w:rPr>
        <w:t xml:space="preserve">benefit analysis </w:t>
      </w:r>
      <w:r>
        <w:t>and associated implied frequency of disruption estimate follows</w:t>
      </w:r>
      <w:r w:rsidRPr="00D7057D">
        <w:rPr>
          <w:rFonts w:ascii="Arial" w:eastAsia="Arial" w:hAnsi="Arial" w:cs="Times New Roman"/>
        </w:rPr>
        <w:t>.</w:t>
      </w:r>
      <w:r w:rsidRPr="0002381E">
        <w:rPr>
          <w:rFonts w:ascii="Arial" w:hAnsi="Arial"/>
        </w:rPr>
        <w:t xml:space="preserve"> </w:t>
      </w:r>
    </w:p>
    <w:p w14:paraId="3B4AF958" w14:textId="3A484130" w:rsidR="00441B85" w:rsidRPr="00D7057D" w:rsidRDefault="00441B85" w:rsidP="000251A5">
      <w:pPr>
        <w:pStyle w:val="BodyText"/>
      </w:pPr>
      <w:r w:rsidRPr="00D7057D">
        <w:t>PPE is a relatively inexpensive intervention. The PC estimates that it is possible to supply a typical hospital worker with adequate PPE for just over $</w:t>
      </w:r>
      <w:r>
        <w:t>110</w:t>
      </w:r>
      <w:r w:rsidRPr="00D7057D">
        <w:t xml:space="preserve"> per month. We estimate that a three</w:t>
      </w:r>
      <w:r>
        <w:noBreakHyphen/>
      </w:r>
      <w:r w:rsidRPr="00D7057D">
        <w:t>month supply of PPE to cover</w:t>
      </w:r>
      <w:r w:rsidR="00DC3908">
        <w:t xml:space="preserve"> a</w:t>
      </w:r>
      <w:r w:rsidRPr="00D7057D">
        <w:t xml:space="preserve"> COVID</w:t>
      </w:r>
      <w:r>
        <w:noBreakHyphen/>
      </w:r>
      <w:r w:rsidRPr="00D7057D">
        <w:t>19</w:t>
      </w:r>
      <w:r w:rsidR="00DC3908">
        <w:t>-</w:t>
      </w:r>
      <w:r w:rsidRPr="00D7057D">
        <w:t xml:space="preserve">like pandemic situation for Australia’s entire hospital workforce would cost approximately </w:t>
      </w:r>
      <w:r w:rsidRPr="00D7057D">
        <w:lastRenderedPageBreak/>
        <w:t>$</w:t>
      </w:r>
      <w:r>
        <w:t>101.6</w:t>
      </w:r>
      <w:r w:rsidRPr="00D7057D">
        <w:t xml:space="preserve"> million to establish.</w:t>
      </w:r>
      <w:r w:rsidRPr="006526F8">
        <w:rPr>
          <w:rStyle w:val="FootnoteReference"/>
        </w:rPr>
        <w:footnoteReference w:id="10"/>
      </w:r>
      <w:r w:rsidRPr="00D7057D">
        <w:t xml:space="preserve"> The costs </w:t>
      </w:r>
      <w:r>
        <w:t xml:space="preserve">of overheads and </w:t>
      </w:r>
      <w:r w:rsidRPr="00D7057D">
        <w:t>to maintain (replacing expired stock</w:t>
      </w:r>
      <w:r w:rsidRPr="00D7057D" w:rsidDel="004E51D1">
        <w:t xml:space="preserve">, </w:t>
      </w:r>
      <w:r w:rsidRPr="00D7057D">
        <w:t>storage, logistics, and distribution) this stockpile amounts to $2</w:t>
      </w:r>
      <w:r>
        <w:t>3.4</w:t>
      </w:r>
      <w:r w:rsidRPr="00D7057D">
        <w:t xml:space="preserve"> million per year.</w:t>
      </w:r>
      <w:r w:rsidRPr="006526F8">
        <w:rPr>
          <w:rStyle w:val="FootnoteReference"/>
        </w:rPr>
        <w:footnoteReference w:id="11"/>
      </w:r>
    </w:p>
    <w:p w14:paraId="464C6C4D" w14:textId="7FA9492C" w:rsidR="00441B85" w:rsidRDefault="00441B85" w:rsidP="00441B85">
      <w:pPr>
        <w:pStyle w:val="BodyText"/>
      </w:pPr>
      <w:r>
        <w:t>The value of PPE during a pandemic event depends on the transmissibility of the disease, the severity of its impacts, the efficacy of PPE and the avoided disruptions to the economy. For simplicity, this example draws on studies of the cost</w:t>
      </w:r>
      <w:r>
        <w:noBreakHyphen/>
        <w:t>effectiveness of PPE in reducing COVID</w:t>
      </w:r>
      <w:r>
        <w:noBreakHyphen/>
        <w:t>19 transmission. Benefits are:</w:t>
      </w:r>
    </w:p>
    <w:p w14:paraId="7CE39CD0" w14:textId="58E6A9E8" w:rsidR="00441B85" w:rsidRPr="005A59C8" w:rsidRDefault="00AD7B95" w:rsidP="00441B85">
      <w:pPr>
        <w:pStyle w:val="ListBullet"/>
      </w:pPr>
      <w:r>
        <w:t>h</w:t>
      </w:r>
      <w:r w:rsidR="00441B85" w:rsidRPr="005A59C8">
        <w:t xml:space="preserve">ealth outcomes: </w:t>
      </w:r>
      <w:r w:rsidR="00441B85">
        <w:t>an average spend of between $100</w:t>
      </w:r>
      <w:r w:rsidR="00A849EC">
        <w:t>–$</w:t>
      </w:r>
      <w:r w:rsidR="00441B85">
        <w:t>7</w:t>
      </w:r>
      <w:r w:rsidR="004767E5">
        <w:t>,</w:t>
      </w:r>
      <w:r w:rsidR="00441B85">
        <w:t xml:space="preserve">500 on PPE for frontline health workers is required for </w:t>
      </w:r>
      <w:r w:rsidR="00441B85" w:rsidRPr="005A59C8">
        <w:t>each quality</w:t>
      </w:r>
      <w:r w:rsidR="00441B85">
        <w:noBreakHyphen/>
      </w:r>
      <w:r w:rsidR="00441B85" w:rsidRPr="005A59C8">
        <w:t>adjusted life year (QALY) gaine</w:t>
      </w:r>
      <w:r w:rsidR="009C1272">
        <w:t>d</w:t>
      </w:r>
      <w:r w:rsidR="00441B85" w:rsidRPr="006526F8">
        <w:rPr>
          <w:rStyle w:val="FootnoteReference"/>
        </w:rPr>
        <w:footnoteReference w:id="12"/>
      </w:r>
      <w:r w:rsidR="00441B85" w:rsidRPr="005A59C8">
        <w:t xml:space="preserve"> </w:t>
      </w:r>
    </w:p>
    <w:p w14:paraId="4303C568" w14:textId="0A86242E" w:rsidR="00441B85" w:rsidRPr="00905E71" w:rsidRDefault="00AD7B95" w:rsidP="00441B85">
      <w:pPr>
        <w:pStyle w:val="ListBullet"/>
        <w:rPr>
          <w:spacing w:val="-4"/>
        </w:rPr>
      </w:pPr>
      <w:r w:rsidRPr="00905E71">
        <w:rPr>
          <w:spacing w:val="-4"/>
        </w:rPr>
        <w:t>h</w:t>
      </w:r>
      <w:r w:rsidR="00441B85" w:rsidRPr="00905E71">
        <w:rPr>
          <w:spacing w:val="-4"/>
        </w:rPr>
        <w:t>ealthcare costs averted: a direct economic return for the healthcare system of five to eighty</w:t>
      </w:r>
      <w:r w:rsidR="00441B85" w:rsidRPr="00905E71">
        <w:rPr>
          <w:spacing w:val="-4"/>
        </w:rPr>
        <w:noBreakHyphen/>
        <w:t>fold over the costs of the PPE, from averted costs of medical care and the productivity losses from staff sickness and leave.</w:t>
      </w:r>
      <w:r w:rsidR="002033BD" w:rsidRPr="00905E71">
        <w:rPr>
          <w:spacing w:val="-4"/>
          <w:vertAlign w:val="superscript"/>
        </w:rPr>
        <w:t>1</w:t>
      </w:r>
      <w:r w:rsidR="001A6EF8" w:rsidRPr="00905E71">
        <w:rPr>
          <w:spacing w:val="-4"/>
          <w:vertAlign w:val="superscript"/>
        </w:rPr>
        <w:t>1</w:t>
      </w:r>
    </w:p>
    <w:p w14:paraId="02B90BB7" w14:textId="3255B857" w:rsidR="00441B85" w:rsidRDefault="00441B85" w:rsidP="00441B85">
      <w:pPr>
        <w:spacing w:before="0" w:after="160" w:line="279" w:lineRule="auto"/>
        <w:contextualSpacing/>
        <w:rPr>
          <w:rStyle w:val="BodyTextChar"/>
        </w:rPr>
      </w:pPr>
      <w:r w:rsidRPr="001B4BE8">
        <w:rPr>
          <w:rStyle w:val="BodyTextChar"/>
        </w:rPr>
        <w:t>Combining these benefits, our mid</w:t>
      </w:r>
      <w:r>
        <w:rPr>
          <w:rStyle w:val="BodyTextChar"/>
        </w:rPr>
        <w:noBreakHyphen/>
      </w:r>
      <w:r w:rsidRPr="001B4BE8">
        <w:rPr>
          <w:rStyle w:val="BodyTextChar"/>
        </w:rPr>
        <w:t>point estimate of the benefits of a stockpile of the size outlined above if all the PPE were used in a COVID</w:t>
      </w:r>
      <w:r>
        <w:rPr>
          <w:rStyle w:val="BodyTextChar"/>
        </w:rPr>
        <w:noBreakHyphen/>
      </w:r>
      <w:r w:rsidRPr="001B4BE8">
        <w:rPr>
          <w:rStyle w:val="BodyTextChar"/>
        </w:rPr>
        <w:t>19 like pandemic immediately after being established would be around $7</w:t>
      </w:r>
      <w:r>
        <w:rPr>
          <w:rStyle w:val="BodyTextChar"/>
        </w:rPr>
        <w:t>.</w:t>
      </w:r>
      <w:r w:rsidRPr="001B4BE8">
        <w:rPr>
          <w:rStyle w:val="BodyTextChar"/>
        </w:rPr>
        <w:t>3</w:t>
      </w:r>
      <w:r w:rsidR="007367B9">
        <w:rPr>
          <w:rStyle w:val="BodyTextChar"/>
        </w:rPr>
        <w:t> </w:t>
      </w:r>
      <w:r>
        <w:rPr>
          <w:rStyle w:val="BodyTextChar"/>
        </w:rPr>
        <w:t>b</w:t>
      </w:r>
      <w:r w:rsidRPr="001B4BE8">
        <w:rPr>
          <w:rStyle w:val="BodyTextChar"/>
        </w:rPr>
        <w:t>illion.</w:t>
      </w:r>
      <w:r w:rsidRPr="006526F8">
        <w:rPr>
          <w:rStyle w:val="FootnoteReference"/>
        </w:rPr>
        <w:footnoteReference w:id="13"/>
      </w:r>
    </w:p>
    <w:p w14:paraId="6329865B" w14:textId="62E1D1C7" w:rsidR="00525DB2" w:rsidRPr="006526F8" w:rsidRDefault="00525DB2" w:rsidP="006526F8">
      <w:pPr>
        <w:pStyle w:val="Heading3-noTOC"/>
      </w:pPr>
      <w:r w:rsidRPr="00004D18">
        <w:t>Final step: Estimate the implied frequency of disruption (or length of disruption, or time to disruption) as a final sense</w:t>
      </w:r>
      <w:r>
        <w:noBreakHyphen/>
      </w:r>
      <w:r w:rsidRPr="00004D18">
        <w:t>check</w:t>
      </w:r>
    </w:p>
    <w:p w14:paraId="1003124C" w14:textId="4F536090" w:rsidR="00441B85" w:rsidRPr="00B85C64" w:rsidRDefault="00441B85" w:rsidP="00441B85">
      <w:pPr>
        <w:pStyle w:val="BodyText"/>
      </w:pPr>
      <w:r w:rsidRPr="00B85C64">
        <w:t>To estimate the value</w:t>
      </w:r>
      <w:r>
        <w:noBreakHyphen/>
      </w:r>
      <w:r w:rsidRPr="00B85C64">
        <w:t>for</w:t>
      </w:r>
      <w:r>
        <w:noBreakHyphen/>
      </w:r>
      <w:r w:rsidRPr="00B85C64">
        <w:t>money of a PPE stockpile in a simplified model, we project the benefits against the accumulated costs over time (applying a 5% discount rate as the Australian Government standard for health technology cost</w:t>
      </w:r>
      <w:r>
        <w:noBreakHyphen/>
      </w:r>
      <w:r w:rsidRPr="00B85C64">
        <w:t xml:space="preserve">benefit analysis </w:t>
      </w:r>
      <w:r w:rsidRPr="00B85C64">
        <w:fldChar w:fldCharType="begin"/>
      </w:r>
      <w:r w:rsidR="00ED6B7B">
        <w:instrText xml:space="preserve"> ADDIN ZOTERO_ITEM CSL_CITATION {"citationID":"DsK0iuKP","properties":{"formattedCitation":"(PBAC\\uc0\\u160{}2016)","plainCitation":"(PBAC 2016)","noteIndex":0},"citationItems":[{"id":2811,"uris":["http://zotero.org/groups/5560192/items/VGB4M2KR"],"itemData":{"id":2811,"type":"document","language":"en","license":"Copyright Commonwealth of Australia","publisher":"Australian Government Department of Health and Aged Care","source":"pbac.pbs.gov.au","title":"PBAC Guidelines | 3A.1 Overview and rationale of the economic evaluation","URL":"https://pbac.pbs.gov.au/section-3a/3a-1-overview-and-rationale-of-economic-evaluation.html","author":[{"family":"Australian Government Pharmaceutical Benefits Advisory Committee","given":""}],"translator":[{"family":"PBAC","given":""}],"accessed":{"date-parts":[["2024",12,4]]},"issued":{"date-parts":[["2016",9]]}}}],"schema":"https://github.com/citation-style-language/schema/raw/master/csl-citation.json"} </w:instrText>
      </w:r>
      <w:r w:rsidRPr="00B85C64">
        <w:fldChar w:fldCharType="separate"/>
      </w:r>
      <w:r w:rsidRPr="00DD2EC6">
        <w:rPr>
          <w:rFonts w:cs="Arial"/>
        </w:rPr>
        <w:t>(PBAC 2016)</w:t>
      </w:r>
      <w:r w:rsidRPr="00B85C64">
        <w:fldChar w:fldCharType="end"/>
      </w:r>
      <w:r w:rsidR="00141C86">
        <w:t>)</w:t>
      </w:r>
      <w:r w:rsidRPr="00B85C64">
        <w:t xml:space="preserve"> (</w:t>
      </w:r>
      <w:r w:rsidR="00B73BF2">
        <w:t>figure</w:t>
      </w:r>
      <w:r w:rsidR="00D25956">
        <w:t> </w:t>
      </w:r>
      <w:r w:rsidR="00B73BF2">
        <w:t>2.3</w:t>
      </w:r>
      <w:r>
        <w:t>)</w:t>
      </w:r>
      <w:r w:rsidRPr="00B85C64">
        <w:t xml:space="preserve">. The benefits of the intervention would outweigh its costs so long as the disruption </w:t>
      </w:r>
      <w:r w:rsidR="00EF595E">
        <w:t>occurred</w:t>
      </w:r>
      <w:r>
        <w:t xml:space="preserve"> at least </w:t>
      </w:r>
      <w:r w:rsidR="00EF595E">
        <w:t xml:space="preserve">once every </w:t>
      </w:r>
      <w:r w:rsidR="00690259">
        <w:t>55</w:t>
      </w:r>
      <w:r w:rsidR="00C354B5">
        <w:t xml:space="preserve"> years</w:t>
      </w:r>
      <w:r>
        <w:t xml:space="preserve"> </w:t>
      </w:r>
      <w:r w:rsidR="00843BFA">
        <w:t>(</w:t>
      </w:r>
      <w:r>
        <w:t>at least a 1.</w:t>
      </w:r>
      <w:r w:rsidR="00690259">
        <w:t>8</w:t>
      </w:r>
      <w:r>
        <w:t xml:space="preserve">% </w:t>
      </w:r>
      <w:r w:rsidR="00CE4DFE">
        <w:t xml:space="preserve">chance </w:t>
      </w:r>
      <w:r>
        <w:t xml:space="preserve">of occurring </w:t>
      </w:r>
      <w:r w:rsidR="00466478">
        <w:t>in any given</w:t>
      </w:r>
      <w:r>
        <w:t xml:space="preserve"> year</w:t>
      </w:r>
      <w:r w:rsidR="005A5883">
        <w:t>)</w:t>
      </w:r>
      <w:r>
        <w:t xml:space="preserve">. </w:t>
      </w:r>
      <w:r w:rsidRPr="00B85C64">
        <w:t>W</w:t>
      </w:r>
      <w:r w:rsidR="00867413">
        <w:t>ere</w:t>
      </w:r>
      <w:r w:rsidR="00820311">
        <w:t xml:space="preserve"> </w:t>
      </w:r>
      <w:r w:rsidRPr="00B85C64">
        <w:t xml:space="preserve">the </w:t>
      </w:r>
      <w:r w:rsidR="00820311">
        <w:t>expected frequency</w:t>
      </w:r>
      <w:r w:rsidRPr="00B85C64">
        <w:t xml:space="preserve"> of the event, or the appetite to bear the costs of such an event, greater than</w:t>
      </w:r>
      <w:r>
        <w:t xml:space="preserve"> </w:t>
      </w:r>
      <w:r w:rsidR="009A46B1">
        <w:t>once every 5</w:t>
      </w:r>
      <w:r w:rsidR="000521D7">
        <w:t>5</w:t>
      </w:r>
      <w:r w:rsidR="009A46B1">
        <w:t xml:space="preserve"> </w:t>
      </w:r>
      <w:r w:rsidR="00820311">
        <w:t xml:space="preserve">years (more than </w:t>
      </w:r>
      <w:r>
        <w:t>a 1.</w:t>
      </w:r>
      <w:r w:rsidR="00690259">
        <w:t>8</w:t>
      </w:r>
      <w:r>
        <w:t>%</w:t>
      </w:r>
      <w:r w:rsidR="00820311">
        <w:t xml:space="preserve"> chance of occurring in any given year)</w:t>
      </w:r>
      <w:r>
        <w:t xml:space="preserve"> then </w:t>
      </w:r>
      <w:r w:rsidRPr="00B85C64">
        <w:t xml:space="preserve">governments could feel more confident in the </w:t>
      </w:r>
      <w:r w:rsidR="006610B3">
        <w:t>likely benefits of</w:t>
      </w:r>
      <w:r w:rsidRPr="00B85C64" w:rsidDel="006610B3">
        <w:t xml:space="preserve"> </w:t>
      </w:r>
      <w:r w:rsidRPr="00B85C64">
        <w:t>the intervention.</w:t>
      </w:r>
    </w:p>
    <w:p w14:paraId="5FFBDDA4" w14:textId="0D2A19D7" w:rsidR="00190CA3" w:rsidRPr="00146382" w:rsidRDefault="00190CA3" w:rsidP="00190CA3">
      <w:pPr>
        <w:pStyle w:val="FigureTableHeading"/>
      </w:pPr>
      <w:bookmarkStart w:id="81" w:name="_Ref198630432"/>
      <w:bookmarkStart w:id="82" w:name="_Ref195104024"/>
      <w:r>
        <w:lastRenderedPageBreak/>
        <w:t>Figure</w:t>
      </w:r>
      <w:r w:rsidR="00410C80">
        <w:t> </w:t>
      </w:r>
      <w:r w:rsidR="00C223E9">
        <w:fldChar w:fldCharType="begin"/>
      </w:r>
      <w:r w:rsidR="00C223E9">
        <w:instrText xml:space="preserve"> STYLEREF 1 \s </w:instrText>
      </w:r>
      <w:r w:rsidR="00C223E9">
        <w:fldChar w:fldCharType="separate"/>
      </w:r>
      <w:r w:rsidR="00E57184">
        <w:rPr>
          <w:noProof/>
        </w:rPr>
        <w:t>2</w:t>
      </w:r>
      <w:r w:rsidR="00C223E9">
        <w:rPr>
          <w:noProof/>
        </w:rPr>
        <w:fldChar w:fldCharType="end"/>
      </w:r>
      <w:r w:rsidR="008B1E25">
        <w:t>.</w:t>
      </w:r>
      <w:r w:rsidR="00C223E9">
        <w:fldChar w:fldCharType="begin"/>
      </w:r>
      <w:r w:rsidR="00C223E9">
        <w:instrText xml:space="preserve"> SEQ Figure \* ARABIC \s 1 </w:instrText>
      </w:r>
      <w:r w:rsidR="00C223E9">
        <w:fldChar w:fldCharType="separate"/>
      </w:r>
      <w:r w:rsidR="00E57184">
        <w:rPr>
          <w:noProof/>
        </w:rPr>
        <w:t>3</w:t>
      </w:r>
      <w:r w:rsidR="00C223E9">
        <w:rPr>
          <w:noProof/>
        </w:rPr>
        <w:fldChar w:fldCharType="end"/>
      </w:r>
      <w:bookmarkEnd w:id="81"/>
      <w:bookmarkEnd w:id="82"/>
      <w:r>
        <w:rPr>
          <w:noProof/>
        </w:rPr>
        <w:t xml:space="preserve"> </w:t>
      </w:r>
      <w:r>
        <w:t>– Benefits and costs of a PPE stockpile at different probabilities of disruption</w:t>
      </w:r>
    </w:p>
    <w:p w14:paraId="3AC3D667" w14:textId="6EF0DD94" w:rsidR="00190CA3" w:rsidRDefault="00397900" w:rsidP="00971D9B">
      <w:pPr>
        <w:pStyle w:val="Source"/>
      </w:pPr>
      <w:r w:rsidRPr="00397900">
        <w:rPr>
          <w:noProof/>
        </w:rPr>
        <w:drawing>
          <wp:inline distT="0" distB="0" distL="0" distR="0" wp14:anchorId="120CABE0" wp14:editId="4A080E9A">
            <wp:extent cx="6120130" cy="3627755"/>
            <wp:effectExtent l="0" t="0" r="0" b="0"/>
            <wp:docPr id="649523826" name="Picture 3" descr="This shows the benefits and costs of a stockpiling policy. Benefits decay over time due to discounting. Costs rise over time as the costs of holding the stockpile cumulated each year as new stock is replenished. The x axis shows the probability of a pandemic each year. The point at which the benefits and costs intersect is the point at which the intervention is likely justified. In this scenario a pandemic must have at least a 1.9% chance of happening each year for the benefits of stockpiling to outweigh the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23826" name="Picture 3" descr="This shows the benefits and costs of a stockpiling policy. Benefits decay over time due to discounting. Costs rise over time as the costs of holding the stockpile cumulated each year as new stock is replenished. The x axis shows the probability of a pandemic each year. The point at which the benefits and costs intersect is the point at which the intervention is likely justified. In this scenario a pandemic must have at least a 1.9% chance of happening each year for the benefits of stockpiling to outweigh the cost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627755"/>
                    </a:xfrm>
                    <a:prstGeom prst="rect">
                      <a:avLst/>
                    </a:prstGeom>
                    <a:noFill/>
                    <a:ln>
                      <a:noFill/>
                    </a:ln>
                  </pic:spPr>
                </pic:pic>
              </a:graphicData>
            </a:graphic>
          </wp:inline>
        </w:drawing>
      </w:r>
      <w:r w:rsidR="00190CA3" w:rsidRPr="00696447">
        <w:t>Source:</w:t>
      </w:r>
      <w:r w:rsidR="00190CA3">
        <w:t xml:space="preserve"> </w:t>
      </w:r>
      <w:r w:rsidR="00475DC3">
        <w:t>PC</w:t>
      </w:r>
      <w:r w:rsidR="00190CA3">
        <w:t xml:space="preserve"> calculations</w:t>
      </w:r>
      <w:r w:rsidR="00190CA3" w:rsidRPr="00696447">
        <w:t>.</w:t>
      </w:r>
    </w:p>
    <w:p w14:paraId="50F80860" w14:textId="423F3659" w:rsidR="00FC55CB" w:rsidRDefault="006F1ACA" w:rsidP="003D3DCD">
      <w:pPr>
        <w:pStyle w:val="BodyText"/>
      </w:pPr>
      <w:r>
        <w:t>Table</w:t>
      </w:r>
      <w:r w:rsidR="00D25956">
        <w:t> </w:t>
      </w:r>
      <w:r>
        <w:t>2.1</w:t>
      </w:r>
      <w:r w:rsidR="00190CA3" w:rsidRPr="00D94311">
        <w:t xml:space="preserve"> </w:t>
      </w:r>
      <w:r w:rsidR="003D3DCD" w:rsidRPr="00D94311">
        <w:t xml:space="preserve">presents the implied </w:t>
      </w:r>
      <w:r w:rsidR="00A20B81">
        <w:t>probability</w:t>
      </w:r>
      <w:r w:rsidR="003D3DCD" w:rsidRPr="00D94311">
        <w:t xml:space="preserve"> of disruption</w:t>
      </w:r>
      <w:r w:rsidR="00231DC6">
        <w:t xml:space="preserve"> </w:t>
      </w:r>
      <w:proofErr w:type="gramStart"/>
      <w:r w:rsidR="00231DC6">
        <w:t>in a given year</w:t>
      </w:r>
      <w:proofErr w:type="gramEnd"/>
      <w:r w:rsidR="003D3DCD" w:rsidRPr="00D94311">
        <w:t xml:space="preserve"> </w:t>
      </w:r>
      <w:r w:rsidR="00870AA9">
        <w:t>(from which implied frequenc</w:t>
      </w:r>
      <w:r w:rsidR="008A32B3">
        <w:t>ies can be calculated)</w:t>
      </w:r>
      <w:r w:rsidR="003D3DCD" w:rsidRPr="00D94311">
        <w:t xml:space="preserve"> required to justify a stockpile of this size under different discount rates, highlighting the best case, base case, and worst</w:t>
      </w:r>
      <w:r w:rsidR="003D3DCD">
        <w:noBreakHyphen/>
      </w:r>
      <w:r w:rsidR="003D3DCD" w:rsidRPr="00D94311">
        <w:t>case scenarios. The base case scenario is as presented above, while the ‘worst case’ and ‘best case’ scenarios diverge.</w:t>
      </w:r>
      <w:r w:rsidR="003D3DCD" w:rsidRPr="00B262DF">
        <w:rPr>
          <w:rStyle w:val="FootnoteReference"/>
        </w:rPr>
        <w:footnoteReference w:id="14"/>
      </w:r>
      <w:r w:rsidR="003D3DCD" w:rsidRPr="00D94311">
        <w:t xml:space="preserve"> </w:t>
      </w:r>
    </w:p>
    <w:p w14:paraId="70CBD2FB" w14:textId="50D9DCCA" w:rsidR="003D3DCD" w:rsidRPr="00CA4BA2" w:rsidRDefault="003D3DCD" w:rsidP="003D3DCD">
      <w:pPr>
        <w:pStyle w:val="BodyText"/>
        <w:rPr>
          <w:spacing w:val="-2"/>
        </w:rPr>
      </w:pPr>
      <w:r w:rsidRPr="00CA4BA2">
        <w:rPr>
          <w:spacing w:val="-2"/>
        </w:rPr>
        <w:t xml:space="preserve">The sensitivity analysis finds that in the best case an implied </w:t>
      </w:r>
      <w:r w:rsidR="006E0962" w:rsidRPr="00CA4BA2">
        <w:rPr>
          <w:spacing w:val="-2"/>
        </w:rPr>
        <w:t>probability</w:t>
      </w:r>
      <w:r w:rsidRPr="00CA4BA2">
        <w:rPr>
          <w:spacing w:val="-2"/>
        </w:rPr>
        <w:t xml:space="preserve"> of disruption of at least 0.7% </w:t>
      </w:r>
      <w:r w:rsidR="00721A15" w:rsidRPr="00CA4BA2">
        <w:rPr>
          <w:spacing w:val="-2"/>
        </w:rPr>
        <w:t xml:space="preserve">(or </w:t>
      </w:r>
      <w:r w:rsidR="006E0962" w:rsidRPr="00CA4BA2">
        <w:rPr>
          <w:spacing w:val="-2"/>
        </w:rPr>
        <w:t xml:space="preserve">implied frequency of </w:t>
      </w:r>
      <w:r w:rsidR="00721A15" w:rsidRPr="00CA4BA2">
        <w:rPr>
          <w:spacing w:val="-2"/>
        </w:rPr>
        <w:t xml:space="preserve">once </w:t>
      </w:r>
      <w:r w:rsidR="00096A2E" w:rsidRPr="00CA4BA2">
        <w:rPr>
          <w:spacing w:val="-2"/>
        </w:rPr>
        <w:t>every</w:t>
      </w:r>
      <w:r w:rsidR="00721A15" w:rsidRPr="00CA4BA2">
        <w:rPr>
          <w:spacing w:val="-2"/>
        </w:rPr>
        <w:t xml:space="preserve"> 14</w:t>
      </w:r>
      <w:r w:rsidR="00690259" w:rsidRPr="00CA4BA2">
        <w:rPr>
          <w:spacing w:val="-2"/>
        </w:rPr>
        <w:t>2</w:t>
      </w:r>
      <w:r w:rsidR="00721A15" w:rsidRPr="00CA4BA2">
        <w:rPr>
          <w:spacing w:val="-2"/>
        </w:rPr>
        <w:t xml:space="preserve"> years) </w:t>
      </w:r>
      <w:r w:rsidRPr="00CA4BA2">
        <w:rPr>
          <w:spacing w:val="-2"/>
        </w:rPr>
        <w:t xml:space="preserve">may justify the intervention, depending on the policy maker’s assessment of the benefits of the stockpile. On the other hand, in the worst case the implied </w:t>
      </w:r>
      <w:r w:rsidR="00306AAA" w:rsidRPr="00CA4BA2">
        <w:rPr>
          <w:spacing w:val="-2"/>
        </w:rPr>
        <w:t>probability</w:t>
      </w:r>
      <w:r w:rsidRPr="00CA4BA2">
        <w:rPr>
          <w:spacing w:val="-2"/>
        </w:rPr>
        <w:t xml:space="preserve"> of disruption would need to be at least 5.</w:t>
      </w:r>
      <w:r w:rsidR="00690259" w:rsidRPr="00CA4BA2">
        <w:rPr>
          <w:spacing w:val="-2"/>
        </w:rPr>
        <w:t>3</w:t>
      </w:r>
      <w:r w:rsidRPr="00CA4BA2">
        <w:rPr>
          <w:spacing w:val="-2"/>
        </w:rPr>
        <w:t xml:space="preserve">% </w:t>
      </w:r>
      <w:r w:rsidR="00D54B16" w:rsidRPr="00CA4BA2">
        <w:rPr>
          <w:spacing w:val="-2"/>
        </w:rPr>
        <w:t xml:space="preserve">(or </w:t>
      </w:r>
      <w:r w:rsidR="00096A2E" w:rsidRPr="00CA4BA2">
        <w:rPr>
          <w:spacing w:val="-2"/>
        </w:rPr>
        <w:t xml:space="preserve">implied frequency of </w:t>
      </w:r>
      <w:r w:rsidR="00D54B16" w:rsidRPr="00CA4BA2">
        <w:rPr>
          <w:spacing w:val="-2"/>
        </w:rPr>
        <w:t xml:space="preserve">once </w:t>
      </w:r>
      <w:r w:rsidR="00096A2E" w:rsidRPr="00CA4BA2">
        <w:rPr>
          <w:spacing w:val="-2"/>
        </w:rPr>
        <w:t>every</w:t>
      </w:r>
      <w:r w:rsidR="00D54B16" w:rsidRPr="00CA4BA2">
        <w:rPr>
          <w:spacing w:val="-2"/>
        </w:rPr>
        <w:t xml:space="preserve"> </w:t>
      </w:r>
      <w:r w:rsidR="00690259" w:rsidRPr="00CA4BA2">
        <w:rPr>
          <w:spacing w:val="-2"/>
        </w:rPr>
        <w:t>19</w:t>
      </w:r>
      <w:r w:rsidR="00D54B16" w:rsidRPr="00CA4BA2">
        <w:rPr>
          <w:spacing w:val="-2"/>
        </w:rPr>
        <w:t xml:space="preserve"> years) </w:t>
      </w:r>
      <w:r w:rsidRPr="00CA4BA2">
        <w:rPr>
          <w:spacing w:val="-2"/>
        </w:rPr>
        <w:t xml:space="preserve">to justify the intervention. </w:t>
      </w:r>
    </w:p>
    <w:p w14:paraId="66A09F72" w14:textId="77777777" w:rsidR="002E7869" w:rsidRDefault="002E7869">
      <w:pPr>
        <w:spacing w:before="0" w:after="160" w:line="259" w:lineRule="auto"/>
        <w:rPr>
          <w:rFonts w:asciiTheme="majorHAnsi" w:hAnsiTheme="majorHAnsi"/>
          <w:iCs/>
          <w:color w:val="000000" w:themeColor="text1"/>
          <w:szCs w:val="18"/>
        </w:rPr>
      </w:pPr>
      <w:r>
        <w:br w:type="page"/>
      </w:r>
    </w:p>
    <w:p w14:paraId="07D21939" w14:textId="564A01C1" w:rsidR="00190CA3" w:rsidRDefault="00190CA3" w:rsidP="00853F63">
      <w:pPr>
        <w:pStyle w:val="FigureTableHeading"/>
      </w:pPr>
      <w:r>
        <w:lastRenderedPageBreak/>
        <w:t>Table</w:t>
      </w:r>
      <w:r w:rsidR="00410C80">
        <w:t> </w:t>
      </w:r>
      <w:r w:rsidR="008212DA">
        <w:t>2.</w:t>
      </w:r>
      <w:r w:rsidR="00C223E9">
        <w:fldChar w:fldCharType="begin"/>
      </w:r>
      <w:r w:rsidR="00C223E9">
        <w:instrText xml:space="preserve"> SEQ Table \* ARABIC \s 1 </w:instrText>
      </w:r>
      <w:r w:rsidR="00C223E9">
        <w:fldChar w:fldCharType="separate"/>
      </w:r>
      <w:r w:rsidR="00E57184">
        <w:rPr>
          <w:noProof/>
        </w:rPr>
        <w:t>1</w:t>
      </w:r>
      <w:r w:rsidR="00C223E9">
        <w:rPr>
          <w:noProof/>
        </w:rPr>
        <w:fldChar w:fldCharType="end"/>
      </w:r>
      <w:r w:rsidR="00454829">
        <w:t xml:space="preserve"> –</w:t>
      </w:r>
      <w:r>
        <w:t xml:space="preserve"> Sensitivity analysis for PPE stockpiling</w:t>
      </w:r>
    </w:p>
    <w:tbl>
      <w:tblPr>
        <w:tblW w:w="9564"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99"/>
        <w:gridCol w:w="1309"/>
        <w:gridCol w:w="1387"/>
        <w:gridCol w:w="1234"/>
        <w:gridCol w:w="1314"/>
        <w:gridCol w:w="1310"/>
        <w:gridCol w:w="1311"/>
      </w:tblGrid>
      <w:tr w:rsidR="00190CA3" w:rsidRPr="00912D12" w14:paraId="5C19D758" w14:textId="77777777" w:rsidTr="00D3059C">
        <w:trPr>
          <w:trHeight w:val="250"/>
          <w:tblHeader/>
        </w:trPr>
        <w:tc>
          <w:tcPr>
            <w:tcW w:w="1699" w:type="dxa"/>
            <w:tcBorders>
              <w:bottom w:val="single" w:sz="4" w:space="0" w:color="B3B3B3"/>
            </w:tcBorders>
            <w:noWrap/>
            <w:vAlign w:val="bottom"/>
            <w:hideMark/>
          </w:tcPr>
          <w:p w14:paraId="221E6278" w14:textId="17BAC3C7" w:rsidR="00190CA3" w:rsidRPr="00582384" w:rsidRDefault="00190CA3">
            <w:pPr>
              <w:spacing w:before="45" w:after="45" w:line="240" w:lineRule="auto"/>
              <w:ind w:left="57" w:right="108"/>
              <w:rPr>
                <w:rFonts w:ascii="Arial (Body)" w:eastAsia="Times New Roman" w:hAnsi="Arial (Body)" w:cs="Arial"/>
                <w:b/>
                <w:color w:val="265A9A"/>
                <w:sz w:val="18"/>
                <w:lang w:eastAsia="en-AU"/>
              </w:rPr>
            </w:pPr>
          </w:p>
        </w:tc>
        <w:tc>
          <w:tcPr>
            <w:tcW w:w="2696" w:type="dxa"/>
            <w:gridSpan w:val="2"/>
            <w:tcBorders>
              <w:bottom w:val="single" w:sz="4" w:space="0" w:color="B3B3B3"/>
            </w:tcBorders>
            <w:noWrap/>
            <w:vAlign w:val="bottom"/>
            <w:hideMark/>
          </w:tcPr>
          <w:p w14:paraId="3C031C77" w14:textId="2B5733B3" w:rsidR="00E34AF3" w:rsidRPr="00582384" w:rsidRDefault="00E34AF3" w:rsidP="00E34AF3">
            <w:pPr>
              <w:spacing w:before="45" w:after="45" w:line="240" w:lineRule="auto"/>
              <w:ind w:left="57" w:right="108"/>
              <w:jc w:val="center"/>
              <w:rPr>
                <w:rFonts w:ascii="Arial (Body)" w:eastAsia="Times New Roman" w:hAnsi="Arial (Body)" w:cs="Arial"/>
                <w:b/>
                <w:color w:val="265A9A"/>
                <w:sz w:val="18"/>
                <w:lang w:eastAsia="en-AU"/>
              </w:rPr>
            </w:pPr>
            <w:r w:rsidRPr="00582384">
              <w:rPr>
                <w:rFonts w:ascii="Arial (Body)" w:eastAsia="Times New Roman" w:hAnsi="Arial (Body)" w:cs="Arial"/>
                <w:b/>
                <w:color w:val="265A9A"/>
                <w:sz w:val="18"/>
                <w:lang w:eastAsia="en-AU"/>
              </w:rPr>
              <w:t>Best case</w:t>
            </w:r>
          </w:p>
        </w:tc>
        <w:tc>
          <w:tcPr>
            <w:tcW w:w="2548" w:type="dxa"/>
            <w:gridSpan w:val="2"/>
            <w:tcBorders>
              <w:bottom w:val="single" w:sz="4" w:space="0" w:color="B3B3B3"/>
            </w:tcBorders>
            <w:noWrap/>
            <w:vAlign w:val="bottom"/>
            <w:hideMark/>
          </w:tcPr>
          <w:p w14:paraId="2ED8184E" w14:textId="41D0C69F" w:rsidR="00E34AF3" w:rsidRPr="00582384" w:rsidRDefault="00E34AF3" w:rsidP="00E34AF3">
            <w:pPr>
              <w:spacing w:before="45" w:after="45" w:line="240" w:lineRule="auto"/>
              <w:ind w:left="57" w:right="108"/>
              <w:jc w:val="center"/>
              <w:rPr>
                <w:rFonts w:ascii="Arial (Body)" w:eastAsia="Times New Roman" w:hAnsi="Arial (Body)" w:cs="Arial"/>
                <w:b/>
                <w:color w:val="265A9A"/>
                <w:sz w:val="18"/>
                <w:lang w:eastAsia="en-AU"/>
              </w:rPr>
            </w:pPr>
            <w:r w:rsidRPr="00582384">
              <w:rPr>
                <w:rFonts w:ascii="Arial (Body)" w:eastAsia="Times New Roman" w:hAnsi="Arial (Body)" w:cs="Arial"/>
                <w:b/>
                <w:color w:val="265A9A"/>
                <w:sz w:val="18"/>
                <w:lang w:eastAsia="en-AU"/>
              </w:rPr>
              <w:t>Base case</w:t>
            </w:r>
          </w:p>
        </w:tc>
        <w:tc>
          <w:tcPr>
            <w:tcW w:w="2621" w:type="dxa"/>
            <w:gridSpan w:val="2"/>
            <w:tcBorders>
              <w:bottom w:val="single" w:sz="4" w:space="0" w:color="B3B3B3"/>
            </w:tcBorders>
            <w:noWrap/>
            <w:vAlign w:val="bottom"/>
            <w:hideMark/>
          </w:tcPr>
          <w:p w14:paraId="039FC48B" w14:textId="1DF8365A" w:rsidR="00E34AF3" w:rsidRPr="00582384" w:rsidRDefault="00E34AF3" w:rsidP="00E34AF3">
            <w:pPr>
              <w:spacing w:before="45" w:after="45" w:line="240" w:lineRule="auto"/>
              <w:ind w:left="57" w:right="108"/>
              <w:jc w:val="center"/>
              <w:rPr>
                <w:rFonts w:ascii="Arial (Body)" w:eastAsia="Times New Roman" w:hAnsi="Arial (Body)" w:cs="Arial"/>
                <w:b/>
                <w:color w:val="265A9A"/>
                <w:sz w:val="18"/>
                <w:lang w:eastAsia="en-AU"/>
              </w:rPr>
            </w:pPr>
            <w:r w:rsidRPr="00582384">
              <w:rPr>
                <w:rFonts w:ascii="Arial (Body)" w:eastAsia="Times New Roman" w:hAnsi="Arial (Body)" w:cs="Arial"/>
                <w:b/>
                <w:color w:val="265A9A"/>
                <w:sz w:val="18"/>
                <w:lang w:eastAsia="en-AU"/>
              </w:rPr>
              <w:t>Worst case</w:t>
            </w:r>
          </w:p>
        </w:tc>
      </w:tr>
      <w:tr w:rsidR="001969CD" w:rsidRPr="00912D12" w14:paraId="38921046" w14:textId="77777777" w:rsidTr="00D3059C">
        <w:trPr>
          <w:trHeight w:val="250"/>
          <w:tblHeader/>
        </w:trPr>
        <w:tc>
          <w:tcPr>
            <w:tcW w:w="1699" w:type="dxa"/>
            <w:tcBorders>
              <w:bottom w:val="single" w:sz="4" w:space="0" w:color="B3B3B3"/>
            </w:tcBorders>
            <w:shd w:val="clear" w:color="auto" w:fill="F2F2F2" w:themeFill="background1" w:themeFillShade="F2"/>
            <w:noWrap/>
            <w:vAlign w:val="bottom"/>
          </w:tcPr>
          <w:p w14:paraId="3A8F587F" w14:textId="27FD60CE" w:rsidR="00E34AF3" w:rsidRPr="00582384" w:rsidRDefault="00657E7C">
            <w:pPr>
              <w:spacing w:before="45" w:after="45" w:line="240" w:lineRule="auto"/>
              <w:ind w:left="57" w:right="108"/>
              <w:rPr>
                <w:rFonts w:ascii="Arial (Body)" w:eastAsia="Times New Roman" w:hAnsi="Arial (Body)" w:cs="Arial"/>
                <w:b/>
                <w:color w:val="265A9A"/>
                <w:sz w:val="18"/>
                <w:lang w:eastAsia="en-AU"/>
              </w:rPr>
            </w:pPr>
            <w:r w:rsidRPr="00582384">
              <w:rPr>
                <w:rFonts w:ascii="Arial (Body)" w:eastAsia="Times New Roman" w:hAnsi="Arial (Body)" w:cs="Arial"/>
                <w:b/>
                <w:color w:val="265A9A"/>
                <w:sz w:val="18"/>
                <w:lang w:eastAsia="en-AU"/>
              </w:rPr>
              <w:t>Discount rate</w:t>
            </w:r>
          </w:p>
        </w:tc>
        <w:tc>
          <w:tcPr>
            <w:tcW w:w="1309" w:type="dxa"/>
            <w:tcBorders>
              <w:bottom w:val="single" w:sz="4" w:space="0" w:color="B3B3B3"/>
            </w:tcBorders>
            <w:shd w:val="clear" w:color="auto" w:fill="F2F2F2" w:themeFill="background1" w:themeFillShade="F2"/>
            <w:noWrap/>
            <w:vAlign w:val="bottom"/>
          </w:tcPr>
          <w:p w14:paraId="2842E418" w14:textId="2BFA98E4" w:rsidR="00E34AF3" w:rsidRPr="004742C8" w:rsidRDefault="007F0B29" w:rsidP="00030887">
            <w:pPr>
              <w:spacing w:before="45" w:after="45" w:line="240" w:lineRule="auto"/>
              <w:ind w:left="57" w:right="108"/>
              <w:jc w:val="right"/>
              <w:rPr>
                <w:rFonts w:ascii="Arial (Body)" w:eastAsia="Times New Roman" w:hAnsi="Arial (Body)" w:cs="Arial"/>
                <w:b/>
                <w:color w:val="265A9A"/>
                <w:sz w:val="18"/>
                <w:vertAlign w:val="superscript"/>
                <w:lang w:eastAsia="en-AU"/>
              </w:rPr>
            </w:pPr>
            <w:proofErr w:type="spellStart"/>
            <w:r>
              <w:rPr>
                <w:rFonts w:ascii="Arial (Body)" w:eastAsia="Times New Roman" w:hAnsi="Arial (Body)" w:cs="Arial"/>
                <w:b/>
                <w:color w:val="265A9A"/>
                <w:sz w:val="18"/>
                <w:lang w:eastAsia="en-AU"/>
              </w:rPr>
              <w:t>Probability</w:t>
            </w:r>
            <w:r w:rsidR="00CF7EEC">
              <w:rPr>
                <w:rFonts w:ascii="Arial (Body)" w:eastAsia="Times New Roman" w:hAnsi="Arial (Body)" w:cs="Arial"/>
                <w:b/>
                <w:color w:val="265A9A"/>
                <w:sz w:val="18"/>
                <w:vertAlign w:val="superscript"/>
                <w:lang w:eastAsia="en-AU"/>
              </w:rPr>
              <w:t>a</w:t>
            </w:r>
            <w:proofErr w:type="spellEnd"/>
          </w:p>
        </w:tc>
        <w:tc>
          <w:tcPr>
            <w:tcW w:w="1387" w:type="dxa"/>
            <w:tcBorders>
              <w:bottom w:val="single" w:sz="4" w:space="0" w:color="B3B3B3"/>
            </w:tcBorders>
            <w:shd w:val="clear" w:color="auto" w:fill="F2F2F2" w:themeFill="background1" w:themeFillShade="F2"/>
          </w:tcPr>
          <w:p w14:paraId="29352C09" w14:textId="72F558CB" w:rsidR="00E34AF3" w:rsidRPr="00582384" w:rsidRDefault="007F0B29" w:rsidP="00030887">
            <w:pPr>
              <w:spacing w:before="45" w:after="45" w:line="240" w:lineRule="auto"/>
              <w:ind w:left="57" w:right="108"/>
              <w:jc w:val="right"/>
              <w:rPr>
                <w:rFonts w:ascii="Arial (Body)" w:eastAsia="Times New Roman" w:hAnsi="Arial (Body)" w:cs="Arial"/>
                <w:b/>
                <w:color w:val="265A9A"/>
                <w:sz w:val="18"/>
                <w:lang w:eastAsia="en-AU"/>
              </w:rPr>
            </w:pPr>
            <w:proofErr w:type="spellStart"/>
            <w:r>
              <w:rPr>
                <w:rFonts w:ascii="Arial (Body)" w:eastAsia="Times New Roman" w:hAnsi="Arial (Body)" w:cs="Arial"/>
                <w:b/>
                <w:color w:val="265A9A"/>
                <w:sz w:val="18"/>
                <w:lang w:eastAsia="en-AU"/>
              </w:rPr>
              <w:t>Frequency</w:t>
            </w:r>
            <w:r w:rsidR="00CF7EEC" w:rsidRPr="004742C8">
              <w:rPr>
                <w:rFonts w:ascii="Arial (Body)" w:eastAsia="Times New Roman" w:hAnsi="Arial (Body)" w:cs="Arial"/>
                <w:b/>
                <w:color w:val="265A9A"/>
                <w:sz w:val="18"/>
                <w:vertAlign w:val="superscript"/>
                <w:lang w:eastAsia="en-AU"/>
              </w:rPr>
              <w:t>b</w:t>
            </w:r>
            <w:proofErr w:type="spellEnd"/>
          </w:p>
        </w:tc>
        <w:tc>
          <w:tcPr>
            <w:tcW w:w="1234" w:type="dxa"/>
            <w:tcBorders>
              <w:bottom w:val="single" w:sz="4" w:space="0" w:color="B3B3B3"/>
            </w:tcBorders>
            <w:shd w:val="clear" w:color="auto" w:fill="F2F2F2" w:themeFill="background1" w:themeFillShade="F2"/>
            <w:noWrap/>
            <w:vAlign w:val="bottom"/>
          </w:tcPr>
          <w:p w14:paraId="77E71B66" w14:textId="215C9BD9" w:rsidR="00E34AF3" w:rsidRPr="00582384" w:rsidRDefault="007F0B29" w:rsidP="00030887">
            <w:pPr>
              <w:spacing w:before="45" w:after="45" w:line="240" w:lineRule="auto"/>
              <w:ind w:left="57" w:right="108"/>
              <w:jc w:val="right"/>
              <w:rPr>
                <w:rFonts w:ascii="Arial (Body)" w:eastAsia="Times New Roman" w:hAnsi="Arial (Body)" w:cs="Arial"/>
                <w:b/>
                <w:color w:val="265A9A"/>
                <w:sz w:val="18"/>
                <w:lang w:eastAsia="en-AU"/>
              </w:rPr>
            </w:pPr>
            <w:r>
              <w:rPr>
                <w:rFonts w:ascii="Arial (Body)" w:eastAsia="Times New Roman" w:hAnsi="Arial (Body)" w:cs="Arial"/>
                <w:b/>
                <w:color w:val="265A9A"/>
                <w:sz w:val="18"/>
                <w:lang w:eastAsia="en-AU"/>
              </w:rPr>
              <w:t>Probability</w:t>
            </w:r>
          </w:p>
        </w:tc>
        <w:tc>
          <w:tcPr>
            <w:tcW w:w="1314" w:type="dxa"/>
            <w:tcBorders>
              <w:bottom w:val="single" w:sz="4" w:space="0" w:color="B3B3B3"/>
            </w:tcBorders>
            <w:shd w:val="clear" w:color="auto" w:fill="F2F2F2" w:themeFill="background1" w:themeFillShade="F2"/>
          </w:tcPr>
          <w:p w14:paraId="781318DA" w14:textId="795EE86B" w:rsidR="00E34AF3" w:rsidRPr="00582384" w:rsidRDefault="002057E8" w:rsidP="00030887">
            <w:pPr>
              <w:spacing w:before="45" w:after="45" w:line="240" w:lineRule="auto"/>
              <w:ind w:left="57" w:right="108"/>
              <w:jc w:val="right"/>
              <w:rPr>
                <w:rFonts w:ascii="Arial (Body)" w:eastAsia="Times New Roman" w:hAnsi="Arial (Body)" w:cs="Arial"/>
                <w:b/>
                <w:color w:val="265A9A"/>
                <w:sz w:val="18"/>
                <w:lang w:eastAsia="en-AU"/>
              </w:rPr>
            </w:pPr>
            <w:r>
              <w:rPr>
                <w:rFonts w:ascii="Arial (Body)" w:eastAsia="Times New Roman" w:hAnsi="Arial (Body)" w:cs="Arial"/>
                <w:b/>
                <w:color w:val="265A9A"/>
                <w:sz w:val="18"/>
                <w:lang w:eastAsia="en-AU"/>
              </w:rPr>
              <w:t>Frequency</w:t>
            </w:r>
          </w:p>
        </w:tc>
        <w:tc>
          <w:tcPr>
            <w:tcW w:w="1310" w:type="dxa"/>
            <w:tcBorders>
              <w:bottom w:val="single" w:sz="4" w:space="0" w:color="B3B3B3"/>
            </w:tcBorders>
            <w:shd w:val="clear" w:color="auto" w:fill="F2F2F2" w:themeFill="background1" w:themeFillShade="F2"/>
            <w:noWrap/>
            <w:vAlign w:val="bottom"/>
          </w:tcPr>
          <w:p w14:paraId="0FAD6CB1" w14:textId="4D30B6E8" w:rsidR="00E34AF3" w:rsidRPr="00582384" w:rsidRDefault="007F0B29" w:rsidP="00030887">
            <w:pPr>
              <w:spacing w:before="45" w:after="45" w:line="240" w:lineRule="auto"/>
              <w:ind w:left="57" w:right="108"/>
              <w:jc w:val="right"/>
              <w:rPr>
                <w:rFonts w:ascii="Arial (Body)" w:eastAsia="Times New Roman" w:hAnsi="Arial (Body)" w:cs="Arial"/>
                <w:b/>
                <w:color w:val="265A9A"/>
                <w:sz w:val="18"/>
                <w:lang w:eastAsia="en-AU"/>
              </w:rPr>
            </w:pPr>
            <w:r>
              <w:rPr>
                <w:rFonts w:ascii="Arial (Body)" w:eastAsia="Times New Roman" w:hAnsi="Arial (Body)" w:cs="Arial"/>
                <w:b/>
                <w:color w:val="265A9A"/>
                <w:sz w:val="18"/>
                <w:lang w:eastAsia="en-AU"/>
              </w:rPr>
              <w:t>Probability</w:t>
            </w:r>
          </w:p>
        </w:tc>
        <w:tc>
          <w:tcPr>
            <w:tcW w:w="1311" w:type="dxa"/>
            <w:tcBorders>
              <w:bottom w:val="single" w:sz="4" w:space="0" w:color="B3B3B3"/>
            </w:tcBorders>
            <w:shd w:val="clear" w:color="auto" w:fill="F2F2F2" w:themeFill="background1" w:themeFillShade="F2"/>
          </w:tcPr>
          <w:p w14:paraId="0B2F81C5" w14:textId="351221DD" w:rsidR="00E34AF3" w:rsidRPr="00582384" w:rsidRDefault="002057E8" w:rsidP="00030887">
            <w:pPr>
              <w:spacing w:before="45" w:after="45" w:line="240" w:lineRule="auto"/>
              <w:ind w:left="57" w:right="108"/>
              <w:jc w:val="right"/>
              <w:rPr>
                <w:rFonts w:ascii="Arial (Body)" w:eastAsia="Times New Roman" w:hAnsi="Arial (Body)" w:cs="Arial"/>
                <w:b/>
                <w:color w:val="265A9A"/>
                <w:sz w:val="18"/>
                <w:lang w:eastAsia="en-AU"/>
              </w:rPr>
            </w:pPr>
            <w:r>
              <w:rPr>
                <w:rFonts w:ascii="Arial (Body)" w:eastAsia="Times New Roman" w:hAnsi="Arial (Body)" w:cs="Arial"/>
                <w:b/>
                <w:color w:val="265A9A"/>
                <w:sz w:val="18"/>
                <w:lang w:eastAsia="en-AU"/>
              </w:rPr>
              <w:t>Frequency</w:t>
            </w:r>
          </w:p>
        </w:tc>
      </w:tr>
      <w:tr w:rsidR="001969CD" w:rsidRPr="00912D12" w14:paraId="2B5F07E3" w14:textId="5705AED5" w:rsidTr="00D3059C">
        <w:trPr>
          <w:trHeight w:val="250"/>
        </w:trPr>
        <w:tc>
          <w:tcPr>
            <w:tcW w:w="1699" w:type="dxa"/>
            <w:tcBorders>
              <w:top w:val="single" w:sz="4" w:space="0" w:color="B3B3B3"/>
              <w:bottom w:val="nil"/>
            </w:tcBorders>
            <w:shd w:val="clear" w:color="auto" w:fill="FFFFFF" w:themeFill="background1"/>
            <w:noWrap/>
            <w:hideMark/>
          </w:tcPr>
          <w:p w14:paraId="666744BA" w14:textId="77777777" w:rsidR="00190CA3" w:rsidRPr="00454829" w:rsidRDefault="00190CA3">
            <w:pPr>
              <w:spacing w:before="45" w:after="45" w:line="240" w:lineRule="auto"/>
              <w:ind w:left="57" w:right="108"/>
              <w:rPr>
                <w:rFonts w:ascii="Arial (Body)" w:eastAsia="Times New Roman" w:hAnsi="Arial (Body)" w:cs="Arial"/>
                <w:bCs/>
                <w:sz w:val="18"/>
                <w:lang w:eastAsia="en-AU"/>
              </w:rPr>
            </w:pPr>
            <w:r w:rsidRPr="00454829">
              <w:rPr>
                <w:rFonts w:ascii="Arial (Body)" w:eastAsia="Times New Roman" w:hAnsi="Arial (Body)" w:cs="Arial"/>
                <w:bCs/>
                <w:sz w:val="18"/>
                <w:lang w:eastAsia="en-AU"/>
              </w:rPr>
              <w:t>2.5% discount rate</w:t>
            </w:r>
          </w:p>
        </w:tc>
        <w:tc>
          <w:tcPr>
            <w:tcW w:w="1309" w:type="dxa"/>
            <w:tcBorders>
              <w:top w:val="single" w:sz="4" w:space="0" w:color="B3B3B3"/>
              <w:bottom w:val="nil"/>
            </w:tcBorders>
            <w:shd w:val="clear" w:color="auto" w:fill="FFFFFF" w:themeFill="background1"/>
            <w:noWrap/>
            <w:vAlign w:val="bottom"/>
            <w:hideMark/>
          </w:tcPr>
          <w:p w14:paraId="22C473C8" w14:textId="1B89965D"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0.7%</w:t>
            </w:r>
          </w:p>
        </w:tc>
        <w:tc>
          <w:tcPr>
            <w:tcW w:w="1387" w:type="dxa"/>
            <w:tcBorders>
              <w:top w:val="single" w:sz="4" w:space="0" w:color="B3B3B3"/>
              <w:bottom w:val="nil"/>
            </w:tcBorders>
            <w:shd w:val="clear" w:color="auto" w:fill="FFFFFF" w:themeFill="background1"/>
            <w:vAlign w:val="bottom"/>
          </w:tcPr>
          <w:p w14:paraId="2B5F1A3C" w14:textId="60B813EB" w:rsidR="00E34AF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 xml:space="preserve">142 </w:t>
            </w:r>
          </w:p>
        </w:tc>
        <w:tc>
          <w:tcPr>
            <w:tcW w:w="1234" w:type="dxa"/>
            <w:tcBorders>
              <w:top w:val="single" w:sz="4" w:space="0" w:color="B3B3B3"/>
              <w:bottom w:val="nil"/>
            </w:tcBorders>
            <w:shd w:val="clear" w:color="auto" w:fill="FFFFFF" w:themeFill="background1"/>
            <w:noWrap/>
            <w:vAlign w:val="bottom"/>
            <w:hideMark/>
          </w:tcPr>
          <w:p w14:paraId="659A7BD2" w14:textId="349814B6"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1.2%</w:t>
            </w:r>
          </w:p>
        </w:tc>
        <w:tc>
          <w:tcPr>
            <w:tcW w:w="1314" w:type="dxa"/>
            <w:tcBorders>
              <w:top w:val="single" w:sz="4" w:space="0" w:color="B3B3B3"/>
              <w:bottom w:val="nil"/>
            </w:tcBorders>
            <w:shd w:val="clear" w:color="auto" w:fill="FFFFFF" w:themeFill="background1"/>
            <w:vAlign w:val="bottom"/>
          </w:tcPr>
          <w:p w14:paraId="168A1CA3" w14:textId="61E482C3" w:rsidR="00E34AF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85</w:t>
            </w:r>
          </w:p>
        </w:tc>
        <w:tc>
          <w:tcPr>
            <w:tcW w:w="1310" w:type="dxa"/>
            <w:tcBorders>
              <w:top w:val="single" w:sz="4" w:space="0" w:color="B3B3B3"/>
              <w:bottom w:val="nil"/>
            </w:tcBorders>
            <w:shd w:val="clear" w:color="auto" w:fill="FFFFFF" w:themeFill="background1"/>
            <w:noWrap/>
            <w:vAlign w:val="bottom"/>
            <w:hideMark/>
          </w:tcPr>
          <w:p w14:paraId="728D2205" w14:textId="44731915"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2.8%</w:t>
            </w:r>
          </w:p>
        </w:tc>
        <w:tc>
          <w:tcPr>
            <w:tcW w:w="1311" w:type="dxa"/>
            <w:tcBorders>
              <w:top w:val="single" w:sz="4" w:space="0" w:color="B3B3B3"/>
              <w:bottom w:val="nil"/>
            </w:tcBorders>
            <w:shd w:val="clear" w:color="auto" w:fill="FFFFFF" w:themeFill="background1"/>
            <w:vAlign w:val="bottom"/>
          </w:tcPr>
          <w:p w14:paraId="1118D8CB" w14:textId="13CD0C67" w:rsidR="00E34AF3" w:rsidRPr="001858BF" w:rsidRDefault="000416B6"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36</w:t>
            </w:r>
            <w:r w:rsidR="001858BF" w:rsidRPr="001858BF">
              <w:rPr>
                <w:rFonts w:ascii="Arial" w:hAnsi="Arial" w:cs="Arial"/>
                <w:color w:val="000000"/>
                <w:sz w:val="18"/>
                <w:szCs w:val="18"/>
              </w:rPr>
              <w:t xml:space="preserve"> </w:t>
            </w:r>
          </w:p>
        </w:tc>
      </w:tr>
      <w:tr w:rsidR="001969CD" w:rsidRPr="00912D12" w14:paraId="65DE4FCB" w14:textId="2AA6656E" w:rsidTr="00D3059C">
        <w:trPr>
          <w:trHeight w:val="250"/>
        </w:trPr>
        <w:tc>
          <w:tcPr>
            <w:tcW w:w="1699" w:type="dxa"/>
            <w:tcBorders>
              <w:top w:val="nil"/>
              <w:bottom w:val="nil"/>
            </w:tcBorders>
            <w:shd w:val="clear" w:color="auto" w:fill="F2F2F2" w:themeFill="background1" w:themeFillShade="F2"/>
            <w:noWrap/>
            <w:hideMark/>
          </w:tcPr>
          <w:p w14:paraId="77BE62DB" w14:textId="77777777" w:rsidR="00190CA3" w:rsidRPr="00454829" w:rsidRDefault="00190CA3">
            <w:pPr>
              <w:spacing w:before="45" w:after="45" w:line="240" w:lineRule="auto"/>
              <w:ind w:left="57" w:right="108"/>
              <w:rPr>
                <w:rFonts w:ascii="Arial (Body)" w:eastAsia="Times New Roman" w:hAnsi="Arial (Body)" w:cs="Arial"/>
                <w:bCs/>
                <w:sz w:val="18"/>
                <w:lang w:eastAsia="en-AU"/>
              </w:rPr>
            </w:pPr>
            <w:r w:rsidRPr="00454829">
              <w:rPr>
                <w:rFonts w:ascii="Arial (Body)" w:eastAsia="Times New Roman" w:hAnsi="Arial (Body)" w:cs="Arial"/>
                <w:bCs/>
                <w:sz w:val="18"/>
                <w:lang w:eastAsia="en-AU"/>
              </w:rPr>
              <w:t>5% discount rate</w:t>
            </w:r>
          </w:p>
        </w:tc>
        <w:tc>
          <w:tcPr>
            <w:tcW w:w="1309" w:type="dxa"/>
            <w:tcBorders>
              <w:top w:val="nil"/>
              <w:bottom w:val="nil"/>
            </w:tcBorders>
            <w:shd w:val="clear" w:color="auto" w:fill="F2F2F2" w:themeFill="background1" w:themeFillShade="F2"/>
            <w:noWrap/>
            <w:vAlign w:val="bottom"/>
            <w:hideMark/>
          </w:tcPr>
          <w:p w14:paraId="5DE37221" w14:textId="653A3A41"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1.2%</w:t>
            </w:r>
          </w:p>
        </w:tc>
        <w:tc>
          <w:tcPr>
            <w:tcW w:w="1387" w:type="dxa"/>
            <w:tcBorders>
              <w:top w:val="nil"/>
              <w:bottom w:val="nil"/>
            </w:tcBorders>
            <w:shd w:val="clear" w:color="auto" w:fill="F2F2F2" w:themeFill="background1" w:themeFillShade="F2"/>
            <w:vAlign w:val="bottom"/>
          </w:tcPr>
          <w:p w14:paraId="7470880F" w14:textId="22B3CEEF" w:rsidR="00E34AF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 xml:space="preserve">85 </w:t>
            </w:r>
          </w:p>
        </w:tc>
        <w:tc>
          <w:tcPr>
            <w:tcW w:w="1234" w:type="dxa"/>
            <w:tcBorders>
              <w:top w:val="nil"/>
              <w:bottom w:val="nil"/>
            </w:tcBorders>
            <w:shd w:val="clear" w:color="auto" w:fill="F2F2F2" w:themeFill="background1" w:themeFillShade="F2"/>
            <w:noWrap/>
            <w:vAlign w:val="bottom"/>
            <w:hideMark/>
          </w:tcPr>
          <w:p w14:paraId="799E3E84" w14:textId="56139519"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1.</w:t>
            </w:r>
            <w:r w:rsidR="001858BF" w:rsidRPr="001858BF">
              <w:rPr>
                <w:rFonts w:ascii="Arial" w:hAnsi="Arial" w:cs="Arial"/>
                <w:color w:val="000000"/>
                <w:sz w:val="18"/>
                <w:szCs w:val="18"/>
              </w:rPr>
              <w:t>8</w:t>
            </w:r>
            <w:r w:rsidRPr="001858BF">
              <w:rPr>
                <w:rFonts w:ascii="Arial" w:hAnsi="Arial" w:cs="Arial"/>
                <w:color w:val="000000"/>
                <w:sz w:val="18"/>
                <w:szCs w:val="18"/>
              </w:rPr>
              <w:t>%</w:t>
            </w:r>
          </w:p>
        </w:tc>
        <w:tc>
          <w:tcPr>
            <w:tcW w:w="1314" w:type="dxa"/>
            <w:tcBorders>
              <w:top w:val="nil"/>
              <w:bottom w:val="nil"/>
            </w:tcBorders>
            <w:shd w:val="clear" w:color="auto" w:fill="F2F2F2" w:themeFill="background1" w:themeFillShade="F2"/>
            <w:vAlign w:val="bottom"/>
          </w:tcPr>
          <w:p w14:paraId="45DB0CDD" w14:textId="3CDE4016" w:rsidR="00E34AF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55</w:t>
            </w:r>
          </w:p>
        </w:tc>
        <w:tc>
          <w:tcPr>
            <w:tcW w:w="1310" w:type="dxa"/>
            <w:tcBorders>
              <w:top w:val="nil"/>
              <w:bottom w:val="nil"/>
            </w:tcBorders>
            <w:shd w:val="clear" w:color="auto" w:fill="F2F2F2" w:themeFill="background1" w:themeFillShade="F2"/>
            <w:noWrap/>
            <w:vAlign w:val="bottom"/>
            <w:hideMark/>
          </w:tcPr>
          <w:p w14:paraId="46D148B0" w14:textId="06C67324"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3.</w:t>
            </w:r>
            <w:r w:rsidR="001858BF" w:rsidRPr="001858BF">
              <w:rPr>
                <w:rFonts w:ascii="Arial" w:hAnsi="Arial" w:cs="Arial"/>
                <w:color w:val="000000"/>
                <w:sz w:val="18"/>
                <w:szCs w:val="18"/>
              </w:rPr>
              <w:t>7</w:t>
            </w:r>
            <w:r w:rsidRPr="001858BF">
              <w:rPr>
                <w:rFonts w:ascii="Arial" w:hAnsi="Arial" w:cs="Arial"/>
                <w:color w:val="000000"/>
                <w:sz w:val="18"/>
                <w:szCs w:val="18"/>
              </w:rPr>
              <w:t>%</w:t>
            </w:r>
          </w:p>
        </w:tc>
        <w:tc>
          <w:tcPr>
            <w:tcW w:w="1311" w:type="dxa"/>
            <w:tcBorders>
              <w:top w:val="nil"/>
              <w:bottom w:val="nil"/>
            </w:tcBorders>
            <w:shd w:val="clear" w:color="auto" w:fill="F2F2F2" w:themeFill="background1" w:themeFillShade="F2"/>
            <w:vAlign w:val="bottom"/>
          </w:tcPr>
          <w:p w14:paraId="5F18F16D" w14:textId="05AFBF99" w:rsidR="00E34AF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 xml:space="preserve">27 </w:t>
            </w:r>
          </w:p>
        </w:tc>
      </w:tr>
      <w:tr w:rsidR="001969CD" w:rsidRPr="00912D12" w14:paraId="186DE4B1" w14:textId="79298CBF" w:rsidTr="00D3059C">
        <w:trPr>
          <w:trHeight w:val="250"/>
        </w:trPr>
        <w:tc>
          <w:tcPr>
            <w:tcW w:w="1699" w:type="dxa"/>
            <w:tcBorders>
              <w:bottom w:val="nil"/>
            </w:tcBorders>
            <w:shd w:val="clear" w:color="auto" w:fill="FFFFFF" w:themeFill="background1"/>
            <w:noWrap/>
            <w:hideMark/>
          </w:tcPr>
          <w:p w14:paraId="1CA80001" w14:textId="77777777" w:rsidR="00190CA3" w:rsidRPr="00454829" w:rsidRDefault="00190CA3">
            <w:pPr>
              <w:spacing w:before="45" w:after="45" w:line="240" w:lineRule="auto"/>
              <w:ind w:left="57" w:right="108"/>
              <w:rPr>
                <w:rFonts w:ascii="Arial (Body)" w:eastAsia="Times New Roman" w:hAnsi="Arial (Body)" w:cs="Arial"/>
                <w:bCs/>
                <w:sz w:val="18"/>
                <w:lang w:eastAsia="en-AU"/>
              </w:rPr>
            </w:pPr>
            <w:r w:rsidRPr="00454829">
              <w:rPr>
                <w:rFonts w:ascii="Arial (Body)" w:eastAsia="Times New Roman" w:hAnsi="Arial (Body)" w:cs="Arial"/>
                <w:bCs/>
                <w:sz w:val="18"/>
                <w:lang w:eastAsia="en-AU"/>
              </w:rPr>
              <w:t>7.5% discount rate</w:t>
            </w:r>
          </w:p>
        </w:tc>
        <w:tc>
          <w:tcPr>
            <w:tcW w:w="1309" w:type="dxa"/>
            <w:tcBorders>
              <w:bottom w:val="nil"/>
            </w:tcBorders>
            <w:shd w:val="clear" w:color="auto" w:fill="FFFFFF" w:themeFill="background1"/>
            <w:noWrap/>
            <w:vAlign w:val="bottom"/>
            <w:hideMark/>
          </w:tcPr>
          <w:p w14:paraId="7414F75C" w14:textId="769CB6B7"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1.</w:t>
            </w:r>
            <w:r w:rsidR="001858BF" w:rsidRPr="001858BF">
              <w:rPr>
                <w:rFonts w:ascii="Arial" w:hAnsi="Arial" w:cs="Arial"/>
                <w:color w:val="000000"/>
                <w:sz w:val="18"/>
                <w:szCs w:val="18"/>
              </w:rPr>
              <w:t>6</w:t>
            </w:r>
            <w:r w:rsidRPr="001858BF">
              <w:rPr>
                <w:rFonts w:ascii="Arial" w:hAnsi="Arial" w:cs="Arial"/>
                <w:color w:val="000000"/>
                <w:sz w:val="18"/>
                <w:szCs w:val="18"/>
              </w:rPr>
              <w:t>%</w:t>
            </w:r>
          </w:p>
        </w:tc>
        <w:tc>
          <w:tcPr>
            <w:tcW w:w="1387" w:type="dxa"/>
            <w:tcBorders>
              <w:bottom w:val="nil"/>
            </w:tcBorders>
            <w:shd w:val="clear" w:color="auto" w:fill="FFFFFF" w:themeFill="background1"/>
            <w:vAlign w:val="bottom"/>
          </w:tcPr>
          <w:p w14:paraId="7807F71B" w14:textId="58A34B28" w:rsidR="00E34AF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 xml:space="preserve">62 </w:t>
            </w:r>
          </w:p>
        </w:tc>
        <w:tc>
          <w:tcPr>
            <w:tcW w:w="1234" w:type="dxa"/>
            <w:tcBorders>
              <w:bottom w:val="nil"/>
            </w:tcBorders>
            <w:shd w:val="clear" w:color="auto" w:fill="FFFFFF" w:themeFill="background1"/>
            <w:noWrap/>
            <w:vAlign w:val="bottom"/>
            <w:hideMark/>
          </w:tcPr>
          <w:p w14:paraId="63626BD2" w14:textId="507D7AE4"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2.</w:t>
            </w:r>
            <w:r w:rsidR="001858BF" w:rsidRPr="001858BF">
              <w:rPr>
                <w:rFonts w:ascii="Arial" w:hAnsi="Arial" w:cs="Arial"/>
                <w:color w:val="000000"/>
                <w:sz w:val="18"/>
                <w:szCs w:val="18"/>
              </w:rPr>
              <w:t>4</w:t>
            </w:r>
            <w:r w:rsidRPr="001858BF">
              <w:rPr>
                <w:rFonts w:ascii="Arial" w:hAnsi="Arial" w:cs="Arial"/>
                <w:color w:val="000000"/>
                <w:sz w:val="18"/>
                <w:szCs w:val="18"/>
              </w:rPr>
              <w:t>%</w:t>
            </w:r>
          </w:p>
        </w:tc>
        <w:tc>
          <w:tcPr>
            <w:tcW w:w="1314" w:type="dxa"/>
            <w:tcBorders>
              <w:bottom w:val="nil"/>
            </w:tcBorders>
            <w:shd w:val="clear" w:color="auto" w:fill="FFFFFF" w:themeFill="background1"/>
            <w:vAlign w:val="bottom"/>
          </w:tcPr>
          <w:p w14:paraId="655DB6AD" w14:textId="53EB69C2" w:rsidR="00E34AF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42</w:t>
            </w:r>
          </w:p>
        </w:tc>
        <w:tc>
          <w:tcPr>
            <w:tcW w:w="1310" w:type="dxa"/>
            <w:tcBorders>
              <w:bottom w:val="nil"/>
            </w:tcBorders>
            <w:shd w:val="clear" w:color="auto" w:fill="FFFFFF" w:themeFill="background1"/>
            <w:noWrap/>
            <w:vAlign w:val="bottom"/>
            <w:hideMark/>
          </w:tcPr>
          <w:p w14:paraId="51CF4A9A" w14:textId="08F5F6E6"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4.</w:t>
            </w:r>
            <w:r w:rsidR="001858BF" w:rsidRPr="001858BF">
              <w:rPr>
                <w:rFonts w:ascii="Arial" w:hAnsi="Arial" w:cs="Arial"/>
                <w:color w:val="000000"/>
                <w:sz w:val="18"/>
                <w:szCs w:val="18"/>
              </w:rPr>
              <w:t>5</w:t>
            </w:r>
            <w:r w:rsidRPr="001858BF">
              <w:rPr>
                <w:rFonts w:ascii="Arial" w:hAnsi="Arial" w:cs="Arial"/>
                <w:color w:val="000000"/>
                <w:sz w:val="18"/>
                <w:szCs w:val="18"/>
              </w:rPr>
              <w:t>%</w:t>
            </w:r>
          </w:p>
        </w:tc>
        <w:tc>
          <w:tcPr>
            <w:tcW w:w="1311" w:type="dxa"/>
            <w:tcBorders>
              <w:bottom w:val="nil"/>
            </w:tcBorders>
            <w:shd w:val="clear" w:color="auto" w:fill="FFFFFF" w:themeFill="background1"/>
            <w:vAlign w:val="bottom"/>
          </w:tcPr>
          <w:p w14:paraId="696942EE" w14:textId="425600FC" w:rsidR="00E34AF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 xml:space="preserve">22 </w:t>
            </w:r>
          </w:p>
        </w:tc>
      </w:tr>
      <w:tr w:rsidR="001969CD" w:rsidRPr="00912D12" w14:paraId="4AADD8FC" w14:textId="7E5A7D15" w:rsidTr="00D3059C">
        <w:trPr>
          <w:trHeight w:val="250"/>
        </w:trPr>
        <w:tc>
          <w:tcPr>
            <w:tcW w:w="1699" w:type="dxa"/>
            <w:tcBorders>
              <w:top w:val="nil"/>
            </w:tcBorders>
            <w:shd w:val="clear" w:color="auto" w:fill="F2F2F2" w:themeFill="background1" w:themeFillShade="F2"/>
            <w:noWrap/>
            <w:hideMark/>
          </w:tcPr>
          <w:p w14:paraId="4AEB1F9C" w14:textId="77777777" w:rsidR="00190CA3" w:rsidRPr="00454829" w:rsidRDefault="00190CA3">
            <w:pPr>
              <w:spacing w:before="45" w:after="45" w:line="240" w:lineRule="auto"/>
              <w:ind w:left="57" w:right="108"/>
              <w:rPr>
                <w:rFonts w:ascii="Arial (Body)" w:eastAsia="Times New Roman" w:hAnsi="Arial (Body)" w:cs="Arial"/>
                <w:bCs/>
                <w:sz w:val="18"/>
                <w:lang w:eastAsia="en-AU"/>
              </w:rPr>
            </w:pPr>
            <w:r w:rsidRPr="00454829">
              <w:rPr>
                <w:rFonts w:ascii="Arial (Body)" w:eastAsia="Times New Roman" w:hAnsi="Arial (Body)" w:cs="Arial"/>
                <w:bCs/>
                <w:sz w:val="18"/>
                <w:lang w:eastAsia="en-AU"/>
              </w:rPr>
              <w:t>10% discount rate</w:t>
            </w:r>
          </w:p>
        </w:tc>
        <w:tc>
          <w:tcPr>
            <w:tcW w:w="1309" w:type="dxa"/>
            <w:tcBorders>
              <w:top w:val="nil"/>
            </w:tcBorders>
            <w:shd w:val="clear" w:color="auto" w:fill="F2F2F2" w:themeFill="background1" w:themeFillShade="F2"/>
            <w:noWrap/>
            <w:vAlign w:val="bottom"/>
            <w:hideMark/>
          </w:tcPr>
          <w:p w14:paraId="39287E30" w14:textId="5838A579" w:rsidR="00190CA3" w:rsidRPr="001858BF" w:rsidRDefault="00190CA3"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2.</w:t>
            </w:r>
            <w:r w:rsidR="001858BF" w:rsidRPr="001858BF">
              <w:rPr>
                <w:rFonts w:ascii="Arial" w:hAnsi="Arial" w:cs="Arial"/>
                <w:color w:val="000000"/>
                <w:sz w:val="18"/>
                <w:szCs w:val="18"/>
              </w:rPr>
              <w:t>0</w:t>
            </w:r>
            <w:r w:rsidRPr="001858BF">
              <w:rPr>
                <w:rFonts w:ascii="Arial" w:hAnsi="Arial" w:cs="Arial"/>
                <w:color w:val="000000"/>
                <w:sz w:val="18"/>
                <w:szCs w:val="18"/>
              </w:rPr>
              <w:t>%</w:t>
            </w:r>
          </w:p>
        </w:tc>
        <w:tc>
          <w:tcPr>
            <w:tcW w:w="1387" w:type="dxa"/>
            <w:tcBorders>
              <w:top w:val="nil"/>
            </w:tcBorders>
            <w:shd w:val="clear" w:color="auto" w:fill="F2F2F2" w:themeFill="background1" w:themeFillShade="F2"/>
            <w:vAlign w:val="bottom"/>
          </w:tcPr>
          <w:p w14:paraId="5156B61B" w14:textId="6F40413A" w:rsidR="00E34AF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 xml:space="preserve">49 </w:t>
            </w:r>
          </w:p>
        </w:tc>
        <w:tc>
          <w:tcPr>
            <w:tcW w:w="1234" w:type="dxa"/>
            <w:tcBorders>
              <w:top w:val="nil"/>
            </w:tcBorders>
            <w:shd w:val="clear" w:color="auto" w:fill="F2F2F2" w:themeFill="background1" w:themeFillShade="F2"/>
            <w:noWrap/>
            <w:vAlign w:val="bottom"/>
            <w:hideMark/>
          </w:tcPr>
          <w:p w14:paraId="617DBB19" w14:textId="1AAE5A72" w:rsidR="00190CA3" w:rsidRPr="001858BF" w:rsidRDefault="001858BF" w:rsidP="00030887">
            <w:pPr>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2.9</w:t>
            </w:r>
            <w:r w:rsidR="00190CA3" w:rsidRPr="001858BF">
              <w:rPr>
                <w:rFonts w:ascii="Arial" w:hAnsi="Arial" w:cs="Arial"/>
                <w:color w:val="000000"/>
                <w:sz w:val="18"/>
                <w:szCs w:val="18"/>
              </w:rPr>
              <w:t>%</w:t>
            </w:r>
          </w:p>
        </w:tc>
        <w:tc>
          <w:tcPr>
            <w:tcW w:w="1314" w:type="dxa"/>
            <w:tcBorders>
              <w:top w:val="nil"/>
            </w:tcBorders>
            <w:shd w:val="clear" w:color="auto" w:fill="F2F2F2" w:themeFill="background1" w:themeFillShade="F2"/>
            <w:vAlign w:val="bottom"/>
          </w:tcPr>
          <w:p w14:paraId="4F6AC1A3" w14:textId="13D52312" w:rsidR="00E34AF3" w:rsidRPr="001858BF" w:rsidRDefault="001858BF" w:rsidP="00030887">
            <w:pPr>
              <w:keepNext/>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34</w:t>
            </w:r>
          </w:p>
        </w:tc>
        <w:tc>
          <w:tcPr>
            <w:tcW w:w="1310" w:type="dxa"/>
            <w:tcBorders>
              <w:top w:val="nil"/>
            </w:tcBorders>
            <w:shd w:val="clear" w:color="auto" w:fill="F2F2F2" w:themeFill="background1" w:themeFillShade="F2"/>
            <w:noWrap/>
            <w:vAlign w:val="bottom"/>
            <w:hideMark/>
          </w:tcPr>
          <w:p w14:paraId="2F7F88BF" w14:textId="3E01F44D" w:rsidR="00190CA3" w:rsidRPr="001858BF" w:rsidRDefault="00190CA3" w:rsidP="00030887">
            <w:pPr>
              <w:keepNext/>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5.</w:t>
            </w:r>
            <w:r w:rsidR="001858BF" w:rsidRPr="001858BF">
              <w:rPr>
                <w:rFonts w:ascii="Arial" w:hAnsi="Arial" w:cs="Arial"/>
                <w:color w:val="000000"/>
                <w:sz w:val="18"/>
                <w:szCs w:val="18"/>
              </w:rPr>
              <w:t>3</w:t>
            </w:r>
            <w:r w:rsidRPr="001858BF">
              <w:rPr>
                <w:rFonts w:ascii="Arial" w:hAnsi="Arial" w:cs="Arial"/>
                <w:color w:val="000000"/>
                <w:sz w:val="18"/>
                <w:szCs w:val="18"/>
              </w:rPr>
              <w:t>%</w:t>
            </w:r>
          </w:p>
        </w:tc>
        <w:tc>
          <w:tcPr>
            <w:tcW w:w="1311" w:type="dxa"/>
            <w:tcBorders>
              <w:top w:val="nil"/>
            </w:tcBorders>
            <w:shd w:val="clear" w:color="auto" w:fill="F2F2F2" w:themeFill="background1" w:themeFillShade="F2"/>
            <w:vAlign w:val="bottom"/>
          </w:tcPr>
          <w:p w14:paraId="3B97F50F" w14:textId="7870AA6C" w:rsidR="00E34AF3" w:rsidRPr="001858BF" w:rsidRDefault="001858BF" w:rsidP="00030887">
            <w:pPr>
              <w:keepNext/>
              <w:spacing w:before="45" w:after="45" w:line="240" w:lineRule="auto"/>
              <w:ind w:left="57" w:right="108"/>
              <w:jc w:val="right"/>
              <w:rPr>
                <w:rFonts w:ascii="Arial (Body)" w:eastAsia="Times New Roman" w:hAnsi="Arial (Body)" w:cs="Arial"/>
                <w:color w:val="000000"/>
                <w:sz w:val="18"/>
                <w:szCs w:val="18"/>
                <w:lang w:eastAsia="en-AU"/>
              </w:rPr>
            </w:pPr>
            <w:r w:rsidRPr="001858BF">
              <w:rPr>
                <w:rFonts w:ascii="Arial" w:hAnsi="Arial" w:cs="Arial"/>
                <w:color w:val="000000"/>
                <w:sz w:val="18"/>
                <w:szCs w:val="18"/>
              </w:rPr>
              <w:t xml:space="preserve">19 </w:t>
            </w:r>
          </w:p>
        </w:tc>
      </w:tr>
    </w:tbl>
    <w:p w14:paraId="2D9E28FE" w14:textId="75A4E2D8" w:rsidR="005C3CB1" w:rsidRPr="00B75051" w:rsidRDefault="00B52BD0" w:rsidP="004742C8">
      <w:pPr>
        <w:pStyle w:val="Note"/>
      </w:pPr>
      <w:r w:rsidRPr="004742C8">
        <w:rPr>
          <w:b/>
        </w:rPr>
        <w:t>a</w:t>
      </w:r>
      <w:r w:rsidR="00CF7EEC">
        <w:rPr>
          <w:b/>
          <w:bCs/>
        </w:rPr>
        <w:t xml:space="preserve">. </w:t>
      </w:r>
      <w:r w:rsidR="00CF7EEC">
        <w:t xml:space="preserve">Probability of event occurring </w:t>
      </w:r>
      <w:proofErr w:type="gramStart"/>
      <w:r w:rsidR="00CF7EEC">
        <w:t>in a given year</w:t>
      </w:r>
      <w:proofErr w:type="gramEnd"/>
      <w:r w:rsidR="00CF7EEC">
        <w:t xml:space="preserve"> </w:t>
      </w:r>
      <w:r w:rsidR="00CF7EEC">
        <w:rPr>
          <w:b/>
          <w:bCs/>
        </w:rPr>
        <w:t>b.</w:t>
      </w:r>
      <w:r w:rsidR="00CF7EEC">
        <w:t xml:space="preserve"> </w:t>
      </w:r>
      <w:r w:rsidR="00B75051">
        <w:t>Frequency is</w:t>
      </w:r>
      <w:r w:rsidR="00513F8F">
        <w:t xml:space="preserve"> how often (in years) an event would need to occur</w:t>
      </w:r>
      <w:r w:rsidR="0020401D">
        <w:t xml:space="preserve">. </w:t>
      </w:r>
      <w:r w:rsidR="006666C0">
        <w:t>For example,</w:t>
      </w:r>
      <w:r w:rsidR="0020401D">
        <w:t xml:space="preserve"> ‘</w:t>
      </w:r>
      <w:r w:rsidR="00E47C85">
        <w:t>8</w:t>
      </w:r>
      <w:r w:rsidR="0020401D">
        <w:t>3</w:t>
      </w:r>
      <w:r w:rsidR="00BD6EFF">
        <w:t xml:space="preserve">’ means event would need </w:t>
      </w:r>
      <w:r w:rsidR="00E47C85">
        <w:t>t</w:t>
      </w:r>
      <w:r w:rsidR="00BD6EFF">
        <w:t xml:space="preserve">o occur once every </w:t>
      </w:r>
      <w:r w:rsidR="00E47C85">
        <w:t>8</w:t>
      </w:r>
      <w:r w:rsidR="00BD6EFF">
        <w:t>3 years.</w:t>
      </w:r>
    </w:p>
    <w:p w14:paraId="0A6A0DF9" w14:textId="17DA2831" w:rsidR="00190CA3" w:rsidRDefault="00190CA3" w:rsidP="00971D9B">
      <w:pPr>
        <w:pStyle w:val="Source"/>
      </w:pPr>
      <w:r>
        <w:t xml:space="preserve">Source: </w:t>
      </w:r>
      <w:r w:rsidR="008A5DB3">
        <w:t>PC</w:t>
      </w:r>
      <w:r>
        <w:t xml:space="preserve"> calculations.</w:t>
      </w:r>
    </w:p>
    <w:p w14:paraId="50480542" w14:textId="77777777" w:rsidR="001E6E43" w:rsidRPr="00C051E5" w:rsidRDefault="001E6E43" w:rsidP="000251A5">
      <w:pPr>
        <w:pStyle w:val="ListNumber"/>
        <w:keepNext/>
        <w:rPr>
          <w:b/>
        </w:rPr>
      </w:pPr>
      <w:r w:rsidRPr="00C051E5">
        <w:rPr>
          <w:b/>
        </w:rPr>
        <w:t>Did the cost</w:t>
      </w:r>
      <w:r w:rsidRPr="00C051E5">
        <w:rPr>
          <w:b/>
        </w:rPr>
        <w:noBreakHyphen/>
        <w:t>benefit analysis include assessment of potential risks from reallocating resources?</w:t>
      </w:r>
    </w:p>
    <w:p w14:paraId="75FE8C31" w14:textId="6B519326" w:rsidR="001E6E43" w:rsidRPr="0027116F" w:rsidRDefault="001E6E43" w:rsidP="001E6E43">
      <w:pPr>
        <w:pStyle w:val="BodyText"/>
        <w:rPr>
          <w:spacing w:val="-4"/>
        </w:rPr>
      </w:pPr>
      <w:r w:rsidRPr="0027116F">
        <w:rPr>
          <w:spacing w:val="-4"/>
        </w:rPr>
        <w:t>Not applicable. This question is most relevant to club goods and domestic production.</w:t>
      </w:r>
      <w:r w:rsidR="007256A4" w:rsidRPr="0027116F">
        <w:rPr>
          <w:spacing w:val="-4"/>
        </w:rPr>
        <w:t xml:space="preserve"> While stockpiling would involve some level of resource reallocation, it is likely to be small compared with industry</w:t>
      </w:r>
      <w:r w:rsidR="00D25956" w:rsidRPr="0027116F">
        <w:rPr>
          <w:spacing w:val="-4"/>
        </w:rPr>
        <w:noBreakHyphen/>
      </w:r>
      <w:r w:rsidR="007256A4" w:rsidRPr="0027116F">
        <w:rPr>
          <w:spacing w:val="-4"/>
        </w:rPr>
        <w:t>wide interventions.</w:t>
      </w:r>
    </w:p>
    <w:p w14:paraId="41551E20" w14:textId="77777777" w:rsidR="001E6E43" w:rsidRPr="00343F22" w:rsidRDefault="001E6E43" w:rsidP="001E6E43">
      <w:pPr>
        <w:pStyle w:val="ListNumber"/>
        <w:keepNext/>
        <w:rPr>
          <w:b/>
          <w:bCs/>
        </w:rPr>
      </w:pPr>
      <w:r w:rsidRPr="00343F22">
        <w:rPr>
          <w:b/>
          <w:bCs/>
        </w:rPr>
        <w:t>Were the overall benefits of the measure estimated to be greater than costs at a reasonable implied frequency of disruption?</w:t>
      </w:r>
    </w:p>
    <w:p w14:paraId="797181DF" w14:textId="77777777" w:rsidR="001E6E43" w:rsidRDefault="001E6E43" w:rsidP="001E6E43">
      <w:pPr>
        <w:pStyle w:val="BodyText"/>
      </w:pPr>
      <w:r>
        <w:t>Further data would be required to determine whether the above implied frequency is reasonable. If the implied frequency of disruption is higher than suggested by the risk appetite of the community, policy makers might feel additionally confident that it was a risk management measure worth undertaking.</w:t>
      </w:r>
      <w:r w:rsidRPr="00B262DF">
        <w:rPr>
          <w:rStyle w:val="FootnoteReference"/>
        </w:rPr>
        <w:footnoteReference w:id="15"/>
      </w:r>
    </w:p>
    <w:p w14:paraId="12903676" w14:textId="77777777" w:rsidR="001E6E43" w:rsidRPr="006C36CE" w:rsidRDefault="001E6E43" w:rsidP="001E6E43">
      <w:pPr>
        <w:pStyle w:val="ListNumber"/>
        <w:rPr>
          <w:b/>
          <w:bCs/>
        </w:rPr>
      </w:pPr>
      <w:r w:rsidRPr="006C36CE">
        <w:rPr>
          <w:b/>
          <w:bCs/>
        </w:rPr>
        <w:t>Will the policy be subject to periodic review?</w:t>
      </w:r>
    </w:p>
    <w:p w14:paraId="4185F674" w14:textId="77777777" w:rsidR="001E6E43" w:rsidRPr="0027116F" w:rsidRDefault="001E6E43" w:rsidP="001E6E43">
      <w:pPr>
        <w:pStyle w:val="BodyText"/>
        <w:rPr>
          <w:spacing w:val="-4"/>
        </w:rPr>
      </w:pPr>
      <w:r w:rsidRPr="0027116F">
        <w:rPr>
          <w:spacing w:val="-4"/>
        </w:rPr>
        <w:t>While only a hypothetical example, if this stockpile were adopted, regular review should be carried out to ensure estimated costs and uses of the stockpile are up to date and calibrated to the implied frequency of disruption.</w:t>
      </w:r>
    </w:p>
    <w:p w14:paraId="4B4C92B6" w14:textId="77777777" w:rsidR="001E6E43" w:rsidRPr="005E7433" w:rsidRDefault="001E6E43" w:rsidP="006526F8">
      <w:pPr>
        <w:pStyle w:val="Heading2"/>
      </w:pPr>
      <w:bookmarkStart w:id="83" w:name="_Toc195696930"/>
      <w:bookmarkStart w:id="84" w:name="_Toc210942154"/>
      <w:r>
        <w:t>Extending the framework to n</w:t>
      </w:r>
      <w:r w:rsidRPr="00E43614">
        <w:t>ational security</w:t>
      </w:r>
      <w:r>
        <w:t xml:space="preserve"> considerations</w:t>
      </w:r>
      <w:bookmarkEnd w:id="83"/>
      <w:bookmarkEnd w:id="84"/>
    </w:p>
    <w:p w14:paraId="53A53066" w14:textId="449D9C83" w:rsidR="001E6E43" w:rsidRPr="00004D18" w:rsidRDefault="001E6E43" w:rsidP="000251A5">
      <w:pPr>
        <w:pStyle w:val="BodyText"/>
      </w:pPr>
      <w:r w:rsidRPr="00004D18">
        <w:t>The supply chain risks considered in the preceding section can be thought of as being in the first class of risk events</w:t>
      </w:r>
      <w:r w:rsidR="009B7738">
        <w:t xml:space="preserve"> </w:t>
      </w:r>
      <w:r w:rsidR="00492B3E" w:rsidRPr="00492B3E">
        <w:t>–</w:t>
      </w:r>
      <w:r w:rsidRPr="00004D18">
        <w:t xml:space="preserve"> those that offer little advance </w:t>
      </w:r>
      <w:r w:rsidR="00307E1C">
        <w:t xml:space="preserve">notice </w:t>
      </w:r>
      <w:r w:rsidRPr="00004D18">
        <w:t>of their realisation. By contrast, some national security events can be thought of as being in the second class of risks</w:t>
      </w:r>
      <w:r w:rsidR="00883FAB">
        <w:t>:</w:t>
      </w:r>
      <w:r w:rsidRPr="00004D18">
        <w:t xml:space="preserve"> those tha</w:t>
      </w:r>
      <w:r>
        <w:t>t</w:t>
      </w:r>
      <w:r w:rsidRPr="00004D18">
        <w:t xml:space="preserve"> can arrive with some degree of forewarning, as </w:t>
      </w:r>
      <w:r>
        <w:t>forward indicators</w:t>
      </w:r>
      <w:r w:rsidRPr="00004D18">
        <w:t xml:space="preserve"> of the risk rise </w:t>
      </w:r>
      <w:r>
        <w:t>and fall</w:t>
      </w:r>
      <w:r w:rsidRPr="00004D18">
        <w:t xml:space="preserve"> over time.</w:t>
      </w:r>
    </w:p>
    <w:p w14:paraId="033EA28F" w14:textId="77777777" w:rsidR="001E6E43" w:rsidRPr="00004D18" w:rsidRDefault="001E6E43" w:rsidP="00525DB2">
      <w:pPr>
        <w:pStyle w:val="Heading4"/>
      </w:pPr>
      <w:r w:rsidRPr="00004D18">
        <w:t>An iterative risk assessment framework can be used to evaluate policy options</w:t>
      </w:r>
    </w:p>
    <w:p w14:paraId="14EEF1D6" w14:textId="77777777" w:rsidR="001E6E43" w:rsidRPr="00004D18" w:rsidRDefault="001E6E43" w:rsidP="000251A5">
      <w:pPr>
        <w:pStyle w:val="BodyText"/>
      </w:pPr>
      <w:r w:rsidRPr="00004D18">
        <w:t xml:space="preserve">A framework that iteratively updates the perceived likelihood of a feared risk event as new information </w:t>
      </w:r>
      <w:r>
        <w:t>be</w:t>
      </w:r>
      <w:r w:rsidRPr="00004D18">
        <w:t xml:space="preserve">comes </w:t>
      </w:r>
      <w:r>
        <w:t>available</w:t>
      </w:r>
      <w:r w:rsidRPr="00004D18">
        <w:t xml:space="preserve"> can be helpful in such cases. Investing in resilience measures that provide some option value allows countries to scale those resilience measures up and down as the perceived likelihood of the risk event rises and falls over time. This has the benefit of preserving resources for when investment in resilience measures is particularly relevant. It also provides flexibility for responses to national security risks that involve multi</w:t>
      </w:r>
      <w:r>
        <w:noBreakHyphen/>
      </w:r>
      <w:r w:rsidRPr="00004D18">
        <w:t>stage interactions between a range of actors, where the optimal response of a country will depend on the actions, responses and counter</w:t>
      </w:r>
      <w:r>
        <w:noBreakHyphen/>
      </w:r>
      <w:r w:rsidRPr="00004D18">
        <w:t>response</w:t>
      </w:r>
      <w:r>
        <w:t>s</w:t>
      </w:r>
      <w:r w:rsidRPr="00004D18">
        <w:t xml:space="preserve"> of others.</w:t>
      </w:r>
    </w:p>
    <w:p w14:paraId="2DC066D4" w14:textId="2F19F9B9" w:rsidR="001E6E43" w:rsidRDefault="001E6E43" w:rsidP="000251A5">
      <w:pPr>
        <w:pStyle w:val="BodyText"/>
      </w:pPr>
      <w:r w:rsidRPr="00004D18">
        <w:lastRenderedPageBreak/>
        <w:t>Countries traditionally seek to build resilience against national security</w:t>
      </w:r>
      <w:r>
        <w:noBreakHyphen/>
      </w:r>
      <w:r w:rsidRPr="00004D18">
        <w:t xml:space="preserve">related risks through a combination of domestic capabilities and international alliances, which can be viewed through the club goods lens explored in </w:t>
      </w:r>
      <w:r>
        <w:t>appendix</w:t>
      </w:r>
      <w:r w:rsidR="00D25956">
        <w:t> </w:t>
      </w:r>
      <w:r>
        <w:t>A</w:t>
      </w:r>
      <w:r w:rsidRPr="00004D18">
        <w:t xml:space="preserve">. </w:t>
      </w:r>
      <w:r>
        <w:t xml:space="preserve">In assessing the policy case for increased domestic capability in national security related sectors, </w:t>
      </w:r>
      <w:r w:rsidRPr="00004D18">
        <w:t xml:space="preserve">it </w:t>
      </w:r>
      <w:r>
        <w:t xml:space="preserve">can be </w:t>
      </w:r>
      <w:r w:rsidRPr="00004D18">
        <w:t xml:space="preserve">helpful to </w:t>
      </w:r>
      <w:r>
        <w:t>assess</w:t>
      </w:r>
      <w:r w:rsidRPr="00004D18">
        <w:t xml:space="preserve"> the extent to which domestic capabilities might be preferable to club good arrangements between allied countries. This can include assessing the extent to which Australia is able to develop that capability relative to other countries, whether that domestic capability could be delivered within a time frame that will help to mitigate the perceived threat</w:t>
      </w:r>
      <w:r>
        <w:t xml:space="preserve">, and whether other countries in the club may </w:t>
      </w:r>
      <w:r w:rsidR="00F674B4">
        <w:t>reverse</w:t>
      </w:r>
      <w:r>
        <w:t xml:space="preserve"> relevant policies</w:t>
      </w:r>
      <w:r w:rsidRPr="00004D18">
        <w:t xml:space="preserve">. </w:t>
      </w:r>
      <w:r>
        <w:t>For example, p</w:t>
      </w:r>
      <w:r w:rsidRPr="00004D18">
        <w:t xml:space="preserve">ursuing a domestic capability that requires </w:t>
      </w:r>
      <w:r w:rsidR="00117F97">
        <w:t>ten</w:t>
      </w:r>
      <w:r w:rsidRPr="00004D18">
        <w:t xml:space="preserve"> years to build, </w:t>
      </w:r>
      <w:r>
        <w:t>when the feared</w:t>
      </w:r>
      <w:r w:rsidRPr="00004D18">
        <w:t xml:space="preserve"> </w:t>
      </w:r>
      <w:r>
        <w:t xml:space="preserve">risk </w:t>
      </w:r>
      <w:r w:rsidRPr="00004D18">
        <w:t xml:space="preserve">event is </w:t>
      </w:r>
      <w:r>
        <w:t xml:space="preserve">judged to occur within the next </w:t>
      </w:r>
      <w:r w:rsidR="00117F97">
        <w:t>five</w:t>
      </w:r>
      <w:r>
        <w:t xml:space="preserve"> years</w:t>
      </w:r>
      <w:r w:rsidRPr="00004D18">
        <w:t>, is unlikely to be effective.</w:t>
      </w:r>
    </w:p>
    <w:p w14:paraId="49359374" w14:textId="77777777" w:rsidR="001E6E43" w:rsidRDefault="001E6E43" w:rsidP="00525DB2">
      <w:pPr>
        <w:pStyle w:val="Heading4"/>
      </w:pPr>
      <w:r>
        <w:t>And to consider value for money of intervention</w:t>
      </w:r>
    </w:p>
    <w:p w14:paraId="2766AB13" w14:textId="7D6059C6" w:rsidR="001E6E43" w:rsidRDefault="001E6E43" w:rsidP="000251A5">
      <w:pPr>
        <w:pStyle w:val="BodyText"/>
      </w:pPr>
      <w:r>
        <w:t>The preceding section demonstrated the way in which implied frequency of disruption estimates can be used to sense</w:t>
      </w:r>
      <w:r>
        <w:noBreakHyphen/>
        <w:t>check proposed resilience measures and to compare them with other available options. The same approach can be used to sense</w:t>
      </w:r>
      <w:r>
        <w:noBreakHyphen/>
        <w:t xml:space="preserve">check proposed domestic capabilities </w:t>
      </w:r>
      <w:r w:rsidR="00BC6FAA">
        <w:t>for</w:t>
      </w:r>
      <w:r>
        <w:t xml:space="preserve"> some national security events. This can be done by comparing the cost of a proposed resilience measure to the expected cost of a damaging event, and </w:t>
      </w:r>
      <w:proofErr w:type="gramStart"/>
      <w:r>
        <w:t>assuming that</w:t>
      </w:r>
      <w:proofErr w:type="gramEnd"/>
      <w:r>
        <w:t xml:space="preserve"> a country would rationally invest up to the cost of the event to avoid it.</w:t>
      </w:r>
    </w:p>
    <w:p w14:paraId="28BDBAE4" w14:textId="1B4EF31E" w:rsidR="001E6E43" w:rsidRDefault="001E6E43" w:rsidP="000251A5">
      <w:pPr>
        <w:pStyle w:val="BodyText"/>
      </w:pPr>
      <w:r>
        <w:t xml:space="preserve">For example, if the expected cost of a </w:t>
      </w:r>
      <w:r w:rsidRPr="00004D18">
        <w:t>high</w:t>
      </w:r>
      <w:r>
        <w:t xml:space="preserve"> impact event was $10 billion over a chosen timeline, and a country was willing to spend up to $1 billion over that timeline to avoid it, the implied probability of the event over that chosen timeline </w:t>
      </w:r>
      <w:r w:rsidR="00A40509">
        <w:t>c</w:t>
      </w:r>
      <w:r>
        <w:t>ould be</w:t>
      </w:r>
      <w:r w:rsidR="00A40509">
        <w:t xml:space="preserve"> taken to</w:t>
      </w:r>
      <w:r>
        <w:t xml:space="preserve"> be 10</w:t>
      </w:r>
      <w:r w:rsidRPr="00004D18">
        <w:t>%.</w:t>
      </w:r>
    </w:p>
    <w:p w14:paraId="11B77F25" w14:textId="77777777" w:rsidR="001E6E43" w:rsidRPr="00525DB2" w:rsidRDefault="001E6E43" w:rsidP="00525DB2">
      <w:pPr>
        <w:pStyle w:val="Heading4"/>
      </w:pPr>
      <w:r w:rsidRPr="00525DB2">
        <w:t>The level of risk tolerance is a societal decision</w:t>
      </w:r>
    </w:p>
    <w:p w14:paraId="47955867" w14:textId="77777777" w:rsidR="001E6E43" w:rsidRDefault="001E6E43" w:rsidP="000251A5">
      <w:pPr>
        <w:pStyle w:val="BodyText"/>
      </w:pPr>
      <w:r w:rsidRPr="005C7CF5">
        <w:t>As with</w:t>
      </w:r>
      <w:r>
        <w:t xml:space="preserve"> supply chain resilience measures,</w:t>
      </w:r>
      <w:r w:rsidRPr="005C7CF5">
        <w:t xml:space="preserve"> th</w:t>
      </w:r>
      <w:r>
        <w:t>e</w:t>
      </w:r>
      <w:r w:rsidRPr="005C7CF5">
        <w:t xml:space="preserve"> framework does not identify when a government should pursue national security</w:t>
      </w:r>
      <w:r>
        <w:noBreakHyphen/>
      </w:r>
      <w:r w:rsidRPr="005C7CF5">
        <w:t>related spending. Such decisions reflect judgements of social risk tolerance, which are decisions for the broader community, through elected governments.</w:t>
      </w:r>
    </w:p>
    <w:p w14:paraId="476D3678" w14:textId="7EA830F2" w:rsidR="001E6E43" w:rsidRDefault="001E6E43" w:rsidP="000251A5">
      <w:pPr>
        <w:pStyle w:val="BodyText"/>
      </w:pPr>
      <w:r>
        <w:t>This is made particularly stark by differentiating between two different kinds of national security related events</w:t>
      </w:r>
      <w:r w:rsidR="00183563">
        <w:t xml:space="preserve"> – </w:t>
      </w:r>
      <w:r>
        <w:t>the first damaging, the second existential. An example of a damaging event would be the kind of cyber</w:t>
      </w:r>
      <w:r>
        <w:noBreakHyphen/>
        <w:t xml:space="preserve">attack by a state actor which imposes costs on a country but does not threaten its existence as a sovereign state. By contrast an existential event is one that can come with high loss of life, or which threatens the sovereignty of the state. In other words, a damaging event is </w:t>
      </w:r>
      <w:r w:rsidRPr="00004D18">
        <w:t>one</w:t>
      </w:r>
      <w:r>
        <w:t xml:space="preserve"> that can be recovered from over time, whereas the existential event is one that permanently alters a society.</w:t>
      </w:r>
    </w:p>
    <w:p w14:paraId="43CF6545" w14:textId="77777777" w:rsidR="001E6E43" w:rsidRDefault="001E6E43" w:rsidP="000251A5">
      <w:pPr>
        <w:pStyle w:val="BodyText"/>
      </w:pPr>
      <w:r>
        <w:t>E</w:t>
      </w:r>
      <w:r w:rsidRPr="005C7CF5">
        <w:t xml:space="preserve">xistential national security events </w:t>
      </w:r>
      <w:r>
        <w:t>are</w:t>
      </w:r>
      <w:r w:rsidRPr="005C7CF5">
        <w:t xml:space="preserve"> so costly to society that it might be that governments are willing to invest in their avoidance even if there is a very small chance of them occurring.</w:t>
      </w:r>
      <w:r>
        <w:t xml:space="preserve"> </w:t>
      </w:r>
      <w:r w:rsidRPr="005C7CF5">
        <w:t xml:space="preserve">Even low probability events </w:t>
      </w:r>
      <w:r>
        <w:t>might be judged</w:t>
      </w:r>
      <w:r w:rsidRPr="005C7CF5">
        <w:t xml:space="preserve"> worth </w:t>
      </w:r>
      <w:r>
        <w:t>insuring against</w:t>
      </w:r>
      <w:r w:rsidRPr="005C7CF5">
        <w:t xml:space="preserve"> if their expected costs are very high, as can be the case with existential national security events. </w:t>
      </w:r>
      <w:r>
        <w:t>The same might apply to damaging events that have particularly acute impacts on human health, such as disruptions to the operation of medical support systems.</w:t>
      </w:r>
      <w:r w:rsidRPr="005C7CF5">
        <w:t xml:space="preserve"> </w:t>
      </w:r>
    </w:p>
    <w:p w14:paraId="066CF371" w14:textId="0006680B" w:rsidR="001E6E43" w:rsidRDefault="001E6E43" w:rsidP="000251A5">
      <w:pPr>
        <w:pStyle w:val="BodyText"/>
      </w:pPr>
      <w:r w:rsidRPr="00004D18">
        <w:t>Nevertheless, this framework does help to provide a sense</w:t>
      </w:r>
      <w:r>
        <w:noBreakHyphen/>
      </w:r>
      <w:r w:rsidRPr="00004D18">
        <w:t xml:space="preserve">check of proposed spending decisions for the degree to </w:t>
      </w:r>
      <w:r w:rsidR="00717BED">
        <w:t>which</w:t>
      </w:r>
      <w:r w:rsidRPr="00004D18">
        <w:t xml:space="preserve"> they are consistent with those chosen risk tolerance levels. Such estimates allow policy makers to then reflect on the perceived likelihood of such a</w:t>
      </w:r>
      <w:r>
        <w:t xml:space="preserve"> disruption</w:t>
      </w:r>
      <w:r w:rsidRPr="00004D18">
        <w:t>, and society’s willingness to bear it, and to subsequently judge whether that is a cost</w:t>
      </w:r>
      <w:r>
        <w:noBreakHyphen/>
      </w:r>
      <w:r w:rsidRPr="00004D18">
        <w:t xml:space="preserve">effective insurance policy to take out against it. </w:t>
      </w:r>
    </w:p>
    <w:p w14:paraId="59A87DBB" w14:textId="21D417B6" w:rsidR="001E6E43" w:rsidRDefault="001E6E43" w:rsidP="000251A5">
      <w:pPr>
        <w:pStyle w:val="BodyText"/>
      </w:pPr>
      <w:r w:rsidRPr="00004D18">
        <w:t xml:space="preserve">The same logic can be used for the assessment of existential risks, though risk tolerance for such events is likely to be markedly lower than for damaging events. </w:t>
      </w:r>
      <w:r>
        <w:t>Rather than providing a blank cheque for any response to risks of a more existential nature, estimating their implied probability</w:t>
      </w:r>
      <w:r w:rsidRPr="00004D18">
        <w:t xml:space="preserve"> allows policy makers to</w:t>
      </w:r>
      <w:r>
        <w:t xml:space="preserve"> use a common metric to </w:t>
      </w:r>
      <w:r w:rsidRPr="00004D18">
        <w:t xml:space="preserve">compare alternative resilience measures. </w:t>
      </w:r>
      <w:r>
        <w:t>More cost</w:t>
      </w:r>
      <w:r w:rsidR="00D25956">
        <w:noBreakHyphen/>
      </w:r>
      <w:r>
        <w:t xml:space="preserve">effective measures will generally have a lower implied </w:t>
      </w:r>
      <w:r w:rsidR="0052713D">
        <w:t>probability</w:t>
      </w:r>
      <w:r>
        <w:t xml:space="preserve"> needed to justify the policy.</w:t>
      </w:r>
      <w:r w:rsidRPr="00004D18">
        <w:t xml:space="preserve"> This includes extensive diplomatic programs and </w:t>
      </w:r>
      <w:r w:rsidRPr="00004D18">
        <w:lastRenderedPageBreak/>
        <w:t xml:space="preserve">planning that can not only help to reduce the risk of national security </w:t>
      </w:r>
      <w:proofErr w:type="gramStart"/>
      <w:r w:rsidRPr="00004D18">
        <w:t>events, but</w:t>
      </w:r>
      <w:proofErr w:type="gramEnd"/>
      <w:r w:rsidRPr="00004D18">
        <w:t xml:space="preserve"> also help with iterative assessments of the likelihood of national security events in the future.</w:t>
      </w:r>
      <w:r w:rsidRPr="00B262DF">
        <w:rPr>
          <w:rStyle w:val="FootnoteReference"/>
        </w:rPr>
        <w:footnoteReference w:id="16"/>
      </w:r>
      <w:r w:rsidRPr="00004D18">
        <w:t xml:space="preserve"> </w:t>
      </w:r>
    </w:p>
    <w:p w14:paraId="6CF1F645" w14:textId="1595A1AB" w:rsidR="003E690B" w:rsidRPr="00004D18" w:rsidRDefault="00964058" w:rsidP="000251A5">
      <w:pPr>
        <w:pStyle w:val="BodyText"/>
      </w:pPr>
      <w:r w:rsidRPr="00004D18">
        <w:t xml:space="preserve">These considerations are set out in decision tree </w:t>
      </w:r>
      <w:r w:rsidR="00D2366B" w:rsidRPr="00004D18">
        <w:t>2B</w:t>
      </w:r>
      <w:r w:rsidRPr="00004D18">
        <w:t xml:space="preserve"> below</w:t>
      </w:r>
      <w:r w:rsidR="00D2366B" w:rsidRPr="00004D18">
        <w:t xml:space="preserve"> (</w:t>
      </w:r>
      <w:r w:rsidR="00F5248E">
        <w:t>figure</w:t>
      </w:r>
      <w:r w:rsidR="00D25956">
        <w:t> </w:t>
      </w:r>
      <w:r w:rsidR="00F5248E">
        <w:t>2.4</w:t>
      </w:r>
      <w:r w:rsidR="00D2366B" w:rsidRPr="00004D18">
        <w:t>)</w:t>
      </w:r>
      <w:r w:rsidR="004E72FB">
        <w:t>.</w:t>
      </w:r>
      <w:r>
        <w:t xml:space="preserve"> </w:t>
      </w:r>
    </w:p>
    <w:p w14:paraId="63EBE28F" w14:textId="407964EB" w:rsidR="00964058" w:rsidRPr="00146382" w:rsidRDefault="003E690B">
      <w:pPr>
        <w:pStyle w:val="FigureTableHeading"/>
      </w:pPr>
      <w:bookmarkStart w:id="85" w:name="_Ref198630442"/>
      <w:r>
        <w:t>Figure</w:t>
      </w:r>
      <w:r w:rsidR="00410C80">
        <w:t> </w:t>
      </w:r>
      <w:r w:rsidR="00C223E9">
        <w:fldChar w:fldCharType="begin"/>
      </w:r>
      <w:r w:rsidR="00C223E9">
        <w:instrText xml:space="preserve"> STYLEREF 1 \s </w:instrText>
      </w:r>
      <w:r w:rsidR="00C223E9">
        <w:fldChar w:fldCharType="separate"/>
      </w:r>
      <w:r w:rsidR="00E57184">
        <w:rPr>
          <w:noProof/>
        </w:rPr>
        <w:t>2</w:t>
      </w:r>
      <w:r w:rsidR="00C223E9">
        <w:rPr>
          <w:noProof/>
        </w:rPr>
        <w:fldChar w:fldCharType="end"/>
      </w:r>
      <w:r w:rsidR="008B1E25">
        <w:t>.</w:t>
      </w:r>
      <w:r w:rsidR="00C223E9">
        <w:fldChar w:fldCharType="begin"/>
      </w:r>
      <w:r w:rsidR="00C223E9">
        <w:instrText xml:space="preserve"> SEQ Figure \* ARABIC \s 1 </w:instrText>
      </w:r>
      <w:r w:rsidR="00C223E9">
        <w:fldChar w:fldCharType="separate"/>
      </w:r>
      <w:r w:rsidR="00E57184">
        <w:rPr>
          <w:noProof/>
        </w:rPr>
        <w:t>4</w:t>
      </w:r>
      <w:r w:rsidR="00C223E9">
        <w:rPr>
          <w:noProof/>
        </w:rPr>
        <w:fldChar w:fldCharType="end"/>
      </w:r>
      <w:bookmarkEnd w:id="85"/>
      <w:r>
        <w:rPr>
          <w:noProof/>
        </w:rPr>
        <w:t xml:space="preserve"> </w:t>
      </w:r>
      <w:r>
        <w:t>–</w:t>
      </w:r>
      <w:r w:rsidR="00E14121">
        <w:t xml:space="preserve"> </w:t>
      </w:r>
      <w:r w:rsidR="00E14121" w:rsidRPr="001679CF">
        <w:t>Decision tree 2</w:t>
      </w:r>
      <w:r w:rsidR="00E14121">
        <w:t>B</w:t>
      </w:r>
      <w:r w:rsidR="00E14121" w:rsidRPr="001679CF">
        <w:t xml:space="preserve">: Questions to assess possible policy responses to supply chain risks </w:t>
      </w:r>
      <w:r w:rsidR="00E14121">
        <w:t>using i</w:t>
      </w:r>
      <w:r w:rsidR="00964058" w:rsidRPr="00CD665C">
        <w:t xml:space="preserve">terative framework </w:t>
      </w:r>
      <w:r w:rsidR="001E6E33">
        <w:t>–</w:t>
      </w:r>
      <w:r w:rsidR="001131C4" w:rsidRPr="00CD665C">
        <w:t xml:space="preserve"> </w:t>
      </w:r>
      <w:r w:rsidR="00964058" w:rsidRPr="00CD665C">
        <w:t>for ‘advance notice’ risk events</w:t>
      </w:r>
    </w:p>
    <w:p w14:paraId="668B6F31" w14:textId="64F7D04B" w:rsidR="00BA4D94" w:rsidRDefault="00F06806" w:rsidP="00303151">
      <w:pPr>
        <w:pStyle w:val="BodyText"/>
      </w:pPr>
      <w:r w:rsidRPr="00F06806">
        <w:rPr>
          <w:noProof/>
        </w:rPr>
        <w:drawing>
          <wp:inline distT="0" distB="0" distL="0" distR="0" wp14:anchorId="06EF64F4" wp14:editId="48FB3608">
            <wp:extent cx="6120130" cy="5747385"/>
            <wp:effectExtent l="0" t="0" r="0" b="5715"/>
            <wp:docPr id="596274110" name="Picture 11" descr="A list of questions for policy makers to consider  &#10;&#10;Question 1. Will policy makers have forewarning of the risk event? &#10;&#10;Question 2. Can Australia develop the domestic resilience capability within the required time frame? &#10;&#10;Question 3. Could Australia access that capability through club goods style alliances or by stockpiling? &#10;&#10;Question 4. Is government intervention needed to drive the investment in domestic capability? &#10;&#10;Question 5. Will the cost of doing suggest a reasonable implied probability of the risk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74110" name="Picture 11" descr="A list of questions for policy makers to consider  &#10;&#10;Question 1. Will policy makers have forewarning of the risk event? &#10;&#10;Question 2. Can Australia develop the domestic resilience capability within the required time frame? &#10;&#10;Question 3. Could Australia access that capability through club goods style alliances or by stockpiling? &#10;&#10;Question 4. Is government intervention needed to drive the investment in domestic capability? &#10;&#10;Question 5. Will the cost of doing suggest a reasonable implied probability of the risk event?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5747385"/>
                    </a:xfrm>
                    <a:prstGeom prst="rect">
                      <a:avLst/>
                    </a:prstGeom>
                    <a:noFill/>
                    <a:ln>
                      <a:noFill/>
                    </a:ln>
                  </pic:spPr>
                </pic:pic>
              </a:graphicData>
            </a:graphic>
          </wp:inline>
        </w:drawing>
      </w:r>
    </w:p>
    <w:p w14:paraId="012DADE3" w14:textId="663FF9A0" w:rsidR="00BE274D" w:rsidRDefault="00BE274D">
      <w:pPr>
        <w:spacing w:before="0" w:after="160" w:line="259" w:lineRule="auto"/>
        <w:rPr>
          <w:b/>
          <w:bCs/>
        </w:rPr>
      </w:pPr>
      <w:r>
        <w:rPr>
          <w:b/>
          <w:bCs/>
        </w:rPr>
        <w:br w:type="page"/>
      </w:r>
    </w:p>
    <w:p w14:paraId="7E5AA496" w14:textId="5B5E26A3" w:rsidR="00964058" w:rsidRPr="006526F8" w:rsidRDefault="00964058" w:rsidP="006526F8">
      <w:pPr>
        <w:pStyle w:val="Heading2"/>
      </w:pPr>
      <w:bookmarkStart w:id="86" w:name="_Toc183785531"/>
      <w:bookmarkStart w:id="87" w:name="_Toc195696931"/>
      <w:bookmarkStart w:id="88" w:name="_Toc210942155"/>
      <w:r w:rsidRPr="00CF3514">
        <w:rPr>
          <w:noProof/>
        </w:rPr>
        <w:lastRenderedPageBreak/>
        <mc:AlternateContent>
          <mc:Choice Requires="wps">
            <w:drawing>
              <wp:anchor distT="0" distB="0" distL="114300" distR="114300" simplePos="0" relativeHeight="251658241" behindDoc="0" locked="0" layoutInCell="1" allowOverlap="1" wp14:anchorId="4DE984C2" wp14:editId="1296EF0B">
                <wp:simplePos x="0" y="0"/>
                <wp:positionH relativeFrom="column">
                  <wp:posOffset>12445191</wp:posOffset>
                </wp:positionH>
                <wp:positionV relativeFrom="paragraph">
                  <wp:posOffset>3410962</wp:posOffset>
                </wp:positionV>
                <wp:extent cx="588977" cy="306777"/>
                <wp:effectExtent l="0" t="0" r="0" b="0"/>
                <wp:wrapNone/>
                <wp:docPr id="1580235540" name="Rectangle 1"/>
                <wp:cNvGraphicFramePr/>
                <a:graphic xmlns:a="http://schemas.openxmlformats.org/drawingml/2006/main">
                  <a:graphicData uri="http://schemas.microsoft.com/office/word/2010/wordprocessingShape">
                    <wps:wsp>
                      <wps:cNvSpPr/>
                      <wps:spPr>
                        <a:xfrm>
                          <a:off x="0" y="0"/>
                          <a:ext cx="588977" cy="30677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97F528" w14:textId="77777777" w:rsidR="00964058" w:rsidRDefault="00964058" w:rsidP="00964058">
                            <w:pPr>
                              <w:kinsoku w:val="0"/>
                              <w:overflowPunct w:val="0"/>
                              <w:spacing w:line="256" w:lineRule="auto"/>
                              <w:jc w:val="center"/>
                              <w:textAlignment w:val="baseline"/>
                            </w:pPr>
                            <w:r>
                              <w:rPr>
                                <w:rFonts w:eastAsia="Arial" w:cs="Arial"/>
                                <w:color w:val="000000"/>
                                <w:kern w:val="24"/>
                                <w:sz w:val="18"/>
                                <w:szCs w:val="18"/>
                              </w:rPr>
                              <w:t>Likely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984C2" id="Rectangle 1" o:spid="_x0000_s1026" style="position:absolute;left:0;text-align:left;margin-left:979.95pt;margin-top:268.6pt;width:46.4pt;height:24.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" fillcolor="#d8d8d8 [2732]" stroked="f" strokeweight="1pt">
                <v:textbox>
                  <w:txbxContent>
                    <w:p w14:paraId="4D97F528" w14:textId="77777777" w:rsidR="00964058" w:rsidRDefault="00964058" w:rsidP="00964058">
                      <w:pPr>
                        <w:kinsoku w:val="0"/>
                        <w:overflowPunct w:val="0"/>
                        <w:spacing w:line="256" w:lineRule="auto"/>
                        <w:jc w:val="center"/>
                        <w:textAlignment w:val="baseline"/>
                      </w:pPr>
                      <w:r>
                        <w:rPr>
                          <w:rFonts w:eastAsia="Arial" w:cs="Arial"/>
                          <w:color w:val="000000"/>
                          <w:kern w:val="24"/>
                          <w:sz w:val="18"/>
                          <w:szCs w:val="18"/>
                        </w:rPr>
                        <w:t>Likely</w:t>
                      </w:r>
                    </w:p>
                  </w:txbxContent>
                </v:textbox>
              </v:rect>
            </w:pict>
          </mc:Fallback>
        </mc:AlternateContent>
      </w:r>
      <w:r w:rsidRPr="00CF3514">
        <w:rPr>
          <w:noProof/>
        </w:rPr>
        <mc:AlternateContent>
          <mc:Choice Requires="wps">
            <w:drawing>
              <wp:anchor distT="0" distB="0" distL="114300" distR="114300" simplePos="0" relativeHeight="251658240" behindDoc="0" locked="0" layoutInCell="1" allowOverlap="1" wp14:anchorId="435D2BA6" wp14:editId="6860510D">
                <wp:simplePos x="0" y="0"/>
                <wp:positionH relativeFrom="column">
                  <wp:posOffset>12291981</wp:posOffset>
                </wp:positionH>
                <wp:positionV relativeFrom="paragraph">
                  <wp:posOffset>3254187</wp:posOffset>
                </wp:positionV>
                <wp:extent cx="588977" cy="306777"/>
                <wp:effectExtent l="0" t="0" r="0" b="0"/>
                <wp:wrapNone/>
                <wp:docPr id="821212019" name="Rectangle 1"/>
                <wp:cNvGraphicFramePr/>
                <a:graphic xmlns:a="http://schemas.openxmlformats.org/drawingml/2006/main">
                  <a:graphicData uri="http://schemas.microsoft.com/office/word/2010/wordprocessingShape">
                    <wps:wsp>
                      <wps:cNvSpPr/>
                      <wps:spPr>
                        <a:xfrm>
                          <a:off x="0" y="0"/>
                          <a:ext cx="588977" cy="30677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36978C" w14:textId="77777777" w:rsidR="00964058" w:rsidRDefault="00964058" w:rsidP="00964058">
                            <w:pPr>
                              <w:kinsoku w:val="0"/>
                              <w:overflowPunct w:val="0"/>
                              <w:spacing w:line="256" w:lineRule="auto"/>
                              <w:jc w:val="center"/>
                              <w:textAlignment w:val="baseline"/>
                            </w:pPr>
                            <w:r>
                              <w:rPr>
                                <w:rFonts w:eastAsia="Arial" w:cs="Arial"/>
                                <w:color w:val="000000"/>
                                <w:kern w:val="24"/>
                                <w:sz w:val="18"/>
                                <w:szCs w:val="18"/>
                              </w:rPr>
                              <w:t>Likely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D2BA6" id="_x0000_s1027" style="position:absolute;left:0;text-align:left;margin-left:967.85pt;margin-top:256.25pt;width:46.4pt;height:24.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" fillcolor="#d8d8d8 [2732]" stroked="f" strokeweight="1pt">
                <v:textbox>
                  <w:txbxContent>
                    <w:p w14:paraId="2536978C" w14:textId="77777777" w:rsidR="00964058" w:rsidRDefault="00964058" w:rsidP="00964058">
                      <w:pPr>
                        <w:kinsoku w:val="0"/>
                        <w:overflowPunct w:val="0"/>
                        <w:spacing w:line="256" w:lineRule="auto"/>
                        <w:jc w:val="center"/>
                        <w:textAlignment w:val="baseline"/>
                      </w:pPr>
                      <w:r>
                        <w:rPr>
                          <w:rFonts w:eastAsia="Arial" w:cs="Arial"/>
                          <w:color w:val="000000"/>
                          <w:kern w:val="24"/>
                          <w:sz w:val="18"/>
                          <w:szCs w:val="18"/>
                        </w:rPr>
                        <w:t>Likely</w:t>
                      </w:r>
                    </w:p>
                  </w:txbxContent>
                </v:textbox>
              </v:rect>
            </w:pict>
          </mc:Fallback>
        </mc:AlternateContent>
      </w:r>
      <w:bookmarkStart w:id="89" w:name="_Toc183530088"/>
      <w:r w:rsidRPr="00525DB2">
        <w:t>Iterative risk framework case study: communications hardware</w:t>
      </w:r>
      <w:bookmarkEnd w:id="86"/>
      <w:bookmarkEnd w:id="87"/>
      <w:bookmarkEnd w:id="88"/>
      <w:bookmarkEnd w:id="89"/>
    </w:p>
    <w:p w14:paraId="76691D3A" w14:textId="535A6ADC" w:rsidR="00964058" w:rsidRDefault="00964058" w:rsidP="00964058">
      <w:pPr>
        <w:pStyle w:val="BodyText"/>
      </w:pPr>
      <w:r>
        <w:t xml:space="preserve">Digital technologies </w:t>
      </w:r>
      <w:r w:rsidR="00B9207E">
        <w:t>reach into almost</w:t>
      </w:r>
      <w:r>
        <w:t xml:space="preserve"> every </w:t>
      </w:r>
      <w:r w:rsidR="00B9207E">
        <w:t>corner</w:t>
      </w:r>
      <w:r>
        <w:t xml:space="preserve"> of modern life. While they have many benefits, our increasing reliance on them introduces risks. Cybercrimes and disruptions to telecommunications services have a variety of impacts on the community. They can result in direct financial costs including disruption to business operations, information loss, intellectual property theft, productivity loss and costs of repairs and security measures</w:t>
      </w:r>
      <w:r w:rsidR="0071417B">
        <w:t xml:space="preserve"> </w:t>
      </w:r>
      <w:r w:rsidR="0071417B">
        <w:fldChar w:fldCharType="begin"/>
      </w:r>
      <w:r w:rsidR="00ED6B7B">
        <w:instrText xml:space="preserve"> ADDIN ZOTERO_ITEM CSL_CITATION {"citationID":"1ppDb4Vk","properties":{"formattedCitation":"(Australian Government\\uc0\\u160{}2015)","plainCitation":"(Australian Government 2015)","noteIndex":0},"citationItems":[{"id":2674,"uris":["http://zotero.org/groups/5560192/items/DB9LZYV8"],"itemData":{"id":2674,"type":"report","title":"The cost of cybercrime to Australia","URL":"https://www.infrastructure.gov.au/sites/default/files/Cost%20of%20cybercrime_INFOGRAPHIC_WEB_published_08102015.pdf","author":[{"family":"Australian Government","given":""}],"issued":{"date-parts":[["2015"]]}}}],"schema":"https://github.com/citation-style-language/schema/raw/master/csl-citation.json"} </w:instrText>
      </w:r>
      <w:r w:rsidR="0071417B">
        <w:fldChar w:fldCharType="separate"/>
      </w:r>
      <w:r w:rsidR="0071417B" w:rsidRPr="008E5593">
        <w:rPr>
          <w:rFonts w:ascii="Arial" w:hAnsi="Arial" w:cs="Arial"/>
        </w:rPr>
        <w:t>(Australian Government 2015)</w:t>
      </w:r>
      <w:r w:rsidR="0071417B">
        <w:fldChar w:fldCharType="end"/>
      </w:r>
      <w:r w:rsidR="0071417B">
        <w:t>.</w:t>
      </w:r>
      <w:r>
        <w:t xml:space="preserve"> Major cybersecurity events can disrupt or even cripple critical infrastructure and government systems, such as power grids and healthcare services,</w:t>
      </w:r>
      <w:r w:rsidRPr="00B262DF">
        <w:rPr>
          <w:rStyle w:val="FootnoteReference"/>
        </w:rPr>
        <w:footnoteReference w:id="17"/>
      </w:r>
      <w:r>
        <w:t xml:space="preserve"> which can cause severe health and welfare impacts</w:t>
      </w:r>
      <w:r w:rsidR="000C35AF">
        <w:t xml:space="preserve"> </w:t>
      </w:r>
      <w:r w:rsidR="000C35AF">
        <w:fldChar w:fldCharType="begin"/>
      </w:r>
      <w:r w:rsidR="00ED6B7B">
        <w:instrText xml:space="preserve"> ADDIN ZOTERO_ITEM CSL_CITATION {"citationID":"pCbUnLPS","properties":{"formattedCitation":"(US Department of Commerce and US Department of Homeland Security\\uc0\\u160{}2022, p.\\uc0\\u160{}9)","plainCitation":"(US Department of Commerce and US Department of Homeland Security 2022, p. 9)","noteIndex":0},"citationItems":[{"id":2838,"uris":["http://zotero.org/groups/5560192/items/TCAHCTH2"],"itemData":{"id":2838,"type":"report","title":"Assessment of the critical supply chains supporting the US information and communications technology industry","URL":"https://pcgov.sharepoint.com/teams/Supplyresilience/LiteratureAndData/References%20and%20research%20-%20defence%20industry/US%20govt-%20ICT%20Supply%20Chain%20Assessment%20Report.pdf?CT=1729465381534&amp;OR=ItemsView","author":[{"literal":"United States Government Department of Commerce"},{"literal":"United States Government Department of Homeland Security"}],"translator":[{"literal":"US Department of Commerce"},{"literal":"US Department of Homeland Security"}],"issued":{"date-parts":[["2022",2,24]]}},"locator":"9","label":"page"}],"schema":"https://github.com/citation-style-language/schema/raw/master/csl-citation.json"} </w:instrText>
      </w:r>
      <w:r w:rsidR="000C35AF">
        <w:fldChar w:fldCharType="separate"/>
      </w:r>
      <w:r w:rsidR="000C35AF" w:rsidRPr="00265A2C">
        <w:rPr>
          <w:rFonts w:ascii="Arial" w:hAnsi="Arial" w:cs="Arial"/>
        </w:rPr>
        <w:t>(US Department of Commerce and US Department of Homeland Security 2022, p. 9)</w:t>
      </w:r>
      <w:r w:rsidR="000C35AF">
        <w:fldChar w:fldCharType="end"/>
      </w:r>
      <w:r w:rsidR="000C35AF">
        <w:t>.</w:t>
      </w:r>
      <w:r>
        <w:t xml:space="preserve"> </w:t>
      </w:r>
    </w:p>
    <w:p w14:paraId="39933B53" w14:textId="71472785" w:rsidR="00964058" w:rsidRDefault="00964058" w:rsidP="00964058">
      <w:pPr>
        <w:pStyle w:val="BodyText"/>
      </w:pPr>
      <w:r w:rsidRPr="001C0885">
        <w:t xml:space="preserve">A variety of tools can be used to address cybersecurity including increased training, </w:t>
      </w:r>
      <w:r>
        <w:t>air gapping,</w:t>
      </w:r>
      <w:r w:rsidR="00B34C13" w:rsidRPr="00B262DF">
        <w:rPr>
          <w:rStyle w:val="FootnoteReference"/>
        </w:rPr>
        <w:footnoteReference w:id="18"/>
      </w:r>
      <w:r w:rsidRPr="001C0885">
        <w:t xml:space="preserve"> </w:t>
      </w:r>
      <w:r>
        <w:t xml:space="preserve">encryption, and </w:t>
      </w:r>
      <w:r w:rsidRPr="001C0885">
        <w:t xml:space="preserve">threat monitoring </w:t>
      </w:r>
      <w:r>
        <w:t xml:space="preserve">and </w:t>
      </w:r>
      <w:r w:rsidRPr="001C0885">
        <w:t xml:space="preserve">detection. </w:t>
      </w:r>
      <w:r w:rsidR="00AE3B61">
        <w:t>In</w:t>
      </w:r>
      <w:r>
        <w:t xml:space="preserve"> the </w:t>
      </w:r>
      <w:r w:rsidR="00AE3B61">
        <w:t>case of</w:t>
      </w:r>
      <w:r>
        <w:t xml:space="preserve"> hardware, one intervention may be</w:t>
      </w:r>
      <w:r w:rsidRPr="001C0885">
        <w:t xml:space="preserve"> </w:t>
      </w:r>
      <w:r>
        <w:t xml:space="preserve">to ensure </w:t>
      </w:r>
      <w:r w:rsidR="00D24853">
        <w:t xml:space="preserve">the </w:t>
      </w:r>
      <w:r>
        <w:t xml:space="preserve">security of supply chains for products with security risks, such as </w:t>
      </w:r>
      <w:r w:rsidR="00D24853">
        <w:t xml:space="preserve">by </w:t>
      </w:r>
      <w:r>
        <w:t xml:space="preserve">producing particularly vulnerable hardware domestically, or only sourcing it from allied nations. </w:t>
      </w:r>
      <w:r w:rsidDel="00485442">
        <w:t>This example applies the</w:t>
      </w:r>
      <w:r w:rsidDel="009C6EF6">
        <w:t xml:space="preserve"> </w:t>
      </w:r>
      <w:r w:rsidDel="00485442">
        <w:t xml:space="preserve">framework </w:t>
      </w:r>
      <w:r>
        <w:t>presented</w:t>
      </w:r>
      <w:r w:rsidDel="00485442">
        <w:t xml:space="preserve"> in </w:t>
      </w:r>
      <w:r>
        <w:t xml:space="preserve">the preceding </w:t>
      </w:r>
      <w:r w:rsidDel="00485442">
        <w:t xml:space="preserve">section to </w:t>
      </w:r>
      <w:r>
        <w:t>risks that may arise from severe disruption due to insecure tele</w:t>
      </w:r>
      <w:r w:rsidDel="00485442">
        <w:t>communications hardware</w:t>
      </w:r>
      <w:r>
        <w:t xml:space="preserve"> supply chains</w:t>
      </w:r>
      <w:r w:rsidDel="00485442">
        <w:t xml:space="preserve">, </w:t>
      </w:r>
      <w:r w:rsidDel="00CF25EE">
        <w:t>to illustrate the application of the framework in a context where risks are assessed iteratively</w:t>
      </w:r>
      <w:r>
        <w:t>. While based on real</w:t>
      </w:r>
      <w:r w:rsidR="00410C80">
        <w:noBreakHyphen/>
      </w:r>
      <w:r>
        <w:t>world concerns, the situation, details of the technology</w:t>
      </w:r>
      <w:r w:rsidR="00943D69">
        <w:t>,</w:t>
      </w:r>
      <w:r>
        <w:t xml:space="preserve"> and the figures in this example are fictitious (</w:t>
      </w:r>
      <w:r w:rsidR="003401A7">
        <w:t>box</w:t>
      </w:r>
      <w:r w:rsidR="00D25956">
        <w:t> </w:t>
      </w:r>
      <w:r w:rsidR="003401A7">
        <w:t>2.3</w:t>
      </w:r>
      <w:r>
        <w:t xml:space="preserve">). </w:t>
      </w:r>
    </w:p>
    <w:p w14:paraId="60579F5D" w14:textId="77777777" w:rsidR="00964058" w:rsidRDefault="00964058" w:rsidP="00964058">
      <w:pPr>
        <w:pStyle w:val="NoSpacing"/>
      </w:pPr>
    </w:p>
    <w:tbl>
      <w:tblPr>
        <w:tblStyle w:val="Boxtable"/>
        <w:tblW w:w="5000" w:type="pct"/>
        <w:tblLook w:val="04A0" w:firstRow="1" w:lastRow="0" w:firstColumn="1" w:lastColumn="0" w:noHBand="0" w:noVBand="1"/>
      </w:tblPr>
      <w:tblGrid>
        <w:gridCol w:w="9638"/>
      </w:tblGrid>
      <w:tr w:rsidR="00964058" w14:paraId="67B8DBB2" w14:textId="77777777">
        <w:trPr>
          <w:tblHeader/>
        </w:trPr>
        <w:tc>
          <w:tcPr>
            <w:tcW w:w="9638" w:type="dxa"/>
            <w:shd w:val="clear" w:color="auto" w:fill="EBEBEB"/>
            <w:tcMar>
              <w:top w:w="170" w:type="dxa"/>
              <w:left w:w="170" w:type="dxa"/>
              <w:bottom w:w="113" w:type="dxa"/>
              <w:right w:w="170" w:type="dxa"/>
            </w:tcMar>
            <w:hideMark/>
          </w:tcPr>
          <w:p w14:paraId="1C89A62D" w14:textId="24FCB660" w:rsidR="00964058" w:rsidRDefault="00CD5534" w:rsidP="00C2642D">
            <w:pPr>
              <w:pStyle w:val="FigureTableHeading"/>
            </w:pPr>
            <w:bookmarkStart w:id="90" w:name="_Ref198630516"/>
            <w:r>
              <w:t xml:space="preserve">Box </w:t>
            </w:r>
            <w:r w:rsidR="00B36C83">
              <w:fldChar w:fldCharType="begin"/>
            </w:r>
            <w:r w:rsidR="00B36C83">
              <w:instrText xml:space="preserve"> STYLEREF 1 \s </w:instrText>
            </w:r>
            <w:r w:rsidR="00B36C83">
              <w:fldChar w:fldCharType="separate"/>
            </w:r>
            <w:r w:rsidR="00E57184">
              <w:rPr>
                <w:noProof/>
              </w:rPr>
              <w:t>2</w:t>
            </w:r>
            <w:r w:rsidR="00B36C83">
              <w:rPr>
                <w:noProof/>
              </w:rPr>
              <w:fldChar w:fldCharType="end"/>
            </w:r>
            <w:r>
              <w:t>.</w:t>
            </w:r>
            <w:r w:rsidR="00B36C83">
              <w:fldChar w:fldCharType="begin"/>
            </w:r>
            <w:r w:rsidR="00B36C83">
              <w:instrText xml:space="preserve"> SEQ Box \* ARABIC \s 1 </w:instrText>
            </w:r>
            <w:r w:rsidR="00B36C83">
              <w:fldChar w:fldCharType="separate"/>
            </w:r>
            <w:r w:rsidR="00E57184">
              <w:rPr>
                <w:noProof/>
              </w:rPr>
              <w:t>3</w:t>
            </w:r>
            <w:r w:rsidR="00B36C83">
              <w:rPr>
                <w:noProof/>
              </w:rPr>
              <w:fldChar w:fldCharType="end"/>
            </w:r>
            <w:bookmarkEnd w:id="90"/>
            <w:r w:rsidR="001E6E33">
              <w:rPr>
                <w:noProof/>
              </w:rPr>
              <w:t xml:space="preserve"> </w:t>
            </w:r>
            <w:r w:rsidR="00964058">
              <w:t>– Stylised scenario – ‘TeleWidget’</w:t>
            </w:r>
          </w:p>
        </w:tc>
      </w:tr>
      <w:tr w:rsidR="00964058" w14:paraId="21011703" w14:textId="77777777">
        <w:tc>
          <w:tcPr>
            <w:tcW w:w="9638" w:type="dxa"/>
            <w:shd w:val="clear" w:color="auto" w:fill="EBEBEB"/>
            <w:tcMar>
              <w:top w:w="28" w:type="dxa"/>
              <w:left w:w="170" w:type="dxa"/>
              <w:bottom w:w="170" w:type="dxa"/>
              <w:right w:w="170" w:type="dxa"/>
            </w:tcMar>
            <w:hideMark/>
          </w:tcPr>
          <w:p w14:paraId="39D12337" w14:textId="3FF1209D" w:rsidR="00964058" w:rsidRDefault="00964058">
            <w:pPr>
              <w:pStyle w:val="BodyText"/>
            </w:pPr>
            <w:r>
              <w:t xml:space="preserve">Countries A, B and C trade in a product </w:t>
            </w:r>
            <w:r w:rsidR="00C465E0">
              <w:t>called a</w:t>
            </w:r>
            <w:r>
              <w:t xml:space="preserve"> ‘TeleWidget’. A TeleWidget is a hardware product that is essential for telecommunications. It sits behind banking, healthcare, defence systems and others. The TeleWidget has three stages in its supply chain</w:t>
            </w:r>
            <w:r w:rsidR="003706E2">
              <w:t xml:space="preserve">: </w:t>
            </w:r>
            <w:r>
              <w:t xml:space="preserve">extraction and preparation of raw materials, manufacture, and distribution/export. </w:t>
            </w:r>
          </w:p>
          <w:p w14:paraId="2740CFDF" w14:textId="5A0D521A" w:rsidR="00964058" w:rsidRPr="008D1F77" w:rsidRDefault="00964058">
            <w:pPr>
              <w:pStyle w:val="BodyText"/>
              <w:rPr>
                <w:spacing w:val="-2"/>
              </w:rPr>
            </w:pPr>
            <w:r w:rsidRPr="008D1F77">
              <w:rPr>
                <w:spacing w:val="-2"/>
              </w:rPr>
              <w:t>Country A has a comparative and absolute advantage in all stages of the supply chain. Countries B and C completely rely on country A for TeleWidgets</w:t>
            </w:r>
            <w:r w:rsidR="006B5032" w:rsidRPr="008D1F77">
              <w:rPr>
                <w:spacing w:val="-2"/>
              </w:rPr>
              <w:t>,</w:t>
            </w:r>
            <w:r w:rsidRPr="008D1F77">
              <w:rPr>
                <w:spacing w:val="-2"/>
              </w:rPr>
              <w:t xml:space="preserve"> each buying 2,000,000 units a year at a cost of $60</w:t>
            </w:r>
            <w:r w:rsidR="0003057A" w:rsidRPr="008D1F77">
              <w:rPr>
                <w:spacing w:val="-2"/>
              </w:rPr>
              <w:t> </w:t>
            </w:r>
            <w:r w:rsidRPr="008D1F77">
              <w:rPr>
                <w:spacing w:val="-2"/>
              </w:rPr>
              <w:t>million. TeleWidget is a rapidly changing technology that is replaced with the newest model each year by users.</w:t>
            </w:r>
          </w:p>
          <w:p w14:paraId="7C735E26" w14:textId="1DEA830F" w:rsidR="00964058" w:rsidRDefault="00964058">
            <w:pPr>
              <w:pStyle w:val="BodyText"/>
            </w:pPr>
            <w:r>
              <w:t>C</w:t>
            </w:r>
            <w:r w:rsidRPr="008C0E72">
              <w:t xml:space="preserve">ountries B and C have identified risks with TeleWidgets from </w:t>
            </w:r>
            <w:r w:rsidR="00A37E4C">
              <w:t>C</w:t>
            </w:r>
            <w:r w:rsidRPr="008C0E72">
              <w:t>ountry A, suspecting vulnerabilities that could compromise their communications networks. They are considering solutions to mitigate this risk.</w:t>
            </w:r>
          </w:p>
          <w:p w14:paraId="70EFC439" w14:textId="4B7128EC" w:rsidR="00964058" w:rsidRDefault="00964058">
            <w:pPr>
              <w:pStyle w:val="BodyText"/>
            </w:pPr>
            <w:r>
              <w:t xml:space="preserve">Country B can produce raw materials at $30 per unit, but it would take </w:t>
            </w:r>
            <w:r w:rsidR="001A7D57">
              <w:t>two</w:t>
            </w:r>
            <w:r>
              <w:t xml:space="preserve"> years to develop capacity, and manufacturing costs are $35 per unit with a </w:t>
            </w:r>
            <w:r w:rsidR="001A7D57">
              <w:t>four</w:t>
            </w:r>
            <w:r w:rsidR="00D25956">
              <w:noBreakHyphen/>
            </w:r>
            <w:r>
              <w:t>year time</w:t>
            </w:r>
            <w:r w:rsidR="00410C80">
              <w:noBreakHyphen/>
            </w:r>
            <w:r>
              <w:t>to</w:t>
            </w:r>
            <w:r w:rsidR="00410C80">
              <w:noBreakHyphen/>
            </w:r>
            <w:r>
              <w:t xml:space="preserve">capability. Country C can manufacture TeleWidgets at $20 per unit within </w:t>
            </w:r>
            <w:r w:rsidR="001A7D57">
              <w:t>two</w:t>
            </w:r>
            <w:r>
              <w:t xml:space="preserve"> years, but raw materials cost $35 per unit and require </w:t>
            </w:r>
            <w:r w:rsidR="001A7D57">
              <w:t>four</w:t>
            </w:r>
            <w:r>
              <w:t xml:space="preserve"> years to develop. Another option is for </w:t>
            </w:r>
            <w:r w:rsidR="00E11D87">
              <w:t>c</w:t>
            </w:r>
            <w:r>
              <w:t>ountries B and C to collaborate to produce TeleWidgets at $50 per unit</w:t>
            </w:r>
            <w:r w:rsidR="00CF754C">
              <w:t xml:space="preserve"> (</w:t>
            </w:r>
            <w:r w:rsidR="00481F47">
              <w:t>see figure</w:t>
            </w:r>
            <w:r w:rsidR="00CF754C">
              <w:t>)</w:t>
            </w:r>
            <w:r>
              <w:t>.</w:t>
            </w:r>
          </w:p>
          <w:p w14:paraId="6B5A3B23" w14:textId="71EE6F2A" w:rsidR="00226F38" w:rsidRPr="008A7C64" w:rsidRDefault="00226F38" w:rsidP="00030887">
            <w:pPr>
              <w:pStyle w:val="BoxHeading2"/>
              <w:keepNext/>
              <w:rPr>
                <w:vertAlign w:val="superscript"/>
              </w:rPr>
            </w:pPr>
            <w:r>
              <w:lastRenderedPageBreak/>
              <w:t xml:space="preserve">Production costs in stylised </w:t>
            </w:r>
            <w:proofErr w:type="spellStart"/>
            <w:r>
              <w:t>TeleWidget</w:t>
            </w:r>
            <w:proofErr w:type="spellEnd"/>
            <w:r>
              <w:t xml:space="preserve"> </w:t>
            </w:r>
            <w:proofErr w:type="spellStart"/>
            <w:r>
              <w:t>example</w:t>
            </w:r>
            <w:r w:rsidR="00F172D6">
              <w:rPr>
                <w:vertAlign w:val="superscript"/>
              </w:rPr>
              <w:t>a</w:t>
            </w:r>
            <w:proofErr w:type="spellEnd"/>
          </w:p>
          <w:p w14:paraId="0F824D42" w14:textId="17A06CFA" w:rsidR="00964058" w:rsidRDefault="00067E03">
            <w:pPr>
              <w:pStyle w:val="Note"/>
              <w:keepLines/>
              <w:rPr>
                <w:b/>
                <w:bCs/>
              </w:rPr>
            </w:pPr>
            <w:r w:rsidRPr="00067E03">
              <w:rPr>
                <w:b/>
                <w:bCs/>
                <w:noProof/>
              </w:rPr>
              <w:drawing>
                <wp:inline distT="0" distB="0" distL="0" distR="0" wp14:anchorId="1B796D52" wp14:editId="29ED81FC">
                  <wp:extent cx="5988050" cy="2492375"/>
                  <wp:effectExtent l="0" t="0" r="0" b="3175"/>
                  <wp:docPr id="1964345044" name="Picture 9" descr="The figure shows the production costs for three hypothetical countries. Country A produces raw materials for the TeleWidget product at a price of $15 per unit and manufactures for $15. Country B supplies materials for $30 and manufacturers for $35. Finally, country C supplies materials for $35 and manufactures for $20. If countries B and C work together with B supplying materials and C manufacturing, they can produce at a unit cost of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45044" name="Picture 9" descr="The figure shows the production costs for three hypothetical countries. Country A produces raw materials for the TeleWidget product at a price of $15 per unit and manufactures for $15. Country B supplies materials for $30 and manufacturers for $35. Finally, country C supplies materials for $35 and manufactures for $20. If countries B and C work together with B supplying materials and C manufacturing, they can produce at a unit cost of $50.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8050" cy="2492375"/>
                          </a:xfrm>
                          <a:prstGeom prst="rect">
                            <a:avLst/>
                          </a:prstGeom>
                          <a:noFill/>
                          <a:ln>
                            <a:noFill/>
                          </a:ln>
                        </pic:spPr>
                      </pic:pic>
                    </a:graphicData>
                  </a:graphic>
                </wp:inline>
              </w:drawing>
            </w:r>
          </w:p>
          <w:p w14:paraId="14DA97E0" w14:textId="3A05C2AC" w:rsidR="00964058" w:rsidRDefault="00964058">
            <w:pPr>
              <w:pStyle w:val="Note"/>
              <w:keepLines/>
            </w:pPr>
            <w:r w:rsidRPr="00180E66">
              <w:rPr>
                <w:b/>
                <w:bCs/>
              </w:rPr>
              <w:t>a.</w:t>
            </w:r>
            <w:r>
              <w:t xml:space="preserve"> Transport costs in this example are </w:t>
            </w:r>
            <w:r w:rsidR="00E37C8F">
              <w:t>zero</w:t>
            </w:r>
            <w:r>
              <w:t xml:space="preserve"> for simplicity. </w:t>
            </w:r>
          </w:p>
        </w:tc>
      </w:tr>
      <w:tr w:rsidR="00964058" w14:paraId="456BB1F1" w14:textId="77777777">
        <w:trPr>
          <w:hidden/>
        </w:trPr>
        <w:tc>
          <w:tcPr>
            <w:tcW w:w="9638" w:type="dxa"/>
            <w:shd w:val="clear" w:color="auto" w:fill="auto"/>
            <w:tcMar>
              <w:top w:w="0" w:type="dxa"/>
              <w:left w:w="170" w:type="dxa"/>
              <w:bottom w:w="0" w:type="dxa"/>
              <w:right w:w="170" w:type="dxa"/>
            </w:tcMar>
          </w:tcPr>
          <w:p w14:paraId="41DC8F21" w14:textId="06BA4170" w:rsidR="00964058" w:rsidRPr="00465191" w:rsidRDefault="00964058">
            <w:pPr>
              <w:pStyle w:val="BodyText"/>
              <w:spacing w:before="0" w:after="0" w:line="80" w:lineRule="atLeast"/>
              <w:rPr>
                <w:smallCaps/>
                <w:vanish/>
              </w:rPr>
            </w:pPr>
          </w:p>
        </w:tc>
      </w:tr>
    </w:tbl>
    <w:p w14:paraId="28231800" w14:textId="77777777" w:rsidR="00E117C4" w:rsidRDefault="00E117C4" w:rsidP="006526F8">
      <w:pPr>
        <w:pStyle w:val="Heading3-noTOC"/>
      </w:pPr>
      <w:r>
        <w:t>Applying the first decision tree: the grounds for intervention</w:t>
      </w:r>
    </w:p>
    <w:p w14:paraId="655C7CDB" w14:textId="77777777" w:rsidR="00E117C4" w:rsidRPr="00312DE6" w:rsidRDefault="00E117C4" w:rsidP="001C0893">
      <w:pPr>
        <w:pStyle w:val="ListNumber"/>
        <w:numPr>
          <w:ilvl w:val="0"/>
          <w:numId w:val="23"/>
        </w:numPr>
        <w:rPr>
          <w:b/>
        </w:rPr>
      </w:pPr>
      <w:r w:rsidRPr="00312DE6">
        <w:rPr>
          <w:b/>
        </w:rPr>
        <w:t xml:space="preserve">Would a disruption to the services </w:t>
      </w:r>
      <w:r>
        <w:rPr>
          <w:b/>
        </w:rPr>
        <w:t>enabled by</w:t>
      </w:r>
      <w:r w:rsidRPr="007A744F">
        <w:rPr>
          <w:b/>
        </w:rPr>
        <w:t xml:space="preserve"> </w:t>
      </w:r>
      <w:r w:rsidRPr="00312DE6">
        <w:rPr>
          <w:b/>
        </w:rPr>
        <w:t>TeleWidget have serious welfare impacts on countries B and C?</w:t>
      </w:r>
    </w:p>
    <w:p w14:paraId="282EDAFE" w14:textId="77777777" w:rsidR="00E117C4" w:rsidRDefault="00E117C4" w:rsidP="00E117C4">
      <w:pPr>
        <w:pStyle w:val="BodyText"/>
      </w:pPr>
      <w:r>
        <w:t xml:space="preserve">Yes. TeleWidget enables essential services, sitting behind banking, healthcare, defence and telecommunications systems. </w:t>
      </w:r>
    </w:p>
    <w:p w14:paraId="2893F84C" w14:textId="77777777" w:rsidR="00E117C4" w:rsidRPr="00622C0C" w:rsidRDefault="00E117C4" w:rsidP="001C0893">
      <w:pPr>
        <w:pStyle w:val="ListNumber"/>
        <w:numPr>
          <w:ilvl w:val="0"/>
          <w:numId w:val="23"/>
        </w:numPr>
        <w:rPr>
          <w:b/>
          <w:bCs/>
        </w:rPr>
      </w:pPr>
      <w:r w:rsidRPr="00622C0C">
        <w:rPr>
          <w:b/>
          <w:bCs/>
        </w:rPr>
        <w:t>Are there any substitute goods that would be readily available in the event of a disruption?</w:t>
      </w:r>
    </w:p>
    <w:p w14:paraId="4FA95406" w14:textId="77777777" w:rsidR="00E117C4" w:rsidRDefault="00E117C4" w:rsidP="00E117C4">
      <w:pPr>
        <w:pStyle w:val="BodyText"/>
      </w:pPr>
      <w:r>
        <w:t>No. Both TeleWidget and the services it enables cannot be readily substituted. Despite being a capital good, and therefore not in principle one where supply disruption would be immediately damaging, TeleWidget poses a vulnerability because it can be exploited to disrupt the services that rely upon it.</w:t>
      </w:r>
    </w:p>
    <w:p w14:paraId="2E0950E8" w14:textId="77777777" w:rsidR="00E117C4" w:rsidRDefault="00E117C4" w:rsidP="001C0893">
      <w:pPr>
        <w:pStyle w:val="ListNumber"/>
        <w:numPr>
          <w:ilvl w:val="0"/>
          <w:numId w:val="23"/>
        </w:numPr>
        <w:rPr>
          <w:b/>
          <w:bCs/>
        </w:rPr>
      </w:pPr>
      <w:r w:rsidRPr="001D57D3">
        <w:rPr>
          <w:b/>
          <w:bCs/>
        </w:rPr>
        <w:t>Is there only a small number of producers of</w:t>
      </w:r>
      <w:r>
        <w:rPr>
          <w:b/>
          <w:bCs/>
        </w:rPr>
        <w:t xml:space="preserve"> TeleWidget?</w:t>
      </w:r>
    </w:p>
    <w:p w14:paraId="3671AF3F" w14:textId="77777777" w:rsidR="00E117C4" w:rsidRPr="009E73C9" w:rsidRDefault="00E117C4" w:rsidP="00E117C4">
      <w:pPr>
        <w:pStyle w:val="BodyText"/>
      </w:pPr>
      <w:r w:rsidRPr="009E73C9">
        <w:t>Yes</w:t>
      </w:r>
      <w:r>
        <w:t>. In this scenario there are only a small number of producers in country A.</w:t>
      </w:r>
    </w:p>
    <w:p w14:paraId="425CCAFE" w14:textId="77777777" w:rsidR="00E117C4" w:rsidRPr="001D57D3" w:rsidRDefault="00E117C4" w:rsidP="001C0893">
      <w:pPr>
        <w:pStyle w:val="ListNumber"/>
        <w:numPr>
          <w:ilvl w:val="0"/>
          <w:numId w:val="23"/>
        </w:numPr>
        <w:rPr>
          <w:b/>
          <w:bCs/>
        </w:rPr>
      </w:pPr>
      <w:r w:rsidRPr="001D57D3">
        <w:rPr>
          <w:b/>
          <w:bCs/>
        </w:rPr>
        <w:t>Are the producers concentrated in a single country?</w:t>
      </w:r>
    </w:p>
    <w:p w14:paraId="7CE45A92" w14:textId="77777777" w:rsidR="00E117C4" w:rsidRDefault="00E117C4" w:rsidP="00E117C4">
      <w:pPr>
        <w:pStyle w:val="BodyText"/>
      </w:pPr>
      <w:r>
        <w:t>Yes. The producers are entirely concentrated in country A.</w:t>
      </w:r>
    </w:p>
    <w:p w14:paraId="5F738D3F" w14:textId="77777777" w:rsidR="00E117C4" w:rsidRPr="00EC0C30" w:rsidRDefault="00E117C4" w:rsidP="001C0893">
      <w:pPr>
        <w:pStyle w:val="ListNumber"/>
        <w:numPr>
          <w:ilvl w:val="0"/>
          <w:numId w:val="23"/>
        </w:numPr>
        <w:rPr>
          <w:b/>
          <w:bCs/>
        </w:rPr>
      </w:pPr>
      <w:r w:rsidRPr="00EC0C30">
        <w:rPr>
          <w:b/>
          <w:bCs/>
        </w:rPr>
        <w:t xml:space="preserve">Are other countries moving to </w:t>
      </w:r>
      <w:r>
        <w:rPr>
          <w:b/>
          <w:bCs/>
        </w:rPr>
        <w:t xml:space="preserve">develop secure </w:t>
      </w:r>
      <w:r w:rsidRPr="00EC0C30">
        <w:rPr>
          <w:b/>
          <w:bCs/>
        </w:rPr>
        <w:t xml:space="preserve">supplies </w:t>
      </w:r>
      <w:r>
        <w:rPr>
          <w:b/>
          <w:bCs/>
        </w:rPr>
        <w:t>of TeleWidget?</w:t>
      </w:r>
    </w:p>
    <w:p w14:paraId="6EFE8D9D" w14:textId="77777777" w:rsidR="00E117C4" w:rsidRDefault="00E117C4" w:rsidP="00E117C4">
      <w:pPr>
        <w:pStyle w:val="BodyText"/>
      </w:pPr>
      <w:r>
        <w:t>No. In this scenario no other countries currently produce TeleWidgets.</w:t>
      </w:r>
    </w:p>
    <w:p w14:paraId="368BB72C" w14:textId="77777777" w:rsidR="00E117C4" w:rsidRPr="00EC0C30" w:rsidRDefault="00E117C4" w:rsidP="001C0893">
      <w:pPr>
        <w:pStyle w:val="ListNumber"/>
        <w:numPr>
          <w:ilvl w:val="0"/>
          <w:numId w:val="23"/>
        </w:numPr>
        <w:rPr>
          <w:b/>
          <w:bCs/>
        </w:rPr>
      </w:pPr>
      <w:r w:rsidRPr="00EC0C30">
        <w:rPr>
          <w:b/>
          <w:bCs/>
        </w:rPr>
        <w:t>Can companies manage these risks themselves?</w:t>
      </w:r>
    </w:p>
    <w:p w14:paraId="28FEE5A2" w14:textId="1560DE9C" w:rsidR="00E117C4" w:rsidRDefault="00E117C4" w:rsidP="00E117C4">
      <w:pPr>
        <w:pStyle w:val="BodyText"/>
      </w:pPr>
      <w:r w:rsidRPr="00915BBB">
        <w:t xml:space="preserve">No. Country A </w:t>
      </w:r>
      <w:r>
        <w:t>is the monopoly supplier of</w:t>
      </w:r>
      <w:r w:rsidRPr="00915BBB">
        <w:t xml:space="preserve"> </w:t>
      </w:r>
      <w:r w:rsidRPr="00915BBB" w:rsidDel="003F2DC4">
        <w:t>TeleWidget</w:t>
      </w:r>
      <w:r w:rsidDel="003F2DC4">
        <w:t>s</w:t>
      </w:r>
      <w:r>
        <w:t>.</w:t>
      </w:r>
      <w:r w:rsidRPr="00915BBB">
        <w:t xml:space="preserve"> </w:t>
      </w:r>
      <w:r>
        <w:t>As i</w:t>
      </w:r>
      <w:r w:rsidRPr="00915BBB">
        <w:t xml:space="preserve">ndividual companies in countries B and C </w:t>
      </w:r>
      <w:r>
        <w:t xml:space="preserve">do not bear the </w:t>
      </w:r>
      <w:r w:rsidR="00D460BF">
        <w:t xml:space="preserve">full </w:t>
      </w:r>
      <w:r>
        <w:t xml:space="preserve">social costs </w:t>
      </w:r>
      <w:r w:rsidR="00F53E03">
        <w:t>of disruptions, including</w:t>
      </w:r>
      <w:r>
        <w:t xml:space="preserve"> </w:t>
      </w:r>
      <w:r w:rsidRPr="00915BBB">
        <w:t>flow</w:t>
      </w:r>
      <w:r>
        <w:noBreakHyphen/>
      </w:r>
      <w:r w:rsidRPr="00915BBB">
        <w:t xml:space="preserve">on effects to welfare and </w:t>
      </w:r>
      <w:r>
        <w:t>national security, they do not have the incentive to support the development of TeleWidgets in other countries by bear</w:t>
      </w:r>
      <w:r w:rsidR="00562F6D">
        <w:t>ing</w:t>
      </w:r>
      <w:r>
        <w:t xml:space="preserve"> the additional costs</w:t>
      </w:r>
      <w:r w:rsidRPr="00915BBB">
        <w:t xml:space="preserve"> of more expensive TeleWidgets</w:t>
      </w:r>
      <w:r>
        <w:t xml:space="preserve">. </w:t>
      </w:r>
    </w:p>
    <w:p w14:paraId="55BC38BD" w14:textId="77777777" w:rsidR="00E117C4" w:rsidRDefault="00E117C4" w:rsidP="006526F8">
      <w:pPr>
        <w:pStyle w:val="Heading3-noTOC"/>
      </w:pPr>
      <w:r>
        <w:lastRenderedPageBreak/>
        <w:t>Applying the iterative framework decision tree 2B</w:t>
      </w:r>
    </w:p>
    <w:p w14:paraId="30D9900A" w14:textId="77777777" w:rsidR="00E117C4" w:rsidRPr="00B30DAC" w:rsidRDefault="00E117C4" w:rsidP="001C0893">
      <w:pPr>
        <w:pStyle w:val="ListNumber"/>
        <w:keepNext/>
        <w:numPr>
          <w:ilvl w:val="0"/>
          <w:numId w:val="20"/>
        </w:numPr>
        <w:rPr>
          <w:b/>
        </w:rPr>
      </w:pPr>
      <w:r w:rsidRPr="00B30DAC">
        <w:rPr>
          <w:b/>
        </w:rPr>
        <w:t>Will policy</w:t>
      </w:r>
      <w:r>
        <w:rPr>
          <w:b/>
        </w:rPr>
        <w:noBreakHyphen/>
      </w:r>
      <w:r w:rsidRPr="00B30DAC">
        <w:rPr>
          <w:b/>
        </w:rPr>
        <w:t>makers have forewarning of the risk event?</w:t>
      </w:r>
    </w:p>
    <w:p w14:paraId="0CE108B2" w14:textId="51E2E876" w:rsidR="00964058" w:rsidRDefault="00E117C4" w:rsidP="00E117C4">
      <w:pPr>
        <w:pStyle w:val="BodyText"/>
      </w:pPr>
      <w:r>
        <w:t xml:space="preserve">Yes. While specific attacks cannot be predicted accurately, risk assessments can indicate an elevated risk of disruption due to the system vulnerabilities presented by TeleWidgets. The exact timing of disruption might not be foreseeable, but the likelihood and damage can be anticipated. </w:t>
      </w:r>
      <w:r w:rsidR="00964058">
        <w:t>In this example, we use the risk framework in</w:t>
      </w:r>
      <w:r w:rsidR="00605C96">
        <w:t xml:space="preserve"> </w:t>
      </w:r>
      <w:r w:rsidR="00233FA2">
        <w:t>table</w:t>
      </w:r>
      <w:r w:rsidR="00D25956">
        <w:t> </w:t>
      </w:r>
      <w:r w:rsidR="00233FA2">
        <w:t>2.2</w:t>
      </w:r>
      <w:r w:rsidR="00964058">
        <w:t>.</w:t>
      </w:r>
    </w:p>
    <w:p w14:paraId="301751BB" w14:textId="66F279CE" w:rsidR="00964058" w:rsidRPr="00341DAD" w:rsidRDefault="00964058" w:rsidP="00964058">
      <w:pPr>
        <w:pStyle w:val="Caption"/>
        <w:keepNext/>
        <w:rPr>
          <w:b/>
          <w:bCs/>
        </w:rPr>
      </w:pPr>
      <w:bookmarkStart w:id="91" w:name="_Ref184037312"/>
      <w:bookmarkStart w:id="92" w:name="_Ref180736805"/>
      <w:r w:rsidRPr="00341DAD">
        <w:rPr>
          <w:b/>
          <w:bCs/>
        </w:rPr>
        <w:t>Table</w:t>
      </w:r>
      <w:r w:rsidR="00410C80">
        <w:rPr>
          <w:b/>
          <w:bCs/>
        </w:rPr>
        <w:t> </w:t>
      </w:r>
      <w:r w:rsidR="002F2812">
        <w:rPr>
          <w:b/>
          <w:bCs/>
        </w:rPr>
        <w:t>2.</w:t>
      </w:r>
      <w:r w:rsidRPr="00341DAD">
        <w:rPr>
          <w:b/>
          <w:bCs/>
        </w:rPr>
        <w:fldChar w:fldCharType="begin"/>
      </w:r>
      <w:r w:rsidRPr="00341DAD">
        <w:rPr>
          <w:b/>
          <w:bCs/>
        </w:rPr>
        <w:instrText xml:space="preserve"> SEQ Table \* ARABIC \s 1 </w:instrText>
      </w:r>
      <w:r w:rsidRPr="00341DAD">
        <w:rPr>
          <w:b/>
          <w:bCs/>
        </w:rPr>
        <w:fldChar w:fldCharType="separate"/>
      </w:r>
      <w:r w:rsidR="00E57184">
        <w:rPr>
          <w:b/>
          <w:bCs/>
          <w:noProof/>
        </w:rPr>
        <w:t>2</w:t>
      </w:r>
      <w:r w:rsidRPr="00341DAD">
        <w:rPr>
          <w:b/>
          <w:bCs/>
          <w:noProof/>
        </w:rPr>
        <w:fldChar w:fldCharType="end"/>
      </w:r>
      <w:bookmarkEnd w:id="91"/>
      <w:r w:rsidRPr="00341DAD">
        <w:rPr>
          <w:b/>
          <w:bCs/>
        </w:rPr>
        <w:t xml:space="preserve"> – Risk framework for scenario</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3260"/>
        <w:gridCol w:w="3968"/>
      </w:tblGrid>
      <w:tr w:rsidR="00964058" w:rsidRPr="00030C67" w14:paraId="08485F53" w14:textId="77777777" w:rsidTr="00030887">
        <w:trPr>
          <w:tblHeader/>
        </w:trPr>
        <w:tc>
          <w:tcPr>
            <w:tcW w:w="2410" w:type="dxa"/>
            <w:tcBorders>
              <w:bottom w:val="single" w:sz="4" w:space="0" w:color="B3B3B3"/>
            </w:tcBorders>
            <w:shd w:val="clear" w:color="000000" w:fill="auto"/>
            <w:vAlign w:val="bottom"/>
          </w:tcPr>
          <w:p w14:paraId="09A74E33" w14:textId="77777777" w:rsidR="00964058" w:rsidRPr="00030C67" w:rsidRDefault="00964058">
            <w:pPr>
              <w:pStyle w:val="TableHeading"/>
              <w:rPr>
                <w:rFonts w:ascii="Arial (Body)" w:hAnsi="Arial (Body)"/>
                <w:color w:val="265A9A"/>
              </w:rPr>
            </w:pPr>
            <w:r>
              <w:t>Risk rating</w:t>
            </w:r>
          </w:p>
        </w:tc>
        <w:tc>
          <w:tcPr>
            <w:tcW w:w="3260" w:type="dxa"/>
            <w:tcBorders>
              <w:bottom w:val="single" w:sz="4" w:space="0" w:color="B3B3B3"/>
            </w:tcBorders>
            <w:shd w:val="clear" w:color="000000" w:fill="auto"/>
            <w:vAlign w:val="bottom"/>
          </w:tcPr>
          <w:p w14:paraId="726FB724" w14:textId="47150AE8" w:rsidR="00964058" w:rsidRPr="00030C67" w:rsidRDefault="00964058" w:rsidP="00030887">
            <w:pPr>
              <w:pStyle w:val="TableHeading"/>
              <w:ind w:right="283"/>
              <w:jc w:val="right"/>
            </w:pPr>
            <w:r>
              <w:t xml:space="preserve">Perceived annual </w:t>
            </w:r>
            <w:r w:rsidR="00030887">
              <w:br/>
            </w:r>
            <w:r>
              <w:t>probability of occurrence</w:t>
            </w:r>
          </w:p>
        </w:tc>
        <w:tc>
          <w:tcPr>
            <w:tcW w:w="3968" w:type="dxa"/>
            <w:tcBorders>
              <w:bottom w:val="single" w:sz="4" w:space="0" w:color="B3B3B3"/>
            </w:tcBorders>
            <w:shd w:val="clear" w:color="000000" w:fill="auto"/>
            <w:vAlign w:val="bottom"/>
          </w:tcPr>
          <w:p w14:paraId="42D1DE42" w14:textId="77777777" w:rsidR="00964058" w:rsidRPr="00030C67" w:rsidRDefault="00964058">
            <w:pPr>
              <w:pStyle w:val="TableHeading"/>
            </w:pPr>
            <w:r>
              <w:t>Implied frequency of disruption</w:t>
            </w:r>
          </w:p>
        </w:tc>
      </w:tr>
      <w:tr w:rsidR="00964058" w:rsidRPr="00030C67" w14:paraId="7084692F" w14:textId="77777777" w:rsidTr="00030887">
        <w:tc>
          <w:tcPr>
            <w:tcW w:w="2410" w:type="dxa"/>
            <w:tcBorders>
              <w:top w:val="single" w:sz="4" w:space="0" w:color="B3B3B3"/>
              <w:bottom w:val="nil"/>
            </w:tcBorders>
            <w:shd w:val="clear" w:color="000000" w:fill="F2F2F2"/>
          </w:tcPr>
          <w:p w14:paraId="5B7DA25B" w14:textId="77777777" w:rsidR="00964058" w:rsidRPr="009C0DAF" w:rsidRDefault="00964058">
            <w:pPr>
              <w:pStyle w:val="TableHeading"/>
              <w:rPr>
                <w:b w:val="0"/>
                <w:bCs/>
              </w:rPr>
            </w:pPr>
            <w:r w:rsidRPr="009C0DAF">
              <w:rPr>
                <w:rFonts w:ascii="Arial (Body)" w:hAnsi="Arial (Body)"/>
                <w:b w:val="0"/>
                <w:bCs/>
                <w:color w:val="000000"/>
              </w:rPr>
              <w:t>Certain</w:t>
            </w:r>
          </w:p>
        </w:tc>
        <w:tc>
          <w:tcPr>
            <w:tcW w:w="3260" w:type="dxa"/>
            <w:tcBorders>
              <w:top w:val="single" w:sz="4" w:space="0" w:color="B3B3B3"/>
              <w:bottom w:val="nil"/>
            </w:tcBorders>
            <w:shd w:val="clear" w:color="000000" w:fill="F2F2F2"/>
          </w:tcPr>
          <w:p w14:paraId="7DCA6787" w14:textId="77777777" w:rsidR="00964058" w:rsidRPr="00030C67" w:rsidRDefault="00964058" w:rsidP="00030887">
            <w:pPr>
              <w:pStyle w:val="TableBody"/>
              <w:spacing w:before="45" w:after="45"/>
              <w:ind w:right="283"/>
              <w:jc w:val="right"/>
              <w:rPr>
                <w:rFonts w:ascii="Arial (Body)" w:hAnsi="Arial (Body)"/>
                <w:color w:val="000000"/>
              </w:rPr>
            </w:pPr>
            <w:r>
              <w:rPr>
                <w:rFonts w:ascii="Arial (Body)" w:hAnsi="Arial (Body)"/>
                <w:color w:val="000000"/>
              </w:rPr>
              <w:t xml:space="preserve">100% </w:t>
            </w:r>
          </w:p>
        </w:tc>
        <w:tc>
          <w:tcPr>
            <w:tcW w:w="3968" w:type="dxa"/>
            <w:tcBorders>
              <w:top w:val="single" w:sz="4" w:space="0" w:color="B3B3B3"/>
              <w:bottom w:val="nil"/>
            </w:tcBorders>
            <w:shd w:val="clear" w:color="000000" w:fill="F2F2F2"/>
          </w:tcPr>
          <w:p w14:paraId="58F2AA84" w14:textId="77777777" w:rsidR="00964058" w:rsidRPr="00030C67" w:rsidRDefault="00964058">
            <w:pPr>
              <w:pStyle w:val="TableBody"/>
              <w:spacing w:before="45" w:after="45"/>
              <w:ind w:right="108"/>
              <w:rPr>
                <w:rFonts w:ascii="Arial (Body)" w:hAnsi="Arial (Body)"/>
                <w:color w:val="000000"/>
              </w:rPr>
            </w:pPr>
            <w:r>
              <w:rPr>
                <w:rFonts w:ascii="Arial (Body)" w:hAnsi="Arial (Body)"/>
                <w:color w:val="000000"/>
              </w:rPr>
              <w:t>Every year</w:t>
            </w:r>
          </w:p>
        </w:tc>
      </w:tr>
      <w:tr w:rsidR="00964058" w:rsidRPr="00030C67" w14:paraId="6139DAC7" w14:textId="77777777" w:rsidTr="00030887">
        <w:tc>
          <w:tcPr>
            <w:tcW w:w="2410" w:type="dxa"/>
            <w:tcBorders>
              <w:top w:val="nil"/>
              <w:bottom w:val="nil"/>
            </w:tcBorders>
            <w:shd w:val="clear" w:color="000000" w:fill="auto"/>
          </w:tcPr>
          <w:p w14:paraId="22C42B1C" w14:textId="77777777" w:rsidR="00964058" w:rsidRPr="009C0DAF" w:rsidRDefault="00964058">
            <w:pPr>
              <w:pStyle w:val="TableHeading"/>
              <w:rPr>
                <w:b w:val="0"/>
                <w:bCs/>
              </w:rPr>
            </w:pPr>
            <w:r w:rsidRPr="009C0DAF">
              <w:rPr>
                <w:rFonts w:ascii="Arial (Body)" w:hAnsi="Arial (Body)"/>
                <w:b w:val="0"/>
                <w:bCs/>
                <w:color w:val="000000"/>
              </w:rPr>
              <w:t>Expected</w:t>
            </w:r>
          </w:p>
        </w:tc>
        <w:tc>
          <w:tcPr>
            <w:tcW w:w="3260" w:type="dxa"/>
            <w:tcBorders>
              <w:top w:val="nil"/>
              <w:bottom w:val="nil"/>
            </w:tcBorders>
            <w:shd w:val="clear" w:color="000000" w:fill="auto"/>
          </w:tcPr>
          <w:p w14:paraId="5AB68E89" w14:textId="77777777" w:rsidR="00964058" w:rsidRPr="00030C67" w:rsidRDefault="00964058" w:rsidP="00030887">
            <w:pPr>
              <w:pStyle w:val="TableBody"/>
              <w:spacing w:before="45" w:after="45"/>
              <w:ind w:right="283"/>
              <w:jc w:val="right"/>
              <w:rPr>
                <w:rFonts w:ascii="Arial (Body)" w:hAnsi="Arial (Body)"/>
                <w:color w:val="000000"/>
              </w:rPr>
            </w:pPr>
            <w:r>
              <w:rPr>
                <w:rFonts w:ascii="Arial (Body)" w:hAnsi="Arial (Body)"/>
                <w:color w:val="000000"/>
              </w:rPr>
              <w:t>75%</w:t>
            </w:r>
          </w:p>
        </w:tc>
        <w:tc>
          <w:tcPr>
            <w:tcW w:w="3968" w:type="dxa"/>
            <w:tcBorders>
              <w:top w:val="nil"/>
              <w:bottom w:val="nil"/>
            </w:tcBorders>
            <w:shd w:val="clear" w:color="000000" w:fill="auto"/>
          </w:tcPr>
          <w:p w14:paraId="288714E8" w14:textId="77777777" w:rsidR="00964058" w:rsidRPr="00030C67" w:rsidRDefault="00964058">
            <w:pPr>
              <w:pStyle w:val="TableBody"/>
              <w:spacing w:before="45" w:after="45"/>
              <w:ind w:right="108"/>
              <w:rPr>
                <w:rFonts w:ascii="Arial (Body)" w:hAnsi="Arial (Body)"/>
                <w:color w:val="000000"/>
              </w:rPr>
            </w:pPr>
            <w:r>
              <w:rPr>
                <w:rFonts w:ascii="Arial (Body)" w:hAnsi="Arial (Body)"/>
                <w:color w:val="000000"/>
              </w:rPr>
              <w:t>Three times in four years</w:t>
            </w:r>
          </w:p>
        </w:tc>
      </w:tr>
      <w:tr w:rsidR="00964058" w:rsidRPr="00030C67" w14:paraId="7C5DF0D8" w14:textId="77777777" w:rsidTr="00030887">
        <w:tc>
          <w:tcPr>
            <w:tcW w:w="2410" w:type="dxa"/>
            <w:shd w:val="clear" w:color="000000" w:fill="F2F2F2"/>
          </w:tcPr>
          <w:p w14:paraId="038ADD9D" w14:textId="77777777" w:rsidR="00964058" w:rsidRPr="009C0DAF" w:rsidRDefault="00964058">
            <w:pPr>
              <w:pStyle w:val="TableHeading"/>
              <w:rPr>
                <w:b w:val="0"/>
                <w:bCs/>
              </w:rPr>
            </w:pPr>
            <w:r w:rsidRPr="009C0DAF">
              <w:rPr>
                <w:rFonts w:ascii="Arial (Body)" w:hAnsi="Arial (Body)"/>
                <w:b w:val="0"/>
                <w:bCs/>
                <w:color w:val="000000"/>
              </w:rPr>
              <w:t>Probable</w:t>
            </w:r>
          </w:p>
        </w:tc>
        <w:tc>
          <w:tcPr>
            <w:tcW w:w="3260" w:type="dxa"/>
            <w:shd w:val="clear" w:color="000000" w:fill="F2F2F2"/>
          </w:tcPr>
          <w:p w14:paraId="016470EF" w14:textId="77777777" w:rsidR="00964058" w:rsidRPr="00030C67" w:rsidRDefault="00964058" w:rsidP="00030887">
            <w:pPr>
              <w:pStyle w:val="TableBody"/>
              <w:spacing w:before="45" w:after="45"/>
              <w:ind w:right="283"/>
              <w:jc w:val="right"/>
              <w:rPr>
                <w:rFonts w:ascii="Arial (Body)" w:hAnsi="Arial (Body)"/>
                <w:color w:val="000000"/>
              </w:rPr>
            </w:pPr>
            <w:r>
              <w:rPr>
                <w:rFonts w:ascii="Arial (Body)" w:hAnsi="Arial (Body)"/>
                <w:color w:val="000000"/>
              </w:rPr>
              <w:t>50%</w:t>
            </w:r>
          </w:p>
        </w:tc>
        <w:tc>
          <w:tcPr>
            <w:tcW w:w="3968" w:type="dxa"/>
            <w:shd w:val="clear" w:color="000000" w:fill="F2F2F2"/>
          </w:tcPr>
          <w:p w14:paraId="054D2A57" w14:textId="77777777" w:rsidR="00964058" w:rsidRPr="00030C67" w:rsidRDefault="00964058">
            <w:pPr>
              <w:pStyle w:val="TableBody"/>
              <w:spacing w:before="45" w:after="45"/>
              <w:ind w:right="108"/>
              <w:rPr>
                <w:rFonts w:ascii="Arial (Body)" w:hAnsi="Arial (Body)"/>
                <w:color w:val="000000"/>
              </w:rPr>
            </w:pPr>
            <w:r>
              <w:rPr>
                <w:rFonts w:ascii="Arial (Body)" w:hAnsi="Arial (Body)"/>
                <w:color w:val="000000"/>
              </w:rPr>
              <w:t>Every second year</w:t>
            </w:r>
          </w:p>
        </w:tc>
      </w:tr>
      <w:tr w:rsidR="00964058" w:rsidRPr="00030C67" w14:paraId="68F67CEF" w14:textId="77777777" w:rsidTr="00030887">
        <w:tc>
          <w:tcPr>
            <w:tcW w:w="2410" w:type="dxa"/>
          </w:tcPr>
          <w:p w14:paraId="3AED7E5F" w14:textId="77777777" w:rsidR="00964058" w:rsidRPr="009C0DAF" w:rsidRDefault="00964058">
            <w:pPr>
              <w:pStyle w:val="TableHeading"/>
              <w:rPr>
                <w:b w:val="0"/>
                <w:bCs/>
              </w:rPr>
            </w:pPr>
            <w:r w:rsidRPr="009C0DAF">
              <w:rPr>
                <w:rFonts w:ascii="Arial (Body)" w:hAnsi="Arial (Body)"/>
                <w:b w:val="0"/>
                <w:bCs/>
                <w:color w:val="000000"/>
              </w:rPr>
              <w:t>Possible</w:t>
            </w:r>
          </w:p>
        </w:tc>
        <w:tc>
          <w:tcPr>
            <w:tcW w:w="3260" w:type="dxa"/>
          </w:tcPr>
          <w:p w14:paraId="4415CC51" w14:textId="77777777" w:rsidR="00964058" w:rsidRDefault="00964058" w:rsidP="00030887">
            <w:pPr>
              <w:pStyle w:val="TableBody"/>
              <w:spacing w:before="45" w:after="45"/>
              <w:ind w:right="283"/>
              <w:jc w:val="right"/>
              <w:rPr>
                <w:rFonts w:ascii="Arial (Body)" w:hAnsi="Arial (Body)"/>
                <w:color w:val="000000"/>
              </w:rPr>
            </w:pPr>
            <w:r>
              <w:rPr>
                <w:rFonts w:ascii="Arial (Body)" w:hAnsi="Arial (Body)"/>
                <w:color w:val="000000"/>
              </w:rPr>
              <w:t>25%</w:t>
            </w:r>
          </w:p>
        </w:tc>
        <w:tc>
          <w:tcPr>
            <w:tcW w:w="3968" w:type="dxa"/>
          </w:tcPr>
          <w:p w14:paraId="134C160C" w14:textId="77777777" w:rsidR="00964058" w:rsidRDefault="00964058">
            <w:pPr>
              <w:pStyle w:val="TableBody"/>
              <w:spacing w:before="45" w:after="45"/>
              <w:ind w:right="108"/>
              <w:rPr>
                <w:rFonts w:ascii="Arial (Body)" w:hAnsi="Arial (Body)"/>
                <w:color w:val="000000"/>
              </w:rPr>
            </w:pPr>
            <w:r>
              <w:rPr>
                <w:rFonts w:ascii="Arial (Body)" w:hAnsi="Arial (Body)"/>
                <w:color w:val="000000"/>
              </w:rPr>
              <w:t>Every four years</w:t>
            </w:r>
          </w:p>
        </w:tc>
      </w:tr>
      <w:tr w:rsidR="00964058" w:rsidRPr="00030C67" w14:paraId="64680BFB" w14:textId="77777777" w:rsidTr="00030887">
        <w:tc>
          <w:tcPr>
            <w:tcW w:w="2410" w:type="dxa"/>
            <w:tcBorders>
              <w:bottom w:val="single" w:sz="4" w:space="0" w:color="B3B3B3"/>
            </w:tcBorders>
            <w:shd w:val="clear" w:color="000000" w:fill="F2F2F2"/>
          </w:tcPr>
          <w:p w14:paraId="5323CDF7" w14:textId="77777777" w:rsidR="00964058" w:rsidRPr="009C0DAF" w:rsidRDefault="00964058">
            <w:pPr>
              <w:pStyle w:val="TableHeading"/>
              <w:rPr>
                <w:b w:val="0"/>
                <w:bCs/>
              </w:rPr>
            </w:pPr>
            <w:r w:rsidRPr="009C0DAF">
              <w:rPr>
                <w:rFonts w:ascii="Arial (Body)" w:hAnsi="Arial (Body)"/>
                <w:b w:val="0"/>
                <w:bCs/>
                <w:color w:val="000000"/>
              </w:rPr>
              <w:t>Not expected</w:t>
            </w:r>
          </w:p>
        </w:tc>
        <w:tc>
          <w:tcPr>
            <w:tcW w:w="3260" w:type="dxa"/>
            <w:tcBorders>
              <w:bottom w:val="single" w:sz="4" w:space="0" w:color="B3B3B3"/>
            </w:tcBorders>
            <w:shd w:val="clear" w:color="000000" w:fill="F2F2F2"/>
          </w:tcPr>
          <w:p w14:paraId="1FA16136" w14:textId="77777777" w:rsidR="00964058" w:rsidRDefault="00964058" w:rsidP="00030887">
            <w:pPr>
              <w:pStyle w:val="TableBody"/>
              <w:spacing w:before="45" w:after="45"/>
              <w:ind w:right="283"/>
              <w:jc w:val="right"/>
              <w:rPr>
                <w:rFonts w:ascii="Arial (Body)" w:hAnsi="Arial (Body)"/>
                <w:color w:val="000000"/>
              </w:rPr>
            </w:pPr>
            <w:r>
              <w:rPr>
                <w:rFonts w:ascii="Arial (Body)" w:hAnsi="Arial (Body)"/>
                <w:color w:val="000000"/>
              </w:rPr>
              <w:t>0%</w:t>
            </w:r>
          </w:p>
        </w:tc>
        <w:tc>
          <w:tcPr>
            <w:tcW w:w="3968" w:type="dxa"/>
            <w:tcBorders>
              <w:bottom w:val="single" w:sz="4" w:space="0" w:color="B3B3B3"/>
            </w:tcBorders>
            <w:shd w:val="clear" w:color="000000" w:fill="F2F2F2"/>
          </w:tcPr>
          <w:p w14:paraId="0D1B1E5A" w14:textId="77777777" w:rsidR="00964058" w:rsidRDefault="00964058">
            <w:pPr>
              <w:pStyle w:val="TableBody"/>
              <w:spacing w:before="45" w:after="45"/>
              <w:ind w:right="108"/>
              <w:rPr>
                <w:rFonts w:ascii="Arial (Body)" w:hAnsi="Arial (Body)"/>
                <w:color w:val="000000"/>
              </w:rPr>
            </w:pPr>
            <w:r>
              <w:rPr>
                <w:rFonts w:ascii="Arial (Body)" w:hAnsi="Arial (Body)"/>
                <w:color w:val="000000"/>
              </w:rPr>
              <w:t>Never</w:t>
            </w:r>
          </w:p>
        </w:tc>
      </w:tr>
    </w:tbl>
    <w:p w14:paraId="06A07940" w14:textId="74561AA3" w:rsidR="00964058" w:rsidRDefault="00964058" w:rsidP="00C70E90">
      <w:pPr>
        <w:pStyle w:val="Source"/>
      </w:pPr>
      <w:r w:rsidRPr="00696447">
        <w:t xml:space="preserve">Source: </w:t>
      </w:r>
      <w:r>
        <w:t xml:space="preserve">Adapted from Australian Government </w:t>
      </w:r>
      <w:r w:rsidR="00C70E90">
        <w:fldChar w:fldCharType="begin"/>
      </w:r>
      <w:r w:rsidR="00ED6B7B">
        <w:instrText xml:space="preserve"> ADDIN ZOTERO_ITEM CSL_CITATION {"citationID":"ODGBZ2Zi","properties":{"formattedCitation":"(2022)","plainCitation":"(2022)","noteIndex":0},"citationItems":[{"id":2671,"uris":["http://zotero.org/groups/5560192/items/MYRS7JCW"],"itemData":{"id":2671,"type":"webpage","title":"National Terrorism Threat Advisory System","URL":"https://www.nationalsecurity.gov.au/national-threat-level/threat-advisory-system","author":[{"literal":"Australian Government"}],"accessed":{"date-parts":[["2024",10,23]]},"issued":{"date-parts":[["2022",9,22]]}},"suppress-author":true}],"schema":"https://github.com/citation-style-language/schema/raw/master/csl-citation.json"} </w:instrText>
      </w:r>
      <w:r w:rsidR="00C70E90">
        <w:fldChar w:fldCharType="separate"/>
      </w:r>
      <w:r w:rsidR="00C70E90" w:rsidRPr="00CC496B">
        <w:rPr>
          <w:rFonts w:ascii="Arial" w:hAnsi="Arial" w:cs="Arial"/>
        </w:rPr>
        <w:t>(2022)</w:t>
      </w:r>
      <w:r w:rsidR="00C70E90">
        <w:fldChar w:fldCharType="end"/>
      </w:r>
      <w:r w:rsidR="00C70E90">
        <w:t>.</w:t>
      </w:r>
    </w:p>
    <w:bookmarkEnd w:id="92"/>
    <w:p w14:paraId="184C166A" w14:textId="4B4329F5" w:rsidR="00F337A7" w:rsidRPr="00092945" w:rsidRDefault="00F337A7" w:rsidP="00F337A7">
      <w:pPr>
        <w:pStyle w:val="BodyText"/>
      </w:pPr>
      <w:r w:rsidRPr="00D4727A">
        <w:t xml:space="preserve">Initially, with free trade between countries A, B, and C, the risk of disruption from TeleWidget vulnerabilities is ‘not expected’. </w:t>
      </w:r>
      <w:r>
        <w:t xml:space="preserve">However, </w:t>
      </w:r>
      <w:r w:rsidR="0004328D">
        <w:t>c</w:t>
      </w:r>
      <w:r>
        <w:t>ountries B and C</w:t>
      </w:r>
      <w:r w:rsidRPr="00092945">
        <w:t xml:space="preserve"> receive unverified reports suggesting that</w:t>
      </w:r>
      <w:r>
        <w:t xml:space="preserve"> TeleWidget </w:t>
      </w:r>
      <w:r w:rsidRPr="00092945">
        <w:t xml:space="preserve">might contain hidden vulnerabilities. </w:t>
      </w:r>
      <w:r>
        <w:t>This potential threat</w:t>
      </w:r>
      <w:r w:rsidRPr="00092945">
        <w:t xml:space="preserve"> prompts </w:t>
      </w:r>
      <w:r>
        <w:t>countries B and C</w:t>
      </w:r>
      <w:r w:rsidRPr="00092945">
        <w:t xml:space="preserve"> to </w:t>
      </w:r>
      <w:r>
        <w:t>raise the risk rating of a disruption to ‘possible’. Later, countries B and C</w:t>
      </w:r>
      <w:r w:rsidRPr="00092945">
        <w:t xml:space="preserve"> discover minor anomalies in the telecoms network</w:t>
      </w:r>
      <w:r>
        <w:t xml:space="preserve"> using TeleWidget</w:t>
      </w:r>
      <w:r w:rsidRPr="00092945">
        <w:t xml:space="preserve"> </w:t>
      </w:r>
      <w:r>
        <w:t>and</w:t>
      </w:r>
      <w:r w:rsidRPr="00092945">
        <w:t xml:space="preserve"> </w:t>
      </w:r>
      <w:r>
        <w:t xml:space="preserve">escalate the risk rating </w:t>
      </w:r>
      <w:r w:rsidRPr="00092945">
        <w:t xml:space="preserve">to </w:t>
      </w:r>
      <w:r>
        <w:t>‘</w:t>
      </w:r>
      <w:r w:rsidRPr="00092945">
        <w:t>probable</w:t>
      </w:r>
      <w:r>
        <w:t>’. At each point they assess policy options (below).</w:t>
      </w:r>
    </w:p>
    <w:p w14:paraId="3A04B182" w14:textId="77777777" w:rsidR="00F337A7" w:rsidRPr="009551A8" w:rsidRDefault="00F337A7" w:rsidP="009551A8">
      <w:pPr>
        <w:pStyle w:val="ListNumber"/>
        <w:keepNext/>
        <w:numPr>
          <w:ilvl w:val="0"/>
          <w:numId w:val="20"/>
        </w:numPr>
        <w:rPr>
          <w:b/>
        </w:rPr>
      </w:pPr>
      <w:r w:rsidRPr="009551A8">
        <w:rPr>
          <w:b/>
        </w:rPr>
        <w:t>Can a domestic response capability be developed before a disruption event occurs?</w:t>
      </w:r>
    </w:p>
    <w:p w14:paraId="611A8943" w14:textId="77777777" w:rsidR="00F337A7" w:rsidRDefault="00F337A7" w:rsidP="00F337A7">
      <w:pPr>
        <w:pStyle w:val="BodyText"/>
      </w:pPr>
      <w:r w:rsidRPr="006B4452">
        <w:t>Country B and country C have a ‘time to capability’ of four years for a full production capacity of TeleWidget to meet their domestic needs. With a threat level of ‘probable’, there is a 50% chance of a disruption each year equating to an approximate 94% probability that at least one disruption will happen within four years</w:t>
      </w:r>
      <w:r>
        <w:t>.</w:t>
      </w:r>
      <w:r w:rsidRPr="00B262DF">
        <w:rPr>
          <w:rStyle w:val="FootnoteReference"/>
        </w:rPr>
        <w:footnoteReference w:id="19"/>
      </w:r>
      <w:r>
        <w:t xml:space="preserve"> </w:t>
      </w:r>
      <w:r w:rsidRPr="006B4452">
        <w:t>In the interim the effects of the disruption might be reduced by having some limited capability.</w:t>
      </w:r>
    </w:p>
    <w:p w14:paraId="5210C2A7" w14:textId="77777777" w:rsidR="00F337A7" w:rsidRPr="009551A8" w:rsidRDefault="00F337A7" w:rsidP="009551A8">
      <w:pPr>
        <w:pStyle w:val="ListNumber"/>
        <w:keepNext/>
        <w:numPr>
          <w:ilvl w:val="0"/>
          <w:numId w:val="20"/>
        </w:numPr>
        <w:rPr>
          <w:b/>
        </w:rPr>
      </w:pPr>
      <w:r w:rsidRPr="009551A8">
        <w:rPr>
          <w:b/>
        </w:rPr>
        <w:t>Could the capability be accessed by other means such as club goods alliances or stockpiling?</w:t>
      </w:r>
    </w:p>
    <w:p w14:paraId="68086F69" w14:textId="1A2FDB93" w:rsidR="00F337A7" w:rsidRPr="006B4452" w:rsidRDefault="00F337A7" w:rsidP="00F337A7">
      <w:pPr>
        <w:pStyle w:val="BodyText"/>
      </w:pPr>
      <w:r w:rsidRPr="006B4452">
        <w:t>Stockpiling would not be an appropriate policy response in this situation. If TeleWidgets produced from country A have vulnerabilities, stockpiling additional TeleWidgets from the same source will not reduce the risk. It is also updated annually due to technological improvements, reducing the benefits of stockpiling (appendix</w:t>
      </w:r>
      <w:r w:rsidR="00D25956">
        <w:t> </w:t>
      </w:r>
      <w:r w:rsidRPr="006B4452">
        <w:t>A contains more information on these policy responses).</w:t>
      </w:r>
    </w:p>
    <w:p w14:paraId="26A6FAD1" w14:textId="77777777" w:rsidR="00F337A7" w:rsidRDefault="00F337A7" w:rsidP="00F337A7">
      <w:pPr>
        <w:pStyle w:val="BodyText"/>
      </w:pPr>
      <w:r w:rsidRPr="006B4452">
        <w:t>Countr</w:t>
      </w:r>
      <w:r>
        <w:t>ies</w:t>
      </w:r>
      <w:r w:rsidRPr="006B4452">
        <w:t xml:space="preserve"> B and C can collaborate to produce TeleWidget using a club goods approach. This would be less costly per unit and have a faster time to capacity of two years (75% chance of disruption in this period).</w:t>
      </w:r>
    </w:p>
    <w:p w14:paraId="6EF0FE70" w14:textId="21ED2B2A" w:rsidR="00F337A7" w:rsidRPr="006B4452" w:rsidRDefault="00F337A7" w:rsidP="00F337A7">
      <w:pPr>
        <w:pStyle w:val="BodyText"/>
      </w:pPr>
      <w:r>
        <w:t>Appendix</w:t>
      </w:r>
      <w:r w:rsidR="00D25956">
        <w:t> </w:t>
      </w:r>
      <w:r>
        <w:t xml:space="preserve">A has more information about these policy options. </w:t>
      </w:r>
    </w:p>
    <w:p w14:paraId="2E5DF8B6" w14:textId="77777777" w:rsidR="00F337A7" w:rsidRPr="009551A8" w:rsidRDefault="00F337A7" w:rsidP="009551A8">
      <w:pPr>
        <w:pStyle w:val="ListNumber"/>
        <w:keepNext/>
        <w:numPr>
          <w:ilvl w:val="0"/>
          <w:numId w:val="20"/>
        </w:numPr>
        <w:rPr>
          <w:b/>
        </w:rPr>
      </w:pPr>
      <w:r w:rsidRPr="009551A8">
        <w:rPr>
          <w:b/>
        </w:rPr>
        <w:t>Is government intervention needed to drive the investment in domestic capability?</w:t>
      </w:r>
    </w:p>
    <w:p w14:paraId="661B38DA" w14:textId="77777777" w:rsidR="00F337A7" w:rsidRPr="006B4452" w:rsidRDefault="00F337A7" w:rsidP="00F337A7">
      <w:pPr>
        <w:pStyle w:val="BodyText"/>
      </w:pPr>
      <w:r w:rsidRPr="006B4452">
        <w:t>Yes. Manufacturers in countries B and C cannot compete with country A without subsidies because businesses in countries B and C are not willing to bear the additional costs to avoid disruption, as the social costs exceed the costs to individual companies due to flow</w:t>
      </w:r>
      <w:r>
        <w:noBreakHyphen/>
      </w:r>
      <w:r w:rsidRPr="006B4452">
        <w:t>on effects to welfare and public health.</w:t>
      </w:r>
    </w:p>
    <w:p w14:paraId="3D610220" w14:textId="4048B20E" w:rsidR="00F337A7" w:rsidRPr="009551A8" w:rsidRDefault="00F337A7" w:rsidP="009551A8">
      <w:pPr>
        <w:pStyle w:val="ListNumber"/>
        <w:keepNext/>
        <w:numPr>
          <w:ilvl w:val="0"/>
          <w:numId w:val="20"/>
        </w:numPr>
        <w:rPr>
          <w:b/>
        </w:rPr>
      </w:pPr>
      <w:r w:rsidRPr="009551A8">
        <w:rPr>
          <w:b/>
        </w:rPr>
        <w:lastRenderedPageBreak/>
        <w:t xml:space="preserve">Are the overall benefits greater than costs at a reasonable implied </w:t>
      </w:r>
      <w:r w:rsidR="00EA37E8" w:rsidRPr="009551A8">
        <w:rPr>
          <w:b/>
        </w:rPr>
        <w:t>probability</w:t>
      </w:r>
      <w:r w:rsidRPr="009551A8">
        <w:rPr>
          <w:b/>
        </w:rPr>
        <w:t xml:space="preserve"> of disruption?</w:t>
      </w:r>
    </w:p>
    <w:p w14:paraId="56BE4844" w14:textId="5382017E" w:rsidR="00964058" w:rsidRDefault="00F337A7" w:rsidP="00F337A7">
      <w:pPr>
        <w:pStyle w:val="BodyText"/>
      </w:pPr>
      <w:r>
        <w:t>The expected cost of each disruption to country B and country C is expected to be around $5</w:t>
      </w:r>
      <w:r w:rsidRPr="008F5029">
        <w:t>00</w:t>
      </w:r>
      <w:r>
        <w:t xml:space="preserve"> million. Each time countries B and C update the risk level they evaluate the costs and benefits of policy solutions. An analysis, from country B’s perspective, spans </w:t>
      </w:r>
      <w:r w:rsidR="003D3F3C">
        <w:t>ten</w:t>
      </w:r>
      <w:r>
        <w:t xml:space="preserve"> years with a 5% discount rate </w:t>
      </w:r>
      <w:r w:rsidR="00964058">
        <w:t>(</w:t>
      </w:r>
      <w:r w:rsidR="003E04A7">
        <w:t>table 2.3</w:t>
      </w:r>
      <w:r w:rsidR="00964058" w:rsidRPr="00605C96">
        <w:fldChar w:fldCharType="begin"/>
      </w:r>
      <w:r w:rsidR="00964058" w:rsidRPr="00605C96">
        <w:fldChar w:fldCharType="separate"/>
      </w:r>
      <w:r w:rsidR="006A6D2B">
        <w:t>t</w:t>
      </w:r>
      <w:r w:rsidR="006A6D2B" w:rsidRPr="00D772AA">
        <w:t>able</w:t>
      </w:r>
      <w:r w:rsidR="00C223E9" w:rsidRPr="00C223E9">
        <w:t> 2.3</w:t>
      </w:r>
      <w:r w:rsidR="00964058" w:rsidRPr="00605C96">
        <w:fldChar w:fldCharType="end"/>
      </w:r>
      <w:r w:rsidR="00964058" w:rsidRPr="00605C96">
        <w:t xml:space="preserve"> and </w:t>
      </w:r>
      <w:r w:rsidR="008A024E">
        <w:t>t</w:t>
      </w:r>
      <w:r w:rsidR="004767E5" w:rsidRPr="00341DAD">
        <w:t>able</w:t>
      </w:r>
      <w:r w:rsidR="004767E5">
        <w:t> 2.4</w:t>
      </w:r>
      <w:r w:rsidR="00964058">
        <w:t>).</w:t>
      </w:r>
      <w:r w:rsidR="00964058" w:rsidRPr="00B262DF">
        <w:rPr>
          <w:rStyle w:val="FootnoteReference"/>
        </w:rPr>
        <w:footnoteReference w:id="20"/>
      </w:r>
      <w:r w:rsidR="00964058">
        <w:t xml:space="preserve"> </w:t>
      </w:r>
    </w:p>
    <w:p w14:paraId="5CE72D5F" w14:textId="7F321791" w:rsidR="00964058" w:rsidRPr="00341DAD" w:rsidRDefault="00964058" w:rsidP="00F9353C">
      <w:pPr>
        <w:pStyle w:val="FigureTableHeading"/>
      </w:pPr>
      <w:bookmarkStart w:id="93" w:name="_Ref180736713"/>
      <w:r w:rsidRPr="00341DAD">
        <w:t>Table</w:t>
      </w:r>
      <w:r w:rsidR="00410C80">
        <w:t> </w:t>
      </w:r>
      <w:r w:rsidR="0098780D">
        <w:t>2.</w:t>
      </w:r>
      <w:r w:rsidRPr="00341DAD">
        <w:fldChar w:fldCharType="begin"/>
      </w:r>
      <w:r w:rsidRPr="00341DAD">
        <w:instrText xml:space="preserve"> SEQ Table \* ARABIC \s 1 </w:instrText>
      </w:r>
      <w:r w:rsidRPr="00341DAD">
        <w:fldChar w:fldCharType="separate"/>
      </w:r>
      <w:r w:rsidR="00E57184">
        <w:rPr>
          <w:noProof/>
        </w:rPr>
        <w:t>3</w:t>
      </w:r>
      <w:r w:rsidRPr="00341DAD">
        <w:rPr>
          <w:noProof/>
        </w:rPr>
        <w:fldChar w:fldCharType="end"/>
      </w:r>
      <w:bookmarkEnd w:id="93"/>
      <w:r w:rsidRPr="00341DAD">
        <w:t xml:space="preserve"> – Assumptions in stylised model for country B</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2147"/>
        <w:gridCol w:w="1616"/>
        <w:gridCol w:w="3890"/>
      </w:tblGrid>
      <w:tr w:rsidR="00964058" w:rsidRPr="00301A76" w14:paraId="4A6DCB25" w14:textId="77777777" w:rsidTr="001353A6">
        <w:trPr>
          <w:trHeight w:val="250"/>
          <w:tblHeader/>
        </w:trPr>
        <w:tc>
          <w:tcPr>
            <w:tcW w:w="1985" w:type="dxa"/>
            <w:tcBorders>
              <w:bottom w:val="single" w:sz="4" w:space="0" w:color="B3B3B3"/>
            </w:tcBorders>
            <w:shd w:val="clear" w:color="000000" w:fill="auto"/>
            <w:noWrap/>
            <w:vAlign w:val="bottom"/>
            <w:hideMark/>
          </w:tcPr>
          <w:p w14:paraId="2BC47918" w14:textId="2112AEE8" w:rsidR="00964058" w:rsidRPr="002112A8" w:rsidRDefault="00964058" w:rsidP="00F9353C">
            <w:pPr>
              <w:pStyle w:val="TableHeading"/>
              <w:spacing w:before="46" w:after="46"/>
            </w:pPr>
            <w:r w:rsidRPr="002112A8">
              <w:t>Assumptions</w:t>
            </w:r>
          </w:p>
        </w:tc>
        <w:tc>
          <w:tcPr>
            <w:tcW w:w="2147" w:type="dxa"/>
            <w:tcBorders>
              <w:bottom w:val="single" w:sz="4" w:space="0" w:color="B3B3B3"/>
            </w:tcBorders>
            <w:shd w:val="clear" w:color="000000" w:fill="auto"/>
            <w:noWrap/>
            <w:vAlign w:val="bottom"/>
            <w:hideMark/>
          </w:tcPr>
          <w:p w14:paraId="2B66508E" w14:textId="77777777" w:rsidR="00964058" w:rsidRPr="002112A8" w:rsidRDefault="00964058" w:rsidP="00F9353C">
            <w:pPr>
              <w:pStyle w:val="TableHeading"/>
              <w:spacing w:before="46" w:after="46"/>
              <w:ind w:right="113"/>
              <w:jc w:val="right"/>
            </w:pPr>
            <w:r w:rsidRPr="002112A8">
              <w:t>Domestic production</w:t>
            </w:r>
          </w:p>
        </w:tc>
        <w:tc>
          <w:tcPr>
            <w:tcW w:w="1616" w:type="dxa"/>
            <w:tcBorders>
              <w:bottom w:val="single" w:sz="4" w:space="0" w:color="B3B3B3"/>
            </w:tcBorders>
            <w:shd w:val="clear" w:color="000000" w:fill="auto"/>
            <w:noWrap/>
            <w:vAlign w:val="bottom"/>
            <w:hideMark/>
          </w:tcPr>
          <w:p w14:paraId="0F2D3254" w14:textId="77777777" w:rsidR="00964058" w:rsidRPr="002112A8" w:rsidRDefault="00964058" w:rsidP="00F9353C">
            <w:pPr>
              <w:pStyle w:val="TableHeading"/>
              <w:spacing w:before="46" w:after="46"/>
              <w:ind w:right="113"/>
              <w:jc w:val="right"/>
            </w:pPr>
            <w:r w:rsidRPr="002112A8">
              <w:t>Club goods</w:t>
            </w:r>
          </w:p>
        </w:tc>
        <w:tc>
          <w:tcPr>
            <w:tcW w:w="3890" w:type="dxa"/>
            <w:tcBorders>
              <w:bottom w:val="single" w:sz="4" w:space="0" w:color="B3B3B3"/>
            </w:tcBorders>
            <w:shd w:val="clear" w:color="000000" w:fill="auto"/>
            <w:vAlign w:val="bottom"/>
          </w:tcPr>
          <w:p w14:paraId="53F072B7" w14:textId="77777777" w:rsidR="00964058" w:rsidRPr="002112A8" w:rsidRDefault="00964058" w:rsidP="00F9353C">
            <w:pPr>
              <w:pStyle w:val="TableHeading"/>
              <w:spacing w:before="46" w:after="46"/>
            </w:pPr>
            <w:r w:rsidRPr="002112A8">
              <w:t>Explanation</w:t>
            </w:r>
          </w:p>
        </w:tc>
      </w:tr>
      <w:tr w:rsidR="00964058" w:rsidRPr="00CC2CC7" w14:paraId="29686351" w14:textId="77777777" w:rsidTr="001353A6">
        <w:trPr>
          <w:trHeight w:val="250"/>
        </w:trPr>
        <w:tc>
          <w:tcPr>
            <w:tcW w:w="1985" w:type="dxa"/>
            <w:tcBorders>
              <w:top w:val="single" w:sz="4" w:space="0" w:color="B3B3B3"/>
              <w:bottom w:val="nil"/>
            </w:tcBorders>
            <w:shd w:val="clear" w:color="000000" w:fill="F2F2F2"/>
            <w:noWrap/>
            <w:hideMark/>
          </w:tcPr>
          <w:p w14:paraId="71171D29" w14:textId="77777777" w:rsidR="00964058" w:rsidRPr="002112A8" w:rsidRDefault="00964058" w:rsidP="00F9353C">
            <w:pPr>
              <w:pStyle w:val="TableHeading"/>
              <w:spacing w:before="46" w:after="46"/>
            </w:pPr>
            <w:r w:rsidRPr="002112A8">
              <w:t>Units produced by country B</w:t>
            </w:r>
          </w:p>
        </w:tc>
        <w:tc>
          <w:tcPr>
            <w:tcW w:w="2147" w:type="dxa"/>
            <w:tcBorders>
              <w:top w:val="single" w:sz="4" w:space="0" w:color="B3B3B3"/>
              <w:bottom w:val="nil"/>
            </w:tcBorders>
            <w:shd w:val="clear" w:color="000000" w:fill="F2F2F2"/>
            <w:noWrap/>
            <w:hideMark/>
          </w:tcPr>
          <w:p w14:paraId="1EC69C1E" w14:textId="77777777" w:rsidR="00964058" w:rsidRPr="002112A8" w:rsidRDefault="00964058" w:rsidP="00F9353C">
            <w:pPr>
              <w:pStyle w:val="TableBody"/>
              <w:spacing w:before="46" w:after="46"/>
              <w:ind w:right="113"/>
              <w:jc w:val="right"/>
            </w:pPr>
            <w:r w:rsidRPr="002112A8">
              <w:t>2,000,000 units</w:t>
            </w:r>
          </w:p>
        </w:tc>
        <w:tc>
          <w:tcPr>
            <w:tcW w:w="1616" w:type="dxa"/>
            <w:tcBorders>
              <w:top w:val="single" w:sz="4" w:space="0" w:color="B3B3B3"/>
              <w:bottom w:val="nil"/>
            </w:tcBorders>
            <w:shd w:val="clear" w:color="000000" w:fill="F2F2F2"/>
            <w:noWrap/>
            <w:hideMark/>
          </w:tcPr>
          <w:p w14:paraId="445FE5DE" w14:textId="77777777" w:rsidR="00964058" w:rsidRPr="002112A8" w:rsidRDefault="00964058" w:rsidP="00F9353C">
            <w:pPr>
              <w:pStyle w:val="TableBody"/>
              <w:spacing w:before="46" w:after="46"/>
              <w:ind w:right="113"/>
              <w:jc w:val="right"/>
            </w:pPr>
            <w:r w:rsidRPr="002112A8">
              <w:t>4,000,000 units</w:t>
            </w:r>
          </w:p>
        </w:tc>
        <w:tc>
          <w:tcPr>
            <w:tcW w:w="3890" w:type="dxa"/>
            <w:tcBorders>
              <w:top w:val="single" w:sz="4" w:space="0" w:color="B3B3B3"/>
              <w:bottom w:val="nil"/>
            </w:tcBorders>
            <w:shd w:val="clear" w:color="000000" w:fill="F2F2F2"/>
          </w:tcPr>
          <w:p w14:paraId="2E024D9E" w14:textId="77777777" w:rsidR="00964058" w:rsidRPr="002112A8" w:rsidRDefault="00964058" w:rsidP="00F9353C">
            <w:pPr>
              <w:pStyle w:val="TableBody"/>
              <w:spacing w:before="46" w:after="46"/>
            </w:pPr>
            <w:r w:rsidRPr="002112A8">
              <w:t xml:space="preserve">Number of units country B will need to produce or help produce (if club goods) </w:t>
            </w:r>
          </w:p>
        </w:tc>
      </w:tr>
      <w:tr w:rsidR="00964058" w:rsidRPr="00301A76" w14:paraId="6D8C9797" w14:textId="77777777" w:rsidTr="001353A6">
        <w:trPr>
          <w:trHeight w:val="250"/>
        </w:trPr>
        <w:tc>
          <w:tcPr>
            <w:tcW w:w="1985" w:type="dxa"/>
            <w:tcBorders>
              <w:top w:val="nil"/>
              <w:bottom w:val="nil"/>
            </w:tcBorders>
            <w:shd w:val="clear" w:color="000000" w:fill="auto"/>
            <w:noWrap/>
            <w:hideMark/>
          </w:tcPr>
          <w:p w14:paraId="24B6E7C1" w14:textId="77777777" w:rsidR="00964058" w:rsidRPr="002112A8" w:rsidRDefault="00964058" w:rsidP="00F9353C">
            <w:pPr>
              <w:pStyle w:val="TableHeading"/>
              <w:spacing w:before="46" w:after="46"/>
            </w:pPr>
            <w:r w:rsidRPr="002112A8">
              <w:t xml:space="preserve">Direct cost </w:t>
            </w:r>
          </w:p>
        </w:tc>
        <w:tc>
          <w:tcPr>
            <w:tcW w:w="2147" w:type="dxa"/>
            <w:tcBorders>
              <w:top w:val="nil"/>
              <w:bottom w:val="nil"/>
            </w:tcBorders>
            <w:shd w:val="clear" w:color="000000" w:fill="auto"/>
            <w:noWrap/>
            <w:hideMark/>
          </w:tcPr>
          <w:p w14:paraId="17E59BFA" w14:textId="77777777" w:rsidR="00964058" w:rsidRPr="002112A8" w:rsidRDefault="00964058" w:rsidP="00F9353C">
            <w:pPr>
              <w:pStyle w:val="TableBody"/>
              <w:spacing w:before="46" w:after="46"/>
              <w:ind w:right="113"/>
              <w:jc w:val="right"/>
            </w:pPr>
            <w:r w:rsidRPr="002112A8">
              <w:t>$35 per unit</w:t>
            </w:r>
          </w:p>
        </w:tc>
        <w:tc>
          <w:tcPr>
            <w:tcW w:w="1616" w:type="dxa"/>
            <w:tcBorders>
              <w:top w:val="nil"/>
              <w:bottom w:val="nil"/>
            </w:tcBorders>
            <w:shd w:val="clear" w:color="000000" w:fill="auto"/>
            <w:noWrap/>
            <w:hideMark/>
          </w:tcPr>
          <w:p w14:paraId="5E9D7686" w14:textId="77777777" w:rsidR="00964058" w:rsidRPr="002112A8" w:rsidRDefault="00964058" w:rsidP="00F9353C">
            <w:pPr>
              <w:pStyle w:val="TableBody"/>
              <w:spacing w:before="46" w:after="46"/>
              <w:ind w:right="113"/>
              <w:jc w:val="right"/>
            </w:pPr>
            <w:r w:rsidRPr="002112A8">
              <w:t>$15 per unit</w:t>
            </w:r>
          </w:p>
        </w:tc>
        <w:tc>
          <w:tcPr>
            <w:tcW w:w="3890" w:type="dxa"/>
            <w:tcBorders>
              <w:top w:val="nil"/>
              <w:bottom w:val="nil"/>
            </w:tcBorders>
            <w:shd w:val="clear" w:color="000000" w:fill="auto"/>
          </w:tcPr>
          <w:p w14:paraId="59D8CF11" w14:textId="77777777" w:rsidR="00964058" w:rsidRPr="002112A8" w:rsidRDefault="00964058" w:rsidP="00F9353C">
            <w:pPr>
              <w:pStyle w:val="TableBody"/>
              <w:spacing w:before="46" w:after="46"/>
            </w:pPr>
            <w:r w:rsidRPr="002112A8">
              <w:t>Financial cost of running the program</w:t>
            </w:r>
          </w:p>
        </w:tc>
      </w:tr>
      <w:tr w:rsidR="00964058" w:rsidRPr="00CC2CC7" w14:paraId="3151E6B0" w14:textId="77777777" w:rsidTr="001353A6">
        <w:trPr>
          <w:trHeight w:val="250"/>
        </w:trPr>
        <w:tc>
          <w:tcPr>
            <w:tcW w:w="1985" w:type="dxa"/>
            <w:tcBorders>
              <w:bottom w:val="nil"/>
            </w:tcBorders>
            <w:shd w:val="clear" w:color="000000" w:fill="F2F2F2"/>
            <w:noWrap/>
            <w:hideMark/>
          </w:tcPr>
          <w:p w14:paraId="45A06295" w14:textId="77777777" w:rsidR="00964058" w:rsidRPr="002112A8" w:rsidRDefault="00964058" w:rsidP="00F9353C">
            <w:pPr>
              <w:pStyle w:val="TableHeading"/>
              <w:spacing w:before="46" w:after="46"/>
            </w:pPr>
            <w:r w:rsidRPr="002112A8">
              <w:t>Indirect costs</w:t>
            </w:r>
          </w:p>
        </w:tc>
        <w:tc>
          <w:tcPr>
            <w:tcW w:w="2147" w:type="dxa"/>
            <w:tcBorders>
              <w:bottom w:val="nil"/>
            </w:tcBorders>
            <w:shd w:val="clear" w:color="000000" w:fill="F2F2F2"/>
            <w:noWrap/>
            <w:hideMark/>
          </w:tcPr>
          <w:p w14:paraId="34F2C92B" w14:textId="77777777" w:rsidR="00964058" w:rsidRPr="002112A8" w:rsidRDefault="00964058" w:rsidP="00F9353C">
            <w:pPr>
              <w:pStyle w:val="TableBody"/>
              <w:spacing w:before="46" w:after="46"/>
              <w:ind w:right="113"/>
              <w:jc w:val="right"/>
            </w:pPr>
            <w:r w:rsidRPr="002112A8">
              <w:t>$15 per unit</w:t>
            </w:r>
          </w:p>
        </w:tc>
        <w:tc>
          <w:tcPr>
            <w:tcW w:w="1616" w:type="dxa"/>
            <w:tcBorders>
              <w:bottom w:val="nil"/>
            </w:tcBorders>
            <w:shd w:val="clear" w:color="000000" w:fill="F2F2F2"/>
            <w:noWrap/>
            <w:hideMark/>
          </w:tcPr>
          <w:p w14:paraId="611C44B2" w14:textId="77777777" w:rsidR="00964058" w:rsidRPr="002112A8" w:rsidRDefault="00964058" w:rsidP="00F9353C">
            <w:pPr>
              <w:pStyle w:val="TableBody"/>
              <w:spacing w:before="46" w:after="46"/>
              <w:ind w:right="113"/>
              <w:jc w:val="right"/>
            </w:pPr>
            <w:r w:rsidRPr="002112A8">
              <w:t>$10 per unit</w:t>
            </w:r>
          </w:p>
        </w:tc>
        <w:tc>
          <w:tcPr>
            <w:tcW w:w="3890" w:type="dxa"/>
            <w:tcBorders>
              <w:bottom w:val="nil"/>
            </w:tcBorders>
            <w:shd w:val="clear" w:color="000000" w:fill="F2F2F2"/>
          </w:tcPr>
          <w:p w14:paraId="148444D9" w14:textId="26D72F16" w:rsidR="00964058" w:rsidRPr="002112A8" w:rsidRDefault="00964058" w:rsidP="00F9353C">
            <w:pPr>
              <w:pStyle w:val="TableBody"/>
              <w:spacing w:before="46" w:after="46"/>
            </w:pPr>
            <w:r w:rsidRPr="002112A8">
              <w:t>Cost of resource reallocation</w:t>
            </w:r>
            <w:r w:rsidR="003C3800">
              <w:t xml:space="preserve"> </w:t>
            </w:r>
            <w:r w:rsidRPr="002112A8">
              <w:t xml:space="preserve">as estimated by </w:t>
            </w:r>
            <w:r w:rsidR="006E0555">
              <w:rPr>
                <w:lang w:eastAsia="en-AU"/>
              </w:rPr>
              <w:t xml:space="preserve">general equilibrium models </w:t>
            </w:r>
            <w:r w:rsidRPr="002112A8">
              <w:t>or other tools</w:t>
            </w:r>
          </w:p>
        </w:tc>
      </w:tr>
      <w:tr w:rsidR="00964058" w:rsidRPr="00CC2CC7" w14:paraId="267A2429" w14:textId="77777777" w:rsidTr="001353A6">
        <w:trPr>
          <w:trHeight w:val="250"/>
        </w:trPr>
        <w:tc>
          <w:tcPr>
            <w:tcW w:w="1985" w:type="dxa"/>
            <w:tcBorders>
              <w:top w:val="nil"/>
              <w:bottom w:val="nil"/>
            </w:tcBorders>
            <w:shd w:val="clear" w:color="000000" w:fill="auto"/>
            <w:noWrap/>
            <w:hideMark/>
          </w:tcPr>
          <w:p w14:paraId="2E0BCE12" w14:textId="77777777" w:rsidR="00964058" w:rsidRPr="002112A8" w:rsidRDefault="00964058" w:rsidP="00F9353C">
            <w:pPr>
              <w:pStyle w:val="TableHeading"/>
              <w:spacing w:before="46" w:after="46"/>
            </w:pPr>
            <w:r w:rsidRPr="002112A8">
              <w:t>Upfront cost</w:t>
            </w:r>
          </w:p>
        </w:tc>
        <w:tc>
          <w:tcPr>
            <w:tcW w:w="2147" w:type="dxa"/>
            <w:tcBorders>
              <w:top w:val="nil"/>
              <w:bottom w:val="nil"/>
            </w:tcBorders>
            <w:shd w:val="clear" w:color="000000" w:fill="auto"/>
            <w:noWrap/>
            <w:hideMark/>
          </w:tcPr>
          <w:p w14:paraId="15ED641B" w14:textId="77777777" w:rsidR="00964058" w:rsidRPr="002112A8" w:rsidRDefault="00964058" w:rsidP="00F9353C">
            <w:pPr>
              <w:pStyle w:val="TableBody"/>
              <w:spacing w:before="46" w:after="46"/>
              <w:ind w:right="113"/>
              <w:jc w:val="right"/>
            </w:pPr>
            <w:r w:rsidRPr="002112A8">
              <w:t>$200 per unit</w:t>
            </w:r>
          </w:p>
        </w:tc>
        <w:tc>
          <w:tcPr>
            <w:tcW w:w="1616" w:type="dxa"/>
            <w:tcBorders>
              <w:top w:val="nil"/>
              <w:bottom w:val="nil"/>
            </w:tcBorders>
            <w:shd w:val="clear" w:color="000000" w:fill="auto"/>
            <w:noWrap/>
            <w:hideMark/>
          </w:tcPr>
          <w:p w14:paraId="4F2611EF" w14:textId="0718EE35" w:rsidR="00964058" w:rsidRPr="002112A8" w:rsidRDefault="00964058" w:rsidP="00F9353C">
            <w:pPr>
              <w:pStyle w:val="TableBody"/>
              <w:spacing w:before="46" w:after="46"/>
              <w:ind w:right="113"/>
              <w:jc w:val="right"/>
            </w:pPr>
            <w:r w:rsidRPr="002112A8">
              <w:t>$</w:t>
            </w:r>
            <w:r w:rsidR="00127748">
              <w:rPr>
                <w:lang w:eastAsia="en-AU"/>
              </w:rPr>
              <w:t>50</w:t>
            </w:r>
            <w:r w:rsidRPr="002112A8">
              <w:t xml:space="preserve"> per unit</w:t>
            </w:r>
          </w:p>
        </w:tc>
        <w:tc>
          <w:tcPr>
            <w:tcW w:w="3890" w:type="dxa"/>
            <w:tcBorders>
              <w:top w:val="nil"/>
              <w:bottom w:val="nil"/>
            </w:tcBorders>
            <w:shd w:val="clear" w:color="000000" w:fill="auto"/>
          </w:tcPr>
          <w:p w14:paraId="028AEB86" w14:textId="77777777" w:rsidR="00964058" w:rsidRPr="002112A8" w:rsidRDefault="00964058" w:rsidP="00F9353C">
            <w:pPr>
              <w:pStyle w:val="TableBody"/>
              <w:spacing w:before="46" w:after="46"/>
            </w:pPr>
            <w:r w:rsidRPr="002112A8">
              <w:t>Initial cost to establish facilities</w:t>
            </w:r>
          </w:p>
        </w:tc>
      </w:tr>
      <w:tr w:rsidR="00964058" w:rsidRPr="00CC2CC7" w14:paraId="1AF02EE7" w14:textId="77777777" w:rsidTr="001353A6">
        <w:trPr>
          <w:trHeight w:val="250"/>
        </w:trPr>
        <w:tc>
          <w:tcPr>
            <w:tcW w:w="1985" w:type="dxa"/>
            <w:tcBorders>
              <w:bottom w:val="single" w:sz="4" w:space="0" w:color="B3B3B3"/>
            </w:tcBorders>
            <w:shd w:val="clear" w:color="000000" w:fill="F2F2F2"/>
            <w:noWrap/>
            <w:hideMark/>
          </w:tcPr>
          <w:p w14:paraId="36CA0061" w14:textId="77777777" w:rsidR="00964058" w:rsidRPr="002112A8" w:rsidRDefault="00964058" w:rsidP="00F9353C">
            <w:pPr>
              <w:pStyle w:val="TableHeading"/>
              <w:spacing w:before="46" w:after="46"/>
            </w:pPr>
            <w:r w:rsidRPr="002112A8">
              <w:t>Speed to capability</w:t>
            </w:r>
          </w:p>
        </w:tc>
        <w:tc>
          <w:tcPr>
            <w:tcW w:w="2147" w:type="dxa"/>
            <w:tcBorders>
              <w:bottom w:val="single" w:sz="4" w:space="0" w:color="B3B3B3"/>
            </w:tcBorders>
            <w:shd w:val="clear" w:color="000000" w:fill="F2F2F2"/>
            <w:noWrap/>
            <w:hideMark/>
          </w:tcPr>
          <w:p w14:paraId="7E7D5EA7" w14:textId="77777777" w:rsidR="00964058" w:rsidRPr="002112A8" w:rsidRDefault="00964058" w:rsidP="00F9353C">
            <w:pPr>
              <w:pStyle w:val="TableBody"/>
              <w:spacing w:before="46" w:after="46"/>
              <w:ind w:right="113"/>
              <w:jc w:val="right"/>
            </w:pPr>
            <w:r w:rsidRPr="002112A8">
              <w:t>4 years</w:t>
            </w:r>
          </w:p>
        </w:tc>
        <w:tc>
          <w:tcPr>
            <w:tcW w:w="1616" w:type="dxa"/>
            <w:tcBorders>
              <w:bottom w:val="single" w:sz="4" w:space="0" w:color="B3B3B3"/>
            </w:tcBorders>
            <w:shd w:val="clear" w:color="000000" w:fill="F2F2F2"/>
            <w:noWrap/>
            <w:hideMark/>
          </w:tcPr>
          <w:p w14:paraId="2AA52F92" w14:textId="77777777" w:rsidR="00964058" w:rsidRPr="002112A8" w:rsidRDefault="00964058" w:rsidP="00F9353C">
            <w:pPr>
              <w:pStyle w:val="TableBody"/>
              <w:spacing w:before="46" w:after="46"/>
              <w:ind w:right="113"/>
              <w:jc w:val="right"/>
            </w:pPr>
            <w:r w:rsidRPr="002112A8">
              <w:t>2 years</w:t>
            </w:r>
          </w:p>
        </w:tc>
        <w:tc>
          <w:tcPr>
            <w:tcW w:w="3890" w:type="dxa"/>
            <w:tcBorders>
              <w:bottom w:val="single" w:sz="4" w:space="0" w:color="B3B3B3"/>
            </w:tcBorders>
            <w:shd w:val="clear" w:color="000000" w:fill="F2F2F2"/>
          </w:tcPr>
          <w:p w14:paraId="1E1EB41B" w14:textId="77777777" w:rsidR="00964058" w:rsidRPr="002112A8" w:rsidRDefault="00964058" w:rsidP="00F9353C">
            <w:pPr>
              <w:pStyle w:val="TableBody"/>
              <w:spacing w:before="46" w:after="46"/>
            </w:pPr>
            <w:r w:rsidRPr="002112A8">
              <w:t>Years to reach full capability</w:t>
            </w:r>
          </w:p>
        </w:tc>
      </w:tr>
    </w:tbl>
    <w:p w14:paraId="0B440526" w14:textId="77777777" w:rsidR="00964058" w:rsidRPr="006B4452" w:rsidRDefault="00964058" w:rsidP="00F9353C">
      <w:pPr>
        <w:pStyle w:val="BodyText"/>
        <w:spacing w:before="240"/>
      </w:pPr>
      <w:r>
        <w:t xml:space="preserve">When country B perceives the risk rating as ‘possible’ (25%, or an implied frequency of one event in four </w:t>
      </w:r>
      <w:r w:rsidRPr="006B4452">
        <w:t xml:space="preserve">years), it considers that the cost of establishing domestic supply exceeds the benefits. </w:t>
      </w:r>
    </w:p>
    <w:p w14:paraId="4B86433E" w14:textId="5028C854" w:rsidR="00964058" w:rsidRPr="006B4452" w:rsidRDefault="00964058" w:rsidP="006B4452">
      <w:pPr>
        <w:pStyle w:val="BodyText"/>
      </w:pPr>
      <w:r w:rsidRPr="006B4452">
        <w:t>When the risk rating is perceived as ‘probable’ (50%, or an implied frequency of one event in two years), country B now considers that benefits of action outweigh the baseline of doing nothing for both interventions (</w:t>
      </w:r>
      <w:r w:rsidR="00F9353C">
        <w:t>t</w:t>
      </w:r>
      <w:r w:rsidR="00B36C83" w:rsidRPr="00B36C83">
        <w:t>able 2.4</w:t>
      </w:r>
      <w:r w:rsidRPr="006B4452">
        <w:t>). A club goods arrangement with country C has a higher net benefit than</w:t>
      </w:r>
      <w:r w:rsidRPr="006B4452" w:rsidDel="00E818E2">
        <w:t xml:space="preserve"> </w:t>
      </w:r>
      <w:r w:rsidRPr="006B4452">
        <w:t xml:space="preserve">domestic production, due to having a faster time to capability. </w:t>
      </w:r>
    </w:p>
    <w:p w14:paraId="78CE8374" w14:textId="5D9A2815" w:rsidR="00964058" w:rsidRPr="00341DAD" w:rsidRDefault="00964058" w:rsidP="00F9353C">
      <w:pPr>
        <w:pStyle w:val="FigureTableHeading"/>
      </w:pPr>
      <w:bookmarkStart w:id="94" w:name="_Ref180737076"/>
      <w:r w:rsidRPr="00341DAD">
        <w:t>Table</w:t>
      </w:r>
      <w:r w:rsidR="00410C80">
        <w:t> </w:t>
      </w:r>
      <w:r w:rsidR="0098780D">
        <w:t>2.</w:t>
      </w:r>
      <w:r w:rsidRPr="00341DAD">
        <w:fldChar w:fldCharType="begin"/>
      </w:r>
      <w:r w:rsidRPr="00341DAD">
        <w:instrText xml:space="preserve"> SEQ Table \* ARABIC \s 1 </w:instrText>
      </w:r>
      <w:r w:rsidRPr="00341DAD">
        <w:fldChar w:fldCharType="separate"/>
      </w:r>
      <w:r w:rsidR="00E57184">
        <w:rPr>
          <w:noProof/>
        </w:rPr>
        <w:t>4</w:t>
      </w:r>
      <w:r w:rsidRPr="00341DAD">
        <w:rPr>
          <w:noProof/>
        </w:rPr>
        <w:fldChar w:fldCharType="end"/>
      </w:r>
      <w:bookmarkEnd w:id="94"/>
      <w:r w:rsidRPr="00341DAD">
        <w:t xml:space="preserve"> – Net present value to the economy of country B over </w:t>
      </w:r>
      <w:r w:rsidR="00B15E86">
        <w:t>ten</w:t>
      </w:r>
      <w:r w:rsidR="00410C80">
        <w:noBreakHyphen/>
      </w:r>
      <w:r w:rsidRPr="00341DAD">
        <w:t>year appraisal period of each policy option at varying risk levels</w:t>
      </w:r>
      <w:r w:rsidRPr="006526F8">
        <w:rPr>
          <w:rStyle w:val="FootnoteReference"/>
        </w:rPr>
        <w:footnoteReference w:id="21"/>
      </w:r>
    </w:p>
    <w:tbl>
      <w:tblPr>
        <w:tblW w:w="986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66"/>
        <w:gridCol w:w="2466"/>
        <w:gridCol w:w="2466"/>
        <w:gridCol w:w="2466"/>
      </w:tblGrid>
      <w:tr w:rsidR="00964058" w:rsidRPr="00BB6E76" w14:paraId="5F0F6768" w14:textId="77777777">
        <w:trPr>
          <w:cantSplit/>
          <w:trHeight w:val="250"/>
          <w:tblHeader/>
        </w:trPr>
        <w:tc>
          <w:tcPr>
            <w:tcW w:w="2466" w:type="dxa"/>
            <w:tcBorders>
              <w:bottom w:val="single" w:sz="4" w:space="0" w:color="B3B3B3"/>
            </w:tcBorders>
            <w:shd w:val="clear" w:color="000000" w:fill="auto"/>
            <w:noWrap/>
            <w:vAlign w:val="bottom"/>
            <w:hideMark/>
          </w:tcPr>
          <w:p w14:paraId="2595E27E" w14:textId="77777777" w:rsidR="00964058" w:rsidRPr="00B36981" w:rsidRDefault="00964058" w:rsidP="00F9353C">
            <w:pPr>
              <w:pStyle w:val="TableHeading"/>
              <w:spacing w:before="46" w:after="46"/>
              <w:rPr>
                <w:b w:val="0"/>
              </w:rPr>
            </w:pPr>
            <w:r w:rsidRPr="00B36981">
              <w:t>Scenario</w:t>
            </w:r>
          </w:p>
        </w:tc>
        <w:tc>
          <w:tcPr>
            <w:tcW w:w="2466" w:type="dxa"/>
            <w:tcBorders>
              <w:bottom w:val="single" w:sz="4" w:space="0" w:color="B3B3B3"/>
            </w:tcBorders>
            <w:shd w:val="clear" w:color="000000" w:fill="auto"/>
            <w:noWrap/>
            <w:vAlign w:val="bottom"/>
            <w:hideMark/>
          </w:tcPr>
          <w:p w14:paraId="021EBE3D" w14:textId="18D191E8" w:rsidR="00964058" w:rsidRPr="009551A8" w:rsidRDefault="00964058" w:rsidP="00F9353C">
            <w:pPr>
              <w:pStyle w:val="TableHeading"/>
              <w:spacing w:before="46" w:after="46"/>
              <w:ind w:right="113"/>
              <w:jc w:val="right"/>
            </w:pPr>
            <w:r w:rsidRPr="00B36981">
              <w:t xml:space="preserve">Baseline </w:t>
            </w:r>
            <w:r w:rsidR="009551A8">
              <w:t>–</w:t>
            </w:r>
            <w:r w:rsidRPr="00B36981">
              <w:t xml:space="preserve"> </w:t>
            </w:r>
            <w:r w:rsidR="009551A8">
              <w:t>d</w:t>
            </w:r>
            <w:r w:rsidRPr="00B36981">
              <w:t xml:space="preserve">o nothing </w:t>
            </w:r>
          </w:p>
        </w:tc>
        <w:tc>
          <w:tcPr>
            <w:tcW w:w="2466" w:type="dxa"/>
            <w:tcBorders>
              <w:bottom w:val="single" w:sz="4" w:space="0" w:color="B3B3B3"/>
            </w:tcBorders>
            <w:shd w:val="clear" w:color="000000" w:fill="auto"/>
            <w:noWrap/>
            <w:vAlign w:val="bottom"/>
            <w:hideMark/>
          </w:tcPr>
          <w:p w14:paraId="7074E20E" w14:textId="77777777" w:rsidR="00964058" w:rsidRPr="00B36981" w:rsidRDefault="00964058" w:rsidP="00F9353C">
            <w:pPr>
              <w:pStyle w:val="TableHeading"/>
              <w:spacing w:before="46" w:after="46"/>
              <w:ind w:right="113"/>
              <w:jc w:val="right"/>
              <w:rPr>
                <w:b w:val="0"/>
              </w:rPr>
            </w:pPr>
            <w:r w:rsidRPr="00B36981">
              <w:t>Domestic supply</w:t>
            </w:r>
          </w:p>
        </w:tc>
        <w:tc>
          <w:tcPr>
            <w:tcW w:w="2466" w:type="dxa"/>
            <w:tcBorders>
              <w:bottom w:val="single" w:sz="4" w:space="0" w:color="B3B3B3"/>
            </w:tcBorders>
            <w:shd w:val="clear" w:color="000000" w:fill="auto"/>
            <w:noWrap/>
            <w:vAlign w:val="bottom"/>
            <w:hideMark/>
          </w:tcPr>
          <w:p w14:paraId="4F112042" w14:textId="77777777" w:rsidR="00964058" w:rsidRPr="00B36981" w:rsidRDefault="00964058" w:rsidP="00F9353C">
            <w:pPr>
              <w:pStyle w:val="TableHeading"/>
              <w:spacing w:before="46" w:after="46"/>
              <w:ind w:right="113"/>
              <w:jc w:val="right"/>
              <w:rPr>
                <w:b w:val="0"/>
              </w:rPr>
            </w:pPr>
            <w:r w:rsidRPr="00B36981">
              <w:t>Club goods</w:t>
            </w:r>
          </w:p>
        </w:tc>
      </w:tr>
      <w:tr w:rsidR="00775A66" w:rsidRPr="00BB6E76" w14:paraId="1DF12969" w14:textId="77777777">
        <w:trPr>
          <w:cantSplit/>
          <w:trHeight w:val="250"/>
        </w:trPr>
        <w:tc>
          <w:tcPr>
            <w:tcW w:w="2466" w:type="dxa"/>
            <w:tcBorders>
              <w:top w:val="single" w:sz="4" w:space="0" w:color="B3B3B3"/>
              <w:bottom w:val="nil"/>
            </w:tcBorders>
            <w:shd w:val="clear" w:color="000000" w:fill="F2F2F2"/>
            <w:noWrap/>
            <w:hideMark/>
          </w:tcPr>
          <w:p w14:paraId="6CFEDC0B" w14:textId="77777777" w:rsidR="00775A66" w:rsidRPr="00B36981" w:rsidRDefault="00775A66" w:rsidP="00F9353C">
            <w:pPr>
              <w:pStyle w:val="TableHeading"/>
              <w:spacing w:before="46" w:after="46"/>
              <w:rPr>
                <w:b w:val="0"/>
              </w:rPr>
            </w:pPr>
            <w:r w:rsidRPr="00B36981">
              <w:t>Not expected</w:t>
            </w:r>
          </w:p>
        </w:tc>
        <w:tc>
          <w:tcPr>
            <w:tcW w:w="2466" w:type="dxa"/>
            <w:tcBorders>
              <w:top w:val="single" w:sz="4" w:space="0" w:color="B3B3B3"/>
              <w:bottom w:val="nil"/>
            </w:tcBorders>
            <w:shd w:val="clear" w:color="000000" w:fill="F2F2F2"/>
            <w:noWrap/>
            <w:vAlign w:val="bottom"/>
            <w:hideMark/>
          </w:tcPr>
          <w:p w14:paraId="084C74FB" w14:textId="2A27026E" w:rsidR="00775A66" w:rsidRPr="00F9075C" w:rsidRDefault="00775A66" w:rsidP="00F9353C">
            <w:pPr>
              <w:pStyle w:val="TableBody"/>
              <w:spacing w:before="46" w:after="46"/>
              <w:ind w:right="113"/>
              <w:jc w:val="right"/>
              <w:rPr>
                <w:b/>
                <w:bCs/>
                <w:color w:val="000000"/>
              </w:rPr>
            </w:pPr>
            <w:r w:rsidRPr="00F9075C">
              <w:rPr>
                <w:b/>
                <w:bCs/>
                <w:color w:val="000000"/>
              </w:rPr>
              <w:t xml:space="preserve">$956,020,263 </w:t>
            </w:r>
          </w:p>
        </w:tc>
        <w:tc>
          <w:tcPr>
            <w:tcW w:w="2466" w:type="dxa"/>
            <w:tcBorders>
              <w:top w:val="single" w:sz="4" w:space="0" w:color="B3B3B3"/>
              <w:bottom w:val="nil"/>
            </w:tcBorders>
            <w:shd w:val="clear" w:color="000000" w:fill="F2F2F2"/>
            <w:noWrap/>
            <w:vAlign w:val="bottom"/>
            <w:hideMark/>
          </w:tcPr>
          <w:p w14:paraId="783072B5" w14:textId="1CA2A2EB" w:rsidR="00775A66" w:rsidRPr="00B36981" w:rsidRDefault="006B0BAF" w:rsidP="00F9353C">
            <w:pPr>
              <w:pStyle w:val="TableBody"/>
              <w:spacing w:before="46" w:after="46"/>
              <w:ind w:right="113"/>
              <w:jc w:val="right"/>
              <w:rPr>
                <w:color w:val="000000"/>
              </w:rPr>
            </w:pPr>
            <w:r>
              <w:t>–</w:t>
            </w:r>
            <w:r w:rsidR="00775A66" w:rsidRPr="00775A66">
              <w:rPr>
                <w:color w:val="000000"/>
              </w:rPr>
              <w:t xml:space="preserve">$1,037,812,186 </w:t>
            </w:r>
          </w:p>
        </w:tc>
        <w:tc>
          <w:tcPr>
            <w:tcW w:w="2466" w:type="dxa"/>
            <w:tcBorders>
              <w:top w:val="single" w:sz="4" w:space="0" w:color="B3B3B3"/>
              <w:bottom w:val="nil"/>
            </w:tcBorders>
            <w:shd w:val="clear" w:color="000000" w:fill="F2F2F2"/>
            <w:noWrap/>
            <w:vAlign w:val="bottom"/>
            <w:hideMark/>
          </w:tcPr>
          <w:p w14:paraId="75AD8C6D" w14:textId="3F917FD6" w:rsidR="00775A66" w:rsidRPr="00B36981" w:rsidRDefault="006B0BAF" w:rsidP="00F9353C">
            <w:pPr>
              <w:pStyle w:val="TableBody"/>
              <w:spacing w:before="46" w:after="46"/>
              <w:ind w:right="113"/>
              <w:jc w:val="right"/>
              <w:rPr>
                <w:color w:val="000000"/>
              </w:rPr>
            </w:pPr>
            <w:r>
              <w:t>–</w:t>
            </w:r>
            <w:r w:rsidR="00775A66" w:rsidRPr="00775A66">
              <w:rPr>
                <w:color w:val="000000"/>
              </w:rPr>
              <w:t xml:space="preserve">$956,020,263 </w:t>
            </w:r>
          </w:p>
        </w:tc>
      </w:tr>
      <w:tr w:rsidR="00775A66" w:rsidRPr="00BB6E76" w14:paraId="76732DA2" w14:textId="77777777" w:rsidTr="00F51A04">
        <w:trPr>
          <w:cantSplit/>
          <w:trHeight w:val="250"/>
        </w:trPr>
        <w:tc>
          <w:tcPr>
            <w:tcW w:w="2466" w:type="dxa"/>
            <w:tcBorders>
              <w:top w:val="nil"/>
              <w:bottom w:val="nil"/>
            </w:tcBorders>
            <w:shd w:val="clear" w:color="000000" w:fill="auto"/>
            <w:noWrap/>
            <w:hideMark/>
          </w:tcPr>
          <w:p w14:paraId="47CE65B4" w14:textId="77777777" w:rsidR="00775A66" w:rsidRPr="00B36981" w:rsidRDefault="00775A66" w:rsidP="00F9353C">
            <w:pPr>
              <w:pStyle w:val="TableHeading"/>
              <w:spacing w:before="46" w:after="46"/>
              <w:rPr>
                <w:b w:val="0"/>
              </w:rPr>
            </w:pPr>
            <w:r w:rsidRPr="00B36981">
              <w:t xml:space="preserve">Possible </w:t>
            </w:r>
          </w:p>
        </w:tc>
        <w:tc>
          <w:tcPr>
            <w:tcW w:w="2466" w:type="dxa"/>
            <w:tcBorders>
              <w:top w:val="nil"/>
              <w:bottom w:val="nil"/>
            </w:tcBorders>
            <w:shd w:val="clear" w:color="000000" w:fill="auto"/>
            <w:noWrap/>
            <w:vAlign w:val="bottom"/>
            <w:hideMark/>
          </w:tcPr>
          <w:p w14:paraId="54208BF2" w14:textId="64349DB2" w:rsidR="00775A66" w:rsidRPr="00B36981" w:rsidRDefault="00775A66" w:rsidP="00F9353C">
            <w:pPr>
              <w:pStyle w:val="TableBody"/>
              <w:spacing w:before="46" w:after="46"/>
              <w:ind w:right="113"/>
              <w:jc w:val="right"/>
              <w:rPr>
                <w:b/>
              </w:rPr>
            </w:pPr>
            <w:r w:rsidRPr="00032766">
              <w:rPr>
                <w:b/>
              </w:rPr>
              <w:t xml:space="preserve">$57,457,447 </w:t>
            </w:r>
          </w:p>
        </w:tc>
        <w:tc>
          <w:tcPr>
            <w:tcW w:w="2466" w:type="dxa"/>
            <w:tcBorders>
              <w:top w:val="nil"/>
              <w:bottom w:val="nil"/>
            </w:tcBorders>
            <w:shd w:val="clear" w:color="000000" w:fill="auto"/>
            <w:noWrap/>
            <w:vAlign w:val="bottom"/>
            <w:hideMark/>
          </w:tcPr>
          <w:p w14:paraId="7FA5AFC8" w14:textId="376B7927" w:rsidR="00775A66" w:rsidRPr="00B36981" w:rsidRDefault="006B0BAF" w:rsidP="00F9353C">
            <w:pPr>
              <w:pStyle w:val="TableBody"/>
              <w:spacing w:before="46" w:after="46"/>
              <w:ind w:right="113"/>
              <w:jc w:val="right"/>
              <w:rPr>
                <w:color w:val="000000"/>
              </w:rPr>
            </w:pPr>
            <w:r>
              <w:t>–</w:t>
            </w:r>
            <w:r w:rsidR="00775A66" w:rsidRPr="00775A66">
              <w:rPr>
                <w:color w:val="000000"/>
              </w:rPr>
              <w:t xml:space="preserve">$387,571,438 </w:t>
            </w:r>
          </w:p>
        </w:tc>
        <w:tc>
          <w:tcPr>
            <w:tcW w:w="2466" w:type="dxa"/>
            <w:tcBorders>
              <w:top w:val="nil"/>
              <w:bottom w:val="nil"/>
            </w:tcBorders>
            <w:shd w:val="clear" w:color="000000" w:fill="auto"/>
            <w:noWrap/>
            <w:vAlign w:val="bottom"/>
            <w:hideMark/>
          </w:tcPr>
          <w:p w14:paraId="125588F1" w14:textId="53B96184" w:rsidR="00775A66" w:rsidRPr="00B36981" w:rsidRDefault="006B0BAF" w:rsidP="00F9353C">
            <w:pPr>
              <w:pStyle w:val="TableBody"/>
              <w:spacing w:before="46" w:after="46"/>
              <w:ind w:right="113"/>
              <w:jc w:val="right"/>
              <w:rPr>
                <w:color w:val="000000"/>
              </w:rPr>
            </w:pPr>
            <w:r>
              <w:t>–</w:t>
            </w:r>
            <w:r w:rsidR="00775A66" w:rsidRPr="00775A66">
              <w:rPr>
                <w:color w:val="000000"/>
              </w:rPr>
              <w:t xml:space="preserve">$67,542,553 </w:t>
            </w:r>
          </w:p>
        </w:tc>
      </w:tr>
      <w:tr w:rsidR="00775A66" w:rsidRPr="00BB6E76" w14:paraId="378BCB1D" w14:textId="77777777" w:rsidTr="00F51A04">
        <w:trPr>
          <w:cantSplit/>
          <w:trHeight w:val="250"/>
        </w:trPr>
        <w:tc>
          <w:tcPr>
            <w:tcW w:w="2466" w:type="dxa"/>
            <w:tcBorders>
              <w:bottom w:val="single" w:sz="4" w:space="0" w:color="BFBFBF" w:themeColor="background1" w:themeShade="BF"/>
            </w:tcBorders>
            <w:shd w:val="clear" w:color="000000" w:fill="F2F2F2"/>
            <w:noWrap/>
            <w:hideMark/>
          </w:tcPr>
          <w:p w14:paraId="3BAAA6DF" w14:textId="77777777" w:rsidR="00775A66" w:rsidRPr="00B36981" w:rsidRDefault="00775A66" w:rsidP="00F9353C">
            <w:pPr>
              <w:pStyle w:val="TableHeading"/>
              <w:spacing w:before="46" w:after="46"/>
              <w:rPr>
                <w:b w:val="0"/>
              </w:rPr>
            </w:pPr>
            <w:r w:rsidRPr="00B36981">
              <w:t>Probable</w:t>
            </w:r>
          </w:p>
        </w:tc>
        <w:tc>
          <w:tcPr>
            <w:tcW w:w="2466" w:type="dxa"/>
            <w:tcBorders>
              <w:bottom w:val="single" w:sz="4" w:space="0" w:color="BFBFBF" w:themeColor="background1" w:themeShade="BF"/>
            </w:tcBorders>
            <w:shd w:val="clear" w:color="000000" w:fill="F2F2F2"/>
            <w:noWrap/>
            <w:vAlign w:val="bottom"/>
            <w:hideMark/>
          </w:tcPr>
          <w:p w14:paraId="1CD09F24" w14:textId="21029CBB" w:rsidR="00775A66" w:rsidRPr="00B36981" w:rsidRDefault="006B0BAF" w:rsidP="00F9353C">
            <w:pPr>
              <w:pStyle w:val="TableBody"/>
              <w:spacing w:before="46" w:after="46"/>
              <w:ind w:right="113"/>
              <w:jc w:val="right"/>
              <w:rPr>
                <w:color w:val="000000"/>
              </w:rPr>
            </w:pPr>
            <w:r>
              <w:t>–</w:t>
            </w:r>
            <w:r w:rsidR="00775A66" w:rsidRPr="00775A66">
              <w:rPr>
                <w:color w:val="000000"/>
              </w:rPr>
              <w:t xml:space="preserve">$1,070,935,156 </w:t>
            </w:r>
          </w:p>
        </w:tc>
        <w:tc>
          <w:tcPr>
            <w:tcW w:w="2466" w:type="dxa"/>
            <w:tcBorders>
              <w:bottom w:val="single" w:sz="4" w:space="0" w:color="BFBFBF" w:themeColor="background1" w:themeShade="BF"/>
            </w:tcBorders>
            <w:shd w:val="clear" w:color="000000" w:fill="F2F2F2"/>
            <w:noWrap/>
            <w:vAlign w:val="bottom"/>
            <w:hideMark/>
          </w:tcPr>
          <w:p w14:paraId="0A75F1A9" w14:textId="1C134C98" w:rsidR="00775A66" w:rsidRPr="00B36981" w:rsidRDefault="00775A66" w:rsidP="00F9353C">
            <w:pPr>
              <w:pStyle w:val="TableBody"/>
              <w:spacing w:before="46" w:after="46"/>
              <w:ind w:right="113"/>
              <w:jc w:val="right"/>
              <w:rPr>
                <w:color w:val="000000"/>
              </w:rPr>
            </w:pPr>
            <w:r w:rsidRPr="00775A66">
              <w:rPr>
                <w:color w:val="000000"/>
              </w:rPr>
              <w:t xml:space="preserve">$262,669,310 </w:t>
            </w:r>
          </w:p>
        </w:tc>
        <w:tc>
          <w:tcPr>
            <w:tcW w:w="2466" w:type="dxa"/>
            <w:tcBorders>
              <w:bottom w:val="single" w:sz="4" w:space="0" w:color="BFBFBF" w:themeColor="background1" w:themeShade="BF"/>
            </w:tcBorders>
            <w:shd w:val="clear" w:color="000000" w:fill="F2F2F2"/>
            <w:noWrap/>
            <w:vAlign w:val="bottom"/>
            <w:hideMark/>
          </w:tcPr>
          <w:p w14:paraId="69C4A21B" w14:textId="02ED8227" w:rsidR="00775A66" w:rsidRPr="00B36981" w:rsidRDefault="00775A66" w:rsidP="00F9353C">
            <w:pPr>
              <w:pStyle w:val="TableBody"/>
              <w:spacing w:before="46" w:after="46"/>
              <w:ind w:right="113"/>
              <w:jc w:val="right"/>
              <w:rPr>
                <w:b/>
              </w:rPr>
            </w:pPr>
            <w:r w:rsidRPr="00032766">
              <w:rPr>
                <w:b/>
              </w:rPr>
              <w:t xml:space="preserve">$820,935,156 </w:t>
            </w:r>
          </w:p>
        </w:tc>
      </w:tr>
    </w:tbl>
    <w:p w14:paraId="3D5C2697" w14:textId="6A915AEB" w:rsidR="00C61C5A" w:rsidRDefault="00C61C5A" w:rsidP="00B43417">
      <w:pPr>
        <w:pStyle w:val="Source"/>
      </w:pPr>
      <w:r>
        <w:t xml:space="preserve">Source: </w:t>
      </w:r>
      <w:r w:rsidR="008A5DB3">
        <w:t>PC</w:t>
      </w:r>
      <w:r>
        <w:t xml:space="preserve"> calculations</w:t>
      </w:r>
      <w:r w:rsidR="007C427D">
        <w:t xml:space="preserve">. Note: the best response in each scenario is bolded. </w:t>
      </w:r>
    </w:p>
    <w:p w14:paraId="08FBE131" w14:textId="61EE9E96" w:rsidR="00964058" w:rsidRPr="006B4452" w:rsidRDefault="00CD5534" w:rsidP="006B4452">
      <w:pPr>
        <w:pStyle w:val="BodyText"/>
      </w:pPr>
      <w:r>
        <w:fldChar w:fldCharType="begin"/>
      </w:r>
      <w:r>
        <w:instrText xml:space="preserve"> REF _Ref198630466 \h </w:instrText>
      </w:r>
      <w:r>
        <w:fldChar w:fldCharType="separate"/>
      </w:r>
      <w:r w:rsidR="00E57184">
        <w:t xml:space="preserve">Figure </w:t>
      </w:r>
      <w:r w:rsidR="00E57184">
        <w:rPr>
          <w:noProof/>
        </w:rPr>
        <w:t>2</w:t>
      </w:r>
      <w:r w:rsidR="00E57184">
        <w:t>.</w:t>
      </w:r>
      <w:r w:rsidR="00E57184">
        <w:rPr>
          <w:noProof/>
        </w:rPr>
        <w:t>5</w:t>
      </w:r>
      <w:r>
        <w:fldChar w:fldCharType="end"/>
      </w:r>
      <w:r w:rsidR="00964058" w:rsidRPr="006B4452">
        <w:t xml:space="preserve"> illustrates the cumulative benefits and costs of a club goods partnership for country B over </w:t>
      </w:r>
      <w:r w:rsidR="009A0A1B">
        <w:t>ten</w:t>
      </w:r>
      <w:r w:rsidR="00964058" w:rsidRPr="006B4452">
        <w:t xml:space="preserve"> years at a risk rating of ‘probable’. By the </w:t>
      </w:r>
      <w:r w:rsidR="003E7415" w:rsidRPr="006B4452">
        <w:t>third</w:t>
      </w:r>
      <w:r w:rsidR="00964058" w:rsidRPr="006B4452">
        <w:t xml:space="preserve"> year the accumulated benefits exceed the cumulative costs. </w:t>
      </w:r>
    </w:p>
    <w:p w14:paraId="41FADD7B" w14:textId="4B4A443E" w:rsidR="00964058" w:rsidRPr="00146382" w:rsidRDefault="00964058" w:rsidP="00964058">
      <w:pPr>
        <w:pStyle w:val="FigureTableHeading"/>
      </w:pPr>
      <w:bookmarkStart w:id="95" w:name="_Ref198630466"/>
      <w:bookmarkStart w:id="96" w:name="_Ref180678369"/>
      <w:r>
        <w:lastRenderedPageBreak/>
        <w:t>Figur</w:t>
      </w:r>
      <w:r w:rsidR="003D72AE">
        <w:t>e</w:t>
      </w:r>
      <w:r w:rsidR="00E433ED">
        <w:t xml:space="preserve"> </w:t>
      </w:r>
      <w:r w:rsidR="00C223E9">
        <w:fldChar w:fldCharType="begin"/>
      </w:r>
      <w:r w:rsidR="00C223E9">
        <w:instrText xml:space="preserve"> STYLEREF 1 \s </w:instrText>
      </w:r>
      <w:r w:rsidR="00C223E9">
        <w:fldChar w:fldCharType="separate"/>
      </w:r>
      <w:r w:rsidR="00E57184">
        <w:rPr>
          <w:noProof/>
        </w:rPr>
        <w:t>2</w:t>
      </w:r>
      <w:r w:rsidR="00C223E9">
        <w:rPr>
          <w:noProof/>
        </w:rPr>
        <w:fldChar w:fldCharType="end"/>
      </w:r>
      <w:r w:rsidR="008B1E25">
        <w:t>.</w:t>
      </w:r>
      <w:r w:rsidR="00C223E9">
        <w:fldChar w:fldCharType="begin"/>
      </w:r>
      <w:r w:rsidR="00C223E9">
        <w:instrText xml:space="preserve"> SEQ Figure \* ARABIC \s 1 </w:instrText>
      </w:r>
      <w:r w:rsidR="00C223E9">
        <w:fldChar w:fldCharType="separate"/>
      </w:r>
      <w:r w:rsidR="00E57184">
        <w:rPr>
          <w:noProof/>
        </w:rPr>
        <w:t>5</w:t>
      </w:r>
      <w:r w:rsidR="00C223E9">
        <w:rPr>
          <w:noProof/>
        </w:rPr>
        <w:fldChar w:fldCharType="end"/>
      </w:r>
      <w:bookmarkEnd w:id="95"/>
      <w:bookmarkEnd w:id="96"/>
      <w:r>
        <w:rPr>
          <w:noProof/>
        </w:rPr>
        <w:t xml:space="preserve"> </w:t>
      </w:r>
      <w:r>
        <w:t xml:space="preserve">– Cumulative costs and benefits for country B of ‘club goods’ intervention </w:t>
      </w:r>
    </w:p>
    <w:p w14:paraId="500F98DD" w14:textId="40F762D2" w:rsidR="00964058" w:rsidRPr="005550A0" w:rsidRDefault="0080663F" w:rsidP="00BA10A3">
      <w:pPr>
        <w:pStyle w:val="BodyText"/>
        <w:spacing w:after="0"/>
      </w:pPr>
      <w:r w:rsidRPr="0080663F">
        <w:rPr>
          <w:noProof/>
        </w:rPr>
        <w:drawing>
          <wp:inline distT="0" distB="0" distL="0" distR="0" wp14:anchorId="43E2825A" wp14:editId="0F3E0878">
            <wp:extent cx="6055961" cy="3144520"/>
            <wp:effectExtent l="0" t="0" r="0" b="0"/>
            <wp:docPr id="1153416915" name="Picture 7" descr="A line chart showing the net present value over a 10-year period of benefits in avoiding disruption and the cost of running a club goods intervention and not mitigating the disruption are shown. Costs exceed benefits for the first three years. After three years the benefits exceed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16915" name="Picture 7" descr="A line chart showing the net present value over a 10-year period of benefits in avoiding disruption and the cost of running a club goods intervention and not mitigating the disruption are shown. Costs exceed benefits for the first three years. After three years the benefits exceed costs. "/>
                    <pic:cNvPicPr>
                      <a:picLocks noChangeAspect="1" noChangeArrowheads="1"/>
                    </pic:cNvPicPr>
                  </pic:nvPicPr>
                  <pic:blipFill rotWithShape="1">
                    <a:blip r:embed="rId54">
                      <a:extLst>
                        <a:ext uri="{28A0092B-C50C-407E-A947-70E740481C1C}">
                          <a14:useLocalDpi xmlns:a14="http://schemas.microsoft.com/office/drawing/2010/main" val="0"/>
                        </a:ext>
                      </a:extLst>
                    </a:blip>
                    <a:srcRect l="1037" b="4629"/>
                    <a:stretch>
                      <a:fillRect/>
                    </a:stretch>
                  </pic:blipFill>
                  <pic:spPr bwMode="auto">
                    <a:xfrm>
                      <a:off x="0" y="0"/>
                      <a:ext cx="6056697" cy="3144902"/>
                    </a:xfrm>
                    <a:prstGeom prst="rect">
                      <a:avLst/>
                    </a:prstGeom>
                    <a:noFill/>
                    <a:ln>
                      <a:noFill/>
                    </a:ln>
                    <a:extLst>
                      <a:ext uri="{53640926-AAD7-44D8-BBD7-CCE9431645EC}">
                        <a14:shadowObscured xmlns:a14="http://schemas.microsoft.com/office/drawing/2010/main"/>
                      </a:ext>
                    </a:extLst>
                  </pic:spPr>
                </pic:pic>
              </a:graphicData>
            </a:graphic>
          </wp:inline>
        </w:drawing>
      </w:r>
    </w:p>
    <w:p w14:paraId="016846AF" w14:textId="2FF401A3" w:rsidR="00964058" w:rsidRDefault="00964058" w:rsidP="0080663F">
      <w:pPr>
        <w:pStyle w:val="Source"/>
        <w:spacing w:before="0"/>
      </w:pPr>
      <w:r w:rsidRPr="00696447">
        <w:t>Source:</w:t>
      </w:r>
      <w:r>
        <w:t xml:space="preserve"> </w:t>
      </w:r>
      <w:r w:rsidR="008A5DB3">
        <w:t>PC</w:t>
      </w:r>
      <w:r w:rsidR="00D9677E">
        <w:t xml:space="preserve"> </w:t>
      </w:r>
      <w:r>
        <w:t>calculations</w:t>
      </w:r>
      <w:r w:rsidRPr="00696447">
        <w:t>.</w:t>
      </w:r>
    </w:p>
    <w:p w14:paraId="6AD4D55B" w14:textId="2D0CA6EF" w:rsidR="0071478C" w:rsidRDefault="0071478C" w:rsidP="00536740">
      <w:pPr>
        <w:pStyle w:val="BodyText"/>
        <w:sectPr w:rsidR="0071478C" w:rsidSect="002E3F19">
          <w:pgSz w:w="11906" w:h="16838" w:code="9"/>
          <w:pgMar w:top="1134" w:right="1134" w:bottom="1134" w:left="1134" w:header="794" w:footer="510" w:gutter="0"/>
          <w:cols w:space="708"/>
          <w:docGrid w:linePitch="360"/>
        </w:sectPr>
      </w:pPr>
      <w:bookmarkStart w:id="97" w:name="_Toc183785532"/>
    </w:p>
    <w:p w14:paraId="71906F45" w14:textId="26034DCC" w:rsidR="009C7AFF" w:rsidRDefault="009C7AFF" w:rsidP="00525DB2">
      <w:pPr>
        <w:pStyle w:val="Heading1"/>
      </w:pPr>
      <w:bookmarkStart w:id="98" w:name="_Toc195696932"/>
      <w:bookmarkStart w:id="99" w:name="_Toc210942156"/>
      <w:r w:rsidRPr="00966914">
        <w:lastRenderedPageBreak/>
        <w:t xml:space="preserve">Net zero </w:t>
      </w:r>
      <w:r>
        <w:t>transformation</w:t>
      </w:r>
      <w:bookmarkEnd w:id="97"/>
      <w:bookmarkEnd w:id="98"/>
      <w:bookmarkEnd w:id="99"/>
    </w:p>
    <w:tbl>
      <w:tblPr>
        <w:tblStyle w:val="Texttable-Paleblue"/>
        <w:tblW w:w="5000" w:type="pct"/>
        <w:shd w:val="clear" w:color="auto" w:fill="E7F6FD"/>
        <w:tblLook w:val="04A0" w:firstRow="1" w:lastRow="0" w:firstColumn="1" w:lastColumn="0" w:noHBand="0" w:noVBand="1"/>
      </w:tblPr>
      <w:tblGrid>
        <w:gridCol w:w="577"/>
        <w:gridCol w:w="9061"/>
      </w:tblGrid>
      <w:tr w:rsidR="00D93179" w:rsidRPr="002F759A" w14:paraId="487C434D" w14:textId="77777777">
        <w:tc>
          <w:tcPr>
            <w:tcW w:w="9638" w:type="dxa"/>
            <w:gridSpan w:val="2"/>
            <w:shd w:val="clear" w:color="auto" w:fill="E7F6FD"/>
            <w:tcMar>
              <w:left w:w="170" w:type="dxa"/>
            </w:tcMar>
          </w:tcPr>
          <w:p w14:paraId="6599631D" w14:textId="4874217C" w:rsidR="00D93179" w:rsidRPr="002F759A" w:rsidRDefault="00D93179">
            <w:pPr>
              <w:pStyle w:val="Keypoints-heading"/>
            </w:pPr>
            <w:bookmarkStart w:id="100" w:name="_Toc195696933"/>
            <w:r w:rsidRPr="002F759A">
              <w:t>Key points</w:t>
            </w:r>
            <w:bookmarkEnd w:id="100"/>
          </w:p>
        </w:tc>
      </w:tr>
      <w:tr w:rsidR="009A3A30" w14:paraId="636B123D" w14:textId="77777777">
        <w:tc>
          <w:tcPr>
            <w:tcW w:w="577" w:type="dxa"/>
            <w:shd w:val="clear" w:color="auto" w:fill="E7F6FD"/>
            <w:tcMar>
              <w:top w:w="0" w:type="dxa"/>
              <w:bottom w:w="0" w:type="dxa"/>
              <w:right w:w="113" w:type="dxa"/>
            </w:tcMar>
          </w:tcPr>
          <w:p w14:paraId="622EC3CD" w14:textId="77777777" w:rsidR="00D93179" w:rsidRDefault="00D93179" w:rsidP="000C6B77">
            <w:pPr>
              <w:pStyle w:val="KeyPointsicon"/>
            </w:pPr>
            <w:r w:rsidRPr="00A51374">
              <w:rPr>
                <w:noProof/>
              </w:rPr>
              <w:drawing>
                <wp:inline distT="0" distB="0" distL="0" distR="0" wp14:anchorId="7F8C521E" wp14:editId="453754B7">
                  <wp:extent cx="180000" cy="180000"/>
                  <wp:effectExtent l="0" t="0" r="0" b="0"/>
                  <wp:docPr id="1008995680" name="Graphic 1008995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83EFA00" w14:textId="4119CF7B" w:rsidR="00D93179" w:rsidRDefault="00CE5022" w:rsidP="00115CD4">
            <w:pPr>
              <w:pStyle w:val="KeyPoints-Bold"/>
            </w:pPr>
            <w:r w:rsidRPr="00586FB9">
              <w:t xml:space="preserve">Australia </w:t>
            </w:r>
            <w:r w:rsidR="008B71BC">
              <w:t xml:space="preserve">has committed to </w:t>
            </w:r>
            <w:r w:rsidR="001D7EC7">
              <w:t xml:space="preserve">achieving net </w:t>
            </w:r>
            <w:r w:rsidR="00FF4663">
              <w:t>zero emissions</w:t>
            </w:r>
            <w:r w:rsidR="008B71BC">
              <w:t xml:space="preserve"> by 2050, requiring action across many </w:t>
            </w:r>
            <w:r w:rsidR="00C46762">
              <w:t>sectors</w:t>
            </w:r>
            <w:r w:rsidR="001C126A">
              <w:t>.</w:t>
            </w:r>
            <w:r w:rsidR="001E1703">
              <w:t xml:space="preserve"> Policy coordination is required to achieve </w:t>
            </w:r>
            <w:r w:rsidR="00703974">
              <w:t>abatement at least cost.</w:t>
            </w:r>
          </w:p>
        </w:tc>
      </w:tr>
      <w:tr w:rsidR="009A3A30" w14:paraId="069AA9CD" w14:textId="77777777">
        <w:tc>
          <w:tcPr>
            <w:tcW w:w="577" w:type="dxa"/>
            <w:shd w:val="clear" w:color="auto" w:fill="E7F6FD"/>
            <w:tcMar>
              <w:top w:w="0" w:type="dxa"/>
              <w:bottom w:w="0" w:type="dxa"/>
              <w:right w:w="113" w:type="dxa"/>
            </w:tcMar>
          </w:tcPr>
          <w:p w14:paraId="4D1F0457" w14:textId="77777777" w:rsidR="00D93179" w:rsidRPr="00A51374" w:rsidRDefault="00D93179" w:rsidP="000C6B77">
            <w:pPr>
              <w:pStyle w:val="KeyPointsicon"/>
            </w:pPr>
            <w:r w:rsidRPr="00F31E73">
              <w:rPr>
                <w:noProof/>
              </w:rPr>
              <w:drawing>
                <wp:inline distT="0" distB="0" distL="0" distR="0" wp14:anchorId="76B9C838" wp14:editId="50430115">
                  <wp:extent cx="180000" cy="180000"/>
                  <wp:effectExtent l="0" t="0" r="0" b="0"/>
                  <wp:docPr id="1118074628" name="Graphic 1118074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5E4F2CF" w14:textId="5D181167" w:rsidR="008A5EEB" w:rsidRPr="008A5EEB" w:rsidRDefault="00703974" w:rsidP="000251A5">
            <w:pPr>
              <w:pStyle w:val="KeyPoints-Bold"/>
            </w:pPr>
            <w:r>
              <w:t xml:space="preserve">Following </w:t>
            </w:r>
            <w:r w:rsidR="008B71BC">
              <w:t>marginal abatement cost curves</w:t>
            </w:r>
            <w:r w:rsidR="008A5EEB" w:rsidRPr="008A5EEB">
              <w:t xml:space="preserve"> help</w:t>
            </w:r>
            <w:r>
              <w:t>s</w:t>
            </w:r>
            <w:r w:rsidR="008A5EEB" w:rsidRPr="008A5EEB">
              <w:t xml:space="preserve"> prioritise the cheapest emissions reduction activities first, allowing time for more expensive technologies to become cost</w:t>
            </w:r>
            <w:r w:rsidR="00D25956">
              <w:noBreakHyphen/>
            </w:r>
            <w:r w:rsidR="008A5EEB" w:rsidRPr="008A5EEB">
              <w:t>effective.</w:t>
            </w:r>
          </w:p>
          <w:p w14:paraId="39F6593E" w14:textId="34000CDA" w:rsidR="00586FB9" w:rsidRPr="00610627" w:rsidRDefault="003268CB" w:rsidP="006526F8">
            <w:pPr>
              <w:pStyle w:val="KeyPoints-Bullet"/>
            </w:pPr>
            <w:r>
              <w:t>M</w:t>
            </w:r>
            <w:r w:rsidR="008A5EEB" w:rsidRPr="008A5EEB">
              <w:t>arket</w:t>
            </w:r>
            <w:r w:rsidR="00D25956">
              <w:noBreakHyphen/>
            </w:r>
            <w:r w:rsidR="008A5EEB" w:rsidRPr="008A5EEB">
              <w:t>based approaches (e.g., emissions trading) are generally more efficient for ordering abatement than government</w:t>
            </w:r>
            <w:r w:rsidR="00D25956">
              <w:noBreakHyphen/>
            </w:r>
            <w:r w:rsidR="008A5EEB" w:rsidRPr="008A5EEB">
              <w:t>targeted interventions, as businesses have better information.</w:t>
            </w:r>
          </w:p>
        </w:tc>
      </w:tr>
      <w:tr w:rsidR="009A3A30" w14:paraId="427C8E64" w14:textId="77777777">
        <w:tc>
          <w:tcPr>
            <w:tcW w:w="577" w:type="dxa"/>
            <w:shd w:val="clear" w:color="auto" w:fill="E7F6FD"/>
            <w:tcMar>
              <w:top w:w="0" w:type="dxa"/>
              <w:bottom w:w="0" w:type="dxa"/>
              <w:right w:w="113" w:type="dxa"/>
            </w:tcMar>
          </w:tcPr>
          <w:p w14:paraId="05764CC3" w14:textId="77777777" w:rsidR="00D93179" w:rsidRPr="00A51374" w:rsidRDefault="00D93179" w:rsidP="000C6B77">
            <w:pPr>
              <w:pStyle w:val="KeyPointsicon"/>
            </w:pPr>
            <w:r w:rsidRPr="00F31E73">
              <w:rPr>
                <w:noProof/>
              </w:rPr>
              <w:drawing>
                <wp:inline distT="0" distB="0" distL="0" distR="0" wp14:anchorId="358D5C78" wp14:editId="0B213945">
                  <wp:extent cx="180000" cy="180000"/>
                  <wp:effectExtent l="0" t="0" r="0" b="0"/>
                  <wp:docPr id="2007137994" name="Graphic 2007137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D5B2B3B" w14:textId="325A32B4" w:rsidR="00D93179" w:rsidRDefault="008B71BC" w:rsidP="00610627">
            <w:pPr>
              <w:pStyle w:val="KeyPoints-Bold"/>
            </w:pPr>
            <w:r>
              <w:t xml:space="preserve">But policy support </w:t>
            </w:r>
            <w:r w:rsidR="005F4D6B">
              <w:t>for currently higher</w:t>
            </w:r>
            <w:r w:rsidR="00D25956">
              <w:noBreakHyphen/>
            </w:r>
            <w:r w:rsidR="005F4D6B">
              <w:t xml:space="preserve">cost technologies can be justified </w:t>
            </w:r>
            <w:r w:rsidR="00132F33">
              <w:t>in some cases</w:t>
            </w:r>
            <w:r w:rsidR="005F4D6B">
              <w:t xml:space="preserve"> to address market failures and lower long</w:t>
            </w:r>
            <w:r w:rsidR="00D25956">
              <w:noBreakHyphen/>
            </w:r>
            <w:r w:rsidR="005F4D6B">
              <w:t>term costs</w:t>
            </w:r>
            <w:r w:rsidR="00EE58BF">
              <w:t>.</w:t>
            </w:r>
          </w:p>
          <w:p w14:paraId="266B85B2" w14:textId="65179BC4" w:rsidR="00C46762" w:rsidRPr="00610627" w:rsidRDefault="008A5EEB" w:rsidP="006526F8">
            <w:pPr>
              <w:pStyle w:val="KeyPoints-Bullet"/>
            </w:pPr>
            <w:r>
              <w:t>T</w:t>
            </w:r>
            <w:r w:rsidRPr="008A5EEB">
              <w:t xml:space="preserve">his support aims to reduce overall abatement costs over time by fostering domestic knowledge and preparing sectors </w:t>
            </w:r>
            <w:r w:rsidR="00EE58BF">
              <w:t>to use</w:t>
            </w:r>
            <w:r w:rsidRPr="008A5EEB">
              <w:t xml:space="preserve"> new technologies</w:t>
            </w:r>
            <w:r w:rsidR="00EE58BF">
              <w:t xml:space="preserve"> as they become cost effective</w:t>
            </w:r>
            <w:r w:rsidRPr="008A5EEB">
              <w:t>.</w:t>
            </w:r>
          </w:p>
        </w:tc>
      </w:tr>
      <w:tr w:rsidR="009A3A30" w14:paraId="614918FE" w14:textId="77777777">
        <w:tc>
          <w:tcPr>
            <w:tcW w:w="577" w:type="dxa"/>
            <w:shd w:val="clear" w:color="auto" w:fill="E7F6FD"/>
            <w:tcMar>
              <w:top w:w="0" w:type="dxa"/>
              <w:bottom w:w="0" w:type="dxa"/>
              <w:right w:w="113" w:type="dxa"/>
            </w:tcMar>
          </w:tcPr>
          <w:p w14:paraId="39177E45" w14:textId="77777777" w:rsidR="00D93179" w:rsidRPr="00A51374" w:rsidRDefault="00D93179" w:rsidP="000C6B77">
            <w:pPr>
              <w:pStyle w:val="KeyPointsicon"/>
            </w:pPr>
            <w:r w:rsidRPr="00F31E73">
              <w:rPr>
                <w:noProof/>
              </w:rPr>
              <w:drawing>
                <wp:inline distT="0" distB="0" distL="0" distR="0" wp14:anchorId="43F114AB" wp14:editId="12B2B01A">
                  <wp:extent cx="180000" cy="180000"/>
                  <wp:effectExtent l="0" t="0" r="0" b="0"/>
                  <wp:docPr id="424604903" name="Graphic 424604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553E2C0" w14:textId="23E972B2" w:rsidR="00775838" w:rsidRPr="00610627" w:rsidRDefault="00775838" w:rsidP="00D4550A">
            <w:pPr>
              <w:pStyle w:val="KeyPoints-Bold"/>
            </w:pPr>
            <w:r w:rsidRPr="00C46762">
              <w:t>Support for emerging technologies should be proportionate, include clear exit strategies, and focus on developing local knowledge, particularly for modular systems.</w:t>
            </w:r>
          </w:p>
        </w:tc>
      </w:tr>
      <w:tr w:rsidR="00230446" w14:paraId="723A5E3D" w14:textId="77777777">
        <w:tc>
          <w:tcPr>
            <w:tcW w:w="577" w:type="dxa"/>
            <w:shd w:val="clear" w:color="auto" w:fill="E7F6FD"/>
            <w:tcMar>
              <w:top w:w="0" w:type="dxa"/>
              <w:bottom w:w="0" w:type="dxa"/>
              <w:right w:w="113" w:type="dxa"/>
            </w:tcMar>
          </w:tcPr>
          <w:p w14:paraId="3BF62CB0" w14:textId="796EF4A4" w:rsidR="00230446" w:rsidRPr="00F31E73" w:rsidRDefault="00230446" w:rsidP="000C6B77">
            <w:pPr>
              <w:pStyle w:val="KeyPointsicon"/>
              <w:rPr>
                <w:noProof/>
              </w:rPr>
            </w:pPr>
            <w:r w:rsidRPr="00F31E73">
              <w:rPr>
                <w:noProof/>
              </w:rPr>
              <w:drawing>
                <wp:inline distT="0" distB="0" distL="0" distR="0" wp14:anchorId="30AC2619" wp14:editId="573E63EC">
                  <wp:extent cx="180000" cy="180000"/>
                  <wp:effectExtent l="0" t="0" r="0" b="0"/>
                  <wp:docPr id="1141706077" name="Graphic 1141706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E1D39AC" w14:textId="6B96FAFE" w:rsidR="00230446" w:rsidDel="00132F33" w:rsidRDefault="00230446" w:rsidP="00132F33">
            <w:pPr>
              <w:pStyle w:val="KeyPoints-Bold"/>
            </w:pPr>
            <w:r>
              <w:t xml:space="preserve">The same principles largely apply whether support is aimed at domestic or international emissions reduction. The latter </w:t>
            </w:r>
            <w:r w:rsidR="00CC2DB6">
              <w:t>also requires consideration of global agreements and trade rules.</w:t>
            </w:r>
          </w:p>
        </w:tc>
      </w:tr>
    </w:tbl>
    <w:p w14:paraId="2BA59BF4" w14:textId="4364E02A" w:rsidR="00D93179" w:rsidRDefault="00D93179">
      <w:pPr>
        <w:pStyle w:val="NoSpacing"/>
      </w:pPr>
    </w:p>
    <w:p w14:paraId="1CB218AA" w14:textId="4DB62F44" w:rsidR="009D64D6" w:rsidRDefault="00D93179" w:rsidP="006526F8">
      <w:pPr>
        <w:pStyle w:val="Heading2"/>
      </w:pPr>
      <w:bookmarkStart w:id="101" w:name="_Toc195696934"/>
      <w:bookmarkStart w:id="102" w:name="_Toc210942157"/>
      <w:r>
        <w:t xml:space="preserve">The role of </w:t>
      </w:r>
      <w:r w:rsidR="00CA74B2">
        <w:t>industry policy</w:t>
      </w:r>
      <w:r>
        <w:t xml:space="preserve"> in the net zero </w:t>
      </w:r>
      <w:bookmarkEnd w:id="101"/>
      <w:r w:rsidR="00065CCF">
        <w:t>transformation</w:t>
      </w:r>
      <w:bookmarkEnd w:id="102"/>
    </w:p>
    <w:p w14:paraId="2CD4A9E8" w14:textId="77777777" w:rsidR="00851DBC" w:rsidRDefault="00851DBC" w:rsidP="00851DBC">
      <w:pPr>
        <w:pStyle w:val="Heading3"/>
      </w:pPr>
      <w:bookmarkStart w:id="103" w:name="_Toc183785533"/>
      <w:bookmarkStart w:id="104" w:name="_Toc195696935"/>
      <w:r>
        <w:t>Australia has a significant task to reach net zero emissions</w:t>
      </w:r>
    </w:p>
    <w:p w14:paraId="4D09A147" w14:textId="13FDFFCC" w:rsidR="009C7AFF" w:rsidRPr="00851354" w:rsidRDefault="00851DBC" w:rsidP="009C7AFF">
      <w:pPr>
        <w:pStyle w:val="BodyText"/>
      </w:pPr>
      <w:r w:rsidRPr="00851354">
        <w:t>Australia has committed to achieving net zero emissions by 2050, along with an interim target of 43% below 2005 emissions levels by 2030</w:t>
      </w:r>
      <w:r w:rsidR="00923004">
        <w:t>, and a target of 62</w:t>
      </w:r>
      <w:r w:rsidR="006209A9">
        <w:t>–</w:t>
      </w:r>
      <w:r w:rsidR="00923004">
        <w:t>70% by 2035</w:t>
      </w:r>
      <w:r w:rsidRPr="00851354">
        <w:t xml:space="preserve">. Over coming years, Australia will be required to commit to corresponding 2040 and 2045 targets under the Paris Accord. Achieving these targets over the next 25 years will require significant emissions reductions across a range of sectors </w:t>
      </w:r>
      <w:r w:rsidR="006E50A6">
        <w:t>–</w:t>
      </w:r>
      <w:r w:rsidRPr="00851354">
        <w:t xml:space="preserve"> electricity generation, transport, agriculture, waste, and industrial </w:t>
      </w:r>
      <w:bookmarkEnd w:id="103"/>
      <w:bookmarkEnd w:id="104"/>
      <w:r w:rsidRPr="00851354">
        <w:t>processes</w:t>
      </w:r>
      <w:r w:rsidR="009C7AFF" w:rsidRPr="00851354">
        <w:t xml:space="preserve"> (</w:t>
      </w:r>
      <w:r w:rsidR="003401A7">
        <w:t>figure</w:t>
      </w:r>
      <w:r w:rsidR="00D25956">
        <w:t> </w:t>
      </w:r>
      <w:r w:rsidR="003401A7">
        <w:t>3.1</w:t>
      </w:r>
      <w:r w:rsidR="009C7AFF" w:rsidRPr="00851354">
        <w:t>).</w:t>
      </w:r>
    </w:p>
    <w:p w14:paraId="16D728F5" w14:textId="05CD1C19" w:rsidR="009C7AFF" w:rsidRPr="00146382" w:rsidRDefault="009C7AFF">
      <w:pPr>
        <w:pStyle w:val="FigureTableHeading"/>
      </w:pPr>
      <w:bookmarkStart w:id="105" w:name="_Ref198630364"/>
      <w:bookmarkStart w:id="106" w:name="_Ref181701888"/>
      <w:r>
        <w:lastRenderedPageBreak/>
        <w:t>Figure</w:t>
      </w:r>
      <w:r w:rsidR="00605C96">
        <w:t xml:space="preserve"> </w:t>
      </w:r>
      <w:r w:rsidR="00C223E9">
        <w:fldChar w:fldCharType="begin"/>
      </w:r>
      <w:r w:rsidR="00C223E9">
        <w:instrText xml:space="preserve"> STYLEREF 1 \s </w:instrText>
      </w:r>
      <w:r w:rsidR="00C223E9">
        <w:fldChar w:fldCharType="separate"/>
      </w:r>
      <w:r w:rsidR="00E57184">
        <w:rPr>
          <w:noProof/>
        </w:rPr>
        <w:t>3</w:t>
      </w:r>
      <w:r w:rsidR="00C223E9">
        <w:rPr>
          <w:noProof/>
        </w:rPr>
        <w:fldChar w:fldCharType="end"/>
      </w:r>
      <w:r w:rsidR="008B1E25">
        <w:t>.</w:t>
      </w:r>
      <w:r w:rsidR="00C223E9">
        <w:fldChar w:fldCharType="begin"/>
      </w:r>
      <w:r w:rsidR="00C223E9">
        <w:instrText xml:space="preserve"> SEQ Figure \* ARABIC \s 1 </w:instrText>
      </w:r>
      <w:r w:rsidR="00C223E9">
        <w:fldChar w:fldCharType="separate"/>
      </w:r>
      <w:r w:rsidR="00E57184">
        <w:rPr>
          <w:noProof/>
        </w:rPr>
        <w:t>1</w:t>
      </w:r>
      <w:r w:rsidR="00C223E9">
        <w:rPr>
          <w:noProof/>
        </w:rPr>
        <w:fldChar w:fldCharType="end"/>
      </w:r>
      <w:bookmarkEnd w:id="105"/>
      <w:r>
        <w:rPr>
          <w:noProof/>
        </w:rPr>
        <w:t xml:space="preserve"> </w:t>
      </w:r>
      <w:r>
        <w:t xml:space="preserve">– Australia’s emissions </w:t>
      </w:r>
      <w:r w:rsidR="00101994">
        <w:t xml:space="preserve">for the year to </w:t>
      </w:r>
      <w:r w:rsidR="00233DFF">
        <w:t>Ma</w:t>
      </w:r>
      <w:r w:rsidR="00C42F3F">
        <w:t>r</w:t>
      </w:r>
      <w:r w:rsidR="00233DFF">
        <w:t>ch</w:t>
      </w:r>
      <w:r w:rsidR="00101994" w:rsidRPr="006619A7">
        <w:t xml:space="preserve"> </w:t>
      </w:r>
      <w:r>
        <w:t>202</w:t>
      </w:r>
      <w:r w:rsidR="00233DFF">
        <w:t>5</w:t>
      </w:r>
      <w:r>
        <w:t xml:space="preserve">, by </w:t>
      </w:r>
      <w:r w:rsidR="00AA5EDB">
        <w:t>sectoral</w:t>
      </w:r>
      <w:r>
        <w:t xml:space="preserve"> </w:t>
      </w:r>
      <w:r w:rsidR="00D47DFE">
        <w:t>source</w:t>
      </w:r>
    </w:p>
    <w:p w14:paraId="718FE6FE" w14:textId="58DBBCDB" w:rsidR="006619A7" w:rsidRPr="005550A0" w:rsidRDefault="00A247A8" w:rsidP="00427686">
      <w:pPr>
        <w:pStyle w:val="BodyText"/>
      </w:pPr>
      <w:r w:rsidRPr="00A247A8">
        <w:rPr>
          <w:noProof/>
        </w:rPr>
        <w:drawing>
          <wp:inline distT="0" distB="0" distL="0" distR="0" wp14:anchorId="54906B73" wp14:editId="4FFB63B1">
            <wp:extent cx="6119544" cy="3572675"/>
            <wp:effectExtent l="0" t="0" r="0" b="0"/>
            <wp:docPr id="364989912" name="Picture 2" descr="A bar chart illustrating the proportion of emissions produced by various Australian industrial sectors in 2024. Electricity, stationary energy, transport, and agriculture are some of the highest emitters. Conversely, land use, land use change, and forestry significantly offset emissions by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89912" name="Picture 2" descr="A bar chart illustrating the proportion of emissions produced by various Australian industrial sectors in 2024. Electricity, stationary energy, transport, and agriculture are some of the highest emitters. Conversely, land use, land use change, and forestry significantly offset emissions by 20%. "/>
                    <pic:cNvPicPr>
                      <a:picLocks noChangeAspect="1" noChangeArrowheads="1"/>
                    </pic:cNvPicPr>
                  </pic:nvPicPr>
                  <pic:blipFill rotWithShape="1">
                    <a:blip r:embed="rId55">
                      <a:extLst>
                        <a:ext uri="{28A0092B-C50C-407E-A947-70E740481C1C}">
                          <a14:useLocalDpi xmlns:a14="http://schemas.microsoft.com/office/drawing/2010/main" val="0"/>
                        </a:ext>
                      </a:extLst>
                    </a:blip>
                    <a:srcRect t="3446" b="10280"/>
                    <a:stretch>
                      <a:fillRect/>
                    </a:stretch>
                  </pic:blipFill>
                  <pic:spPr bwMode="auto">
                    <a:xfrm>
                      <a:off x="0" y="0"/>
                      <a:ext cx="6120130" cy="3573017"/>
                    </a:xfrm>
                    <a:prstGeom prst="rect">
                      <a:avLst/>
                    </a:prstGeom>
                    <a:noFill/>
                    <a:ln>
                      <a:noFill/>
                    </a:ln>
                    <a:extLst>
                      <a:ext uri="{53640926-AAD7-44D8-BBD7-CCE9431645EC}">
                        <a14:shadowObscured xmlns:a14="http://schemas.microsoft.com/office/drawing/2010/main"/>
                      </a:ext>
                    </a:extLst>
                  </pic:spPr>
                </pic:pic>
              </a:graphicData>
            </a:graphic>
          </wp:inline>
        </w:drawing>
      </w:r>
    </w:p>
    <w:p w14:paraId="389D7F9B" w14:textId="6F28B2E5" w:rsidR="006619A7" w:rsidRPr="001A2108" w:rsidRDefault="006619A7" w:rsidP="00427686">
      <w:pPr>
        <w:pStyle w:val="Note"/>
        <w:keepLines/>
      </w:pPr>
      <w:r w:rsidRPr="00180E66">
        <w:rPr>
          <w:b/>
          <w:bCs/>
        </w:rPr>
        <w:t>a.</w:t>
      </w:r>
      <w:r>
        <w:t xml:space="preserve"> </w:t>
      </w:r>
      <w:r w:rsidR="00427686">
        <w:t xml:space="preserve">‘Fugitive emissions’ refers primarily to emissions that occur during production, processing, transport, storage and distribution of fossil fuels. While technological interventions may be useful in reducing fugitive emissions, they are also likely to decline concomitantly with decarbonisation of other sectors if demand for fossil fuels decreases </w:t>
      </w:r>
      <w:r w:rsidR="00DD1AA5">
        <w:fldChar w:fldCharType="begin"/>
      </w:r>
      <w:r w:rsidR="00ED6B7B">
        <w:instrText xml:space="preserve"> ADDIN ZOTERO_ITEM CSL_CITATION {"citationID":"1Z0NmoLN","properties":{"formattedCitation":"(CCA\\uc0\\u160{}2024, pp.\\uc0\\u160{}119, 121, 128, 134)","plainCitation":"(CCA 2024, pp. 119, 121, 128, 134)","noteIndex":0},"citationItems":[{"id":2655,"uris":["http://zotero.org/groups/5560192/items/PSXEDCEJ"],"itemData":{"id":2655,"type":"report","abstract":"\"Commissioned by the Australian Parliament, the review considers the pathways for six sectors - agriculture and land; built environment; electricity and energy; industry and waste; transport and resources - to decarbonise. It identifies barriers and proposes strategies and actions to address them. The review finds there are many pathways to achieving emissions reductions with existing, mature technologies, such as solar and wind for electricity generation and batteries for energy storage getting Australia much of the way to net zero. Opportunities also exist with the rapid development of emerging low emissions technologies, such as hydrogen and engineered carbon removals. The authority's review identifies 6 strategies that can be incorporated in the Net Zero Plan for addressing the challenges and enabling Australia's transition to a prosperous, net zero economy. Suggested actions for the Australian Government include working with local, state and territory governments, businesses, communities and households to build on existing climate change policies, reform development approval processes and address mounting workforce shortages\"--Publisher's website","event-place":"Canberra","language":"eng","note":"OCLC: 1459764504","publisher":"Climate Change Authority","publisher-place":"Canberra","source":"Open WorldCat","title":"Sector pathways review","URL":"https://www.climatechangeauthority.gov.au/sites/default/files/documents/2024-09/2024SectorPathwaysReview.pdf","author":[{"literal":"Australian Government Climate Change Authority"}],"translator":[{"literal":"CCA"}],"issued":{"date-parts":[["2024"]]}},"locator":"119, 121, 128, 134","label":"page"}],"schema":"https://github.com/citation-style-language/schema/raw/master/csl-citation.json"} </w:instrText>
      </w:r>
      <w:r w:rsidR="00DD1AA5">
        <w:fldChar w:fldCharType="separate"/>
      </w:r>
      <w:r w:rsidR="00DD1AA5" w:rsidRPr="00851354">
        <w:t>(CCA 2024, pp. 119, 121, 128, 134)</w:t>
      </w:r>
      <w:r w:rsidR="00DD1AA5">
        <w:fldChar w:fldCharType="end"/>
      </w:r>
      <w:r w:rsidR="00DD1AA5">
        <w:t>.</w:t>
      </w:r>
      <w:r w:rsidR="00427686">
        <w:t xml:space="preserve"> Interventions targeting fugitive emissions would need to take this relationship into account when determining efficiency</w:t>
      </w:r>
      <w:r w:rsidR="001A2108">
        <w:t xml:space="preserve">. </w:t>
      </w:r>
      <w:r w:rsidR="001A2108">
        <w:rPr>
          <w:b/>
          <w:bCs/>
        </w:rPr>
        <w:t xml:space="preserve">b. </w:t>
      </w:r>
      <w:r w:rsidR="001A2108">
        <w:t>LULU</w:t>
      </w:r>
      <w:r w:rsidR="008A41CE">
        <w:t>CF stands for Land Use, Land Use Change and Forestry</w:t>
      </w:r>
      <w:r w:rsidR="00B80738">
        <w:t>.</w:t>
      </w:r>
    </w:p>
    <w:bookmarkEnd w:id="106"/>
    <w:p w14:paraId="1D9A68C8" w14:textId="1EFA1F32" w:rsidR="006619A7" w:rsidRDefault="006619A7" w:rsidP="006619A7">
      <w:pPr>
        <w:pStyle w:val="Source"/>
      </w:pPr>
      <w:r w:rsidRPr="00696447">
        <w:t xml:space="preserve">Source: </w:t>
      </w:r>
      <w:r w:rsidR="0036570C">
        <w:t>DCCEEW</w:t>
      </w:r>
      <w:r w:rsidR="006406B4">
        <w:t xml:space="preserve"> </w:t>
      </w:r>
      <w:r w:rsidR="006406B4">
        <w:fldChar w:fldCharType="begin"/>
      </w:r>
      <w:r w:rsidR="00561D22">
        <w:instrText xml:space="preserve"> ADDIN ZOTERO_ITEM CSL_CITATION {"citationID":"8lLC3qX9","properties":{"formattedCitation":"(2025b, p.\\uc0\\u160{}13)","plainCitation":"(2025b, p. 13)","noteIndex":0},"citationItems":[{"id":2789,"uris":["http://zotero.org/groups/5560192/items/D8A3M9UY"],"itemData":{"id":2789,"type":"report","title":"National Greenhouse Gas Inventory Quarterly Update: March 2025","URL":"https://www.dcceew.gov.au/climate-change/publications/national-greenhouse-gas-inventory-quarterly-update-march-2025","author":[{"literal":"Australian Government Department of Climate Change, Energy, the Environment and Water"}],"translator":[{"literal":"DCCEEW"}],"accessed":{"date-parts":[["2025",9,25]]},"issued":{"date-parts":[["2025",8,27]]}},"locator":"13","label":"page","suppress-author":true}],"schema":"https://github.com/citation-style-language/schema/raw/master/csl-citation.json"} </w:instrText>
      </w:r>
      <w:r w:rsidR="006406B4">
        <w:fldChar w:fldCharType="separate"/>
      </w:r>
      <w:r w:rsidR="00561D22" w:rsidRPr="00561D22">
        <w:rPr>
          <w:rFonts w:ascii="Arial" w:hAnsi="Arial" w:cs="Arial"/>
        </w:rPr>
        <w:t>(2025b, p. 13)</w:t>
      </w:r>
      <w:r w:rsidR="006406B4">
        <w:fldChar w:fldCharType="end"/>
      </w:r>
      <w:r w:rsidR="00771868">
        <w:t>.</w:t>
      </w:r>
    </w:p>
    <w:p w14:paraId="4266586F" w14:textId="77777777" w:rsidR="00A56962" w:rsidRPr="00851354" w:rsidRDefault="00A56962" w:rsidP="00A56962">
      <w:pPr>
        <w:pStyle w:val="BodyText"/>
      </w:pPr>
      <w:r w:rsidRPr="00E1369C">
        <w:t>Changes will be required in all these sectors and industries to decarbonise – both changes to industrial processes themselves, and to the manufacture of goods and technologies that enable other sectors to decarbonise</w:t>
      </w:r>
      <w:r w:rsidRPr="00662B90">
        <w:t xml:space="preserve">. </w:t>
      </w:r>
      <w:r w:rsidR="009C7AFF" w:rsidRPr="00851354">
        <w:t xml:space="preserve">Many of the technologies and processes required to deliver emissions abatement from these sectors are deployment ready, others are not. </w:t>
      </w:r>
      <w:r w:rsidRPr="00662B90">
        <w:t xml:space="preserve">This means that abatement is currently positioned to occur at a faster rate in some sectors and activities than in others, as indicated by the rising marginal abatement cost (MAC) </w:t>
      </w:r>
      <w:r w:rsidRPr="00662B90" w:rsidDel="00822AE5">
        <w:t>curve</w:t>
      </w:r>
      <w:r w:rsidRPr="00662B90">
        <w:t>.</w:t>
      </w:r>
      <w:r w:rsidRPr="00851354">
        <w:t xml:space="preserve"> </w:t>
      </w:r>
    </w:p>
    <w:p w14:paraId="6B5B7A61" w14:textId="77777777" w:rsidR="00A56962" w:rsidRDefault="00A56962" w:rsidP="00A56962">
      <w:pPr>
        <w:pStyle w:val="Heading3"/>
      </w:pPr>
      <w:r>
        <w:t>Marginal abatement costs curves can guide least cost transition</w:t>
      </w:r>
    </w:p>
    <w:p w14:paraId="14A1E95C" w14:textId="5188A9E4" w:rsidR="009C7AFF" w:rsidRPr="00980547" w:rsidRDefault="009C7AFF" w:rsidP="00980547">
      <w:pPr>
        <w:pStyle w:val="BodyText"/>
      </w:pPr>
      <w:r w:rsidRPr="00980547">
        <w:t>As a general principle, the MAC curve</w:t>
      </w:r>
      <w:r w:rsidR="00764C65" w:rsidRPr="00980547">
        <w:t xml:space="preserve"> is a good guide to prioritise </w:t>
      </w:r>
      <w:r w:rsidR="001B111B" w:rsidRPr="00980547">
        <w:t>abatement activities</w:t>
      </w:r>
      <w:r w:rsidRPr="00980547">
        <w:t xml:space="preserve"> (</w:t>
      </w:r>
      <w:r w:rsidR="003401A7">
        <w:t>figure 3.2</w:t>
      </w:r>
      <w:r w:rsidRPr="00980547" w:rsidDel="00980547">
        <w:t xml:space="preserve">). </w:t>
      </w:r>
      <w:r w:rsidRPr="00980547">
        <w:t>A least</w:t>
      </w:r>
      <w:r w:rsidR="009300FC">
        <w:t xml:space="preserve"> </w:t>
      </w:r>
      <w:r w:rsidRPr="00980547">
        <w:t>cost approach to abatement start</w:t>
      </w:r>
      <w:r w:rsidR="00DF394B" w:rsidRPr="00980547">
        <w:t>s</w:t>
      </w:r>
      <w:r w:rsidRPr="00980547">
        <w:t xml:space="preserve"> with low (or even negative) cost abatement options before pursuing higher cost options. </w:t>
      </w:r>
      <w:r w:rsidR="00DD22F2" w:rsidRPr="00980547">
        <w:t>Doing so provides time for currently higher cost technologies to mature and become cheaper</w:t>
      </w:r>
      <w:r w:rsidR="00DD22F2">
        <w:t xml:space="preserve"> as new technologies and processes develop, lowering prevailing carbon prices (direct or indirect) and reducing the overall cost of abatement in the process.</w:t>
      </w:r>
    </w:p>
    <w:p w14:paraId="17B4DB0C" w14:textId="438D0B3E" w:rsidR="004265BA" w:rsidRDefault="004265BA" w:rsidP="00F83D55">
      <w:pPr>
        <w:pStyle w:val="FigureTableHeading"/>
      </w:pPr>
      <w:bookmarkStart w:id="107" w:name="_Ref198630376"/>
      <w:r>
        <w:lastRenderedPageBreak/>
        <w:t xml:space="preserve">Figure </w:t>
      </w:r>
      <w:r w:rsidR="00C223E9">
        <w:fldChar w:fldCharType="begin"/>
      </w:r>
      <w:r w:rsidR="00C223E9">
        <w:instrText xml:space="preserve"> STYLEREF 1 \s </w:instrText>
      </w:r>
      <w:r w:rsidR="00C223E9">
        <w:fldChar w:fldCharType="separate"/>
      </w:r>
      <w:r w:rsidR="00E57184">
        <w:rPr>
          <w:noProof/>
        </w:rPr>
        <w:t>3</w:t>
      </w:r>
      <w:r w:rsidR="00C223E9">
        <w:rPr>
          <w:noProof/>
        </w:rPr>
        <w:fldChar w:fldCharType="end"/>
      </w:r>
      <w:r w:rsidR="008B1E25">
        <w:t>.</w:t>
      </w:r>
      <w:r w:rsidR="00C223E9">
        <w:fldChar w:fldCharType="begin"/>
      </w:r>
      <w:r w:rsidR="00C223E9">
        <w:instrText xml:space="preserve"> SEQ Figure \* ARABIC \s 1 </w:instrText>
      </w:r>
      <w:r w:rsidR="00C223E9">
        <w:fldChar w:fldCharType="separate"/>
      </w:r>
      <w:r w:rsidR="00E57184">
        <w:rPr>
          <w:noProof/>
        </w:rPr>
        <w:t>2</w:t>
      </w:r>
      <w:r w:rsidR="00C223E9">
        <w:rPr>
          <w:noProof/>
        </w:rPr>
        <w:fldChar w:fldCharType="end"/>
      </w:r>
      <w:bookmarkEnd w:id="107"/>
      <w:r>
        <w:t xml:space="preserve"> </w:t>
      </w:r>
      <w:r w:rsidR="00F20960">
        <w:t>–</w:t>
      </w:r>
      <w:r>
        <w:t xml:space="preserve"> Australia's estimated marginal abatement cost curve, 2030</w:t>
      </w:r>
    </w:p>
    <w:p w14:paraId="754A0700" w14:textId="27F2A6E8" w:rsidR="009C7AFF" w:rsidRDefault="00204DCA" w:rsidP="009C7AFF">
      <w:pPr>
        <w:pStyle w:val="BodyText"/>
      </w:pPr>
      <w:r>
        <w:rPr>
          <w:noProof/>
        </w:rPr>
        <w:drawing>
          <wp:inline distT="0" distB="0" distL="0" distR="0" wp14:anchorId="166637A7" wp14:editId="274156A4">
            <wp:extent cx="6120765" cy="2993390"/>
            <wp:effectExtent l="0" t="0" r="0" b="0"/>
            <wp:docPr id="849594943" name="Picture 7" descr="Australia's projected marginal cost of abatement at 2030  showing abatement costs of particular industry group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94943" name="Picture 7" descr="Australia's projected marginal cost of abatement at 2030  showing abatement costs of particular industry grouping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2993390"/>
                    </a:xfrm>
                    <a:prstGeom prst="rect">
                      <a:avLst/>
                    </a:prstGeom>
                    <a:noFill/>
                  </pic:spPr>
                </pic:pic>
              </a:graphicData>
            </a:graphic>
          </wp:inline>
        </w:drawing>
      </w:r>
    </w:p>
    <w:p w14:paraId="1CD78E7E" w14:textId="47E1909B" w:rsidR="00220AE9" w:rsidRPr="00524CDA" w:rsidRDefault="00220AE9" w:rsidP="00001C93">
      <w:pPr>
        <w:pStyle w:val="Note"/>
      </w:pPr>
      <w:r w:rsidRPr="00180E66">
        <w:rPr>
          <w:b/>
          <w:bCs/>
        </w:rPr>
        <w:t>a.</w:t>
      </w:r>
      <w:r>
        <w:t xml:space="preserve"> ‘Land use’ includes land use change and forestry. </w:t>
      </w:r>
      <w:r w:rsidR="00524CDA">
        <w:rPr>
          <w:b/>
          <w:bCs/>
        </w:rPr>
        <w:t xml:space="preserve">b. </w:t>
      </w:r>
      <w:r w:rsidR="00524CDA">
        <w:t>Fugitive emissions defined as in</w:t>
      </w:r>
      <w:r w:rsidR="00A44DA7">
        <w:t xml:space="preserve"> figure</w:t>
      </w:r>
      <w:r w:rsidR="00B36C83">
        <w:t xml:space="preserve"> </w:t>
      </w:r>
      <w:r w:rsidR="00B36C83">
        <w:rPr>
          <w:noProof/>
        </w:rPr>
        <w:t>3</w:t>
      </w:r>
      <w:r w:rsidR="00B36C83">
        <w:t>.</w:t>
      </w:r>
      <w:r w:rsidR="00B36C83">
        <w:rPr>
          <w:noProof/>
        </w:rPr>
        <w:t>1</w:t>
      </w:r>
      <w:r w:rsidR="00524CDA">
        <w:t>.</w:t>
      </w:r>
    </w:p>
    <w:p w14:paraId="04932188" w14:textId="3C65C3E1" w:rsidR="00220AE9" w:rsidRPr="00851354" w:rsidRDefault="00220AE9" w:rsidP="00001C93">
      <w:pPr>
        <w:pStyle w:val="Source"/>
      </w:pPr>
      <w:r w:rsidRPr="00696447">
        <w:t xml:space="preserve">Source: </w:t>
      </w:r>
      <w:proofErr w:type="spellStart"/>
      <w:r w:rsidRPr="00E04238">
        <w:t>Reputex</w:t>
      </w:r>
      <w:proofErr w:type="spellEnd"/>
      <w:r>
        <w:t xml:space="preserve"> Energy</w:t>
      </w:r>
      <w:r w:rsidRPr="00E04238">
        <w:t xml:space="preserve"> </w:t>
      </w:r>
      <w:r>
        <w:fldChar w:fldCharType="begin"/>
      </w:r>
      <w:r w:rsidR="00ED6B7B">
        <w:instrText xml:space="preserve"> ADDIN ZOTERO_ITEM CSL_CITATION {"citationID":"Hir03sXl","properties":{"formattedCitation":"(2019)","plainCitation":"(2019)","noteIndex":0},"citationItems":[{"id":1505,"uris":["http://zotero.org/groups/4519313/items/6HCKWNQX"],"itemData":{"id":1505,"type":"report","title":"The Cost of Net-Zero Emissions Under Paris: A Marginal Abatement Cost (MAC) curve for Australia","author":[{"literal":"Reputex Energy"}],"issued":{"date-parts":[["2019"]]}},"label":"page","suppress-author":true}],"schema":"https://github.com/citation-style-language/schema/raw/master/csl-citation.json"} </w:instrText>
      </w:r>
      <w:r>
        <w:fldChar w:fldCharType="separate"/>
      </w:r>
      <w:r w:rsidRPr="009444AE">
        <w:rPr>
          <w:rFonts w:ascii="Arial" w:hAnsi="Arial" w:cs="Arial"/>
        </w:rPr>
        <w:t>(2019)</w:t>
      </w:r>
      <w:r>
        <w:fldChar w:fldCharType="end"/>
      </w:r>
      <w:r w:rsidRPr="00E04238">
        <w:t>.</w:t>
      </w:r>
    </w:p>
    <w:p w14:paraId="2980244B" w14:textId="37209306" w:rsidR="005B6C44" w:rsidRPr="0064109F" w:rsidRDefault="005B6C44" w:rsidP="0064109F">
      <w:pPr>
        <w:pStyle w:val="BodyText"/>
      </w:pPr>
      <w:r w:rsidRPr="0064109F">
        <w:t>There are reasons to expect that businesses will be better placed than policy makers to accurately produce MAC curves. Businesses will generally have better information about their production processes and potential abatement options than will policy makers. Market</w:t>
      </w:r>
      <w:r w:rsidRPr="0064109F">
        <w:noBreakHyphen/>
        <w:t xml:space="preserve">based approaches to emissions reductions create enduring abatement incentives for a broad range of businesses by imposing a carbon price (implicit or explicit). </w:t>
      </w:r>
      <w:r w:rsidRPr="00E1369C">
        <w:t>They can also support the ordering of emissions abatement and innovation activity in a way that gives scope for higher cost abatement to become less costly and drives productivity improvements over time</w:t>
      </w:r>
      <w:r w:rsidRPr="0064109F">
        <w:t>. These approaches can thereby be expected to achieve emissions reduction goals at lower cost than government targeted approaches to abatement such as technology specific subsidies and regulations. For this reason, governments should continue to make progressive steps towards market</w:t>
      </w:r>
      <w:r w:rsidRPr="0064109F">
        <w:noBreakHyphen/>
        <w:t xml:space="preserve">based approaches to decarbonisation, and design interim policy interventions in ways that are consistent with this policy path over time. </w:t>
      </w:r>
      <w:r w:rsidRPr="00F90E8C">
        <w:t xml:space="preserve">This topic </w:t>
      </w:r>
      <w:r w:rsidR="00036F38">
        <w:t>has been explored</w:t>
      </w:r>
      <w:r w:rsidRPr="00F90E8C">
        <w:t xml:space="preserve"> in more depth in the </w:t>
      </w:r>
      <w:r w:rsidR="00036F38">
        <w:t xml:space="preserve">PC’s </w:t>
      </w:r>
      <w:r w:rsidRPr="00F90E8C">
        <w:t xml:space="preserve">current inquiry into </w:t>
      </w:r>
      <w:r w:rsidRPr="008A7C64">
        <w:rPr>
          <w:i/>
        </w:rPr>
        <w:t>Investing in cheaper cleaner energy and the net zero transformation</w:t>
      </w:r>
      <w:r w:rsidR="00036F38">
        <w:rPr>
          <w:i/>
        </w:rPr>
        <w:t xml:space="preserve"> </w:t>
      </w:r>
      <w:r w:rsidR="00036F38">
        <w:rPr>
          <w:i/>
          <w:iCs/>
        </w:rPr>
        <w:fldChar w:fldCharType="begin"/>
      </w:r>
      <w:r w:rsidR="00036F38">
        <w:rPr>
          <w:i/>
          <w:iCs/>
        </w:rPr>
        <w:instrText xml:space="preserve"> ADDIN ZOTERO_ITEM CSL_CITATION {"citationID":"Xgwh2dlg","properties":{"formattedCitation":"(PC\\uc0\\u160{}2025)","plainCitation":"(PC 2025)","noteIndex":0},"citationItems":[{"id":5104,"uris":["http://zotero.org/groups/164861/items/L6FYSGEJ"],"itemData":{"id":5104,"type":"report","genre":"Interim report","title":"Investing in cheaper cleaner energy and the net zero transformation","author":[{"family":"Productivity Commission","given":""}],"translator":[{"family":"PC","given":""}],"issued":{"date-parts":[["2025"]]}}}],"schema":"https://github.com/citation-style-language/schema/raw/master/csl-citation.json"} </w:instrText>
      </w:r>
      <w:r w:rsidR="00036F38">
        <w:rPr>
          <w:i/>
          <w:iCs/>
        </w:rPr>
        <w:fldChar w:fldCharType="separate"/>
      </w:r>
      <w:r w:rsidR="00036F38" w:rsidRPr="006249B8">
        <w:rPr>
          <w:rFonts w:ascii="Arial" w:hAnsi="Arial" w:cs="Arial"/>
        </w:rPr>
        <w:t>(PC 2025)</w:t>
      </w:r>
      <w:r w:rsidR="00036F38">
        <w:rPr>
          <w:i/>
          <w:iCs/>
        </w:rPr>
        <w:fldChar w:fldCharType="end"/>
      </w:r>
      <w:r w:rsidRPr="00F90E8C">
        <w:t>.</w:t>
      </w:r>
    </w:p>
    <w:p w14:paraId="108212A7" w14:textId="7D7ABE3F" w:rsidR="005B6C44" w:rsidRPr="0064109F" w:rsidRDefault="005B6C44" w:rsidP="0064109F">
      <w:pPr>
        <w:pStyle w:val="BodyText"/>
      </w:pPr>
      <w:r w:rsidRPr="0064109F">
        <w:t>If countries choose to impose market</w:t>
      </w:r>
      <w:r w:rsidRPr="0064109F">
        <w:noBreakHyphen/>
        <w:t xml:space="preserve">based approaches to emissions reductions like emissions trading schemes or carbon taxes, company level MAC curves can help firms to order their own abatement efforts in response to </w:t>
      </w:r>
      <w:r w:rsidRPr="00F90E8C">
        <w:t>existing and expected future</w:t>
      </w:r>
      <w:r w:rsidRPr="0064109F">
        <w:t xml:space="preserve"> carbon prices. Alternatively, if countries choose to pursue sector</w:t>
      </w:r>
      <w:r w:rsidRPr="0064109F">
        <w:noBreakHyphen/>
        <w:t>specific policy interventions, economy</w:t>
      </w:r>
      <w:r w:rsidRPr="0064109F">
        <w:noBreakHyphen/>
        <w:t>wide MAC curves can help guide government interventions towards cost</w:t>
      </w:r>
      <w:r w:rsidRPr="0064109F">
        <w:noBreakHyphen/>
        <w:t>effective abatement options, w</w:t>
      </w:r>
      <w:r w:rsidRPr="00F90E8C">
        <w:t>ith policies targeted at sectors and activities being calibrated to target consistent carbon price benchmarks, while also recognising the value of other social benefits generated by the supported activity.</w:t>
      </w:r>
    </w:p>
    <w:p w14:paraId="69124DBB" w14:textId="77777777" w:rsidR="005B6C44" w:rsidRPr="00851354" w:rsidRDefault="005B6C44" w:rsidP="005B6C44">
      <w:pPr>
        <w:pStyle w:val="BodyText"/>
      </w:pPr>
    </w:p>
    <w:p w14:paraId="7E3D008E" w14:textId="77777777" w:rsidR="005B6C44" w:rsidRPr="00851354" w:rsidRDefault="005B6C44" w:rsidP="005B6C44">
      <w:pPr>
        <w:pStyle w:val="Heading3"/>
      </w:pPr>
      <w:r>
        <w:lastRenderedPageBreak/>
        <w:t>Policy support may be appropriate for technologies that are currently higher cost</w:t>
      </w:r>
    </w:p>
    <w:p w14:paraId="0664A857" w14:textId="0DE42C1D" w:rsidR="002253F7" w:rsidRDefault="005B6C44" w:rsidP="002253F7">
      <w:pPr>
        <w:pStyle w:val="BodyText"/>
      </w:pPr>
      <w:r w:rsidRPr="00851354">
        <w:t>T</w:t>
      </w:r>
      <w:r>
        <w:t>hat said,</w:t>
      </w:r>
      <w:r w:rsidRPr="00851354" w:rsidDel="00D16686">
        <w:t xml:space="preserve"> </w:t>
      </w:r>
      <w:r w:rsidRPr="00851354">
        <w:t>policy support for higher cost abatement activities should</w:t>
      </w:r>
      <w:r>
        <w:t xml:space="preserve"> not necessarily</w:t>
      </w:r>
      <w:r w:rsidRPr="00851354">
        <w:t xml:space="preserve"> wait until all other lower cost abatement options have been exhausted. Indeed, support for these higher cost abatement options will generally have their strongest rationale where commercial incentives do not yet exist for their deployment </w:t>
      </w:r>
      <w:r w:rsidR="00AE3142">
        <w:t>–</w:t>
      </w:r>
      <w:r w:rsidRPr="00851354">
        <w:t xml:space="preserve"> where market failures might be most apparent. These market failures can extend beyond unpriced negative externalities (greenhouse gas emissions) to include the public good nature of innovation and learning, coordination challenges, and information asymmetries that can constrain abatement even with a direct or indirect carbon price in place</w:t>
      </w:r>
      <w:r w:rsidR="009C7AFF" w:rsidRPr="00851354">
        <w:t xml:space="preserve"> (</w:t>
      </w:r>
      <w:r w:rsidR="003401A7">
        <w:t>box</w:t>
      </w:r>
      <w:r w:rsidR="00D25956">
        <w:t> </w:t>
      </w:r>
      <w:r w:rsidR="003401A7">
        <w:t>3.1</w:t>
      </w:r>
      <w:r w:rsidR="009C7AFF" w:rsidRPr="00851354">
        <w:t>)</w:t>
      </w:r>
      <w:r w:rsidR="00B203E0">
        <w:t>.</w:t>
      </w:r>
      <w:r w:rsidR="009C7AFF" w:rsidRPr="006526F8">
        <w:rPr>
          <w:rStyle w:val="FootnoteReference"/>
        </w:rPr>
        <w:footnoteReference w:id="22"/>
      </w:r>
      <w:r w:rsidR="002253F7" w:rsidRPr="002253F7">
        <w:t xml:space="preserve"> </w:t>
      </w:r>
    </w:p>
    <w:p w14:paraId="541F7EB4" w14:textId="77777777" w:rsidR="00645D03" w:rsidRDefault="00645D03" w:rsidP="00645D03">
      <w:pPr>
        <w:pStyle w:val="BodyText"/>
      </w:pPr>
      <w:r w:rsidRPr="00851354">
        <w:t>Beyond helping to order abatement activities in way</w:t>
      </w:r>
      <w:r>
        <w:t>s</w:t>
      </w:r>
      <w:r w:rsidRPr="00851354">
        <w:t xml:space="preserve"> that </w:t>
      </w:r>
      <w:r>
        <w:t>are</w:t>
      </w:r>
      <w:r w:rsidRPr="00851354">
        <w:t xml:space="preserve"> broadly consistent with the least cost achievement of national emissions reduction goals, MAC curves can highlight frontier technologies that </w:t>
      </w:r>
      <w:r>
        <w:t>might</w:t>
      </w:r>
      <w:r w:rsidRPr="00851354">
        <w:t xml:space="preserve"> face additional market failures beyond unpriced carbon externalities. Related policy support could come in the form of R&amp;D support for frontier technologies, public funding for pilot trials, or support for the deployment of emerging technologies that are yet to reach mass deployment viability. </w:t>
      </w:r>
    </w:p>
    <w:p w14:paraId="7644131C" w14:textId="16731AF4" w:rsidR="00527895" w:rsidRPr="00F82BD9" w:rsidRDefault="00527895">
      <w:pPr>
        <w:pStyle w:val="NoSpacing"/>
      </w:pPr>
    </w:p>
    <w:tbl>
      <w:tblPr>
        <w:tblStyle w:val="Boxtable"/>
        <w:tblW w:w="5000" w:type="pct"/>
        <w:tblLook w:val="04A0" w:firstRow="1" w:lastRow="0" w:firstColumn="1" w:lastColumn="0" w:noHBand="0" w:noVBand="1"/>
      </w:tblPr>
      <w:tblGrid>
        <w:gridCol w:w="9638"/>
      </w:tblGrid>
      <w:tr w:rsidR="00527895" w14:paraId="49543D35" w14:textId="77777777" w:rsidTr="34850BA7">
        <w:trPr>
          <w:tblHeader/>
        </w:trPr>
        <w:tc>
          <w:tcPr>
            <w:tcW w:w="9638" w:type="dxa"/>
            <w:shd w:val="clear" w:color="auto" w:fill="EBEBEB"/>
            <w:tcMar>
              <w:top w:w="170" w:type="dxa"/>
              <w:left w:w="170" w:type="dxa"/>
              <w:bottom w:w="113" w:type="dxa"/>
              <w:right w:w="170" w:type="dxa"/>
            </w:tcMar>
            <w:hideMark/>
          </w:tcPr>
          <w:p w14:paraId="2C9E2092" w14:textId="6DE11B6F" w:rsidR="00527895" w:rsidRDefault="00F647D4" w:rsidP="00F647D4">
            <w:pPr>
              <w:pStyle w:val="BoxHeading1"/>
            </w:pPr>
            <w:bookmarkStart w:id="108" w:name="_Ref198630300"/>
            <w:r>
              <w:t xml:space="preserve">Box </w:t>
            </w:r>
            <w:r w:rsidR="00B36C83">
              <w:fldChar w:fldCharType="begin"/>
            </w:r>
            <w:r w:rsidR="00B36C83">
              <w:instrText xml:space="preserve"> STYLEREF 1 \s </w:instrText>
            </w:r>
            <w:r w:rsidR="00B36C83">
              <w:fldChar w:fldCharType="separate"/>
            </w:r>
            <w:r w:rsidR="00E57184">
              <w:rPr>
                <w:noProof/>
              </w:rPr>
              <w:t>3</w:t>
            </w:r>
            <w:r w:rsidR="00B36C83">
              <w:rPr>
                <w:noProof/>
              </w:rPr>
              <w:fldChar w:fldCharType="end"/>
            </w:r>
            <w:r w:rsidR="00CD5534">
              <w:t>.</w:t>
            </w:r>
            <w:r w:rsidR="00B36C83">
              <w:fldChar w:fldCharType="begin"/>
            </w:r>
            <w:r w:rsidR="00B36C83">
              <w:instrText xml:space="preserve"> SEQ Box \* ARABIC \s 1 </w:instrText>
            </w:r>
            <w:r w:rsidR="00B36C83">
              <w:fldChar w:fldCharType="separate"/>
            </w:r>
            <w:r w:rsidR="00E57184">
              <w:rPr>
                <w:noProof/>
              </w:rPr>
              <w:t>1</w:t>
            </w:r>
            <w:r w:rsidR="00B36C83">
              <w:rPr>
                <w:noProof/>
              </w:rPr>
              <w:fldChar w:fldCharType="end"/>
            </w:r>
            <w:bookmarkEnd w:id="108"/>
            <w:r w:rsidR="00A57BAA">
              <w:rPr>
                <w:noProof/>
              </w:rPr>
              <w:t xml:space="preserve"> </w:t>
            </w:r>
            <w:r w:rsidR="00527895">
              <w:t>– Market failures that can constrain the net zero transition</w:t>
            </w:r>
          </w:p>
        </w:tc>
      </w:tr>
      <w:tr w:rsidR="00527895" w14:paraId="604B4BFD" w14:textId="77777777" w:rsidTr="34850BA7">
        <w:tc>
          <w:tcPr>
            <w:tcW w:w="9638" w:type="dxa"/>
            <w:shd w:val="clear" w:color="auto" w:fill="EBEBEB"/>
            <w:tcMar>
              <w:top w:w="28" w:type="dxa"/>
              <w:left w:w="170" w:type="dxa"/>
              <w:bottom w:w="170" w:type="dxa"/>
              <w:right w:w="170" w:type="dxa"/>
            </w:tcMar>
            <w:hideMark/>
          </w:tcPr>
          <w:p w14:paraId="1D35EFAB" w14:textId="77777777" w:rsidR="00682AAD" w:rsidRPr="00851354" w:rsidRDefault="00527895" w:rsidP="00682AAD">
            <w:pPr>
              <w:pStyle w:val="BodyText"/>
            </w:pPr>
            <w:r w:rsidRPr="00851354">
              <w:t>There are several market failures that can impede Australia’s progress towards net zero, and which provide a potential rationale for government intervention. A non</w:t>
            </w:r>
            <w:r w:rsidR="00410C80">
              <w:noBreakHyphen/>
            </w:r>
            <w:r w:rsidRPr="00851354">
              <w:t xml:space="preserve">exhaustive selection is listed below. </w:t>
            </w:r>
          </w:p>
          <w:p w14:paraId="393830B7" w14:textId="77777777" w:rsidR="00682AAD" w:rsidRPr="00FC0520" w:rsidRDefault="00682AAD" w:rsidP="00682AAD">
            <w:pPr>
              <w:pStyle w:val="BoxHeading2"/>
            </w:pPr>
            <w:r>
              <w:t>Underpriced</w:t>
            </w:r>
            <w:r w:rsidRPr="00FC0520">
              <w:t xml:space="preserve"> negative externalities</w:t>
            </w:r>
          </w:p>
          <w:p w14:paraId="3BB19BCC" w14:textId="6A7AA9FB" w:rsidR="00682AAD" w:rsidRPr="00851354" w:rsidRDefault="00682AAD" w:rsidP="00682AAD">
            <w:pPr>
              <w:pStyle w:val="BodyText"/>
            </w:pPr>
            <w:r w:rsidRPr="00851354">
              <w:t xml:space="preserve">Market activities that produce carbon emissions create a negative externality – the environmental and economic costs associated with additional greenhouse gases in the atmosphere. Without government intervention, businesses might fail to account for these broader social costs when deciding whether </w:t>
            </w:r>
            <w:r w:rsidR="004C61E6">
              <w:t xml:space="preserve">or </w:t>
            </w:r>
            <w:r w:rsidRPr="00851354">
              <w:t>how to produce their goods and services. To address this, carbon pricing mechanisms, such as carbon taxes and cap</w:t>
            </w:r>
            <w:r>
              <w:noBreakHyphen/>
            </w:r>
            <w:r w:rsidRPr="00851354">
              <w:t>and</w:t>
            </w:r>
            <w:r>
              <w:noBreakHyphen/>
            </w:r>
            <w:r w:rsidRPr="00851354">
              <w:t xml:space="preserve">trade systems, are commonly pointed to as a way of ensuring that businesses internalise the broader social costs of their production </w:t>
            </w:r>
            <w:proofErr w:type="gramStart"/>
            <w:r w:rsidRPr="00851354">
              <w:t>choices, and</w:t>
            </w:r>
            <w:proofErr w:type="gramEnd"/>
            <w:r w:rsidRPr="00851354">
              <w:t xml:space="preserve"> thereby produce an incentive for businesses to reduce their emissions. This pricing can also be imposed indirectly, by mandating the use of higher cost technologies or by subsidising lower emissions technologies.</w:t>
            </w:r>
          </w:p>
          <w:p w14:paraId="27B2A73E" w14:textId="057D1846" w:rsidR="00682AAD" w:rsidRPr="006B4F34" w:rsidRDefault="00682AAD" w:rsidP="00682AAD">
            <w:pPr>
              <w:pStyle w:val="BodyText"/>
              <w:rPr>
                <w:spacing w:val="-2"/>
              </w:rPr>
            </w:pPr>
            <w:r w:rsidRPr="006B4F34">
              <w:rPr>
                <w:spacing w:val="-2"/>
              </w:rPr>
              <w:t xml:space="preserve">For decarbonisation of sectors of the economy where underpriced carbon externalities are the dominant constraint, efficient abatement might be defined as that estimated to be below or equal to a benchmark cost of carbon that is consistent with </w:t>
            </w:r>
            <w:r w:rsidR="008B5C91">
              <w:rPr>
                <w:spacing w:val="-2"/>
              </w:rPr>
              <w:t>the</w:t>
            </w:r>
            <w:r w:rsidRPr="006B4F34">
              <w:rPr>
                <w:spacing w:val="-2"/>
              </w:rPr>
              <w:t xml:space="preserve"> achievement of Australian abatement targets </w:t>
            </w:r>
            <w:r w:rsidRPr="006B4F34">
              <w:rPr>
                <w:spacing w:val="-2"/>
              </w:rPr>
              <w:fldChar w:fldCharType="begin"/>
            </w:r>
            <w:r w:rsidR="00ED6B7B" w:rsidRPr="006B4F34">
              <w:rPr>
                <w:spacing w:val="-2"/>
              </w:rPr>
              <w:instrText xml:space="preserve"> ADDIN ZOTERO_ITEM CSL_CITATION {"citationID":"yvrylWvV","properties":{"formattedCitation":"(PC\\uc0\\u160{}2023a)","plainCitation":"(PC 2023a)","noteIndex":0},"citationItems":[{"id":934,"uris":["http://zotero.org/groups/164861/items/7U2W9XSK"],"itemData":{"id":934,"type":"report","event-place":"Canberra","genre":"Inquiry report no. 100","number":"vol. 1","publisher-place":"Canberra","title":"5-year Productivity Inquiry: Advancing Prosperity","author":[{"family":"Productivity Commission","given":""}],"translator":[{"family":"PC","given":""}],"issued":{"date-parts":[["2023"]]}}}],"schema":"https://github.com/citation-style-language/schema/raw/master/csl-citation.json"} </w:instrText>
            </w:r>
            <w:r w:rsidRPr="006B4F34">
              <w:rPr>
                <w:spacing w:val="-2"/>
              </w:rPr>
              <w:fldChar w:fldCharType="separate"/>
            </w:r>
            <w:r w:rsidR="00663601" w:rsidRPr="006B4F34">
              <w:rPr>
                <w:rFonts w:cs="Arial"/>
                <w:spacing w:val="-2"/>
              </w:rPr>
              <w:t>(PC 2023a)</w:t>
            </w:r>
            <w:r w:rsidRPr="006B4F34">
              <w:rPr>
                <w:spacing w:val="-2"/>
              </w:rPr>
              <w:fldChar w:fldCharType="end"/>
            </w:r>
            <w:r w:rsidRPr="006B4F34">
              <w:rPr>
                <w:spacing w:val="-2"/>
              </w:rPr>
              <w:t xml:space="preserve">. </w:t>
            </w:r>
          </w:p>
          <w:p w14:paraId="0BC6CFF7" w14:textId="77777777" w:rsidR="00682AAD" w:rsidRPr="00851354" w:rsidRDefault="00682AAD" w:rsidP="00682AAD">
            <w:pPr>
              <w:pStyle w:val="BodyText"/>
            </w:pPr>
            <w:r w:rsidRPr="002C3EC5">
              <w:t xml:space="preserve">For technologies and investments that provide returns over time, consideration would need to be given to the pathway of such a benchmark cost of carbon, consistent with achieving Australian net zero targets. For a range of reasons, appropriate costing of carbon externalities might not be fully reflected in current market or other mechanisms. </w:t>
            </w:r>
          </w:p>
          <w:p w14:paraId="6524F36C" w14:textId="77777777" w:rsidR="00682AAD" w:rsidRPr="00FC0520" w:rsidRDefault="00682AAD" w:rsidP="00682AAD">
            <w:pPr>
              <w:pStyle w:val="BoxHeading2"/>
            </w:pPr>
            <w:r w:rsidRPr="00FC0520">
              <w:lastRenderedPageBreak/>
              <w:t>Innovation and knowledge have public good properties</w:t>
            </w:r>
          </w:p>
          <w:p w14:paraId="559B5505" w14:textId="76D6D080" w:rsidR="00682AAD" w:rsidRPr="00851354" w:rsidRDefault="00682AAD" w:rsidP="00682AAD">
            <w:pPr>
              <w:pStyle w:val="BodyText"/>
            </w:pPr>
            <w:r w:rsidRPr="00851354">
              <w:t xml:space="preserve">Innovation and knowledge are public goods. Because one business might find it hard to prevent another business from using knowledge it </w:t>
            </w:r>
            <w:r>
              <w:t>develops, knowledge</w:t>
            </w:r>
            <w:r w:rsidRPr="00851354">
              <w:t xml:space="preserve"> is ‘non</w:t>
            </w:r>
            <w:r>
              <w:noBreakHyphen/>
            </w:r>
            <w:r w:rsidRPr="00851354">
              <w:t>excludable’, and because one business incorporating that knowledge into their production processes does not prevent another from doing the same</w:t>
            </w:r>
            <w:r>
              <w:t>,</w:t>
            </w:r>
            <w:r w:rsidRPr="00851354">
              <w:t xml:space="preserve"> it is ‘non</w:t>
            </w:r>
            <w:r>
              <w:noBreakHyphen/>
            </w:r>
            <w:r w:rsidRPr="00851354">
              <w:t>rival’</w:t>
            </w:r>
            <w:r w:rsidR="001D1C4A">
              <w:t>.</w:t>
            </w:r>
            <w:r w:rsidRPr="00851354">
              <w:t xml:space="preserve"> This can make investments in R&amp;D subject to free</w:t>
            </w:r>
            <w:r>
              <w:noBreakHyphen/>
            </w:r>
            <w:r w:rsidRPr="00851354">
              <w:t xml:space="preserve">riding, where one business waits for another business to </w:t>
            </w:r>
            <w:r>
              <w:t>undertake</w:t>
            </w:r>
            <w:r w:rsidRPr="00851354">
              <w:t xml:space="preserve"> R&amp;D rather than making the investment in R&amp;D themselves. Because firms cannot capture all the benefits of their R&amp;D activity, businesses might choose to underinvest in the R&amp;D that could otherwise accelerate the net zero transition, compared to what is socially optimal. This can create a role for government to produce intellectual property protections for the R&amp;D activity of businesses and</w:t>
            </w:r>
            <w:r>
              <w:t>/or</w:t>
            </w:r>
            <w:r w:rsidRPr="00851354">
              <w:t xml:space="preserve"> to provide subsidies for them. </w:t>
            </w:r>
          </w:p>
          <w:p w14:paraId="4319720A" w14:textId="77777777" w:rsidR="00682AAD" w:rsidRPr="00FC0520" w:rsidRDefault="00682AAD" w:rsidP="00682AAD">
            <w:pPr>
              <w:pStyle w:val="BoxHeading2"/>
            </w:pPr>
            <w:r w:rsidRPr="00FC0520">
              <w:t>Coordination failures</w:t>
            </w:r>
          </w:p>
          <w:p w14:paraId="4238BF93" w14:textId="77777777" w:rsidR="00682AAD" w:rsidRPr="00851354" w:rsidRDefault="00682AAD" w:rsidP="00682AAD">
            <w:pPr>
              <w:pStyle w:val="BodyText"/>
            </w:pPr>
            <w:r w:rsidRPr="00851354">
              <w:t>Coordination failures occur when agents cannot coordinate decision</w:t>
            </w:r>
            <w:r>
              <w:noBreakHyphen/>
            </w:r>
            <w:r w:rsidRPr="00851354">
              <w:t xml:space="preserve">making to achieve the socially optimal allocation of resources. For example, consumers might avoid purchasing electric vehicles without adequate charging infrastructure while producers might avoid investing in charging infrastructure without a sufficient consumer base. In some cases, policy interventions can help address these </w:t>
            </w:r>
            <w:r>
              <w:t>failures</w:t>
            </w:r>
            <w:r w:rsidRPr="00851354">
              <w:t>.</w:t>
            </w:r>
          </w:p>
          <w:p w14:paraId="161A515B" w14:textId="77777777" w:rsidR="00682AAD" w:rsidRPr="00FC0520" w:rsidRDefault="00682AAD" w:rsidP="00682AAD">
            <w:pPr>
              <w:pStyle w:val="BoxHeading2"/>
            </w:pPr>
            <w:r w:rsidRPr="00FC0520">
              <w:t xml:space="preserve">Information asymmetries </w:t>
            </w:r>
          </w:p>
          <w:p w14:paraId="43279350" w14:textId="568263C3" w:rsidR="00527895" w:rsidRDefault="00682AAD" w:rsidP="00527895">
            <w:pPr>
              <w:pStyle w:val="BodyText"/>
            </w:pPr>
            <w:r w:rsidRPr="00851354">
              <w:t xml:space="preserve">Information asymmetries can impact the net zero transition in </w:t>
            </w:r>
            <w:proofErr w:type="gramStart"/>
            <w:r w:rsidRPr="00851354">
              <w:t>a number of</w:t>
            </w:r>
            <w:proofErr w:type="gramEnd"/>
            <w:r w:rsidRPr="00851354">
              <w:t xml:space="preserve"> ways. First</w:t>
            </w:r>
            <w:r w:rsidR="00CD4AE7">
              <w:t>,</w:t>
            </w:r>
            <w:r w:rsidRPr="00851354">
              <w:t xml:space="preserve"> by standing in the way of businesses knowing what low or zero emissions technologies best suit their needs; second</w:t>
            </w:r>
            <w:r w:rsidR="00DD3E9E">
              <w:t>,</w:t>
            </w:r>
            <w:r w:rsidRPr="00851354">
              <w:t xml:space="preserve"> by standing in the way of consumers knowing which goods and services are emissions</w:t>
            </w:r>
            <w:r>
              <w:noBreakHyphen/>
            </w:r>
            <w:r w:rsidRPr="00851354">
              <w:t>intensive; and third, by standing in the way of investors seeking to provide financing to climate friendly businesses</w:t>
            </w:r>
            <w:r>
              <w:t xml:space="preserve"> </w:t>
            </w:r>
            <w:r w:rsidRPr="00851354">
              <w:fldChar w:fldCharType="begin"/>
            </w:r>
            <w:r w:rsidR="00ED6B7B">
              <w:instrText xml:space="preserve"> ADDIN ZOTERO_ITEM CSL_CITATION {"citationID":"axMKuIoV","properties":{"formattedCitation":"(Stern and Stiglitz\\uc0\\u160{}2021)","plainCitation":"(Stern and Stiglitz 2021)","noteIndex":0},"citationItems":[{"id":2651,"uris":["http://zotero.org/groups/5560192/items/YM6A55HA"],"itemData":{"id":2651,"type":"article-journal","container-title":"National Bureau of Economic Research","title":"THE SOCIAL COST OF CARBON, RISK, DISTRIBUTION, MARKET FAILURES: AN ALTERNATIVE APPROACH","URL":"https://www.nber.org/system/files/working_papers/w28472/revisions/w28472.rev0.pdf","author":[{"family":"Stern","given":"Nicholas"},{"family":"Stiglitz","given":"Joseph. E"}],"issued":{"date-parts":[["2021"]]}}}],"schema":"https://github.com/citation-style-language/schema/raw/master/csl-citation.json"} </w:instrText>
            </w:r>
            <w:r w:rsidRPr="00851354">
              <w:fldChar w:fldCharType="separate"/>
            </w:r>
            <w:r w:rsidRPr="00851354">
              <w:t>(Stern and Stiglitz 2021)</w:t>
            </w:r>
            <w:r w:rsidRPr="00851354">
              <w:fldChar w:fldCharType="end"/>
            </w:r>
            <w:r>
              <w:t>.</w:t>
            </w:r>
            <w:r w:rsidRPr="00851354">
              <w:t xml:space="preserve"> Governments can help to address information asymmetries through support for information dissemination mechanisms with industry, product labelling measures for consumers, and reporting provisions for financial markets.</w:t>
            </w:r>
          </w:p>
        </w:tc>
      </w:tr>
      <w:tr w:rsidR="00527895" w14:paraId="2BAA75B1" w14:textId="77777777" w:rsidTr="34850BA7">
        <w:trPr>
          <w:hidden/>
        </w:trPr>
        <w:tc>
          <w:tcPr>
            <w:tcW w:w="9638" w:type="dxa"/>
            <w:shd w:val="clear" w:color="auto" w:fill="auto"/>
            <w:tcMar>
              <w:top w:w="0" w:type="dxa"/>
              <w:left w:w="170" w:type="dxa"/>
              <w:bottom w:w="0" w:type="dxa"/>
              <w:right w:w="170" w:type="dxa"/>
            </w:tcMar>
          </w:tcPr>
          <w:p w14:paraId="43AF0047" w14:textId="230D0B32" w:rsidR="00527895" w:rsidRPr="00465191" w:rsidRDefault="00527895">
            <w:pPr>
              <w:pStyle w:val="BodyText"/>
              <w:spacing w:before="0" w:after="0" w:line="80" w:lineRule="atLeast"/>
              <w:rPr>
                <w:smallCaps/>
                <w:vanish/>
              </w:rPr>
            </w:pPr>
          </w:p>
        </w:tc>
      </w:tr>
    </w:tbl>
    <w:p w14:paraId="2801FA9C" w14:textId="77777777" w:rsidR="00F71DE8" w:rsidRPr="00851354" w:rsidRDefault="00F71DE8" w:rsidP="00F71DE8">
      <w:pPr>
        <w:pStyle w:val="Heading4"/>
      </w:pPr>
      <w:r>
        <w:t>Support for emerging technologies could reduce the cost of the overall abatement task</w:t>
      </w:r>
    </w:p>
    <w:p w14:paraId="6EF7FA27" w14:textId="77777777" w:rsidR="00F71DE8" w:rsidRDefault="00F71DE8" w:rsidP="00F71DE8">
      <w:pPr>
        <w:pStyle w:val="BodyText"/>
      </w:pPr>
      <w:r w:rsidRPr="00851354">
        <w:t xml:space="preserve">The case for </w:t>
      </w:r>
      <w:r>
        <w:t xml:space="preserve">policy </w:t>
      </w:r>
      <w:r w:rsidRPr="00851354">
        <w:t xml:space="preserve">support </w:t>
      </w:r>
      <w:r>
        <w:t>for</w:t>
      </w:r>
      <w:r w:rsidRPr="00851354">
        <w:t xml:space="preserve"> abatement technolog</w:t>
      </w:r>
      <w:r>
        <w:t>ies</w:t>
      </w:r>
      <w:r w:rsidRPr="00851354">
        <w:t xml:space="preserve"> further up the MAC curve rests on the expected benefits of that activity being greater than the costs of </w:t>
      </w:r>
      <w:r>
        <w:t>the</w:t>
      </w:r>
      <w:r w:rsidRPr="00851354">
        <w:t xml:space="preserve"> support</w:t>
      </w:r>
      <w:r>
        <w:t xml:space="preserve"> to enable it</w:t>
      </w:r>
      <w:r w:rsidRPr="00851354">
        <w:t>. Benefits would include the extent to which support for such activities stand to reduce the overall cost of the abatement task over the period to 2050. </w:t>
      </w:r>
    </w:p>
    <w:p w14:paraId="3A44A5F3" w14:textId="77777777" w:rsidR="00F71DE8" w:rsidRPr="00A57BAA" w:rsidRDefault="00F71DE8" w:rsidP="00F71DE8">
      <w:pPr>
        <w:pStyle w:val="BodyText"/>
        <w:rPr>
          <w:spacing w:val="-2"/>
        </w:rPr>
      </w:pPr>
      <w:r w:rsidRPr="00A57BAA">
        <w:rPr>
          <w:spacing w:val="-2"/>
        </w:rPr>
        <w:t xml:space="preserve">This might be the case where policy support can position Australian businesses and governments to more readily adopt new technologies as they become available. Support could help to develop an understanding of what will be required to integrate those technologies into current production and sector wide coordination mechanisms (either market or regulatory), and to begin to build the domestic human capital required to do so. </w:t>
      </w:r>
    </w:p>
    <w:p w14:paraId="769F37D0" w14:textId="39B685C6" w:rsidR="00F71DE8" w:rsidRPr="00851354" w:rsidRDefault="00A27EBA" w:rsidP="00F71DE8">
      <w:pPr>
        <w:pStyle w:val="BodyText"/>
      </w:pPr>
      <w:r w:rsidRPr="00A604C1">
        <w:t xml:space="preserve">The policy case for related public support might be further strengthened by the relatively near-term nature of our 2030, 2035 and 2050 emissions reduction targets, which means that there is value in sectors being </w:t>
      </w:r>
      <w:proofErr w:type="gramStart"/>
      <w:r w:rsidRPr="00A604C1">
        <w:t>in a position</w:t>
      </w:r>
      <w:proofErr w:type="gramEnd"/>
      <w:r w:rsidRPr="00A604C1">
        <w:t xml:space="preserve"> to pursue abatement soon after cost-effective options become available to them</w:t>
      </w:r>
      <w:r w:rsidR="00F71DE8" w:rsidRPr="00851354">
        <w:t xml:space="preserve">. </w:t>
      </w:r>
      <w:r w:rsidR="00F71DE8">
        <w:t>If done well, this</w:t>
      </w:r>
      <w:r w:rsidR="00F71DE8" w:rsidRPr="00851354">
        <w:t xml:space="preserve"> can also reduce the likelihood of costly disruptions that can arise when sectors undergo large changes on compressed timelines, costs that are not accounted for in MAC curves. </w:t>
      </w:r>
    </w:p>
    <w:p w14:paraId="40C27423" w14:textId="7473AEEC" w:rsidR="003B4C3E" w:rsidRPr="00851354" w:rsidRDefault="00F71DE8" w:rsidP="003B4C3E">
      <w:pPr>
        <w:pStyle w:val="BodyText"/>
      </w:pPr>
      <w:r w:rsidRPr="00851354">
        <w:lastRenderedPageBreak/>
        <w:t>In this way, we can think of two dimensions of abatement efficiency. The first is at a point in time (static) and involves choosing those abatement options that come with the lowest cost at each point in time. This generally supports the sequential deployment of abatement technologies, following the MAC curve from lowest to higher cost technologies. The second, dynamic, can involve activities that might lower the overall cost of achieving Australia’s abatement task over time, by helping to position businesses to more readily deploy lower cost technologies in the future. This could be achieved in a cost</w:t>
      </w:r>
      <w:r w:rsidR="00D25956">
        <w:noBreakHyphen/>
      </w:r>
      <w:r w:rsidRPr="00851354">
        <w:t xml:space="preserve">effective </w:t>
      </w:r>
      <w:r>
        <w:t>way</w:t>
      </w:r>
      <w:r w:rsidRPr="00851354">
        <w:t xml:space="preserve"> by addressing market failures beyond unpriced externalities </w:t>
      </w:r>
      <w:r w:rsidR="003B4C3E" w:rsidRPr="00851354">
        <w:t>(</w:t>
      </w:r>
      <w:r w:rsidR="003401A7">
        <w:t>box</w:t>
      </w:r>
      <w:r w:rsidR="00D25956">
        <w:t> </w:t>
      </w:r>
      <w:r w:rsidR="003401A7">
        <w:t>3.1</w:t>
      </w:r>
      <w:r w:rsidR="003B4C3E" w:rsidRPr="00851354">
        <w:t>).</w:t>
      </w:r>
    </w:p>
    <w:p w14:paraId="29593E84" w14:textId="77777777" w:rsidR="00E561CD" w:rsidRDefault="00E561CD" w:rsidP="00E561CD">
      <w:pPr>
        <w:pStyle w:val="BodyText"/>
      </w:pPr>
      <w:r w:rsidRPr="00851354">
        <w:t xml:space="preserve">While there should be a relationship between the two, with pursuit of the least cost abatement options at each point in time leading to the least cost achievement of the overall abatement task over time, uncertainty about the future path of zero emissions abatement technology and processes </w:t>
      </w:r>
      <w:r>
        <w:t xml:space="preserve">can </w:t>
      </w:r>
      <w:r w:rsidRPr="00851354">
        <w:t xml:space="preserve">complicate this picture. </w:t>
      </w:r>
    </w:p>
    <w:p w14:paraId="67B64492" w14:textId="66D4C0B7" w:rsidR="002D4B19" w:rsidRDefault="002D4B19" w:rsidP="002D4B19">
      <w:pPr>
        <w:pStyle w:val="Heading4"/>
      </w:pPr>
      <w:r>
        <w:t>Especially where there are local knowledge spillovers</w:t>
      </w:r>
    </w:p>
    <w:p w14:paraId="56717B77" w14:textId="77777777" w:rsidR="002D4B19" w:rsidRDefault="002D4B19" w:rsidP="002D4B19">
      <w:pPr>
        <w:pStyle w:val="BodyText"/>
      </w:pPr>
      <w:r w:rsidRPr="00851354">
        <w:t xml:space="preserve">Earlier engagement with technologies </w:t>
      </w:r>
      <w:r>
        <w:t xml:space="preserve">that are </w:t>
      </w:r>
      <w:r w:rsidRPr="00851354">
        <w:t xml:space="preserve">currently on the higher cost side of the MAC curve could build </w:t>
      </w:r>
      <w:r w:rsidRPr="00CC318D">
        <w:t>local</w:t>
      </w:r>
      <w:r w:rsidRPr="00851354">
        <w:t xml:space="preserve"> </w:t>
      </w:r>
      <w:r w:rsidRPr="00CC318D">
        <w:t>knowledge</w:t>
      </w:r>
      <w:r w:rsidRPr="00851354">
        <w:t xml:space="preserve"> </w:t>
      </w:r>
      <w:r>
        <w:t xml:space="preserve">capable of </w:t>
      </w:r>
      <w:r w:rsidRPr="00851354">
        <w:t>lower</w:t>
      </w:r>
      <w:r>
        <w:t>ing</w:t>
      </w:r>
      <w:r w:rsidRPr="00851354">
        <w:t xml:space="preserve"> the overall cost of </w:t>
      </w:r>
      <w:r>
        <w:t xml:space="preserve">a country’s </w:t>
      </w:r>
      <w:r w:rsidRPr="00851354">
        <w:t xml:space="preserve">abatement </w:t>
      </w:r>
      <w:r>
        <w:t xml:space="preserve">task </w:t>
      </w:r>
      <w:r w:rsidRPr="00851354">
        <w:t>over time.</w:t>
      </w:r>
    </w:p>
    <w:p w14:paraId="5A9A69AF" w14:textId="3557147A" w:rsidR="002D4B19" w:rsidRDefault="002D4B19" w:rsidP="002D4B19">
      <w:pPr>
        <w:pStyle w:val="BodyText"/>
      </w:pPr>
      <w:r>
        <w:t>Here t</w:t>
      </w:r>
      <w:r w:rsidRPr="00851354">
        <w:t xml:space="preserve">he distinction between local and global knowledge is important. </w:t>
      </w:r>
      <w:r>
        <w:t>There is less of a policy case for supporting abatement technologies that are likely to come to Australia from other countries. Because g</w:t>
      </w:r>
      <w:r w:rsidRPr="00851354">
        <w:t xml:space="preserve">lobal knowledge can be </w:t>
      </w:r>
      <w:r>
        <w:t xml:space="preserve">transferred to Australia </w:t>
      </w:r>
      <w:r w:rsidRPr="00851354">
        <w:t>the</w:t>
      </w:r>
      <w:r>
        <w:t>re is less to be gained by supporting domestic R&amp;D into that technology. L</w:t>
      </w:r>
      <w:r w:rsidRPr="00851354">
        <w:t>ocal knowledge</w:t>
      </w:r>
      <w:r>
        <w:t>, however,</w:t>
      </w:r>
      <w:r w:rsidRPr="00851354">
        <w:t xml:space="preserve"> can only be generated though domestic experience</w:t>
      </w:r>
      <w:r>
        <w:t xml:space="preserve">, presenting a greater prima facie case for policy support. </w:t>
      </w:r>
    </w:p>
    <w:p w14:paraId="70D5362A" w14:textId="1B29056D" w:rsidR="002D4B19" w:rsidRDefault="002D4B19" w:rsidP="002D4B19">
      <w:pPr>
        <w:pStyle w:val="BodyText"/>
      </w:pPr>
      <w:r w:rsidRPr="00851354">
        <w:t>Examples might include production processes that are influenced by local conditions, and learnings for coordination systems that all firms in a sector rely on. A</w:t>
      </w:r>
      <w:r>
        <w:t>n</w:t>
      </w:r>
      <w:r w:rsidRPr="00851354">
        <w:t xml:space="preserve"> example of the </w:t>
      </w:r>
      <w:r w:rsidR="00FB4E07">
        <w:t>latter</w:t>
      </w:r>
      <w:r w:rsidRPr="00851354">
        <w:t xml:space="preserve"> could include National Electricity Market</w:t>
      </w:r>
      <w:r w:rsidRPr="00851354" w:rsidDel="00DB3F5D">
        <w:t xml:space="preserve"> </w:t>
      </w:r>
      <w:r w:rsidRPr="00851354">
        <w:t>operators learning how to integrate intermittent and distributed renewable energy technologies into the system</w:t>
      </w:r>
      <w:r>
        <w:t>.</w:t>
      </w:r>
      <w:r w:rsidRPr="00851354">
        <w:t xml:space="preserve"> </w:t>
      </w:r>
      <w:r>
        <w:t>E</w:t>
      </w:r>
      <w:r w:rsidRPr="00851354">
        <w:t xml:space="preserve">xamples of the </w:t>
      </w:r>
      <w:r w:rsidR="000B5676">
        <w:t>former</w:t>
      </w:r>
      <w:r w:rsidRPr="00851354">
        <w:t xml:space="preserve"> could include scenarios where local geology could be material to the production of electricity, such as geothermal, or to the low emissions processing options that might be practically available to a country given the characteristics of mineral ores in that country.</w:t>
      </w:r>
    </w:p>
    <w:p w14:paraId="3E8BD00F" w14:textId="60D8B579" w:rsidR="002D4B19" w:rsidRPr="00851354" w:rsidRDefault="002D4B19" w:rsidP="002D4B19">
      <w:pPr>
        <w:pStyle w:val="BodyText"/>
      </w:pPr>
      <w:r>
        <w:t>An important caveat applies to policy support for local knowledge development, however. L</w:t>
      </w:r>
      <w:r w:rsidRPr="00851354">
        <w:t>ocal firms</w:t>
      </w:r>
      <w:r>
        <w:t xml:space="preserve"> can </w:t>
      </w:r>
      <w:r w:rsidRPr="00851354">
        <w:t xml:space="preserve">have a greater incentive to invest in local knowledge, </w:t>
      </w:r>
      <w:r>
        <w:t>to the extent that they provide</w:t>
      </w:r>
      <w:r w:rsidRPr="00851354">
        <w:t xml:space="preserve"> a source of competitive advantage over foreign firms that might seek to enter the domestic market</w:t>
      </w:r>
      <w:r>
        <w:t>. In such cases, R&amp;D</w:t>
      </w:r>
      <w:r w:rsidR="00D25956">
        <w:noBreakHyphen/>
      </w:r>
      <w:r>
        <w:t>related market failures might be more limited than for R&amp;D into technologies that are globally transferrable.</w:t>
      </w:r>
      <w:r w:rsidRPr="00851354">
        <w:t xml:space="preserve"> </w:t>
      </w:r>
      <w:r>
        <w:t>For this reason</w:t>
      </w:r>
      <w:r w:rsidRPr="00851354">
        <w:t>, the policy case for support will be strongest where this knowledge accrues to a broad range of local incumbents, not just to the firm making the investment in local knowledge</w:t>
      </w:r>
      <w:r>
        <w:t>, where traditional R&amp;D free</w:t>
      </w:r>
      <w:r w:rsidR="00D25956">
        <w:noBreakHyphen/>
      </w:r>
      <w:r>
        <w:t>riding concerns might be still present.</w:t>
      </w:r>
    </w:p>
    <w:p w14:paraId="14B9B162" w14:textId="77777777" w:rsidR="002D4B19" w:rsidRPr="006B0A53" w:rsidRDefault="002D4B19" w:rsidP="002D4B19">
      <w:pPr>
        <w:pStyle w:val="Heading4"/>
      </w:pPr>
      <w:r>
        <w:t xml:space="preserve">But support needs to be </w:t>
      </w:r>
      <w:r w:rsidRPr="006B0A53">
        <w:t xml:space="preserve">proportionate </w:t>
      </w:r>
      <w:r w:rsidRPr="00A95C2E">
        <w:t>and have built in off ramps</w:t>
      </w:r>
    </w:p>
    <w:p w14:paraId="32D6BF97" w14:textId="6618028C" w:rsidR="002D4B19" w:rsidRPr="006B0A53" w:rsidRDefault="002D4B19" w:rsidP="002D4B19">
      <w:pPr>
        <w:pStyle w:val="BodyText"/>
      </w:pPr>
      <w:r w:rsidRPr="006B0A53">
        <w:t>Given the uncertainty about future technology development paths, public support for building local knowledge should generally focus on modular systems that can be scaled up once lower cost technologies become available, creating real option value. Government support for investments in option</w:t>
      </w:r>
      <w:r w:rsidRPr="006B0A53">
        <w:noBreakHyphen/>
        <w:t xml:space="preserve">value scale technologies and processes, </w:t>
      </w:r>
      <w:r w:rsidRPr="00A95C2E">
        <w:t>and clearly defined off</w:t>
      </w:r>
      <w:r w:rsidR="00D25956">
        <w:noBreakHyphen/>
      </w:r>
      <w:r w:rsidRPr="00A95C2E">
        <w:t>ramps</w:t>
      </w:r>
      <w:r w:rsidRPr="006B0A53">
        <w:t>, would help avoid the risk of locking</w:t>
      </w:r>
      <w:r w:rsidRPr="006B0A53">
        <w:noBreakHyphen/>
        <w:t>in higher cost abatement technology in advance of lower</w:t>
      </w:r>
      <w:r w:rsidRPr="006B0A53">
        <w:noBreakHyphen/>
        <w:t>cost technologies becoming available, running the risk of requiring ongoing industry assistance rather than minimising the overall cost of abatement over time.</w:t>
      </w:r>
    </w:p>
    <w:p w14:paraId="7380C62A" w14:textId="57CC98B1" w:rsidR="002D4B19" w:rsidRPr="006B0A53" w:rsidRDefault="002D4B19" w:rsidP="002D4B19">
      <w:pPr>
        <w:pStyle w:val="BodyText"/>
      </w:pPr>
      <w:r w:rsidRPr="006B0A53">
        <w:t>Green steel production potentially provides an illustrative example. Steel production contributes around 10% of global CO</w:t>
      </w:r>
      <w:r w:rsidRPr="006B0A53">
        <w:rPr>
          <w:vertAlign w:val="subscript"/>
        </w:rPr>
        <w:t xml:space="preserve">2 </w:t>
      </w:r>
      <w:r w:rsidRPr="006B0A53">
        <w:t>emissions, the majority arising from the iron refining part of the process. Research suggests several possible routes to decarbonisation, but the best technology is not yet apparent. In addition, some of the most promising technological options have path</w:t>
      </w:r>
      <w:r w:rsidR="00D25956">
        <w:noBreakHyphen/>
      </w:r>
      <w:r w:rsidRPr="006B0A53">
        <w:t>dependencies on other emissions</w:t>
      </w:r>
      <w:r w:rsidR="00D25956">
        <w:noBreakHyphen/>
      </w:r>
      <w:r w:rsidRPr="006B0A53">
        <w:t xml:space="preserve">reduction </w:t>
      </w:r>
      <w:r w:rsidRPr="006B0A53">
        <w:lastRenderedPageBreak/>
        <w:t xml:space="preserve">technologies, such as renewable electricity and green hydrogen production </w:t>
      </w:r>
      <w:r w:rsidRPr="006B0A53">
        <w:fldChar w:fldCharType="begin"/>
      </w:r>
      <w:r w:rsidR="00ED6B7B">
        <w:instrText xml:space="preserve"> ADDIN ZOTERO_ITEM CSL_CITATION {"citationID":"06dNmnfo","properties":{"formattedCitation":"(Brooks\\uc0\\u160{}2024)","plainCitation":"(Brooks 2024)","noteIndex":0},"citationItems":[{"id":2784,"uris":["http://zotero.org/groups/5560192/items/X38XUT58"],"itemData":{"id":2784,"type":"post-weblog","abstract":"The drive to decarbonise the world’s steel industry is gaining momentum, but how quickly can new low carbon steelmaking technology be implemented?","container-title":"Mining Magazine Australia","language":"en-US","title":"The green steel revolution or evolution?","URL":"https://miningmagazine.com.au/the-green-steel-revolution-or-evolution/","author":[{"family":"Brooks","given":"Geoffrey"}],"accessed":{"date-parts":[["2025",1,28]]},"issued":{"date-parts":[["2024",6,3]]}}}],"schema":"https://github.com/citation-style-language/schema/raw/master/csl-citation.json"} </w:instrText>
      </w:r>
      <w:r w:rsidRPr="006B0A53">
        <w:fldChar w:fldCharType="separate"/>
      </w:r>
      <w:r w:rsidRPr="006B0A53">
        <w:rPr>
          <w:rFonts w:ascii="Arial" w:hAnsi="Arial" w:cs="Arial"/>
        </w:rPr>
        <w:t>(Brooks 2024)</w:t>
      </w:r>
      <w:r w:rsidRPr="006B0A53">
        <w:fldChar w:fldCharType="end"/>
      </w:r>
      <w:r w:rsidRPr="006B0A53">
        <w:t xml:space="preserve">. </w:t>
      </w:r>
      <w:r w:rsidRPr="007A38BA">
        <w:t>As such, investing in green iron technologies at this stage would be best undertaken on a technology</w:t>
      </w:r>
      <w:r w:rsidR="00D25956">
        <w:noBreakHyphen/>
      </w:r>
      <w:r w:rsidRPr="007A38BA">
        <w:t>neutral basis. Such support could take the form of investment in local knowledge (such as the best technologies for low</w:t>
      </w:r>
      <w:r w:rsidR="00D25956">
        <w:noBreakHyphen/>
      </w:r>
      <w:r w:rsidRPr="007A38BA">
        <w:t>carbon processing of any unique geology of Australia’s iron ore), and modular systems that can be scaled up as the most promising technologies make themselves apparent over time.</w:t>
      </w:r>
    </w:p>
    <w:p w14:paraId="2E3F2FF2" w14:textId="32AD13F1" w:rsidR="002D4B19" w:rsidRPr="006B0A53" w:rsidRDefault="002D4B19" w:rsidP="002D4B19">
      <w:pPr>
        <w:pStyle w:val="BodyText"/>
      </w:pPr>
      <w:r w:rsidRPr="007A38BA">
        <w:t>Another reason to keep support proportionate is that the goal should be for sectoral interventions to transition to broad market</w:t>
      </w:r>
      <w:r w:rsidR="00D25956">
        <w:noBreakHyphen/>
      </w:r>
      <w:r w:rsidRPr="007A38BA">
        <w:t xml:space="preserve">based signals over time. Many of the market failures outlined above and in </w:t>
      </w:r>
      <w:r w:rsidR="005D4AFD">
        <w:t>b</w:t>
      </w:r>
      <w:r w:rsidR="005D4AFD" w:rsidRPr="007A38BA">
        <w:t>ox</w:t>
      </w:r>
      <w:r w:rsidR="00D25956">
        <w:t> </w:t>
      </w:r>
      <w:r w:rsidR="009C7E6B">
        <w:t>3.1</w:t>
      </w:r>
      <w:r w:rsidR="009C7E6B" w:rsidRPr="007A38BA">
        <w:t xml:space="preserve"> </w:t>
      </w:r>
      <w:r w:rsidRPr="007A38BA">
        <w:t>are time specific, and the technologies should be expected to successfully compete within a broad</w:t>
      </w:r>
      <w:r w:rsidR="00D25956">
        <w:noBreakHyphen/>
      </w:r>
      <w:r w:rsidRPr="007A38BA">
        <w:t>based market mechanism in future. This provides a natural off</w:t>
      </w:r>
      <w:r w:rsidR="00D25956">
        <w:noBreakHyphen/>
      </w:r>
      <w:r w:rsidRPr="007A38BA">
        <w:t>ramp for support as targeted policies can be wound down as market mechanisms are developed, and industries that remain uncompetitive and should not be supported in the future environment would become readily apparent.</w:t>
      </w:r>
    </w:p>
    <w:p w14:paraId="491F25F7" w14:textId="77777777" w:rsidR="002D4B19" w:rsidRPr="006B0A53" w:rsidRDefault="002D4B19" w:rsidP="002D4B19">
      <w:pPr>
        <w:pStyle w:val="Heading3"/>
      </w:pPr>
      <w:r w:rsidRPr="006B0A53">
        <w:t>Support for technologies contributing to international abatement should be subject to the same criteria, and structured as part of cooperative and reciprocal arrangements</w:t>
      </w:r>
    </w:p>
    <w:p w14:paraId="4B004068" w14:textId="77777777" w:rsidR="002D4B19" w:rsidRPr="006B0A53" w:rsidRDefault="002D4B19" w:rsidP="002D4B19">
      <w:pPr>
        <w:pStyle w:val="BodyText"/>
      </w:pPr>
      <w:r w:rsidRPr="006B0A53">
        <w:t xml:space="preserve">These principles naturally apply to those sectors that </w:t>
      </w:r>
      <w:proofErr w:type="gramStart"/>
      <w:r w:rsidRPr="006B0A53">
        <w:t>are capable of generating</w:t>
      </w:r>
      <w:proofErr w:type="gramEnd"/>
      <w:r w:rsidRPr="006B0A53">
        <w:t xml:space="preserve"> emissions abatement within Australia, helping to ease the decarbonisation of the Australian economy. Governments may also seek to support sectors capable of contributing to emissions abatement internationally, however.</w:t>
      </w:r>
    </w:p>
    <w:p w14:paraId="25E31EA0" w14:textId="39CDBE17" w:rsidR="002D4B19" w:rsidRPr="007A38BA" w:rsidRDefault="002D4B19" w:rsidP="002D4B19">
      <w:pPr>
        <w:pStyle w:val="BodyText"/>
      </w:pPr>
      <w:r w:rsidRPr="006B0A53">
        <w:t xml:space="preserve">The considerations for this kind of support are </w:t>
      </w:r>
      <w:proofErr w:type="gramStart"/>
      <w:r w:rsidRPr="006B0A53">
        <w:t>similar to</w:t>
      </w:r>
      <w:proofErr w:type="gramEnd"/>
      <w:r w:rsidRPr="006B0A53">
        <w:t xml:space="preserve"> </w:t>
      </w:r>
      <w:r w:rsidR="004D75FE">
        <w:t xml:space="preserve">the </w:t>
      </w:r>
      <w:r w:rsidRPr="006B0A53">
        <w:t>domestic consideration</w:t>
      </w:r>
      <w:r w:rsidR="004D75FE">
        <w:t>s</w:t>
      </w:r>
      <w:r w:rsidR="0029148D">
        <w:t>.</w:t>
      </w:r>
      <w:r w:rsidRPr="006B0A53">
        <w:t xml:space="preserve"> </w:t>
      </w:r>
      <w:r w:rsidR="0029148D">
        <w:t>A</w:t>
      </w:r>
      <w:r w:rsidRPr="006B0A53">
        <w:t>re there market failures</w:t>
      </w:r>
      <w:r w:rsidR="00B64525" w:rsidRPr="006B0A53">
        <w:t>?</w:t>
      </w:r>
      <w:r w:rsidRPr="006B0A53">
        <w:t xml:space="preserve"> </w:t>
      </w:r>
      <w:proofErr w:type="gramStart"/>
      <w:r w:rsidR="0029148D">
        <w:t>I</w:t>
      </w:r>
      <w:r w:rsidRPr="006B0A53">
        <w:t>s</w:t>
      </w:r>
      <w:proofErr w:type="gramEnd"/>
      <w:r w:rsidRPr="006B0A53">
        <w:t xml:space="preserve"> industry support an efficient way of reducing global emissions (bearing in mind global market costs of carbon)</w:t>
      </w:r>
      <w:r w:rsidR="0029148D">
        <w:t>?</w:t>
      </w:r>
      <w:r w:rsidRPr="006B0A53">
        <w:t xml:space="preserve"> </w:t>
      </w:r>
      <w:r w:rsidR="0029148D">
        <w:t>A</w:t>
      </w:r>
      <w:r w:rsidRPr="006B0A53">
        <w:t>nd is there a prospect of the industry having a comparative advantage in the future global economy</w:t>
      </w:r>
      <w:r w:rsidR="00AE30AB" w:rsidRPr="00AE30AB">
        <w:t xml:space="preserve"> </w:t>
      </w:r>
      <w:r w:rsidR="00AE30AB" w:rsidRPr="006B0A53">
        <w:t>(</w:t>
      </w:r>
      <w:r w:rsidR="003A52C4">
        <w:t>a</w:t>
      </w:r>
      <w:r w:rsidR="00AE30AB" w:rsidRPr="006B0A53">
        <w:t>ppendix</w:t>
      </w:r>
      <w:r w:rsidR="00D25956">
        <w:t> </w:t>
      </w:r>
      <w:r w:rsidR="00FE065F">
        <w:t>C</w:t>
      </w:r>
      <w:r w:rsidR="00B64525" w:rsidRPr="006B0A53" w:rsidDel="00AE30AB">
        <w:t>)</w:t>
      </w:r>
      <w:r w:rsidR="00C430A8">
        <w:t>?</w:t>
      </w:r>
      <w:r w:rsidRPr="006B0A53" w:rsidDel="00AE30AB">
        <w:t xml:space="preserve"> </w:t>
      </w:r>
      <w:r w:rsidRPr="007A38BA">
        <w:t>To the extent that support for these projects rests on criteria associated with the net zero transformation, the presence of cooperative</w:t>
      </w:r>
      <w:r w:rsidR="00C23423">
        <w:t xml:space="preserve"> and</w:t>
      </w:r>
      <w:r w:rsidRPr="007A38BA">
        <w:t xml:space="preserve"> reciprocal arrangements with countries that are thereby being assisted to decarbonise is an important consideration.</w:t>
      </w:r>
    </w:p>
    <w:p w14:paraId="0C92315F" w14:textId="23EDC2C1" w:rsidR="008233D2" w:rsidRDefault="008233D2" w:rsidP="006526F8">
      <w:pPr>
        <w:pStyle w:val="Heading2"/>
      </w:pPr>
      <w:bookmarkStart w:id="109" w:name="_Toc195696938"/>
      <w:bookmarkStart w:id="110" w:name="_Toc210942158"/>
      <w:bookmarkStart w:id="111" w:name="_Toc183785536"/>
      <w:r>
        <w:t>Applying these pri</w:t>
      </w:r>
      <w:r w:rsidR="00691FF9">
        <w:t>nciples</w:t>
      </w:r>
      <w:bookmarkEnd w:id="109"/>
      <w:bookmarkEnd w:id="110"/>
    </w:p>
    <w:p w14:paraId="3B2CFE5B" w14:textId="217944D2" w:rsidR="0050064C" w:rsidRPr="00BB2338" w:rsidRDefault="00544FBA" w:rsidP="006526F8">
      <w:pPr>
        <w:pStyle w:val="BodyText"/>
        <w:rPr>
          <w:spacing w:val="2"/>
        </w:rPr>
      </w:pPr>
      <w:r w:rsidRPr="00BB2338">
        <w:rPr>
          <w:spacing w:val="2"/>
        </w:rPr>
        <w:t xml:space="preserve">The following decision tree (figure </w:t>
      </w:r>
      <w:r w:rsidR="0098780D" w:rsidRPr="00BB2338">
        <w:rPr>
          <w:spacing w:val="2"/>
        </w:rPr>
        <w:t>3.3</w:t>
      </w:r>
      <w:r w:rsidRPr="00BB2338">
        <w:rPr>
          <w:spacing w:val="2"/>
        </w:rPr>
        <w:t>) sets out how these principles can be operationalised</w:t>
      </w:r>
      <w:r w:rsidR="00881D7F" w:rsidRPr="00BB2338">
        <w:rPr>
          <w:spacing w:val="2"/>
        </w:rPr>
        <w:t>.</w:t>
      </w:r>
      <w:r w:rsidR="00340AC6" w:rsidRPr="00BB2338">
        <w:rPr>
          <w:spacing w:val="2"/>
        </w:rPr>
        <w:t xml:space="preserve"> It is designed as a tool to help decision</w:t>
      </w:r>
      <w:r w:rsidR="00D25956" w:rsidRPr="00BB2338">
        <w:rPr>
          <w:spacing w:val="2"/>
        </w:rPr>
        <w:noBreakHyphen/>
      </w:r>
      <w:r w:rsidR="00340AC6" w:rsidRPr="00BB2338">
        <w:rPr>
          <w:spacing w:val="2"/>
        </w:rPr>
        <w:t>makers identify the value of</w:t>
      </w:r>
      <w:r w:rsidR="003369CD" w:rsidRPr="00BB2338">
        <w:rPr>
          <w:spacing w:val="2"/>
        </w:rPr>
        <w:t xml:space="preserve"> possible industry support in achieving net zero goals at least cost.</w:t>
      </w:r>
    </w:p>
    <w:bookmarkEnd w:id="111"/>
    <w:p w14:paraId="59165A5A" w14:textId="77777777" w:rsidR="00BE274D" w:rsidRDefault="00BE274D">
      <w:pPr>
        <w:spacing w:before="0" w:after="160" w:line="259" w:lineRule="auto"/>
      </w:pPr>
      <w:r>
        <w:br w:type="page"/>
      </w:r>
    </w:p>
    <w:p w14:paraId="107674A1" w14:textId="0FAF50CF" w:rsidR="004C6B94" w:rsidRDefault="00214C3C" w:rsidP="00C65BA6">
      <w:pPr>
        <w:pStyle w:val="Caption"/>
        <w:keepNext/>
      </w:pPr>
      <w:r>
        <w:lastRenderedPageBreak/>
        <w:t xml:space="preserve">Figure </w:t>
      </w:r>
      <w:r w:rsidR="0098780D">
        <w:t>3.3</w:t>
      </w:r>
      <w:r>
        <w:t xml:space="preserve"> </w:t>
      </w:r>
      <w:r w:rsidR="0074337E">
        <w:t>– Decision tree 3</w:t>
      </w:r>
      <w:r w:rsidR="003A52C4">
        <w:t>:</w:t>
      </w:r>
      <w:r w:rsidR="003D4B1F">
        <w:t xml:space="preserve"> </w:t>
      </w:r>
      <w:r w:rsidR="003A52C4">
        <w:t>Q</w:t>
      </w:r>
      <w:r w:rsidR="00960A9F">
        <w:t xml:space="preserve">uestions for industry support to achieve emissions </w:t>
      </w:r>
      <w:r w:rsidR="00352781">
        <w:t>reduction goals</w:t>
      </w:r>
    </w:p>
    <w:p w14:paraId="6AFFDA2B" w14:textId="33A7C9B8" w:rsidR="00EB519C" w:rsidRDefault="002D30D7" w:rsidP="002255A4">
      <w:pPr>
        <w:pStyle w:val="BodyText"/>
        <w:sectPr w:rsidR="00EB519C" w:rsidSect="002E3F19">
          <w:pgSz w:w="11906" w:h="16838" w:code="9"/>
          <w:pgMar w:top="1134" w:right="1134" w:bottom="1134" w:left="1134" w:header="794" w:footer="510" w:gutter="0"/>
          <w:cols w:space="708"/>
          <w:docGrid w:linePitch="360"/>
        </w:sectPr>
      </w:pPr>
      <w:r w:rsidRPr="002D30D7">
        <w:rPr>
          <w:noProof/>
        </w:rPr>
        <w:drawing>
          <wp:inline distT="0" distB="0" distL="0" distR="0" wp14:anchorId="4D906192" wp14:editId="5F16EBB3">
            <wp:extent cx="6120130" cy="7668260"/>
            <wp:effectExtent l="0" t="0" r="0" b="8890"/>
            <wp:docPr id="2034754374" name="Picture 8" descr="Questions for net zero transformation stream:&#10;Question 1: Does sector provide cost-effective abatement relative to available alternatives? (if yes then go to question 3, otherwise question 2)&#10;Question 2: Does sector face a secondary market failure that, efficiently addressed by FMIA, could reduce overall abatement costs? (if no check motivation for FMIA support)&#10;Question 3: Is FMIA funded abatement activity additional (both financial and regulatory)? (if no check motivation for FMIA support)&#10;Question 4:  Is sector one that Australia has demonstrable prospects of having a comparative advantage in? (if no then support risks not being time limited)&#10;Question 5: Will the generated abatement be from a substantial emissions source? (if no policy gains may be limited)&#10;Question 6: Will sector generate abatement within Australia or in other countries? (if Overseas check question 7 is yes before there is a case for intervention)&#10;Question 7: Is sector funding part of a bilateral, multilateral, or plurilateral agreement?&#10;If no then check if sector funding consistent with trade rule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54374" name="Picture 8" descr="Questions for net zero transformation stream:&#10;Question 1: Does sector provide cost-effective abatement relative to available alternatives? (if yes then go to question 3, otherwise question 2)&#10;Question 2: Does sector face a secondary market failure that, efficiently addressed by FMIA, could reduce overall abatement costs? (if no check motivation for FMIA support)&#10;Question 3: Is FMIA funded abatement activity additional (both financial and regulatory)? (if no check motivation for FMIA support)&#10;Question 4:  Is sector one that Australia has demonstrable prospects of having a comparative advantage in? (if no then support risks not being time limited)&#10;Question 5: Will the generated abatement be from a substantial emissions source? (if no policy gains may be limited)&#10;Question 6: Will sector generate abatement within Australia or in other countries? (if Overseas check question 7 is yes before there is a case for intervention)&#10;Question 7: Is sector funding part of a bilateral, multilateral, or plurilateral agreement?&#10;If no then check if sector funding consistent with trade rule obligatio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7668260"/>
                    </a:xfrm>
                    <a:prstGeom prst="rect">
                      <a:avLst/>
                    </a:prstGeom>
                    <a:noFill/>
                    <a:ln>
                      <a:noFill/>
                    </a:ln>
                  </pic:spPr>
                </pic:pic>
              </a:graphicData>
            </a:graphic>
          </wp:inline>
        </w:drawing>
      </w:r>
      <w:r w:rsidR="00AB4F95" w:rsidRPr="00AB4F95" w:rsidDel="00AB4F95">
        <w:t xml:space="preserve"> </w:t>
      </w:r>
    </w:p>
    <w:p w14:paraId="675E1D8C" w14:textId="0FC8BA8B" w:rsidR="00241676" w:rsidRDefault="00030A30" w:rsidP="006526F8">
      <w:pPr>
        <w:pStyle w:val="Heading-Appendix"/>
      </w:pPr>
      <w:bookmarkStart w:id="112" w:name="_Toc195696939"/>
      <w:bookmarkStart w:id="113" w:name="_Toc210942159"/>
      <w:r>
        <w:lastRenderedPageBreak/>
        <w:t xml:space="preserve">Policy options for economic </w:t>
      </w:r>
      <w:r w:rsidR="001F5A9D">
        <w:t>resilience and security</w:t>
      </w:r>
      <w:bookmarkEnd w:id="112"/>
      <w:bookmarkEnd w:id="113"/>
    </w:p>
    <w:p w14:paraId="286C7E93" w14:textId="70EEA350" w:rsidR="005E11A1" w:rsidRDefault="005E11A1" w:rsidP="005E11A1">
      <w:pPr>
        <w:pStyle w:val="Heading3"/>
      </w:pPr>
      <w:bookmarkStart w:id="114" w:name="_Toc195696942"/>
      <w:bookmarkStart w:id="115" w:name="_Toc195696941"/>
      <w:r>
        <w:t>Potential policy: Domestic production</w:t>
      </w:r>
      <w:bookmarkEnd w:id="114"/>
    </w:p>
    <w:p w14:paraId="6540A67D" w14:textId="77777777" w:rsidR="005E11A1" w:rsidRDefault="005E11A1" w:rsidP="005E11A1">
      <w:pPr>
        <w:pStyle w:val="BodyText"/>
        <w:rPr>
          <w:rStyle w:val="BodyTextChar"/>
        </w:rPr>
      </w:pPr>
      <w:r w:rsidRPr="00F910F2">
        <w:rPr>
          <w:rStyle w:val="BodyTextChar"/>
        </w:rPr>
        <w:t xml:space="preserve">It can seem intuitive that </w:t>
      </w:r>
      <w:r>
        <w:rPr>
          <w:rStyle w:val="BodyTextChar"/>
        </w:rPr>
        <w:t>onshoring</w:t>
      </w:r>
      <w:r w:rsidRPr="00F910F2">
        <w:rPr>
          <w:rStyle w:val="BodyTextChar"/>
        </w:rPr>
        <w:t xml:space="preserve"> manufacturing will reduce supply chain vulnerability in a particular good or service</w:t>
      </w:r>
      <w:r>
        <w:rPr>
          <w:rStyle w:val="BodyTextChar"/>
        </w:rPr>
        <w:t>,</w:t>
      </w:r>
      <w:r w:rsidRPr="00F910F2">
        <w:rPr>
          <w:rStyle w:val="BodyTextChar"/>
        </w:rPr>
        <w:t xml:space="preserve"> </w:t>
      </w:r>
      <w:r>
        <w:rPr>
          <w:rStyle w:val="BodyTextChar"/>
        </w:rPr>
        <w:t>because it</w:t>
      </w:r>
      <w:r w:rsidRPr="00F910F2">
        <w:rPr>
          <w:rStyle w:val="BodyTextChar"/>
        </w:rPr>
        <w:t xml:space="preserve"> protect</w:t>
      </w:r>
      <w:r>
        <w:rPr>
          <w:rStyle w:val="BodyTextChar"/>
        </w:rPr>
        <w:t xml:space="preserve">s </w:t>
      </w:r>
      <w:r w:rsidRPr="00F910F2">
        <w:rPr>
          <w:rStyle w:val="BodyTextChar"/>
        </w:rPr>
        <w:t xml:space="preserve">that country’s supply of that good or service in the event of a global disruption. However, that basic intuition can overlook some important considerations that limit the desirability of </w:t>
      </w:r>
      <w:r>
        <w:rPr>
          <w:rStyle w:val="BodyTextChar"/>
        </w:rPr>
        <w:t>onshoring</w:t>
      </w:r>
      <w:r w:rsidRPr="00F910F2">
        <w:rPr>
          <w:rStyle w:val="BodyTextChar"/>
        </w:rPr>
        <w:t xml:space="preserve"> to </w:t>
      </w:r>
      <w:r>
        <w:rPr>
          <w:rStyle w:val="BodyTextChar"/>
        </w:rPr>
        <w:t xml:space="preserve">fully </w:t>
      </w:r>
      <w:r w:rsidRPr="00F910F2">
        <w:rPr>
          <w:rStyle w:val="BodyTextChar"/>
        </w:rPr>
        <w:t>manage supply chain vulnerabilities.</w:t>
      </w:r>
      <w:r>
        <w:rPr>
          <w:rStyle w:val="BodyTextChar"/>
        </w:rPr>
        <w:t xml:space="preserve"> Creating or maintaining some limited manufacturing capability might be a more efficient option. </w:t>
      </w:r>
    </w:p>
    <w:p w14:paraId="7C40087C" w14:textId="77777777" w:rsidR="005E11A1" w:rsidRDefault="005E11A1" w:rsidP="005E11A1">
      <w:pPr>
        <w:pStyle w:val="Heading4"/>
      </w:pPr>
      <w:r>
        <w:t>Domestic industry is not a guarantee of secure supply</w:t>
      </w:r>
    </w:p>
    <w:p w14:paraId="3F927FA6" w14:textId="1F0A4A94" w:rsidR="005E11A1" w:rsidRDefault="005E11A1" w:rsidP="005E11A1">
      <w:pPr>
        <w:pStyle w:val="BodyText"/>
      </w:pPr>
      <w:r>
        <w:t xml:space="preserve">Investment in domestic industry to manage supply chain risks may simply shift a vulnerability rather than reduce it. Many complex goods have globally integrated supply chains with components sourced from all over the world. Onshore processing or assembly of these goods may just move supply chain risks upstream to where the components of those goods are produced. </w:t>
      </w:r>
    </w:p>
    <w:p w14:paraId="7237CDDB" w14:textId="385EF71A" w:rsidR="005E11A1" w:rsidRDefault="005E11A1" w:rsidP="005E11A1">
      <w:pPr>
        <w:pStyle w:val="BodyText"/>
      </w:pPr>
      <w:r>
        <w:t>Global integration means that even without supply constraints, domestic production capability may fail to provide enough domestic supply if the good can simply be exported during the supply shock to take advantage of higher global prices</w:t>
      </w:r>
      <w:r w:rsidDel="002B30FF">
        <w:t xml:space="preserve">. </w:t>
      </w:r>
      <w:r>
        <w:t xml:space="preserve">Moreover, domestic supply may itself be insufficient to avoid shortages. </w:t>
      </w:r>
      <w:r w:rsidR="00214533">
        <w:t>An</w:t>
      </w:r>
      <w:r>
        <w:t xml:space="preserve"> example</w:t>
      </w:r>
      <w:r w:rsidR="00214533">
        <w:t xml:space="preserve"> is</w:t>
      </w:r>
      <w:r>
        <w:t xml:space="preserve"> the recent shortage of intravenous fluid for medical use, despite 75% of Australia’s intravenous fluid supply being made domestically </w:t>
      </w:r>
      <w:r>
        <w:fldChar w:fldCharType="begin"/>
      </w:r>
      <w:r w:rsidR="00ED6B7B">
        <w:instrText xml:space="preserve"> ADDIN ZOTERO_ITEM CSL_CITATION {"citationID":"qdXZysEq","properties":{"formattedCitation":"(Robinson and Panagopoulos\\uc0\\u160{}2024)","plainCitation":"(Robinson and Panagopoulos 2024)","noteIndex":0},"citationItems":[{"id":2835,"uris":["http://zotero.org/groups/5560192/items/TIIUWEFM"],"itemData":{"id":2835,"type":"article-newspaper","container-title":"The Australian","title":"A shortage of intravenous IV fluid bags is dubbed ‘the ultimate example of poor procurement policy’ as claims of a widespread global shortage is contradicted","URL":"https://www.theaustralian.com.au/nation/politics/intravenous-scandal-the-excuses-are-fluid/news-story/38999b95d4d630922e7a4cf87492a88f","author":[{"family":"Robinson","given":"Natasha"},{"family":"Panagopoulos","given":"Joanna"}],"accessed":{"date-parts":[["2024",8,16]]},"issued":{"date-parts":[["2024",8,16]]}}}],"schema":"https://github.com/citation-style-language/schema/raw/master/csl-citation.json"} </w:instrText>
      </w:r>
      <w:r>
        <w:fldChar w:fldCharType="separate"/>
      </w:r>
      <w:r w:rsidRPr="003A01E9">
        <w:rPr>
          <w:rFonts w:ascii="Arial" w:hAnsi="Arial" w:cs="Arial"/>
        </w:rPr>
        <w:t>(Robinson and Panagopoulos 2024)</w:t>
      </w:r>
      <w:r>
        <w:fldChar w:fldCharType="end"/>
      </w:r>
      <w:r>
        <w:t>.</w:t>
      </w:r>
    </w:p>
    <w:p w14:paraId="61E1407E" w14:textId="2B454871" w:rsidR="005E11A1" w:rsidRDefault="005E11A1" w:rsidP="005E11A1">
      <w:pPr>
        <w:pStyle w:val="BodyText"/>
      </w:pPr>
      <w:r>
        <w:t xml:space="preserve">Finally, domestic production capability will still </w:t>
      </w:r>
      <w:r w:rsidR="003C3800">
        <w:t xml:space="preserve">be </w:t>
      </w:r>
      <w:r>
        <w:t>subject to its own disruptions, if impacted by natural disasters, input availability and industrial action.</w:t>
      </w:r>
      <w:r w:rsidR="00C67C5B">
        <w:t xml:space="preserve"> This is particularly acute if onshore manufacturing is concentrated in</w:t>
      </w:r>
      <w:r w:rsidR="00C66EA0">
        <w:t xml:space="preserve"> a small number of locations.</w:t>
      </w:r>
    </w:p>
    <w:p w14:paraId="19741E62" w14:textId="6417A657" w:rsidR="005E11A1" w:rsidRDefault="005E11A1" w:rsidP="005E11A1">
      <w:pPr>
        <w:pStyle w:val="Heading4"/>
      </w:pPr>
      <w:r>
        <w:t xml:space="preserve">And </w:t>
      </w:r>
      <w:r w:rsidR="001A557F">
        <w:t xml:space="preserve">supporting domestic production </w:t>
      </w:r>
      <w:r>
        <w:t>can be costly</w:t>
      </w:r>
    </w:p>
    <w:p w14:paraId="16BE4BB4" w14:textId="77777777" w:rsidR="005E11A1" w:rsidRDefault="005E11A1" w:rsidP="005E11A1">
      <w:pPr>
        <w:pStyle w:val="BodyText"/>
      </w:pPr>
      <w:r>
        <w:t>These factors, plus the high costs of supporting an otherwise uncompetitive domestic industry in perpetuity, mean that industry support as a resilience measure needs to be carefully evaluated. Below are some factors that may increase the benefit/cost ratio of supporting a domestic production capability in a particular good.</w:t>
      </w:r>
    </w:p>
    <w:p w14:paraId="1D6AF16A" w14:textId="0E0CBF7E" w:rsidR="005E11A1" w:rsidRDefault="005E11A1" w:rsidP="005E11A1">
      <w:pPr>
        <w:pStyle w:val="ListBullet"/>
      </w:pPr>
      <w:r>
        <w:t>Investing in domestic industry to make a particular product may be more effective in managing a vulnerability if that investment enhances the vertical integration of the end</w:t>
      </w:r>
      <w:r>
        <w:noBreakHyphen/>
        <w:t>to</w:t>
      </w:r>
      <w:r>
        <w:noBreakHyphen/>
        <w:t>end supply chain in the Australian economy (i.e. results in multiple steps in the product’s supply chain being onshore</w:t>
      </w:r>
      <w:r w:rsidR="009C0156">
        <w:t xml:space="preserve">, </w:t>
      </w:r>
      <w:r w:rsidR="003617A0">
        <w:t>if</w:t>
      </w:r>
      <w:r w:rsidR="009C0156">
        <w:t xml:space="preserve"> </w:t>
      </w:r>
      <w:r w:rsidR="003617A0">
        <w:t>several unsubsidised steps in the supply chain were already onshore</w:t>
      </w:r>
      <w:r>
        <w:t>). This would reduce the likelihood that risk will be simply moved upstream.</w:t>
      </w:r>
    </w:p>
    <w:p w14:paraId="2ABC2BC0" w14:textId="3AE6E2CC" w:rsidR="005E11A1" w:rsidRDefault="005E11A1" w:rsidP="005E11A1">
      <w:pPr>
        <w:pStyle w:val="ListBullet"/>
      </w:pPr>
      <w:r>
        <w:t xml:space="preserve">Interventions may be cheaper if the supported industry has production or capital requirements that are similar to sectors in which Australia has a revealed comparative advantage </w:t>
      </w:r>
      <w:r w:rsidRPr="00D965B9">
        <w:fldChar w:fldCharType="begin"/>
      </w:r>
      <w:r w:rsidR="00ED6B7B">
        <w:instrText xml:space="preserve"> ADDIN ZOTERO_ITEM CSL_CITATION {"citationID":"HK5pEzud","properties":{"formattedCitation":"(Hidalgo et al.\\uc0\\u160{}2007)","plainCitation":"(Hidalgo et al. 2007)","noteIndex":0},"citationItems":[{"id":2667,"uris":["http://zotero.org/groups/5560192/items/365LFAG9"],"itemData":{"id":2667,"type":"article-journal","container-title":"Science","issue":"5837","page":"482-487","title":"The product space conditions the development of nations","volume":"317","author":[{"family":"Hidalgo","given":"Cesar"},{"family":"Hausmann","given":"Ricardo"},{"family":"Barabasi","given":"Albert-Laszlo"},{"family":"Klinger","given":"Bailey"}],"issued":{"date-parts":[["2007"]]}}}],"schema":"https://github.com/citation-style-language/schema/raw/master/csl-citation.json"} </w:instrText>
      </w:r>
      <w:r w:rsidRPr="00D965B9">
        <w:fldChar w:fldCharType="separate"/>
      </w:r>
      <w:r w:rsidRPr="006A24BB">
        <w:t>(Hidalgo et al. 2007)</w:t>
      </w:r>
      <w:r w:rsidRPr="00D965B9">
        <w:fldChar w:fldCharType="end"/>
      </w:r>
      <w:r w:rsidRPr="00D965B9">
        <w:t>.</w:t>
      </w:r>
    </w:p>
    <w:p w14:paraId="0FE74017" w14:textId="77777777" w:rsidR="005E11A1" w:rsidRDefault="005E11A1" w:rsidP="005E11A1">
      <w:pPr>
        <w:pStyle w:val="ListBullet"/>
      </w:pPr>
      <w:r>
        <w:t xml:space="preserve">Interventions may also be less costly if they result in spillovers for existing </w:t>
      </w:r>
      <w:proofErr w:type="gramStart"/>
      <w:r>
        <w:t>sectors, or</w:t>
      </w:r>
      <w:proofErr w:type="gramEnd"/>
      <w:r>
        <w:t xml:space="preserve"> relate to a sector that is only relevant to Australia (for example antivenom for Australian snakes).</w:t>
      </w:r>
    </w:p>
    <w:p w14:paraId="359275F1" w14:textId="4954D29F" w:rsidR="005E11A1" w:rsidRPr="00A44DA7" w:rsidRDefault="005E11A1" w:rsidP="005E11A1">
      <w:pPr>
        <w:pStyle w:val="ListBullet"/>
        <w:rPr>
          <w:spacing w:val="-4"/>
        </w:rPr>
      </w:pPr>
      <w:r w:rsidRPr="00A44DA7">
        <w:rPr>
          <w:spacing w:val="-4"/>
        </w:rPr>
        <w:lastRenderedPageBreak/>
        <w:t>Resilience may be strengthened if governments have some degree of control over the distribution of locally</w:t>
      </w:r>
      <w:r w:rsidR="0078301D" w:rsidRPr="00A44DA7">
        <w:rPr>
          <w:spacing w:val="-4"/>
        </w:rPr>
        <w:noBreakHyphen/>
      </w:r>
      <w:r w:rsidRPr="00A44DA7">
        <w:rPr>
          <w:spacing w:val="-4"/>
        </w:rPr>
        <w:t>made products to ensure these products remain available in a crisis. This could be through, for example, export controls; regulation; procurement arrangements; or supply requirements as a condition of funding.</w:t>
      </w:r>
    </w:p>
    <w:p w14:paraId="4EC3723F" w14:textId="2A4B572F" w:rsidR="005E11A1" w:rsidRDefault="005E11A1" w:rsidP="005E11A1">
      <w:pPr>
        <w:pStyle w:val="Heading4"/>
      </w:pPr>
      <w:r>
        <w:t xml:space="preserve">Domestic capability as </w:t>
      </w:r>
      <w:r w:rsidR="003C3800">
        <w:t>a</w:t>
      </w:r>
      <w:r>
        <w:t xml:space="preserve"> ‘real option’ </w:t>
      </w:r>
    </w:p>
    <w:p w14:paraId="3B02B09B" w14:textId="77777777" w:rsidR="005E11A1" w:rsidRDefault="005E11A1" w:rsidP="005E11A1">
      <w:pPr>
        <w:pStyle w:val="BodyText"/>
      </w:pPr>
      <w:r>
        <w:t xml:space="preserve">‘Option value’ refers to the value placed on (and therefore willingness to pay for) maintaining an asset or capability even if it is not being immediately used, </w:t>
      </w:r>
      <w:proofErr w:type="gramStart"/>
      <w:r>
        <w:t>so as to</w:t>
      </w:r>
      <w:proofErr w:type="gramEnd"/>
      <w:r>
        <w:t xml:space="preserve"> have the option of using it in future.</w:t>
      </w:r>
    </w:p>
    <w:p w14:paraId="713DFC5A" w14:textId="05E01E1A" w:rsidR="005E11A1" w:rsidRDefault="005E11A1" w:rsidP="005E11A1">
      <w:pPr>
        <w:pStyle w:val="BodyText"/>
      </w:pPr>
      <w:r>
        <w:t xml:space="preserve">Investment in domestic capability </w:t>
      </w:r>
      <w:r w:rsidR="001255A5">
        <w:t>for</w:t>
      </w:r>
      <w:r>
        <w:t xml:space="preserve"> resilience does not need to be an ‘all</w:t>
      </w:r>
      <w:r>
        <w:noBreakHyphen/>
        <w:t>or</w:t>
      </w:r>
      <w:r>
        <w:noBreakHyphen/>
        <w:t xml:space="preserve">nothing’ </w:t>
      </w:r>
      <w:proofErr w:type="gramStart"/>
      <w:r>
        <w:t>measure</w:t>
      </w:r>
      <w:r w:rsidR="00993DCF">
        <w:t>, but</w:t>
      </w:r>
      <w:proofErr w:type="gramEnd"/>
      <w:r w:rsidR="00993DCF">
        <w:t xml:space="preserve"> can provide some option value</w:t>
      </w:r>
      <w:r>
        <w:t>. In some areas where Australia would be uncompetitive at scale, a relatively small capability that covers just a fraction of Australia’s regular demand may still provide worthwhile option value. It could support economic resilience and security if that capability can be used effectively in the event of a shock to meet otherwise unmet demand. To do so, production would need be rapidly and efficiently scalable. Government costs may also be reduced if there is some baseline demand for the Australian</w:t>
      </w:r>
      <w:r>
        <w:noBreakHyphen/>
        <w:t xml:space="preserve">made product outside the ‘shock’ scenario, as this would help maintain the industry. </w:t>
      </w:r>
    </w:p>
    <w:p w14:paraId="5A4981F4" w14:textId="680780AE" w:rsidR="00241676" w:rsidRDefault="00241676" w:rsidP="004614E9">
      <w:pPr>
        <w:pStyle w:val="Heading3"/>
      </w:pPr>
      <w:r>
        <w:t>Potential policy: Club goods</w:t>
      </w:r>
      <w:bookmarkEnd w:id="115"/>
    </w:p>
    <w:p w14:paraId="510B59E9" w14:textId="1A1B006A" w:rsidR="00241676" w:rsidRDefault="00241676" w:rsidP="006A24BB">
      <w:pPr>
        <w:pStyle w:val="BodyText"/>
      </w:pPr>
      <w:r w:rsidRPr="008C0221">
        <w:t>Club goods</w:t>
      </w:r>
      <w:r>
        <w:t xml:space="preserve"> are goods that are ‘excludable’ and ‘non</w:t>
      </w:r>
      <w:r w:rsidR="00410C80">
        <w:noBreakHyphen/>
      </w:r>
      <w:r>
        <w:t>rival’</w:t>
      </w:r>
      <w:r w:rsidR="00014A1D">
        <w:t>.</w:t>
      </w:r>
      <w:r>
        <w:t xml:space="preserve"> A good that is ‘excludable’ is one that people can be excluded from using, and a ‘non</w:t>
      </w:r>
      <w:r w:rsidR="00410C80">
        <w:noBreakHyphen/>
      </w:r>
      <w:r>
        <w:t xml:space="preserve">rival’ good is one that is not less available to another, just because someone else is using it. </w:t>
      </w:r>
    </w:p>
    <w:p w14:paraId="3B852B8B" w14:textId="684E0BC2" w:rsidR="00241676" w:rsidRDefault="00241676" w:rsidP="006A24BB">
      <w:pPr>
        <w:pStyle w:val="BodyText"/>
        <w:rPr>
          <w:rFonts w:cs="Times New Roman"/>
        </w:rPr>
      </w:pPr>
      <w:r>
        <w:t>A swimming pool owned by a swimming club is an example of a club good. Non</w:t>
      </w:r>
      <w:r w:rsidR="00410C80">
        <w:noBreakHyphen/>
      </w:r>
      <w:r>
        <w:t xml:space="preserve">members are prevented from using the swimming pool, and one member using the club pool </w:t>
      </w:r>
      <w:r w:rsidR="00410C80">
        <w:t>does not</w:t>
      </w:r>
      <w:r>
        <w:t xml:space="preserve"> prevent another club member from using it. </w:t>
      </w:r>
      <w:r w:rsidRPr="008C0221">
        <w:t>Clubs form to share costs, like</w:t>
      </w:r>
      <w:r>
        <w:t xml:space="preserve"> making</w:t>
      </w:r>
      <w:r w:rsidRPr="008C0221">
        <w:t xml:space="preserve"> </w:t>
      </w:r>
      <w:r>
        <w:t>a</w:t>
      </w:r>
      <w:r w:rsidRPr="008C0221">
        <w:t xml:space="preserve"> swimming pool more affordable</w:t>
      </w:r>
      <w:r>
        <w:t xml:space="preserve"> for all who wish to use it</w:t>
      </w:r>
      <w:r w:rsidR="00920347">
        <w:t xml:space="preserve"> </w:t>
      </w:r>
      <w:r w:rsidR="00920347" w:rsidRPr="00920347">
        <w:fldChar w:fldCharType="begin"/>
      </w:r>
      <w:r w:rsidR="00ED6B7B">
        <w:instrText xml:space="preserve"> ADDIN ZOTERO_ITEM CSL_CITATION {"citationID":"rwiG654L","properties":{"formattedCitation":"(Buchanan\\uc0\\u160{}1965)","plainCitation":"(Buchanan 1965)","noteIndex":0},"citationItems":[{"id":2737,"uris":["http://zotero.org/groups/5560192/items/IXTJ3VPS"],"itemData":{"id":2737,"type":"article-journal","container-title":"Economica","DOI":"10.2307/2552442","ISSN":"0013-0427","issue":"125","note":"publisher: [London School of Economics, Wiley, London School of Economics and Political Science, Suntory and Toyota International Centres for Economics and Related Disciplines]","page":"1-14","source":"JSTOR","title":"An Economic Theory of Clubs","volume":"32","author":[{"family":"Buchanan","given":"James M."}],"issued":{"date-parts":[["1965"]]}}}],"schema":"https://github.com/citation-style-language/schema/raw/master/csl-citation.json"} </w:instrText>
      </w:r>
      <w:r w:rsidR="00920347" w:rsidRPr="00920347">
        <w:fldChar w:fldCharType="separate"/>
      </w:r>
      <w:r w:rsidR="00920347" w:rsidRPr="00920347">
        <w:t>(Buchanan 1965)</w:t>
      </w:r>
      <w:r w:rsidR="00920347" w:rsidRPr="00920347">
        <w:fldChar w:fldCharType="end"/>
      </w:r>
      <w:r w:rsidRPr="008C0221">
        <w:t xml:space="preserve">. </w:t>
      </w:r>
      <w:r w:rsidRPr="008C0221">
        <w:rPr>
          <w:rFonts w:cs="Times New Roman"/>
        </w:rPr>
        <w:t>What is true for clubs made up of individuals can also be true for clubs that are made up of countries. Countries can share the costs of common challenges and benefit from the range of capabilities and endowments that allow each country to contribute to the club</w:t>
      </w:r>
      <w:r w:rsidR="004E6EEC">
        <w:rPr>
          <w:rFonts w:cs="Times New Roman"/>
        </w:rPr>
        <w:t xml:space="preserve"> </w:t>
      </w:r>
      <w:r w:rsidR="004E6EEC">
        <w:rPr>
          <w:rFonts w:cs="Times New Roman"/>
        </w:rPr>
        <w:fldChar w:fldCharType="begin"/>
      </w:r>
      <w:r w:rsidR="00ED6B7B">
        <w:rPr>
          <w:rFonts w:cs="Times New Roman"/>
        </w:rPr>
        <w:instrText xml:space="preserve"> ADDIN ZOTERO_ITEM CSL_CITATION {"citationID":"yD2n6BL4","properties":{"formattedCitation":"(Kinne and Kang\\uc0\\u160{}2023)","plainCitation":"(Kinne and Kang 2023)","noteIndex":0},"citationItems":[{"id":2731,"uris":["http://zotero.org/groups/5560192/items/G53GX3IT"],"itemData":{"id":2731,"type":"article-journal","abstract":"How do states distribute the burdens of collective defense? This paper develops a network theory of burden sharing. We focus on bilateral defense cooperation agreements (DCAs), which promote cooperation in a variety of defense, military, and security issue areas. Using a computational model, we show that DCA partners’ defense spending depends on the network structure of their agreements. In bilateral terms, DCAs increase defense spending by committing states to defense activities and allowing partners to reciprocally punish free riding. However, as a state's local network of defense partnerships grows more densely connected, with many transitive “friend of a friend” relations, DCAs have the countervailing effect of reducing defense spending. The more deeply integrated states are in bilateral defense networks, the less they spend on defense. We distinguish two potential mechanisms behind this effect—one based on efficiency improvements, the other on free riding. An empirical analysis using multilevel inferential network models points more to efficiency than to free riding. Defense networks reduce defense spending, and they do so by allowing countries to produce security more efficiently.","container-title":"International Organization","DOI":"10.1017/S0020818322000315","journalAbbreviation":"International Organization","page":"1-35","source":"ResearchGate","title":"Free Riding, Network Effects, and Burden Sharing in Defense Cooperation Networks","volume":"77","author":[{"family":"Kinne","given":"Brandon"},{"family":"Kang","given":"Stephanie"}],"issued":{"date-parts":[["2023",1,11]]}}}],"schema":"https://github.com/citation-style-language/schema/raw/master/csl-citation.json"} </w:instrText>
      </w:r>
      <w:r w:rsidR="004E6EEC">
        <w:rPr>
          <w:rFonts w:cs="Times New Roman"/>
        </w:rPr>
        <w:fldChar w:fldCharType="separate"/>
      </w:r>
      <w:r w:rsidR="004E6EEC" w:rsidRPr="00413A3E">
        <w:t>(Kinne and Kang 2023)</w:t>
      </w:r>
      <w:r w:rsidR="004E6EEC">
        <w:rPr>
          <w:rFonts w:cs="Times New Roman"/>
        </w:rPr>
        <w:fldChar w:fldCharType="end"/>
      </w:r>
      <w:r>
        <w:rPr>
          <w:rFonts w:cs="Times New Roman"/>
        </w:rPr>
        <w:t xml:space="preserve">. </w:t>
      </w:r>
    </w:p>
    <w:p w14:paraId="7EE43C8C" w14:textId="6DF189E2" w:rsidR="00241676" w:rsidRDefault="00241676" w:rsidP="006A24BB">
      <w:pPr>
        <w:pStyle w:val="BodyText"/>
        <w:rPr>
          <w:rFonts w:cs="Times New Roman"/>
        </w:rPr>
      </w:pPr>
      <w:r>
        <w:rPr>
          <w:rFonts w:cs="Times New Roman"/>
        </w:rPr>
        <w:t xml:space="preserve">Many of the challenges and concerns that </w:t>
      </w:r>
      <w:r w:rsidR="00615EB4">
        <w:rPr>
          <w:rFonts w:cs="Times New Roman"/>
        </w:rPr>
        <w:t xml:space="preserve">modern industry policy </w:t>
      </w:r>
      <w:r w:rsidR="007764F8">
        <w:rPr>
          <w:rFonts w:cs="Times New Roman"/>
        </w:rPr>
        <w:t>initiatives</w:t>
      </w:r>
      <w:r w:rsidDel="000F77BA">
        <w:rPr>
          <w:rFonts w:cs="Times New Roman"/>
        </w:rPr>
        <w:t xml:space="preserve"> </w:t>
      </w:r>
      <w:r>
        <w:rPr>
          <w:rFonts w:cs="Times New Roman"/>
        </w:rPr>
        <w:t>address are shared by a range of countries</w:t>
      </w:r>
      <w:r w:rsidR="00032766">
        <w:rPr>
          <w:rFonts w:cs="Times New Roman"/>
        </w:rPr>
        <w:t xml:space="preserve"> </w:t>
      </w:r>
      <w:r w:rsidR="00032766">
        <w:rPr>
          <w:rFonts w:cs="Times New Roman"/>
        </w:rPr>
        <w:fldChar w:fldCharType="begin"/>
      </w:r>
      <w:r w:rsidR="00ED6B7B">
        <w:rPr>
          <w:rFonts w:cs="Times New Roman"/>
        </w:rPr>
        <w:instrText xml:space="preserve"> ADDIN ZOTERO_ITEM CSL_CITATION {"citationID":"VEMKEp0y","properties":{"formattedCitation":"(Aiyar et al.\\uc0\\u160{}2023)","plainCitation":"(Aiyar et al. 2023)","noteIndex":0},"citationItems":[{"id":2786,"uris":["http://zotero.org/groups/5560192/items/D7EG6Z42"],"itemData":{"id":2786,"type":"webpage","abstract":"After several decades of increasing global economic integration, the world is facing the risk of policy-driven geoeconomic fragmentation (GEF). This note explores the ramifications. It identifies multiple channels through which the benefits of globalization were earlier transmitted, and along which, conversely, the costs of GEF are likely to fall, including trade, migration, capital flows, technology diffusion and the provision of global public goods. It explores the consequences of GEF for the international monetary system and the global financial safety net. Finally, it suggests a pragmatic path forward for preserving the benefits of global integration and multilateralism","container-title":"IMF","language":"ENG","title":"Geoeconomic Fragmentation and the Future of Multilateralism","URL":"https://www.imf.org/en/Publications/Staff-Discussion-Notes/Issues/2023/01/11/Geo-Economic-Fragmentation-and-the-Future-of-Multilateralism-527266","author":[{"family":"Aiyar","given":"Shekhar"},{"family":"Chen","given":"Jiaqian"},{"family":"Ebeke","given":"Christian H"},{"family":"Gracia-Saltos","given":"Roberto"}],"accessed":{"date-parts":[["2024",12,6]]},"issued":{"date-parts":[["2023"]]}}}],"schema":"https://github.com/citation-style-language/schema/raw/master/csl-citation.json"} </w:instrText>
      </w:r>
      <w:r w:rsidR="00032766">
        <w:rPr>
          <w:rFonts w:cs="Times New Roman"/>
        </w:rPr>
        <w:fldChar w:fldCharType="separate"/>
      </w:r>
      <w:r w:rsidR="00032766" w:rsidRPr="005A055B">
        <w:rPr>
          <w:rFonts w:cs="Times New Roman"/>
        </w:rPr>
        <w:t>(Aiyar et al. 2023)</w:t>
      </w:r>
      <w:r w:rsidR="00032766">
        <w:rPr>
          <w:rFonts w:cs="Times New Roman"/>
        </w:rPr>
        <w:fldChar w:fldCharType="end"/>
      </w:r>
      <w:r>
        <w:rPr>
          <w:rFonts w:cs="Times New Roman"/>
        </w:rPr>
        <w:t>. These include supply chain diversification, security of supply over goods and services that are collectively judged to be ‘critical’, and securing access to the inputs and technologies required to support the net zero transition.</w:t>
      </w:r>
      <w:r w:rsidRPr="00987128">
        <w:rPr>
          <w:rFonts w:cs="Times New Roman"/>
        </w:rPr>
        <w:t xml:space="preserve"> </w:t>
      </w:r>
      <w:r>
        <w:rPr>
          <w:rFonts w:cs="Times New Roman"/>
        </w:rPr>
        <w:t>Club goods style partnerships might assist in sharing the cost of our common challenges.</w:t>
      </w:r>
    </w:p>
    <w:p w14:paraId="14F3CAE3" w14:textId="77777777" w:rsidR="00241676" w:rsidRDefault="00241676" w:rsidP="00C25EE0">
      <w:pPr>
        <w:pStyle w:val="Heading4"/>
      </w:pPr>
      <w:r>
        <w:t>When is forming international clubs potentially beneficial?</w:t>
      </w:r>
    </w:p>
    <w:p w14:paraId="1D606AAE" w14:textId="77777777" w:rsidR="0044465D" w:rsidRDefault="00241676" w:rsidP="006A24BB">
      <w:pPr>
        <w:pStyle w:val="BodyText"/>
      </w:pPr>
      <w:r>
        <w:t>In forming a club, countries work together to create alternative sources of supply. Each country would contribute an element of the supply chain that it is best placed to do under its comparative advantage (</w:t>
      </w:r>
      <w:r w:rsidR="001E0196">
        <w:t>a</w:t>
      </w:r>
      <w:r w:rsidR="001C41D2">
        <w:t>ppendix</w:t>
      </w:r>
      <w:r w:rsidR="00D25956">
        <w:t> </w:t>
      </w:r>
      <w:r w:rsidR="001C41D2">
        <w:t>C</w:t>
      </w:r>
      <w:r w:rsidR="001822C3">
        <w:t>)</w:t>
      </w:r>
      <w:r w:rsidR="001C41D2">
        <w:t xml:space="preserve"> </w:t>
      </w:r>
      <w:r>
        <w:t>rather than taking on the whole production capability on its own, and the resultant goods would be available to all club members. While the cost of the goods produced by the club may be higher than the lowest</w:t>
      </w:r>
      <w:r w:rsidR="00410C80">
        <w:noBreakHyphen/>
      </w:r>
      <w:r>
        <w:t xml:space="preserve">cost global supply, by leveraging comparative advantage, it would be lower than </w:t>
      </w:r>
      <w:r w:rsidRPr="00E04532">
        <w:t xml:space="preserve">supporting </w:t>
      </w:r>
      <w:r>
        <w:t>end</w:t>
      </w:r>
      <w:r w:rsidR="00410C80">
        <w:noBreakHyphen/>
      </w:r>
      <w:r>
        <w:t>to</w:t>
      </w:r>
      <w:r w:rsidR="00410C80">
        <w:noBreakHyphen/>
      </w:r>
      <w:r>
        <w:t xml:space="preserve">end </w:t>
      </w:r>
      <w:r w:rsidRPr="00E04532">
        <w:t>domestic production capability</w:t>
      </w:r>
      <w:r>
        <w:t xml:space="preserve"> in each country. Industry support to deliver these supply chain elements may be thought of as the ‘cost of entry’ to the club for each country.</w:t>
      </w:r>
    </w:p>
    <w:p w14:paraId="102F809B" w14:textId="160DAF5B" w:rsidR="00241676" w:rsidRDefault="0044465D" w:rsidP="006A24BB">
      <w:pPr>
        <w:pStyle w:val="BodyText"/>
        <w:rPr>
          <w:rFonts w:cs="Arial"/>
        </w:rPr>
      </w:pPr>
      <w:r>
        <w:t>A</w:t>
      </w:r>
      <w:r w:rsidRPr="0044465D">
        <w:t xml:space="preserve">nother </w:t>
      </w:r>
      <w:r w:rsidR="002D05EE">
        <w:t>‘</w:t>
      </w:r>
      <w:r w:rsidRPr="0044465D">
        <w:t>cost of entry</w:t>
      </w:r>
      <w:r w:rsidR="002D05EE">
        <w:t>'</w:t>
      </w:r>
      <w:r w:rsidRPr="0044465D">
        <w:t xml:space="preserve"> into </w:t>
      </w:r>
      <w:r>
        <w:t xml:space="preserve">a </w:t>
      </w:r>
      <w:r w:rsidRPr="0044465D">
        <w:t>club</w:t>
      </w:r>
      <w:r>
        <w:t>-style arrangement</w:t>
      </w:r>
      <w:r w:rsidRPr="0044465D">
        <w:t xml:space="preserve"> may be the adoption of </w:t>
      </w:r>
      <w:r w:rsidR="002D05EE">
        <w:t xml:space="preserve">agreed </w:t>
      </w:r>
      <w:r w:rsidR="00E83E4E">
        <w:t xml:space="preserve">technology or other </w:t>
      </w:r>
      <w:r w:rsidRPr="0044465D">
        <w:t>standards between club members that could limit trade with non-club members</w:t>
      </w:r>
      <w:r w:rsidR="00E83E4E">
        <w:t xml:space="preserve"> who don’t adhere to those standards. The benefits and limitations of adopting such standards would </w:t>
      </w:r>
      <w:r w:rsidRPr="0044465D">
        <w:t xml:space="preserve">need to be factored into </w:t>
      </w:r>
      <w:r w:rsidR="00E83E4E">
        <w:t>a</w:t>
      </w:r>
      <w:r w:rsidR="00952F88">
        <w:t xml:space="preserve">ny </w:t>
      </w:r>
      <w:r w:rsidR="003C3800">
        <w:t>cost-benefit analysis</w:t>
      </w:r>
      <w:r w:rsidR="00952F88">
        <w:t xml:space="preserve"> for adopting a club goods approach.</w:t>
      </w:r>
      <w:r w:rsidR="00BF7A51">
        <w:t xml:space="preserve"> </w:t>
      </w:r>
      <w:r w:rsidR="00241676">
        <w:t>If the following four conditions are met, club goods style partnerships might be effective.</w:t>
      </w:r>
    </w:p>
    <w:p w14:paraId="09656D0A" w14:textId="770A6436" w:rsidR="00241676" w:rsidRPr="00EA4C75" w:rsidRDefault="00241676" w:rsidP="001C0893">
      <w:pPr>
        <w:pStyle w:val="ListNumber"/>
        <w:numPr>
          <w:ilvl w:val="0"/>
          <w:numId w:val="22"/>
        </w:numPr>
      </w:pPr>
      <w:r w:rsidRPr="00EA4C75">
        <w:lastRenderedPageBreak/>
        <w:t>Shared interests</w:t>
      </w:r>
      <w:r w:rsidR="008C65E5" w:rsidRPr="00EA4C75">
        <w:t xml:space="preserve"> </w:t>
      </w:r>
      <w:r w:rsidRPr="00EA4C75">
        <w:t>– clubs are more likely to succeed if members share common objectives, and where achievement of those objectives can be prohibitively expensive to pursue alone.</w:t>
      </w:r>
    </w:p>
    <w:p w14:paraId="010FE7D8" w14:textId="023469CD" w:rsidR="006372A0" w:rsidRPr="00EA4C75" w:rsidRDefault="00241676" w:rsidP="00EA4C75">
      <w:pPr>
        <w:pStyle w:val="ListNumber"/>
      </w:pPr>
      <w:r w:rsidRPr="00EA4C75">
        <w:t>Benefits generated by the club are excludable – if a country cannot be excluded from benefiting from club activities, then countries will have an incentive to free</w:t>
      </w:r>
      <w:r w:rsidR="00410C80">
        <w:noBreakHyphen/>
      </w:r>
      <w:r w:rsidRPr="00EA4C75">
        <w:t>ride and not have an incentive to join the club.</w:t>
      </w:r>
      <w:r w:rsidR="005B2390">
        <w:t xml:space="preserve"> This requires some enforcement mechanism</w:t>
      </w:r>
      <w:r w:rsidR="005F10EB">
        <w:t>, which may simply be the benefits of future cooperation between countries</w:t>
      </w:r>
      <w:r w:rsidR="00AE23F9">
        <w:t xml:space="preserve"> themselves</w:t>
      </w:r>
      <w:r w:rsidR="005F10EB">
        <w:t>.</w:t>
      </w:r>
    </w:p>
    <w:p w14:paraId="1FBC01C9" w14:textId="77777777" w:rsidR="00241676" w:rsidRPr="00EA4C75" w:rsidRDefault="00241676" w:rsidP="00EA4C75">
      <w:pPr>
        <w:pStyle w:val="ListNumber"/>
      </w:pPr>
      <w:r w:rsidRPr="00EA4C75">
        <w:t>The cost of membership is less than the cost of not being in the club – in a sustainable club, each country’s contribution provides access to the club good at a lower cost than they could achieve alone.</w:t>
      </w:r>
    </w:p>
    <w:p w14:paraId="0A9D4680" w14:textId="3828264B" w:rsidR="00241676" w:rsidRPr="00EA4C75" w:rsidRDefault="00241676" w:rsidP="00EA4C75">
      <w:pPr>
        <w:pStyle w:val="ListNumber"/>
      </w:pPr>
      <w:r w:rsidRPr="00EA4C75">
        <w:t xml:space="preserve">The contribution of each club member is observable – when the contribution is highly observable, it reduces the chances of </w:t>
      </w:r>
      <w:r w:rsidR="005821F8">
        <w:t>not living up to the agreement</w:t>
      </w:r>
      <w:r w:rsidRPr="00EA4C75">
        <w:t xml:space="preserve"> as members can see that everyone is contributing fairly</w:t>
      </w:r>
      <w:r w:rsidR="005A5B97" w:rsidRPr="00EA4C75">
        <w:t>,</w:t>
      </w:r>
      <w:r w:rsidRPr="00EA4C75">
        <w:t xml:space="preserve"> and that each member is receiving what they expected to when joining the club.</w:t>
      </w:r>
    </w:p>
    <w:p w14:paraId="35B3379C" w14:textId="2BF120D8" w:rsidR="005E11A1" w:rsidRPr="00F82BD9" w:rsidRDefault="005E11A1" w:rsidP="005E11A1">
      <w:pPr>
        <w:pStyle w:val="Heading3"/>
      </w:pPr>
      <w:bookmarkStart w:id="116" w:name="_Toc195696940"/>
      <w:r>
        <w:t>Potential policy: Stockpiling</w:t>
      </w:r>
      <w:bookmarkEnd w:id="116"/>
    </w:p>
    <w:p w14:paraId="376922EE" w14:textId="2585150E" w:rsidR="005E11A1" w:rsidRPr="00FC5C66" w:rsidRDefault="005E11A1" w:rsidP="005E11A1">
      <w:pPr>
        <w:pStyle w:val="BodyText"/>
      </w:pPr>
      <w:r w:rsidRPr="00FC5C66">
        <w:t xml:space="preserve">Government stockpiling is one option to manage supply chain vulnerabilities. It involves accumulating a reserve of goods to ensure availability during supply chain interruptions or sudden surges in demand. A stockpile manager’s primary goal </w:t>
      </w:r>
      <w:r>
        <w:t>can be viewed as minimising</w:t>
      </w:r>
      <w:r w:rsidRPr="00FC5C66">
        <w:t xml:space="preserve"> the costs of a disruption and the cost of managing the stockpile, including maintenance costs and refreshment of supplies</w:t>
      </w:r>
      <w:r>
        <w:t xml:space="preserve"> </w:t>
      </w:r>
      <w:r w:rsidRPr="00FC5C66">
        <w:fldChar w:fldCharType="begin"/>
      </w:r>
      <w:r w:rsidR="00ED6B7B">
        <w:instrText xml:space="preserve"> ADDIN ZOTERO_ITEM CSL_CITATION {"citationID":"TwAyJJvi","properties":{"formattedCitation":"(Oliveira et al.\\uc0\\u160{}2023)","plainCitation":"(Oliveira et al. 2023)","noteIndex":0},"citationItems":[{"id":2725,"uris":["http://zotero.org/groups/5560192/items/PKBKQUAS"],"itemData":{"id":2725,"type":"article-journal","abstract":"We examine the issue of petroleum stockpiling in the Association of Southeast Asian Nations (ASEAN), computing the optimal build-up and draw-down policies under different conditions. We study, in detail, the properties of petroleum prices, oil imports and production, and GDP, analyzing the impact of the planning horizon, discount rate and price elasticity of demand on the optimal policy. We use a finite horizon stochastic program (with varying branching) in which the policymaker minimizes the negative impacts of oil price increases on the GDP and the cost of holding the strategic petroleum reserve. We propose an inter-generational equity rule to compute the level of inventory in the final states of the decision tree. We find that ASEAN countries would benefit significantly from developing a strategic petroleum reserve, with net benefits ranging from US$25–125 billion. Our suggested target stockpile is consistent with the International Energy Agency’s recommendation of holding stocks equal to 90 days of net imports.","container-title":"Computers &amp; Industrial Engineering","DOI":"10.1016/j.cie.2022.108834","ISSN":"0360-8352","journalAbbreviation":"Computers &amp; Industrial Engineering","page":"108834","title":"Analysis of the optimal policy for managing strategic petroleum reserves under long-term uncertainty: The ASEAN case","volume":"175","author":[{"family":"Oliveira","given":"F.S."},{"family":"Zahur","given":"Nahim B."},{"family":"Wu","given":"Fulan"}],"issued":{"date-parts":[["2023",1,1]]}}}],"schema":"https://github.com/citation-style-language/schema/raw/master/csl-citation.json"} </w:instrText>
      </w:r>
      <w:r w:rsidRPr="00FC5C66">
        <w:fldChar w:fldCharType="separate"/>
      </w:r>
      <w:r w:rsidRPr="0023022A">
        <w:rPr>
          <w:rFonts w:ascii="Arial" w:hAnsi="Arial" w:cs="Arial"/>
        </w:rPr>
        <w:t>(Oliveira et al. 2023)</w:t>
      </w:r>
      <w:r w:rsidRPr="00FC5C66">
        <w:fldChar w:fldCharType="end"/>
      </w:r>
      <w:r w:rsidRPr="00FC5C66">
        <w:t xml:space="preserve">. Depending on the good, stockpile managers may achieve this goal by giving stock directly to a specific user (such as emergency support staff) or by selling it to alleviate supply shortages and reduce prices </w:t>
      </w:r>
      <w:r w:rsidRPr="00FC5C66">
        <w:fldChar w:fldCharType="begin"/>
      </w:r>
      <w:r w:rsidR="00ED6B7B">
        <w:instrText xml:space="preserve"> ADDIN ZOTERO_ITEM CSL_CITATION {"citationID":"Qpr0edqM","properties":{"formattedCitation":"(NEMA\\uc0\\u160{}2024; Newell and Prest\\uc0\\u160{}2017)","plainCitation":"(NEMA 2024; Newell and Prest 2017)","noteIndex":0},"citationItems":[{"id":2645,"uris":["http://zotero.org/groups/5560192/items/4XRLGPH9"],"itemData":{"id":2645,"type":"webpage","abstract":"The National Emergency Management Stockpile will enable the Australian Government to provide disaster response and relief resources for rapid deployment across Australia.","language":"en","title":"Goods and services ready for emergencies","URL":"https://www.nema.gov.au/about-us/media-centre/goods-and-services-ready-emergencies","author":[{"family":"National Emergency Management Agency","given":""}],"translator":[{"family":"NEMA","given":""}],"accessed":{"date-parts":[["2024",12,2]]},"issued":{"date-parts":[["2024"]]}}},{"id":2717,"uris":["http://zotero.org/groups/5560192/items/3AU4FRIS"],"itemData":{"id":2717,"type":"report","publisher":"Resources for the Future","title":"Informing SPR Policy through Oil Futures and Inventory Dynamics","author":[{"family":"Newell","given":"Richard"},{"family":"Prest","given":"Brian"}],"issued":{"date-parts":[["2017",10,21]]}}}],"schema":"https://github.com/citation-style-language/schema/raw/master/csl-citation.json"} </w:instrText>
      </w:r>
      <w:r w:rsidRPr="00FC5C66">
        <w:fldChar w:fldCharType="separate"/>
      </w:r>
      <w:r w:rsidRPr="00CE5C32">
        <w:rPr>
          <w:rFonts w:ascii="Arial" w:hAnsi="Arial" w:cs="Arial"/>
        </w:rPr>
        <w:t>(NEMA 2024; Newell and Prest 2017)</w:t>
      </w:r>
      <w:r w:rsidRPr="00FC5C66">
        <w:fldChar w:fldCharType="end"/>
      </w:r>
      <w:r w:rsidRPr="00FC5C66">
        <w:t>.</w:t>
      </w:r>
    </w:p>
    <w:p w14:paraId="576DD455" w14:textId="77777777" w:rsidR="005E11A1" w:rsidRDefault="005E11A1" w:rsidP="005E11A1">
      <w:pPr>
        <w:pStyle w:val="Heading4"/>
      </w:pPr>
      <w:r>
        <w:t>When is public stockpiling suitable?</w:t>
      </w:r>
    </w:p>
    <w:p w14:paraId="2B77B2D9" w14:textId="3009732F" w:rsidR="005E11A1" w:rsidRDefault="005E11A1" w:rsidP="005E11A1">
      <w:pPr>
        <w:pStyle w:val="BodyText"/>
      </w:pPr>
      <w:r w:rsidRPr="00CB13BF">
        <w:t xml:space="preserve">Stockpiling </w:t>
      </w:r>
      <w:r>
        <w:t xml:space="preserve">can </w:t>
      </w:r>
      <w:r w:rsidRPr="00CB13BF">
        <w:t>effective</w:t>
      </w:r>
      <w:r>
        <w:t>ly</w:t>
      </w:r>
      <w:r w:rsidRPr="00CB13BF">
        <w:t xml:space="preserve"> address short</w:t>
      </w:r>
      <w:r>
        <w:noBreakHyphen/>
      </w:r>
      <w:r w:rsidRPr="00CB13BF">
        <w:t>term disruptions, providing time for production to scale up</w:t>
      </w:r>
      <w:r>
        <w:t>,</w:t>
      </w:r>
      <w:r w:rsidRPr="00CB13BF">
        <w:t xml:space="preserve"> </w:t>
      </w:r>
      <w:r>
        <w:t xml:space="preserve">mitigate short term price rises, and for disrupted markets to normalise </w:t>
      </w:r>
      <w:r>
        <w:fldChar w:fldCharType="begin"/>
      </w:r>
      <w:r w:rsidR="00ED6B7B">
        <w:instrText xml:space="preserve"> ADDIN ZOTERO_ITEM CSL_CITATION {"citationID":"EbJgs8L3","properties":{"formattedCitation":"(Newell and Prest\\uc0\\u160{}2017; Oliveira et al.\\uc0\\u160{}2023)","plainCitation":"(Newell and Prest 2017; Oliveira et al. 2023)","noteIndex":0},"citationItems":[{"id":2717,"uris":["http://zotero.org/groups/5560192/items/3AU4FRIS"],"itemData":{"id":2717,"type":"report","publisher":"Resources for the Future","title":"Informing SPR Policy through Oil Futures and Inventory Dynamics","author":[{"family":"Newell","given":"Richard"},{"family":"Prest","given":"Brian"}],"issued":{"date-parts":[["2017",10,21]]}}},{"id":2725,"uris":["http://zotero.org/groups/5560192/items/PKBKQUAS"],"itemData":{"id":2725,"type":"article-journal","abstract":"We examine the issue of petroleum stockpiling in the Association of Southeast Asian Nations (ASEAN), computing the optimal build-up and draw-down policies under different conditions. We study, in detail, the properties of petroleum prices, oil imports and production, and GDP, analyzing the impact of the planning horizon, discount rate and price elasticity of demand on the optimal policy. We use a finite horizon stochastic program (with varying branching) in which the policymaker minimizes the negative impacts of oil price increases on the GDP and the cost of holding the strategic petroleum reserve. We propose an inter-generational equity rule to compute the level of inventory in the final states of the decision tree. We find that ASEAN countries would benefit significantly from developing a strategic petroleum reserve, with net benefits ranging from US$25–125 billion. Our suggested target stockpile is consistent with the International Energy Agency’s recommendation of holding stocks equal to 90 days of net imports.","container-title":"Computers &amp; Industrial Engineering","DOI":"10.1016/j.cie.2022.108834","ISSN":"0360-8352","journalAbbreviation":"Computers &amp; Industrial Engineering","page":"108834","title":"Analysis of the optimal policy for managing strategic petroleum reserves under long-term uncertainty: The ASEAN case","volume":"175","author":[{"family":"Oliveira","given":"F.S."},{"family":"Zahur","given":"Nahim B."},{"family":"Wu","given":"Fulan"}],"issued":{"date-parts":[["2023",1,1]]}}}],"schema":"https://github.com/citation-style-language/schema/raw/master/csl-citation.json"} </w:instrText>
      </w:r>
      <w:r>
        <w:fldChar w:fldCharType="separate"/>
      </w:r>
      <w:r w:rsidRPr="00BD2F21">
        <w:rPr>
          <w:rFonts w:ascii="Arial" w:hAnsi="Arial" w:cs="Arial"/>
        </w:rPr>
        <w:t>(Newell and Prest 2017; Oliveira et al. 2023)</w:t>
      </w:r>
      <w:r>
        <w:fldChar w:fldCharType="end"/>
      </w:r>
      <w:r w:rsidRPr="00CB13BF">
        <w:t>.</w:t>
      </w:r>
      <w:r>
        <w:t xml:space="preserve"> The private sector may hold stockpiles to address supply risks; governments may consider establishing their own stockpiles or incentivise more private stockpiling when the private sector undervalues the public benefits of supply stability. However, they should be cautious to minimise inadvertently reducing the incentive for businesses to maintain their own inventories.</w:t>
      </w:r>
    </w:p>
    <w:p w14:paraId="2A14ECE0" w14:textId="74B4F02C" w:rsidR="005E11A1" w:rsidRPr="00CC1E96" w:rsidRDefault="005E11A1" w:rsidP="005E11A1">
      <w:pPr>
        <w:pStyle w:val="BodyText"/>
        <w:rPr>
          <w:spacing w:val="-2"/>
        </w:rPr>
      </w:pPr>
      <w:r w:rsidRPr="00CC1E96">
        <w:rPr>
          <w:spacing w:val="-2"/>
        </w:rPr>
        <w:t>A variety of factors can influence the viability of government stockpiling and guide product selection (</w:t>
      </w:r>
      <w:r w:rsidR="00554024" w:rsidRPr="00CC1E96">
        <w:rPr>
          <w:spacing w:val="-2"/>
        </w:rPr>
        <w:t>t</w:t>
      </w:r>
      <w:r w:rsidR="00B36C83" w:rsidRPr="00CC1E96">
        <w:rPr>
          <w:spacing w:val="-2"/>
        </w:rPr>
        <w:t>able </w:t>
      </w:r>
      <w:r w:rsidR="0098780D" w:rsidRPr="00CC1E96">
        <w:rPr>
          <w:spacing w:val="-2"/>
        </w:rPr>
        <w:t>A.1</w:t>
      </w:r>
      <w:r w:rsidRPr="00CC1E96">
        <w:rPr>
          <w:spacing w:val="-2"/>
        </w:rPr>
        <w:t>). These factors should be considered as part of an overall cost</w:t>
      </w:r>
      <w:r w:rsidRPr="00CC1E96">
        <w:rPr>
          <w:spacing w:val="-2"/>
        </w:rPr>
        <w:noBreakHyphen/>
        <w:t>benefit analysis of any stockpiling proposal.</w:t>
      </w:r>
    </w:p>
    <w:p w14:paraId="7FD01022" w14:textId="5CB1241E" w:rsidR="005E11A1" w:rsidRDefault="005E11A1" w:rsidP="00BF54CD">
      <w:pPr>
        <w:pStyle w:val="FigureTableHeading"/>
      </w:pPr>
      <w:bookmarkStart w:id="117" w:name="_Ref175729029"/>
      <w:bookmarkStart w:id="118" w:name="_Ref184040688"/>
      <w:r>
        <w:t>Table</w:t>
      </w:r>
      <w:bookmarkEnd w:id="117"/>
      <w:r>
        <w:t> </w:t>
      </w:r>
      <w:bookmarkEnd w:id="118"/>
      <w:r w:rsidR="0098780D">
        <w:t>A.1</w:t>
      </w:r>
      <w:r w:rsidR="00C70470">
        <w:t xml:space="preserve"> –</w:t>
      </w:r>
      <w:r>
        <w:t xml:space="preserve"> Factors influencing the viability of government</w:t>
      </w:r>
      <w:r w:rsidDel="008719E9">
        <w:t xml:space="preserve"> stockpiling</w:t>
      </w:r>
    </w:p>
    <w:tbl>
      <w:tblPr>
        <w:tblStyle w:val="TableGrid"/>
        <w:tblW w:w="0" w:type="auto"/>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43"/>
        <w:gridCol w:w="4066"/>
        <w:gridCol w:w="3429"/>
      </w:tblGrid>
      <w:tr w:rsidR="005E11A1" w:rsidRPr="00090B15" w14:paraId="4678099A" w14:textId="77777777" w:rsidTr="00F9075C">
        <w:trPr>
          <w:tblHeader/>
        </w:trPr>
        <w:tc>
          <w:tcPr>
            <w:tcW w:w="2143" w:type="dxa"/>
            <w:tcBorders>
              <w:bottom w:val="single" w:sz="4" w:space="0" w:color="B3B3B3"/>
            </w:tcBorders>
            <w:shd w:val="clear" w:color="000000" w:fill="auto"/>
            <w:vAlign w:val="bottom"/>
          </w:tcPr>
          <w:p w14:paraId="6C07E27B" w14:textId="77777777" w:rsidR="005E11A1" w:rsidRPr="00090B15" w:rsidRDefault="005E11A1">
            <w:pPr>
              <w:pStyle w:val="TableHeading"/>
            </w:pPr>
          </w:p>
        </w:tc>
        <w:tc>
          <w:tcPr>
            <w:tcW w:w="4066" w:type="dxa"/>
            <w:tcBorders>
              <w:bottom w:val="single" w:sz="4" w:space="0" w:color="B3B3B3"/>
            </w:tcBorders>
            <w:shd w:val="clear" w:color="000000" w:fill="auto"/>
            <w:vAlign w:val="bottom"/>
          </w:tcPr>
          <w:p w14:paraId="05888BE3" w14:textId="77777777" w:rsidR="005E11A1" w:rsidRPr="00090B15" w:rsidRDefault="005E11A1">
            <w:pPr>
              <w:pStyle w:val="TableHeading"/>
            </w:pPr>
            <w:r w:rsidRPr="00090B15">
              <w:t>Description</w:t>
            </w:r>
          </w:p>
        </w:tc>
        <w:tc>
          <w:tcPr>
            <w:tcW w:w="3429" w:type="dxa"/>
            <w:tcBorders>
              <w:bottom w:val="single" w:sz="4" w:space="0" w:color="B3B3B3"/>
            </w:tcBorders>
            <w:shd w:val="clear" w:color="000000" w:fill="auto"/>
            <w:vAlign w:val="bottom"/>
          </w:tcPr>
          <w:p w14:paraId="626B3909" w14:textId="77777777" w:rsidR="005E11A1" w:rsidRPr="00090B15" w:rsidRDefault="005E11A1">
            <w:pPr>
              <w:pStyle w:val="TableHeading"/>
            </w:pPr>
            <w:r w:rsidRPr="00090B15">
              <w:t>Example application</w:t>
            </w:r>
          </w:p>
        </w:tc>
      </w:tr>
      <w:tr w:rsidR="005E11A1" w:rsidRPr="00090B15" w14:paraId="762D5BFB" w14:textId="77777777" w:rsidTr="00F9075C">
        <w:tc>
          <w:tcPr>
            <w:tcW w:w="9638" w:type="dxa"/>
            <w:gridSpan w:val="3"/>
            <w:tcBorders>
              <w:top w:val="single" w:sz="4" w:space="0" w:color="B3B3B3"/>
              <w:bottom w:val="nil"/>
            </w:tcBorders>
            <w:shd w:val="clear" w:color="000000" w:fill="F2F2F2"/>
          </w:tcPr>
          <w:p w14:paraId="0615320A" w14:textId="77777777" w:rsidR="005E11A1" w:rsidRPr="00D812D3" w:rsidRDefault="005E11A1" w:rsidP="00554024">
            <w:pPr>
              <w:pStyle w:val="TableHeading"/>
              <w:spacing w:before="80"/>
            </w:pPr>
            <w:r>
              <w:t>Product</w:t>
            </w:r>
            <w:r>
              <w:noBreakHyphen/>
              <w:t>related factors that are likely to reduce stockpiling costs</w:t>
            </w:r>
          </w:p>
        </w:tc>
      </w:tr>
      <w:tr w:rsidR="005E11A1" w:rsidRPr="00090B15" w14:paraId="382D61EA" w14:textId="77777777" w:rsidTr="00F9075C">
        <w:tc>
          <w:tcPr>
            <w:tcW w:w="2143" w:type="dxa"/>
            <w:tcBorders>
              <w:top w:val="nil"/>
              <w:bottom w:val="nil"/>
            </w:tcBorders>
          </w:tcPr>
          <w:p w14:paraId="452EAEC9" w14:textId="77777777" w:rsidR="005E11A1" w:rsidRPr="00C70470" w:rsidRDefault="005E11A1">
            <w:pPr>
              <w:pStyle w:val="TableHeading"/>
              <w:rPr>
                <w:b w:val="0"/>
                <w:bCs/>
                <w:color w:val="auto"/>
              </w:rPr>
            </w:pPr>
            <w:r w:rsidRPr="00C70470">
              <w:rPr>
                <w:b w:val="0"/>
                <w:bCs/>
                <w:color w:val="auto"/>
              </w:rPr>
              <w:t>Shelf life</w:t>
            </w:r>
          </w:p>
        </w:tc>
        <w:tc>
          <w:tcPr>
            <w:tcW w:w="4066" w:type="dxa"/>
            <w:tcBorders>
              <w:top w:val="nil"/>
              <w:bottom w:val="nil"/>
            </w:tcBorders>
          </w:tcPr>
          <w:p w14:paraId="2AF41F93" w14:textId="77777777" w:rsidR="005E11A1" w:rsidRPr="00090B15" w:rsidRDefault="005E11A1">
            <w:pPr>
              <w:pStyle w:val="TableBody"/>
            </w:pPr>
            <w:r w:rsidRPr="00090B15">
              <w:t>Longer shelf life means stockpiling is cheaper</w:t>
            </w:r>
            <w:r>
              <w:t xml:space="preserve"> than it would otherwise be.</w:t>
            </w:r>
          </w:p>
        </w:tc>
        <w:tc>
          <w:tcPr>
            <w:tcW w:w="3429" w:type="dxa"/>
            <w:tcBorders>
              <w:top w:val="nil"/>
              <w:bottom w:val="nil"/>
            </w:tcBorders>
          </w:tcPr>
          <w:p w14:paraId="726C19F9" w14:textId="5E5EA309" w:rsidR="005E11A1" w:rsidRPr="00090B15" w:rsidRDefault="005E11A1">
            <w:pPr>
              <w:pStyle w:val="TableBody"/>
            </w:pPr>
            <w:r w:rsidRPr="00940487">
              <w:t xml:space="preserve">Crude oil does not expire, unlike </w:t>
            </w:r>
            <w:r w:rsidR="005B6EBB">
              <w:t xml:space="preserve">many </w:t>
            </w:r>
            <w:r w:rsidRPr="00940487">
              <w:t>petroleum products.</w:t>
            </w:r>
          </w:p>
        </w:tc>
      </w:tr>
      <w:tr w:rsidR="005E11A1" w:rsidRPr="00090B15" w14:paraId="5ACD8C6C" w14:textId="77777777">
        <w:tc>
          <w:tcPr>
            <w:tcW w:w="2143" w:type="dxa"/>
            <w:tcBorders>
              <w:top w:val="nil"/>
              <w:bottom w:val="nil"/>
            </w:tcBorders>
            <w:shd w:val="clear" w:color="auto" w:fill="F2F2F2" w:themeFill="background1" w:themeFillShade="F2"/>
          </w:tcPr>
          <w:p w14:paraId="40121C9C" w14:textId="77777777" w:rsidR="005E11A1" w:rsidRPr="00C70470" w:rsidRDefault="005E11A1">
            <w:pPr>
              <w:pStyle w:val="TableHeading"/>
              <w:rPr>
                <w:b w:val="0"/>
                <w:bCs/>
                <w:color w:val="auto"/>
              </w:rPr>
            </w:pPr>
            <w:r w:rsidRPr="00C70470">
              <w:rPr>
                <w:b w:val="0"/>
                <w:bCs/>
                <w:color w:val="auto"/>
              </w:rPr>
              <w:t>Storage costs</w:t>
            </w:r>
          </w:p>
        </w:tc>
        <w:tc>
          <w:tcPr>
            <w:tcW w:w="4066" w:type="dxa"/>
            <w:tcBorders>
              <w:top w:val="nil"/>
              <w:bottom w:val="nil"/>
            </w:tcBorders>
            <w:shd w:val="clear" w:color="auto" w:fill="F2F2F2" w:themeFill="background1" w:themeFillShade="F2"/>
          </w:tcPr>
          <w:p w14:paraId="11E054E8" w14:textId="77777777" w:rsidR="005E11A1" w:rsidRPr="00090B15" w:rsidRDefault="005E11A1">
            <w:pPr>
              <w:pStyle w:val="TableBody"/>
            </w:pPr>
            <w:r>
              <w:t>Storage requirements</w:t>
            </w:r>
            <w:r w:rsidRPr="00940487">
              <w:t xml:space="preserve"> influence the total </w:t>
            </w:r>
            <w:r>
              <w:t xml:space="preserve">capital and operating </w:t>
            </w:r>
            <w:r w:rsidRPr="00940487">
              <w:t>cost</w:t>
            </w:r>
            <w:r>
              <w:t>s</w:t>
            </w:r>
            <w:r w:rsidRPr="00940487">
              <w:t xml:space="preserve"> of stockpiling. </w:t>
            </w:r>
          </w:p>
        </w:tc>
        <w:tc>
          <w:tcPr>
            <w:tcW w:w="3429" w:type="dxa"/>
            <w:tcBorders>
              <w:top w:val="nil"/>
              <w:bottom w:val="nil"/>
            </w:tcBorders>
            <w:shd w:val="clear" w:color="auto" w:fill="F2F2F2" w:themeFill="background1" w:themeFillShade="F2"/>
          </w:tcPr>
          <w:p w14:paraId="6625FFA7" w14:textId="77777777" w:rsidR="005E11A1" w:rsidRPr="00090B15" w:rsidRDefault="005E11A1">
            <w:pPr>
              <w:pStyle w:val="TableBody"/>
            </w:pPr>
            <w:r w:rsidRPr="00940487">
              <w:t>Some vaccines have strict cold temperature storage requirements.</w:t>
            </w:r>
          </w:p>
        </w:tc>
      </w:tr>
      <w:tr w:rsidR="005E11A1" w:rsidRPr="00090B15" w14:paraId="680A16BD" w14:textId="77777777">
        <w:tc>
          <w:tcPr>
            <w:tcW w:w="2143" w:type="dxa"/>
            <w:tcBorders>
              <w:bottom w:val="nil"/>
            </w:tcBorders>
            <w:shd w:val="clear" w:color="auto" w:fill="FFFFFF" w:themeFill="background1"/>
          </w:tcPr>
          <w:p w14:paraId="1A90F483" w14:textId="77777777" w:rsidR="005E11A1" w:rsidRPr="00C70470" w:rsidRDefault="005E11A1">
            <w:pPr>
              <w:pStyle w:val="TableHeading"/>
              <w:rPr>
                <w:b w:val="0"/>
                <w:bCs/>
                <w:color w:val="auto"/>
              </w:rPr>
            </w:pPr>
            <w:r w:rsidRPr="00C70470">
              <w:rPr>
                <w:b w:val="0"/>
                <w:bCs/>
                <w:color w:val="auto"/>
              </w:rPr>
              <w:t>Consumable</w:t>
            </w:r>
          </w:p>
        </w:tc>
        <w:tc>
          <w:tcPr>
            <w:tcW w:w="4066" w:type="dxa"/>
            <w:tcBorders>
              <w:bottom w:val="nil"/>
            </w:tcBorders>
            <w:shd w:val="clear" w:color="auto" w:fill="FFFFFF" w:themeFill="background1"/>
          </w:tcPr>
          <w:p w14:paraId="460100EF" w14:textId="77777777" w:rsidR="005E11A1" w:rsidRPr="00090B15" w:rsidRDefault="005E11A1">
            <w:pPr>
              <w:pStyle w:val="TableBody"/>
            </w:pPr>
            <w:r w:rsidRPr="00090B15">
              <w:t xml:space="preserve">Consumable products have higher turnover than capital goods and are therefore more vulnerable to short term disruptions. </w:t>
            </w:r>
          </w:p>
        </w:tc>
        <w:tc>
          <w:tcPr>
            <w:tcW w:w="3429" w:type="dxa"/>
            <w:tcBorders>
              <w:bottom w:val="nil"/>
            </w:tcBorders>
            <w:shd w:val="clear" w:color="auto" w:fill="FFFFFF" w:themeFill="background1"/>
          </w:tcPr>
          <w:p w14:paraId="2F8DA545" w14:textId="280462C5" w:rsidR="005E11A1" w:rsidRPr="00090B15" w:rsidRDefault="005E11A1">
            <w:pPr>
              <w:pStyle w:val="TableBody"/>
            </w:pPr>
            <w:r w:rsidRPr="00090B15">
              <w:t xml:space="preserve">Short term disruptions will quickly impact petrol. In </w:t>
            </w:r>
            <w:r w:rsidR="000704E8">
              <w:t>March 2025</w:t>
            </w:r>
            <w:r w:rsidRPr="00090B15">
              <w:t xml:space="preserve"> Australia </w:t>
            </w:r>
            <w:r w:rsidRPr="00940487">
              <w:t>had</w:t>
            </w:r>
            <w:r w:rsidRPr="00090B15">
              <w:t xml:space="preserve"> </w:t>
            </w:r>
            <w:r>
              <w:t>only 3</w:t>
            </w:r>
            <w:r w:rsidR="000704E8">
              <w:t>4</w:t>
            </w:r>
            <w:r w:rsidRPr="00090B15">
              <w:t xml:space="preserve"> petrol consumption cover days.</w:t>
            </w:r>
          </w:p>
        </w:tc>
      </w:tr>
      <w:tr w:rsidR="005E11A1" w:rsidRPr="00090B15" w14:paraId="39A0FB20" w14:textId="77777777">
        <w:tc>
          <w:tcPr>
            <w:tcW w:w="2143" w:type="dxa"/>
            <w:tcBorders>
              <w:top w:val="nil"/>
              <w:bottom w:val="nil"/>
            </w:tcBorders>
            <w:shd w:val="clear" w:color="auto" w:fill="F2F2F2" w:themeFill="background1" w:themeFillShade="F2"/>
          </w:tcPr>
          <w:p w14:paraId="66174638" w14:textId="77777777" w:rsidR="005E11A1" w:rsidRPr="00C70470" w:rsidRDefault="005E11A1">
            <w:pPr>
              <w:pStyle w:val="TableHeading"/>
              <w:rPr>
                <w:b w:val="0"/>
                <w:bCs/>
                <w:color w:val="auto"/>
              </w:rPr>
            </w:pPr>
            <w:r w:rsidRPr="00C70470">
              <w:rPr>
                <w:b w:val="0"/>
                <w:bCs/>
                <w:color w:val="auto"/>
              </w:rPr>
              <w:t>Immutability</w:t>
            </w:r>
          </w:p>
        </w:tc>
        <w:tc>
          <w:tcPr>
            <w:tcW w:w="4066" w:type="dxa"/>
            <w:tcBorders>
              <w:top w:val="nil"/>
              <w:bottom w:val="nil"/>
            </w:tcBorders>
            <w:shd w:val="clear" w:color="auto" w:fill="F2F2F2" w:themeFill="background1" w:themeFillShade="F2"/>
          </w:tcPr>
          <w:p w14:paraId="25EDD253" w14:textId="77777777" w:rsidR="005E11A1" w:rsidRPr="00090B15" w:rsidRDefault="005E11A1">
            <w:pPr>
              <w:pStyle w:val="TableBody"/>
            </w:pPr>
            <w:r w:rsidRPr="00090B15">
              <w:t xml:space="preserve">Products that are technologically mature or that do not require </w:t>
            </w:r>
            <w:r>
              <w:t>updating</w:t>
            </w:r>
            <w:r w:rsidRPr="00090B15">
              <w:t xml:space="preserve"> </w:t>
            </w:r>
            <w:r w:rsidRPr="00940487">
              <w:t>are</w:t>
            </w:r>
            <w:r w:rsidRPr="00090B15">
              <w:t xml:space="preserve"> unlikely to become redundant.</w:t>
            </w:r>
          </w:p>
        </w:tc>
        <w:tc>
          <w:tcPr>
            <w:tcW w:w="3429" w:type="dxa"/>
            <w:tcBorders>
              <w:top w:val="nil"/>
              <w:bottom w:val="nil"/>
            </w:tcBorders>
            <w:shd w:val="clear" w:color="auto" w:fill="F2F2F2" w:themeFill="background1" w:themeFillShade="F2"/>
          </w:tcPr>
          <w:p w14:paraId="2FAA76EC" w14:textId="77777777" w:rsidR="005E11A1" w:rsidRPr="00090B15" w:rsidRDefault="005E11A1">
            <w:pPr>
              <w:pStyle w:val="TableBody"/>
            </w:pPr>
            <w:r>
              <w:t>Some vaccines are updated infrequently, while others are regularly updated (like influenza vaccines).</w:t>
            </w:r>
            <w:r w:rsidRPr="00090B15">
              <w:t xml:space="preserve"> </w:t>
            </w:r>
          </w:p>
        </w:tc>
      </w:tr>
      <w:tr w:rsidR="005E11A1" w:rsidRPr="00090B15" w14:paraId="1C9C1788" w14:textId="77777777" w:rsidTr="00F9075C">
        <w:tc>
          <w:tcPr>
            <w:tcW w:w="2143" w:type="dxa"/>
            <w:tcBorders>
              <w:bottom w:val="single" w:sz="4" w:space="0" w:color="BFBFBF" w:themeColor="background1" w:themeShade="BF"/>
            </w:tcBorders>
            <w:shd w:val="clear" w:color="auto" w:fill="FFFFFF" w:themeFill="background1"/>
          </w:tcPr>
          <w:p w14:paraId="6FCEC7B9" w14:textId="77777777" w:rsidR="005E11A1" w:rsidRPr="003B0E96" w:rsidRDefault="005E11A1">
            <w:pPr>
              <w:pStyle w:val="TableHeading"/>
              <w:rPr>
                <w:b w:val="0"/>
                <w:bCs/>
              </w:rPr>
            </w:pPr>
            <w:r w:rsidRPr="003B0E96">
              <w:rPr>
                <w:b w:val="0"/>
                <w:bCs/>
                <w:color w:val="auto"/>
              </w:rPr>
              <w:lastRenderedPageBreak/>
              <w:t>Versatility</w:t>
            </w:r>
          </w:p>
        </w:tc>
        <w:tc>
          <w:tcPr>
            <w:tcW w:w="4066" w:type="dxa"/>
            <w:tcBorders>
              <w:bottom w:val="single" w:sz="4" w:space="0" w:color="BFBFBF" w:themeColor="background1" w:themeShade="BF"/>
            </w:tcBorders>
            <w:shd w:val="clear" w:color="auto" w:fill="FFFFFF" w:themeFill="background1"/>
          </w:tcPr>
          <w:p w14:paraId="6AD100E3" w14:textId="77777777" w:rsidR="005E11A1" w:rsidRPr="00090B15" w:rsidRDefault="005E11A1">
            <w:pPr>
              <w:pStyle w:val="TableBody"/>
            </w:pPr>
            <w:r w:rsidRPr="00090B15">
              <w:t xml:space="preserve">Stockpiling a versatile product can lower costs, as the </w:t>
            </w:r>
            <w:r w:rsidRPr="00090B15" w:rsidDel="00541EB7">
              <w:t xml:space="preserve">stockpile </w:t>
            </w:r>
            <w:r>
              <w:t>can alleviate different potential shortages and may be easier to sell before expiry.</w:t>
            </w:r>
            <w:r w:rsidRPr="00090B15">
              <w:t xml:space="preserve"> </w:t>
            </w:r>
          </w:p>
        </w:tc>
        <w:tc>
          <w:tcPr>
            <w:tcW w:w="3429" w:type="dxa"/>
            <w:tcBorders>
              <w:bottom w:val="single" w:sz="4" w:space="0" w:color="BFBFBF" w:themeColor="background1" w:themeShade="BF"/>
            </w:tcBorders>
            <w:shd w:val="clear" w:color="auto" w:fill="FFFFFF" w:themeFill="background1"/>
          </w:tcPr>
          <w:p w14:paraId="6F1BE7E4" w14:textId="77777777" w:rsidR="005E11A1" w:rsidRPr="00090B15" w:rsidRDefault="005E11A1">
            <w:pPr>
              <w:pStyle w:val="TableBody"/>
            </w:pPr>
            <w:r w:rsidRPr="00FD274C">
              <w:t>Crude oil is stockpiled in part due to its flexibility or versatility to be processed into many refined products to address specific market fluctuations.</w:t>
            </w:r>
          </w:p>
        </w:tc>
      </w:tr>
      <w:tr w:rsidR="005E11A1" w:rsidRPr="00940487" w14:paraId="3E20E6D7" w14:textId="77777777" w:rsidTr="00F9075C">
        <w:tc>
          <w:tcPr>
            <w:tcW w:w="9638" w:type="dxa"/>
            <w:gridSpan w:val="3"/>
            <w:tcBorders>
              <w:top w:val="single" w:sz="4" w:space="0" w:color="BFBFBF" w:themeColor="background1" w:themeShade="BF"/>
              <w:bottom w:val="nil"/>
            </w:tcBorders>
            <w:shd w:val="clear" w:color="auto" w:fill="F2F2F2" w:themeFill="background1" w:themeFillShade="F2"/>
          </w:tcPr>
          <w:p w14:paraId="2B3F8011" w14:textId="77777777" w:rsidR="005E11A1" w:rsidRPr="00D812D3" w:rsidRDefault="005E11A1" w:rsidP="00554024">
            <w:pPr>
              <w:pStyle w:val="TableHeading"/>
              <w:spacing w:before="80"/>
              <w:rPr>
                <w:lang w:eastAsia="en-AU"/>
              </w:rPr>
            </w:pPr>
            <w:r>
              <w:rPr>
                <w:lang w:eastAsia="en-AU"/>
              </w:rPr>
              <w:t>Factors that are likely to increase efficacy of stockpiling</w:t>
            </w:r>
          </w:p>
        </w:tc>
      </w:tr>
      <w:tr w:rsidR="005E11A1" w:rsidRPr="00940487" w14:paraId="0124F507" w14:textId="77777777" w:rsidTr="00F9075C">
        <w:tc>
          <w:tcPr>
            <w:tcW w:w="2143" w:type="dxa"/>
            <w:tcBorders>
              <w:top w:val="nil"/>
              <w:bottom w:val="nil"/>
            </w:tcBorders>
            <w:shd w:val="clear" w:color="000000" w:fill="auto"/>
          </w:tcPr>
          <w:p w14:paraId="0F4497B5" w14:textId="77777777" w:rsidR="005E11A1" w:rsidRPr="00C70470" w:rsidRDefault="005E11A1">
            <w:pPr>
              <w:pStyle w:val="TableHeading"/>
              <w:rPr>
                <w:b w:val="0"/>
                <w:bCs/>
                <w:lang w:eastAsia="en-AU"/>
              </w:rPr>
            </w:pPr>
            <w:r w:rsidRPr="00C70470">
              <w:rPr>
                <w:b w:val="0"/>
                <w:bCs/>
                <w:color w:val="auto"/>
                <w:lang w:eastAsia="en-AU"/>
              </w:rPr>
              <w:t>Preventable product diversion</w:t>
            </w:r>
          </w:p>
        </w:tc>
        <w:tc>
          <w:tcPr>
            <w:tcW w:w="4066" w:type="dxa"/>
            <w:tcBorders>
              <w:top w:val="nil"/>
              <w:bottom w:val="nil"/>
            </w:tcBorders>
            <w:shd w:val="clear" w:color="000000" w:fill="auto"/>
          </w:tcPr>
          <w:p w14:paraId="557CA6D0" w14:textId="5BF3F2E8" w:rsidR="005E11A1" w:rsidRPr="00FD274C" w:rsidRDefault="005E11A1">
            <w:pPr>
              <w:pStyle w:val="TableBody"/>
            </w:pPr>
            <w:r w:rsidRPr="00FD274C">
              <w:t>Authorities may need to impose restrictions on how released stocks are used</w:t>
            </w:r>
            <w:r w:rsidR="000062E8">
              <w:t>,</w:t>
            </w:r>
            <w:r w:rsidRPr="00FD274C">
              <w:t xml:space="preserve"> to prevent stockpiles from simply being exported</w:t>
            </w:r>
            <w:r>
              <w:t>.</w:t>
            </w:r>
          </w:p>
        </w:tc>
        <w:tc>
          <w:tcPr>
            <w:tcW w:w="3429" w:type="dxa"/>
            <w:tcBorders>
              <w:top w:val="nil"/>
              <w:bottom w:val="nil"/>
            </w:tcBorders>
            <w:shd w:val="clear" w:color="000000" w:fill="auto"/>
          </w:tcPr>
          <w:p w14:paraId="2A184BE9" w14:textId="77777777" w:rsidR="005E11A1" w:rsidRPr="00FD274C" w:rsidRDefault="005E11A1">
            <w:pPr>
              <w:pStyle w:val="TableBody"/>
            </w:pPr>
            <w:r w:rsidRPr="00FD274C">
              <w:t>Government restricts the use of released medical stockpiles to frontline hospital staff to prevent exports or resale.</w:t>
            </w:r>
          </w:p>
        </w:tc>
      </w:tr>
      <w:tr w:rsidR="005E11A1" w:rsidRPr="00940487" w14:paraId="43E9D1E6" w14:textId="77777777" w:rsidTr="00F9075C">
        <w:tc>
          <w:tcPr>
            <w:tcW w:w="2143" w:type="dxa"/>
            <w:tcBorders>
              <w:top w:val="nil"/>
              <w:bottom w:val="single" w:sz="4" w:space="0" w:color="BFBFBF" w:themeColor="background1" w:themeShade="BF"/>
            </w:tcBorders>
            <w:shd w:val="clear" w:color="auto" w:fill="F2F2F2" w:themeFill="background1" w:themeFillShade="F2"/>
          </w:tcPr>
          <w:p w14:paraId="01D8B6AF" w14:textId="77777777" w:rsidR="005E11A1" w:rsidRPr="003B0E96" w:rsidRDefault="005E11A1">
            <w:pPr>
              <w:pStyle w:val="TableHeading"/>
              <w:rPr>
                <w:b w:val="0"/>
                <w:bCs/>
                <w:lang w:eastAsia="en-AU"/>
              </w:rPr>
            </w:pPr>
            <w:r w:rsidRPr="003B0E96">
              <w:rPr>
                <w:b w:val="0"/>
                <w:bCs/>
                <w:color w:val="auto"/>
                <w:lang w:eastAsia="en-AU"/>
              </w:rPr>
              <w:t>Avoidable market price distortions</w:t>
            </w:r>
          </w:p>
        </w:tc>
        <w:tc>
          <w:tcPr>
            <w:tcW w:w="4066" w:type="dxa"/>
            <w:tcBorders>
              <w:top w:val="nil"/>
              <w:bottom w:val="single" w:sz="4" w:space="0" w:color="BFBFBF" w:themeColor="background1" w:themeShade="BF"/>
            </w:tcBorders>
            <w:shd w:val="clear" w:color="auto" w:fill="F2F2F2" w:themeFill="background1" w:themeFillShade="F2"/>
          </w:tcPr>
          <w:p w14:paraId="71E50055" w14:textId="77777777" w:rsidR="005E11A1" w:rsidRPr="00FD274C" w:rsidRDefault="005E11A1">
            <w:pPr>
              <w:pStyle w:val="TableBody"/>
            </w:pPr>
            <w:r w:rsidRPr="00FD274C">
              <w:t xml:space="preserve">Stockpile purchasing activity should aim to minimise market distortions. </w:t>
            </w:r>
          </w:p>
        </w:tc>
        <w:tc>
          <w:tcPr>
            <w:tcW w:w="3429" w:type="dxa"/>
            <w:tcBorders>
              <w:top w:val="nil"/>
              <w:bottom w:val="single" w:sz="4" w:space="0" w:color="BFBFBF" w:themeColor="background1" w:themeShade="BF"/>
            </w:tcBorders>
            <w:shd w:val="clear" w:color="auto" w:fill="F2F2F2" w:themeFill="background1" w:themeFillShade="F2"/>
          </w:tcPr>
          <w:p w14:paraId="794AC162" w14:textId="77777777" w:rsidR="005E11A1" w:rsidRPr="00FD274C" w:rsidRDefault="005E11A1">
            <w:pPr>
              <w:pStyle w:val="TableBody"/>
            </w:pPr>
            <w:r w:rsidRPr="00FD274C">
              <w:t>Government gradually purchases fuel reserves to avoid local price increases.</w:t>
            </w:r>
          </w:p>
        </w:tc>
      </w:tr>
      <w:tr w:rsidR="005E11A1" w:rsidRPr="00090B15" w14:paraId="6303710D" w14:textId="77777777" w:rsidTr="00B36C83">
        <w:tc>
          <w:tcPr>
            <w:tcW w:w="9638" w:type="dxa"/>
            <w:gridSpan w:val="3"/>
            <w:tcBorders>
              <w:top w:val="single" w:sz="4" w:space="0" w:color="BFBFBF" w:themeColor="background1" w:themeShade="BF"/>
              <w:bottom w:val="nil"/>
            </w:tcBorders>
            <w:shd w:val="clear" w:color="000000" w:fill="auto"/>
          </w:tcPr>
          <w:p w14:paraId="7C2643C9" w14:textId="77777777" w:rsidR="005E11A1" w:rsidRPr="00090B15" w:rsidRDefault="005E11A1" w:rsidP="00554024">
            <w:pPr>
              <w:pStyle w:val="TableHeading"/>
              <w:spacing w:before="80"/>
              <w:ind w:left="0"/>
              <w:rPr>
                <w:color w:val="000000"/>
                <w:lang w:eastAsia="en-AU"/>
              </w:rPr>
            </w:pPr>
            <w:r w:rsidRPr="003F2CC8">
              <w:rPr>
                <w:lang w:eastAsia="en-AU"/>
              </w:rPr>
              <w:t>Additional considerations</w:t>
            </w:r>
          </w:p>
        </w:tc>
      </w:tr>
      <w:tr w:rsidR="005E11A1" w:rsidRPr="00090B15" w14:paraId="5397562D" w14:textId="77777777" w:rsidTr="00B36C83">
        <w:tc>
          <w:tcPr>
            <w:tcW w:w="2143" w:type="dxa"/>
            <w:tcBorders>
              <w:top w:val="nil"/>
              <w:bottom w:val="nil"/>
            </w:tcBorders>
            <w:shd w:val="clear" w:color="auto" w:fill="F2F2F2" w:themeFill="background1" w:themeFillShade="F2"/>
          </w:tcPr>
          <w:p w14:paraId="1614E375" w14:textId="77777777" w:rsidR="005E11A1" w:rsidRPr="00C70470" w:rsidRDefault="005E11A1">
            <w:pPr>
              <w:pStyle w:val="TableHeading"/>
              <w:rPr>
                <w:b w:val="0"/>
                <w:bCs/>
                <w:color w:val="auto"/>
                <w:lang w:eastAsia="en-AU"/>
              </w:rPr>
            </w:pPr>
            <w:r w:rsidRPr="00C70470">
              <w:rPr>
                <w:b w:val="0"/>
                <w:bCs/>
                <w:color w:val="auto"/>
                <w:lang w:eastAsia="en-AU"/>
              </w:rPr>
              <w:t xml:space="preserve">International cooperation opportunities </w:t>
            </w:r>
          </w:p>
        </w:tc>
        <w:tc>
          <w:tcPr>
            <w:tcW w:w="4066" w:type="dxa"/>
            <w:tcBorders>
              <w:top w:val="nil"/>
              <w:bottom w:val="nil"/>
            </w:tcBorders>
            <w:shd w:val="clear" w:color="auto" w:fill="F2F2F2" w:themeFill="background1" w:themeFillShade="F2"/>
          </w:tcPr>
          <w:p w14:paraId="3A66A9EA" w14:textId="77777777" w:rsidR="005E11A1" w:rsidRPr="00090B15" w:rsidRDefault="005E11A1">
            <w:pPr>
              <w:pStyle w:val="TableBody"/>
              <w:rPr>
                <w:lang w:eastAsia="en-AU"/>
              </w:rPr>
            </w:pPr>
            <w:r w:rsidRPr="0016012D">
              <w:rPr>
                <w:lang w:eastAsia="en-AU"/>
              </w:rPr>
              <w:t xml:space="preserve">When incentives align, </w:t>
            </w:r>
            <w:r>
              <w:rPr>
                <w:lang w:eastAsia="en-AU"/>
              </w:rPr>
              <w:t>governments</w:t>
            </w:r>
            <w:r w:rsidRPr="0016012D">
              <w:rPr>
                <w:lang w:eastAsia="en-AU"/>
              </w:rPr>
              <w:t xml:space="preserve"> can </w:t>
            </w:r>
            <w:r>
              <w:rPr>
                <w:lang w:eastAsia="en-AU"/>
              </w:rPr>
              <w:t>coordinate stockpiles</w:t>
            </w:r>
            <w:r w:rsidRPr="0016012D">
              <w:rPr>
                <w:lang w:eastAsia="en-AU"/>
              </w:rPr>
              <w:t xml:space="preserve">, reducing </w:t>
            </w:r>
            <w:r>
              <w:rPr>
                <w:lang w:eastAsia="en-AU"/>
              </w:rPr>
              <w:t>panic buying</w:t>
            </w:r>
            <w:r w:rsidRPr="0016012D">
              <w:rPr>
                <w:lang w:eastAsia="en-AU"/>
              </w:rPr>
              <w:t xml:space="preserve"> </w:t>
            </w:r>
            <w:r>
              <w:rPr>
                <w:lang w:eastAsia="en-AU"/>
              </w:rPr>
              <w:t xml:space="preserve">risks </w:t>
            </w:r>
            <w:r w:rsidRPr="0016012D">
              <w:rPr>
                <w:lang w:eastAsia="en-AU"/>
              </w:rPr>
              <w:t xml:space="preserve">and </w:t>
            </w:r>
            <w:r>
              <w:rPr>
                <w:lang w:eastAsia="en-AU"/>
              </w:rPr>
              <w:t>boosting their</w:t>
            </w:r>
            <w:r w:rsidRPr="0016012D">
              <w:rPr>
                <w:lang w:eastAsia="en-AU"/>
              </w:rPr>
              <w:t xml:space="preserve"> impact on </w:t>
            </w:r>
            <w:r>
              <w:rPr>
                <w:lang w:eastAsia="en-AU"/>
              </w:rPr>
              <w:t xml:space="preserve">global </w:t>
            </w:r>
            <w:r w:rsidRPr="0016012D">
              <w:rPr>
                <w:lang w:eastAsia="en-AU"/>
              </w:rPr>
              <w:t>supply.</w:t>
            </w:r>
          </w:p>
        </w:tc>
        <w:tc>
          <w:tcPr>
            <w:tcW w:w="3429" w:type="dxa"/>
            <w:tcBorders>
              <w:top w:val="nil"/>
              <w:bottom w:val="nil"/>
            </w:tcBorders>
            <w:shd w:val="clear" w:color="auto" w:fill="F2F2F2" w:themeFill="background1" w:themeFillShade="F2"/>
          </w:tcPr>
          <w:p w14:paraId="0F914882" w14:textId="77777777" w:rsidR="005E11A1" w:rsidRPr="00090B15" w:rsidRDefault="005E11A1">
            <w:pPr>
              <w:pStyle w:val="TableBody"/>
              <w:rPr>
                <w:lang w:eastAsia="en-AU"/>
              </w:rPr>
            </w:pPr>
            <w:r>
              <w:rPr>
                <w:lang w:eastAsia="en-AU"/>
              </w:rPr>
              <w:t xml:space="preserve">The </w:t>
            </w:r>
            <w:r w:rsidRPr="00090B15">
              <w:rPr>
                <w:lang w:eastAsia="en-AU"/>
              </w:rPr>
              <w:t>International Energy Agency coordinate</w:t>
            </w:r>
            <w:r>
              <w:rPr>
                <w:lang w:eastAsia="en-AU"/>
              </w:rPr>
              <w:t>s</w:t>
            </w:r>
            <w:r w:rsidRPr="00090B15">
              <w:rPr>
                <w:lang w:eastAsia="en-AU"/>
              </w:rPr>
              <w:t xml:space="preserve"> the release of </w:t>
            </w:r>
            <w:r>
              <w:rPr>
                <w:lang w:eastAsia="en-AU"/>
              </w:rPr>
              <w:t xml:space="preserve">members’ </w:t>
            </w:r>
            <w:r w:rsidRPr="00090B15">
              <w:rPr>
                <w:lang w:eastAsia="en-AU"/>
              </w:rPr>
              <w:t xml:space="preserve">oil stockpiles to </w:t>
            </w:r>
            <w:r>
              <w:rPr>
                <w:lang w:eastAsia="en-AU"/>
              </w:rPr>
              <w:t xml:space="preserve">mitigate </w:t>
            </w:r>
            <w:r w:rsidRPr="00090B15">
              <w:rPr>
                <w:lang w:eastAsia="en-AU"/>
              </w:rPr>
              <w:t>price</w:t>
            </w:r>
            <w:r>
              <w:rPr>
                <w:lang w:eastAsia="en-AU"/>
              </w:rPr>
              <w:t xml:space="preserve"> sudden rise</w:t>
            </w:r>
            <w:r w:rsidRPr="00090B15">
              <w:rPr>
                <w:lang w:eastAsia="en-AU"/>
              </w:rPr>
              <w:t>s.</w:t>
            </w:r>
          </w:p>
        </w:tc>
      </w:tr>
      <w:tr w:rsidR="00CA65D0" w:rsidRPr="00090B15" w14:paraId="794C3BE1" w14:textId="77777777" w:rsidTr="00B36C83">
        <w:tc>
          <w:tcPr>
            <w:tcW w:w="2143" w:type="dxa"/>
            <w:tcBorders>
              <w:top w:val="nil"/>
              <w:bottom w:val="nil"/>
            </w:tcBorders>
            <w:shd w:val="clear" w:color="auto" w:fill="FFFFFF" w:themeFill="background1"/>
          </w:tcPr>
          <w:p w14:paraId="5857AC10" w14:textId="729F4964" w:rsidR="00CA65D0" w:rsidRPr="00C70470" w:rsidRDefault="003C3FF4">
            <w:pPr>
              <w:pStyle w:val="TableHeading"/>
              <w:rPr>
                <w:b w:val="0"/>
                <w:bCs/>
                <w:color w:val="auto"/>
                <w:lang w:eastAsia="en-AU"/>
              </w:rPr>
            </w:pPr>
            <w:r w:rsidRPr="00C70470">
              <w:rPr>
                <w:b w:val="0"/>
                <w:bCs/>
                <w:color w:val="auto"/>
                <w:lang w:eastAsia="en-AU"/>
              </w:rPr>
              <w:t>Call options</w:t>
            </w:r>
            <w:r w:rsidR="000308FD" w:rsidRPr="00C70470">
              <w:rPr>
                <w:b w:val="0"/>
                <w:bCs/>
                <w:color w:val="auto"/>
                <w:lang w:eastAsia="en-AU"/>
              </w:rPr>
              <w:t xml:space="preserve"> or offtake agreements</w:t>
            </w:r>
            <w:r w:rsidR="00537A68">
              <w:rPr>
                <w:b w:val="0"/>
                <w:bCs/>
                <w:color w:val="auto"/>
                <w:lang w:eastAsia="en-AU"/>
              </w:rPr>
              <w:t xml:space="preserve"> (if enforceable)</w:t>
            </w:r>
          </w:p>
        </w:tc>
        <w:tc>
          <w:tcPr>
            <w:tcW w:w="4066" w:type="dxa"/>
            <w:tcBorders>
              <w:top w:val="nil"/>
              <w:bottom w:val="nil"/>
            </w:tcBorders>
            <w:shd w:val="clear" w:color="auto" w:fill="FFFFFF" w:themeFill="background1"/>
          </w:tcPr>
          <w:p w14:paraId="3670D308" w14:textId="4CAADF30" w:rsidR="00CA65D0" w:rsidRDefault="003C3FF4" w:rsidP="003036E0">
            <w:pPr>
              <w:pStyle w:val="TableBody"/>
              <w:ind w:right="57"/>
              <w:rPr>
                <w:lang w:eastAsia="en-AU"/>
              </w:rPr>
            </w:pPr>
            <w:r>
              <w:rPr>
                <w:lang w:eastAsia="en-AU"/>
              </w:rPr>
              <w:t>A contractual right, secured by the s</w:t>
            </w:r>
            <w:r w:rsidR="0047607E">
              <w:rPr>
                <w:lang w:eastAsia="en-AU"/>
              </w:rPr>
              <w:t>tockpile manager</w:t>
            </w:r>
            <w:r>
              <w:rPr>
                <w:lang w:eastAsia="en-AU"/>
              </w:rPr>
              <w:t xml:space="preserve"> to purchase an agreed volume of a good at a set price at a future date.</w:t>
            </w:r>
          </w:p>
        </w:tc>
        <w:tc>
          <w:tcPr>
            <w:tcW w:w="3429" w:type="dxa"/>
            <w:tcBorders>
              <w:top w:val="nil"/>
              <w:bottom w:val="nil"/>
            </w:tcBorders>
            <w:shd w:val="clear" w:color="auto" w:fill="FFFFFF" w:themeFill="background1"/>
          </w:tcPr>
          <w:p w14:paraId="215C9EFE" w14:textId="617682C8" w:rsidR="00CA65D0" w:rsidRDefault="00554DCC">
            <w:pPr>
              <w:pStyle w:val="TableBody"/>
              <w:rPr>
                <w:lang w:eastAsia="en-AU"/>
              </w:rPr>
            </w:pPr>
            <w:r>
              <w:rPr>
                <w:lang w:eastAsia="en-AU"/>
              </w:rPr>
              <w:t>The government secures an option to buy cobalt at a fixed price; it can later exercise this option to acquire the cobalt</w:t>
            </w:r>
            <w:r w:rsidR="00AE5622">
              <w:rPr>
                <w:lang w:eastAsia="en-AU"/>
              </w:rPr>
              <w:t xml:space="preserve"> for the stockpile</w:t>
            </w:r>
            <w:r w:rsidR="00BF01BF">
              <w:rPr>
                <w:lang w:eastAsia="en-AU"/>
              </w:rPr>
              <w:t>.</w:t>
            </w:r>
          </w:p>
        </w:tc>
      </w:tr>
      <w:tr w:rsidR="005E11A1" w:rsidRPr="00090B15" w14:paraId="24E45FD0" w14:textId="77777777" w:rsidTr="00B36C83">
        <w:tc>
          <w:tcPr>
            <w:tcW w:w="2143" w:type="dxa"/>
            <w:tcBorders>
              <w:top w:val="nil"/>
              <w:bottom w:val="single" w:sz="4" w:space="0" w:color="B3B3B3"/>
            </w:tcBorders>
            <w:shd w:val="clear" w:color="auto" w:fill="F2F2F2" w:themeFill="background1" w:themeFillShade="F2"/>
          </w:tcPr>
          <w:p w14:paraId="6FD1E9F7" w14:textId="77777777" w:rsidR="005E11A1" w:rsidRPr="00C70470" w:rsidRDefault="005E11A1">
            <w:pPr>
              <w:pStyle w:val="TableHeading"/>
              <w:rPr>
                <w:b w:val="0"/>
                <w:bCs/>
                <w:color w:val="auto"/>
                <w:lang w:eastAsia="en-AU"/>
              </w:rPr>
            </w:pPr>
            <w:r w:rsidRPr="00C70470">
              <w:rPr>
                <w:b w:val="0"/>
                <w:bCs/>
                <w:color w:val="auto"/>
                <w:lang w:eastAsia="en-AU"/>
              </w:rPr>
              <w:t>Opportunity cost of resources</w:t>
            </w:r>
          </w:p>
        </w:tc>
        <w:tc>
          <w:tcPr>
            <w:tcW w:w="4066" w:type="dxa"/>
            <w:tcBorders>
              <w:top w:val="nil"/>
              <w:bottom w:val="single" w:sz="4" w:space="0" w:color="B3B3B3"/>
            </w:tcBorders>
            <w:shd w:val="clear" w:color="auto" w:fill="F2F2F2" w:themeFill="background1" w:themeFillShade="F2"/>
          </w:tcPr>
          <w:p w14:paraId="63099EF7" w14:textId="77777777" w:rsidR="005E11A1" w:rsidRPr="00090B15" w:rsidRDefault="005E11A1">
            <w:pPr>
              <w:pStyle w:val="TableBody"/>
              <w:rPr>
                <w:lang w:eastAsia="en-AU"/>
              </w:rPr>
            </w:pPr>
            <w:r>
              <w:rPr>
                <w:lang w:eastAsia="en-AU"/>
              </w:rPr>
              <w:t>The value of the best alternative use of the resources.</w:t>
            </w:r>
          </w:p>
        </w:tc>
        <w:tc>
          <w:tcPr>
            <w:tcW w:w="3429" w:type="dxa"/>
            <w:tcBorders>
              <w:top w:val="nil"/>
              <w:bottom w:val="single" w:sz="4" w:space="0" w:color="B3B3B3"/>
            </w:tcBorders>
            <w:shd w:val="clear" w:color="auto" w:fill="F2F2F2" w:themeFill="background1" w:themeFillShade="F2"/>
          </w:tcPr>
          <w:p w14:paraId="03245BDA" w14:textId="77777777" w:rsidR="005E11A1" w:rsidRDefault="005E11A1">
            <w:pPr>
              <w:pStyle w:val="TableBody"/>
              <w:rPr>
                <w:lang w:eastAsia="en-AU"/>
              </w:rPr>
            </w:pPr>
            <w:r>
              <w:rPr>
                <w:lang w:eastAsia="en-AU"/>
              </w:rPr>
              <w:t>Policy makers consider whether money could be better spent elsewhere.</w:t>
            </w:r>
          </w:p>
        </w:tc>
      </w:tr>
    </w:tbl>
    <w:p w14:paraId="683C6915" w14:textId="1C0DD930" w:rsidR="005E11A1" w:rsidRDefault="005E11A1" w:rsidP="005E11A1">
      <w:pPr>
        <w:pStyle w:val="Source"/>
      </w:pPr>
      <w:r w:rsidRPr="00BC1039">
        <w:t>Source</w:t>
      </w:r>
      <w:r>
        <w:t>s</w:t>
      </w:r>
      <w:r w:rsidRPr="00BC1039">
        <w:t>:</w:t>
      </w:r>
      <w:r>
        <w:t xml:space="preserve"> DCCEEW </w:t>
      </w:r>
      <w:r>
        <w:fldChar w:fldCharType="begin"/>
      </w:r>
      <w:r w:rsidR="00561D22">
        <w:instrText xml:space="preserve"> ADDIN ZOTERO_ITEM CSL_CITATION {"citationID":"k8LRx6d0","properties":{"formattedCitation":"(2025a)","plainCitation":"(2025a)","noteIndex":0},"citationItems":[{"id":2747,"uris":["http://zotero.org/groups/5560192/items/R6CWIPHJ"],"itemData":{"id":2747,"type":"webpage","container-title":"energy.gov.au","title":"Australian Petroleum Statistics - Data Extract March 2025","URL":"https://www.energy.gov.au/publications/australian-petroleum-statistics-2024","author":[{"family":"Australian Government Department of Climate Change, Energy, the Environment and Water","given":""}],"translator":[{"family":"DCCEEW","given":""}],"accessed":{"date-parts":[["2024",12,2]]},"issued":{"date-parts":[["2025",6,4]]}},"suppress-author":true}],"schema":"https://github.com/citation-style-language/schema/raw/master/csl-citation.json"} </w:instrText>
      </w:r>
      <w:r>
        <w:fldChar w:fldCharType="separate"/>
      </w:r>
      <w:r w:rsidR="00561D22" w:rsidRPr="00561D22">
        <w:rPr>
          <w:rFonts w:ascii="Arial" w:hAnsi="Arial" w:cs="Arial"/>
        </w:rPr>
        <w:t>(2025a)</w:t>
      </w:r>
      <w:r>
        <w:fldChar w:fldCharType="end"/>
      </w:r>
      <w:r>
        <w:t xml:space="preserve">, IEA </w:t>
      </w:r>
      <w:r>
        <w:fldChar w:fldCharType="begin"/>
      </w:r>
      <w:r w:rsidR="00ED6B7B">
        <w:instrText xml:space="preserve"> ADDIN ZOTERO_ITEM CSL_CITATION {"citationID":"5h2Ys8r7","properties":{"formattedCitation":"(2022)","plainCitation":"(2022)","noteIndex":0},"citationItems":[{"id":2709,"uris":["http://zotero.org/groups/5560192/items/STPW8Q2M"],"itemData":{"id":2709,"type":"webpage","abstract":"IEA Member Countries agree to new emergency oil stock release in response to market turmoil - News from the International Energy Agency","container-title":"IEA","language":"en-GB","title":"IEA Member Countries agree to new emergency oil stock release in response to market turmoil - News","URL":"https://www.iea.org/news/iea-member-countries-agree-to-new-emergency-oil-stock-release-in-response-to-market-turmoil","author":[{"literal":"International Energy Agency"}],"translator":[{"literal":"IEA"}],"accessed":{"date-parts":[["2024",9,2]]},"issued":{"date-parts":[["2022",4,1]]}},"suppress-author":true}],"schema":"https://github.com/citation-style-language/schema/raw/master/csl-citation.json"} </w:instrText>
      </w:r>
      <w:r>
        <w:fldChar w:fldCharType="separate"/>
      </w:r>
      <w:r w:rsidRPr="003137AA">
        <w:rPr>
          <w:rFonts w:ascii="Arial" w:hAnsi="Arial" w:cs="Arial"/>
        </w:rPr>
        <w:t>(2022)</w:t>
      </w:r>
      <w:r>
        <w:fldChar w:fldCharType="end"/>
      </w:r>
      <w:r>
        <w:t xml:space="preserve">, NSW Health </w:t>
      </w:r>
      <w:r>
        <w:fldChar w:fldCharType="begin"/>
      </w:r>
      <w:r w:rsidR="00ED6B7B">
        <w:instrText xml:space="preserve"> ADDIN ZOTERO_ITEM CSL_CITATION {"citationID":"5aNDD7Gj","properties":{"formattedCitation":"(2024)","plainCitation":"(2024)","noteIndex":0},"citationItems":[{"id":2646,"uris":["http://zotero.org/groups/5560192/items/9ER6MZXS"],"itemData":{"id":2646,"type":"webpage","abstract":"​The cold chain is a system of transporting and storing vaccines within the safe temperature range of +2C to +8C.","container-title":"NSW Health","language":"en","title":"Vaccine storage and cold chain management - Immunisation programs","URL":"https://www.health.nsw.gov.au:443/immunisation/Pages/cold-chain-management.aspx","author":[{"family":"NSW Health","given":""}],"accessed":{"date-parts":[["2024",12,2]]},"issued":{"date-parts":[["2024",8,6]]}},"suppress-author":true}],"schema":"https://github.com/citation-style-language/schema/raw/master/csl-citation.json"} </w:instrText>
      </w:r>
      <w:r>
        <w:fldChar w:fldCharType="separate"/>
      </w:r>
      <w:r w:rsidRPr="00B3299C">
        <w:rPr>
          <w:rFonts w:ascii="Arial" w:hAnsi="Arial" w:cs="Arial"/>
        </w:rPr>
        <w:t>(2024)</w:t>
      </w:r>
      <w:r>
        <w:fldChar w:fldCharType="end"/>
      </w:r>
      <w:r>
        <w:t xml:space="preserve">, US CDC </w:t>
      </w:r>
      <w:r>
        <w:fldChar w:fldCharType="begin"/>
      </w:r>
      <w:r w:rsidR="00ED6B7B">
        <w:instrText xml:space="preserve"> ADDIN ZOTERO_ITEM CSL_CITATION {"citationID":"iqDqj6oH","properties":{"formattedCitation":"(CDC\\uc0\\u160{}2022)","plainCitation":"(CDC 2022)","dontUpdate":true,"noteIndex":0},"citationItems":[{"id":2804,"uris":["http://zotero.org/groups/5560192/items/T2352RMD"],"itemData":{"id":2804,"type":"webpage","abstract":"Influenza viruses are constantly changing. They can change in two different ways: antigenic drift and antigenic shift.","container-title":"Centers for Disease Control and Prevention","language":"en-us","title":"How Flu Viruses Can Change: \"Drift\" and \"Shift\"","URL":"https://www.cdc.gov/flu/php/viruses/change.html","author":[{"family":"United States Government Center for Disease Control","given":""}],"translator":[{"family":"US CDC","given":""}],"accessed":{"date-parts":[["2024",12,2]]},"issued":{"date-parts":[["2022",12,12]]}}}],"schema":"https://github.com/citation-style-language/schema/raw/master/csl-citation.json"} </w:instrText>
      </w:r>
      <w:r>
        <w:fldChar w:fldCharType="separate"/>
      </w:r>
      <w:r w:rsidRPr="00051BB4">
        <w:rPr>
          <w:rFonts w:ascii="Arial" w:hAnsi="Arial" w:cs="Arial"/>
        </w:rPr>
        <w:t>(2022)</w:t>
      </w:r>
      <w:r>
        <w:fldChar w:fldCharType="end"/>
      </w:r>
      <w:r w:rsidR="0035777E">
        <w:t xml:space="preserve">, Albanese </w:t>
      </w:r>
      <w:r w:rsidR="00825B02">
        <w:fldChar w:fldCharType="begin"/>
      </w:r>
      <w:r w:rsidR="00ED6B7B">
        <w:instrText xml:space="preserve"> ADDIN ZOTERO_ITEM CSL_CITATION {"citationID":"pCofzzcL","properties":{"formattedCitation":"(2025)","plainCitation":"(2025)","noteIndex":0},"citationItems":[{"id":2770,"uris":["http://zotero.org/groups/5560192/items/KLHNGKBW"],"itemData":{"id":2770,"type":"webpage","abstract":"The Albanese Labor Government will pursue Australia&amp;rsquo;s national interest and boost our economic resilience by establishing a Critical Minerals Strategic Reserve.&amp;nbsp;Critical minerals and rare earths are essential inputs to the modern and future economy &amp;ndash; underpinning the energy transition, high tech manufacturing, AI and the digital economy.&amp;nbsp;Australia is home to some of the largest critical minerals deposits on earth &amp;ndash; just about the whole periodic table of elements. We are uniquely placed to meet the needs of increasing global and domestic demand. The size and sophistication of our mining industry allows us to take maximum advantage of these resources.&amp;nbsp;Australia is a supporter of free and fair trade and will continue to promote our national interests in a changing geostrategic environment. Increasingly uncertain times call for a new approach to make sure Australia maximises the strategic value of critical minerals.&amp;nbsp;We need to do more with the natural resources the world needs, and that Australia can provide.&amp;nbsp;That is why a re-elected Albanese Government will establish a Critical Minerals Strategic Reserve to stand up for Australia&amp;rsquo;s national interest.&amp;nbsp;The Reserve will build on extensive Australian Government investment in critical minerals through two new mechanisms: \n\nNational Offtake Agreements &amp;ndash; through voluntary contractual arrangements the Government will acquire agreed volumes of critical minerals from commercial projects, or establish an option to purchase at a given price, holding security over these assets as part of the Strategic Reserve; and\nSelective stockpiling: the Government will establish Australian stockpiles of certain key critical minerals produced under offtake agreements as required.\n\nThe primary consideration for entering into offtake agreements will be securing priority critical minerals for strategic reasons. The Reserve will be focused on a subset of critical minerals that are most important for Australia&amp;rsquo;s national security and the security of our key partners, including rare earths.&amp;nbsp;As its holdings mature, the Strategic Reserve will generate cash-flow from sales of offtake on global markets and to key partners.&amp;nbsp;The Strategic Reserve will also accumulate stockpiles of priority minerals when warranted by market conditions and strategic considerations, but it is anticipated that these will be modest and time-limited in most cases.&amp;nbsp;Minerals held by the Reserve will be made available to domestic industry and key international partners, with the mechanism and allocations to be determined by Government and subject to consultation.&amp;nbsp;A re-elected Labor Government will make an initial investment of $1.2 billion in the Reserve, including through a $1 billion increase in the existing Critical Minerals Facility. This will take our total investment in the Facility to $5 billion, providing vital support to private sector and international partners with the upfront capital costs of new projects.&amp;nbsp;This will give confidence to our critical minerals sector to invest and create jobs in Australia, while developing secure supply chains with key international partners.A Taskforce will be established to consult and finalise the scope and design of the Strategic Reserve in Government,&amp;nbsp;which is expected to be operational in the second half of 2026.&amp;nbsp;The creation of the Strategic Reserve and the expansion of the Critical Minerals Facility is supported by Labor&amp;rsquo;s $7 billion Critical Minerals Production Tax Incentive.&amp;nbsp;&amp;nbsp;&amp;nbsp;While the Government is building Australia&amp;rsquo;s resources sector and critical minerals industry, Peter Dutton is cutting all assistance to this vital sector to fund his $600 billion nuclear scheme.&amp;nbsp;&amp;nbsp;&amp;nbsp;Peter Dutton will cut Production Tax Incentives and cut the Critical Minerals Facility.&amp;nbsp;A re-elected Albanese Labor Government will build on the strong foundations of our first term to continue to stand up for Australia and act in our national interest.&amp;nbsp;&amp;nbsp;&amp;nbsp;Comments attributable to Prime Minister Anthony Albanese:&amp;nbsp;&amp;nbsp;&amp;nbsp;&amp;ldquo;In a time of global uncertainty, Australia will be stronger and safer by developing our critical national assets to create economic opportunity and resilience.&amp;ldquo;To leverage our natural resources is in our national interest.&amp;nbsp;&amp;ldquo;I will ensure that Australia continues to produce and benefit from the resources that are essential to our national interest.&amp;nbsp;&amp;ldquo;The Strategic Reserve will mean Government has the power to purchase, own and sell critical minerals found here in Australia.&amp;nbsp;&amp;ldquo;It will mean we can deal with trade and market disruptions from a position of strength. Because Australia will be able to call on an internationally-significant quantity of resources in global demand.&amp;nbsp;&amp;ldquo;This will be a national asset and our Government will use it to advance Australia&amp;rsquo;s national interest.&amp;rdquo;&amp;nbsp;Comments attributable to Resources Minister Madeleine King:&amp;nbsp;&amp;nbsp;&amp;ldquo;Critical minerals and rare earths and essential not only to reducing emissions but also for our security and the security of our key partners. &amp;nbsp;&amp;nbsp;&amp;nbsp;&amp;ldquo;While we will continue to supply the world with critical minerals, it&amp;rsquo;s also important that Australia has access to the critical minerals and rare earths we need for a Future Made in Australia.&amp;nbsp;&amp;nbsp;&amp;ldquo;The Strategic Reserve, combined with Production Tax Credits and the expansion of the Critical Minerals Facility, shows the Albanese Government is taking the development of an Australian critical minerals industry seriously.&amp;nbsp;&amp;ldquo;And that means more investment and more jobs for Western Australia.&amp;rdquo;","title":"Albanese Government to establish critical minerals strategic reserve","URL":"https://anthonyalbanese.com.au/media-centre/albanese-government-to-establish-critical-minerals-strategic-reserve","author":[{"family":"Albanese","given":"Anthony"}],"accessed":{"date-parts":[["2025",5,2]]},"issued":{"date-parts":[["2025",4,24]]}},"suppress-author":true}],"schema":"https://github.com/citation-style-language/schema/raw/master/csl-citation.json"} </w:instrText>
      </w:r>
      <w:r w:rsidR="00825B02">
        <w:fldChar w:fldCharType="separate"/>
      </w:r>
      <w:r w:rsidR="00825B02" w:rsidRPr="00825B02">
        <w:rPr>
          <w:rFonts w:ascii="Arial" w:hAnsi="Arial" w:cs="Arial"/>
        </w:rPr>
        <w:t>(2025)</w:t>
      </w:r>
      <w:r w:rsidR="00825B02">
        <w:fldChar w:fldCharType="end"/>
      </w:r>
      <w:r>
        <w:t xml:space="preserve"> and US Department</w:t>
      </w:r>
      <w:r w:rsidR="006E21FF">
        <w:t xml:space="preserve"> </w:t>
      </w:r>
      <w:r>
        <w:t>of Energy </w:t>
      </w:r>
      <w:r>
        <w:fldChar w:fldCharType="begin"/>
      </w:r>
      <w:r w:rsidR="00ED6B7B">
        <w:instrText xml:space="preserve"> ADDIN ZOTERO_ITEM CSL_CITATION {"citationID":"aNcuSlkK","properties":{"formattedCitation":"(2022)","plainCitation":"(2022)","noteIndex":0},"citationItems":[{"id":2788,"uris":["http://zotero.org/groups/5560192/items/MUB622BR"],"itemData":{"id":2788,"type":"webpage","abstract":"Crude Oil Storage by Site (as of December 31, 2023)","container-title":"Energy.gov","language":"en","title":"SPR FAQs","URL":"https://www.energy.gov/ceser/spr-faqs","author":[{"family":"United States Government Department of Energy","given":""}],"translator":[{"literal":"US Department of Energy"}],"accessed":{"date-parts":[["2024",8,23]]},"issued":{"date-parts":[["2022",1,7]]}},"suppress-author":true}],"schema":"https://github.com/citation-style-language/schema/raw/master/csl-citation.json"} </w:instrText>
      </w:r>
      <w:r>
        <w:fldChar w:fldCharType="separate"/>
      </w:r>
      <w:r w:rsidRPr="0097035E">
        <w:rPr>
          <w:rFonts w:ascii="Arial" w:hAnsi="Arial" w:cs="Arial"/>
        </w:rPr>
        <w:t>(2022)</w:t>
      </w:r>
      <w:r>
        <w:fldChar w:fldCharType="end"/>
      </w:r>
      <w:r>
        <w:t>.</w:t>
      </w:r>
    </w:p>
    <w:p w14:paraId="662BE403" w14:textId="478D0B22" w:rsidR="00DF6B35" w:rsidRDefault="00DF6B35" w:rsidP="00DF6B35">
      <w:pPr>
        <w:pStyle w:val="BodyText"/>
      </w:pPr>
      <w:r>
        <w:t xml:space="preserve">It should be noted that </w:t>
      </w:r>
      <w:r w:rsidR="006352F1">
        <w:t>domestic production supported by</w:t>
      </w:r>
      <w:r>
        <w:t xml:space="preserve"> tariffs ha</w:t>
      </w:r>
      <w:r w:rsidR="006352F1">
        <w:t>s</w:t>
      </w:r>
      <w:r>
        <w:t xml:space="preserve"> been excluded </w:t>
      </w:r>
      <w:r w:rsidR="00B4154B">
        <w:t xml:space="preserve">as </w:t>
      </w:r>
      <w:r>
        <w:t xml:space="preserve">a proposed option as they are less flexible and less likely to be World Trade Organisation </w:t>
      </w:r>
      <w:r w:rsidR="00A936B7">
        <w:t xml:space="preserve">(WTO) </w:t>
      </w:r>
      <w:r>
        <w:t>compatible than other methods like subsidies (</w:t>
      </w:r>
      <w:r w:rsidR="0098780D">
        <w:t>b</w:t>
      </w:r>
      <w:r w:rsidR="00CD5534">
        <w:t>ox</w:t>
      </w:r>
      <w:r w:rsidR="0098780D">
        <w:t xml:space="preserve"> A.1</w:t>
      </w:r>
      <w:r>
        <w:t>).</w:t>
      </w:r>
    </w:p>
    <w:p w14:paraId="0F2B7F70" w14:textId="6FD20FB3" w:rsidR="00BB00EC" w:rsidRPr="00F82BD9" w:rsidRDefault="00BB00EC" w:rsidP="00BB00EC">
      <w:pPr>
        <w:pStyle w:val="NoSpacing"/>
      </w:pPr>
    </w:p>
    <w:tbl>
      <w:tblPr>
        <w:tblStyle w:val="Boxtable"/>
        <w:tblW w:w="5000" w:type="pct"/>
        <w:tblLook w:val="04A0" w:firstRow="1" w:lastRow="0" w:firstColumn="1" w:lastColumn="0" w:noHBand="0" w:noVBand="1"/>
      </w:tblPr>
      <w:tblGrid>
        <w:gridCol w:w="9638"/>
      </w:tblGrid>
      <w:tr w:rsidR="00BB00EC" w14:paraId="1B0F8BF6" w14:textId="77777777">
        <w:trPr>
          <w:tblHeader/>
        </w:trPr>
        <w:tc>
          <w:tcPr>
            <w:tcW w:w="9638" w:type="dxa"/>
            <w:shd w:val="clear" w:color="auto" w:fill="EBEBEB"/>
            <w:tcMar>
              <w:top w:w="170" w:type="dxa"/>
              <w:left w:w="170" w:type="dxa"/>
              <w:bottom w:w="113" w:type="dxa"/>
              <w:right w:w="170" w:type="dxa"/>
            </w:tcMar>
            <w:hideMark/>
          </w:tcPr>
          <w:p w14:paraId="12C49833" w14:textId="76772BAA" w:rsidR="00BB00EC" w:rsidRPr="000A5243" w:rsidRDefault="00BB00EC">
            <w:pPr>
              <w:pStyle w:val="BoxHeading1"/>
              <w:rPr>
                <w:spacing w:val="-4"/>
              </w:rPr>
            </w:pPr>
            <w:bookmarkStart w:id="119" w:name="_Ref197678177"/>
            <w:bookmarkStart w:id="120" w:name="_Ref78902111"/>
            <w:r w:rsidRPr="000A5243">
              <w:rPr>
                <w:spacing w:val="-4"/>
              </w:rPr>
              <w:t xml:space="preserve">Box </w:t>
            </w:r>
            <w:bookmarkEnd w:id="119"/>
            <w:r w:rsidR="00AD342D" w:rsidRPr="000A5243">
              <w:rPr>
                <w:spacing w:val="-4"/>
              </w:rPr>
              <w:t>A.1</w:t>
            </w:r>
            <w:r w:rsidRPr="000A5243">
              <w:rPr>
                <w:spacing w:val="-4"/>
              </w:rPr>
              <w:t xml:space="preserve"> – Targeted</w:t>
            </w:r>
            <w:bookmarkEnd w:id="120"/>
            <w:r w:rsidRPr="000A5243">
              <w:rPr>
                <w:spacing w:val="-4"/>
              </w:rPr>
              <w:t xml:space="preserve"> subsidies are preferable to tariffs</w:t>
            </w:r>
            <w:r w:rsidR="006352F1" w:rsidRPr="000A5243">
              <w:rPr>
                <w:spacing w:val="-4"/>
              </w:rPr>
              <w:t xml:space="preserve"> to supp</w:t>
            </w:r>
            <w:r w:rsidR="00166079" w:rsidRPr="000A5243">
              <w:rPr>
                <w:spacing w:val="-4"/>
              </w:rPr>
              <w:t>ort domestic production</w:t>
            </w:r>
          </w:p>
        </w:tc>
      </w:tr>
      <w:tr w:rsidR="00BB00EC" w:rsidRPr="002914C4" w14:paraId="45C9BB42" w14:textId="77777777">
        <w:tc>
          <w:tcPr>
            <w:tcW w:w="9638" w:type="dxa"/>
            <w:shd w:val="clear" w:color="auto" w:fill="EBEBEB"/>
            <w:tcMar>
              <w:top w:w="28" w:type="dxa"/>
              <w:left w:w="170" w:type="dxa"/>
              <w:bottom w:w="170" w:type="dxa"/>
              <w:right w:w="170" w:type="dxa"/>
            </w:tcMar>
            <w:hideMark/>
          </w:tcPr>
          <w:p w14:paraId="3E790F05" w14:textId="77777777" w:rsidR="00BB00EC" w:rsidRDefault="00BB00EC">
            <w:pPr>
              <w:pStyle w:val="BodyText"/>
            </w:pPr>
            <w:r>
              <w:t>Tariffs have key limiting factors impacting their suitability for achieving specific security objectives.</w:t>
            </w:r>
          </w:p>
          <w:p w14:paraId="45420490" w14:textId="210597AA" w:rsidR="00BB00EC" w:rsidRPr="001C1B39" w:rsidRDefault="00BB00EC">
            <w:pPr>
              <w:pStyle w:val="BoxHeading2"/>
              <w:rPr>
                <w:i/>
                <w:iCs/>
              </w:rPr>
            </w:pPr>
            <w:r>
              <w:rPr>
                <w:i/>
                <w:iCs/>
              </w:rPr>
              <w:t>Under certain conditions</w:t>
            </w:r>
            <w:r w:rsidR="00903244">
              <w:rPr>
                <w:i/>
                <w:iCs/>
              </w:rPr>
              <w:t>,</w:t>
            </w:r>
            <w:r>
              <w:rPr>
                <w:i/>
                <w:iCs/>
              </w:rPr>
              <w:t xml:space="preserve"> targeted subsidies</w:t>
            </w:r>
            <w:r w:rsidDel="009B7ED6">
              <w:rPr>
                <w:i/>
                <w:iCs/>
              </w:rPr>
              <w:t xml:space="preserve"> </w:t>
            </w:r>
            <w:r>
              <w:rPr>
                <w:i/>
                <w:iCs/>
              </w:rPr>
              <w:t>can be less distortionary than an equivalent tariff</w:t>
            </w:r>
          </w:p>
          <w:p w14:paraId="10B5E8AC" w14:textId="4840EAC2" w:rsidR="00BB00EC" w:rsidRDefault="00BB00EC">
            <w:pPr>
              <w:pStyle w:val="BodyText"/>
            </w:pPr>
            <w:r>
              <w:t>Tariffs and domestic production subsidies both distort markets and create deadweight loss (DWL) by encouraging domestic production that costs more than importing</w:t>
            </w:r>
            <w:r w:rsidR="00B35385">
              <w:t>.</w:t>
            </w:r>
            <w:r>
              <w:t xml:space="preserve"> </w:t>
            </w:r>
            <w:r w:rsidR="00B35385">
              <w:t>H</w:t>
            </w:r>
            <w:r>
              <w:t>owever</w:t>
            </w:r>
            <w:r w:rsidR="00B35385">
              <w:t>,</w:t>
            </w:r>
            <w:r>
              <w:t xml:space="preserve"> they are not equivalent in their overall DWL impact. DWL represents the value of transactions that do not happen, meaning nobody benefits from them, due to market distortions like taxes. A tariff raises the domestic price for consumers creating DWL from two sources:</w:t>
            </w:r>
          </w:p>
          <w:p w14:paraId="2DABD897" w14:textId="5FA688F4" w:rsidR="00BB00EC" w:rsidRDefault="001A6270">
            <w:pPr>
              <w:pStyle w:val="ListBullet"/>
            </w:pPr>
            <w:r>
              <w:t>i</w:t>
            </w:r>
            <w:r w:rsidR="00BB00EC">
              <w:t xml:space="preserve">nefficient production (as those goods could be imported more cheaply) and </w:t>
            </w:r>
          </w:p>
          <w:p w14:paraId="34A0E4FC" w14:textId="77777777" w:rsidR="00BB00EC" w:rsidRDefault="00BB00EC">
            <w:pPr>
              <w:pStyle w:val="ListBullet"/>
            </w:pPr>
            <w:r>
              <w:t xml:space="preserve">reduced consumption (as consumers buy less due to the higher price). </w:t>
            </w:r>
          </w:p>
          <w:p w14:paraId="1B7D6001" w14:textId="0934321C" w:rsidR="00BB00EC" w:rsidRDefault="00BB00EC">
            <w:pPr>
              <w:pStyle w:val="BodyText"/>
            </w:pPr>
            <w:r>
              <w:t>In contrast</w:t>
            </w:r>
            <w:r w:rsidR="003D7CA5">
              <w:t>,</w:t>
            </w:r>
            <w:r>
              <w:t xml:space="preserve"> a production subsidy (in a small open economy) primarily creates DWL from inefficient production</w:t>
            </w:r>
            <w:r w:rsidR="00594D44">
              <w:t>.</w:t>
            </w:r>
            <w:r>
              <w:t xml:space="preserve"> </w:t>
            </w:r>
            <w:r w:rsidR="00594D44">
              <w:t>I</w:t>
            </w:r>
            <w:r>
              <w:t>t does not directly raise consumer prices</w:t>
            </w:r>
            <w:r w:rsidR="003A5EEC">
              <w:t>,</w:t>
            </w:r>
            <w:r>
              <w:t xml:space="preserve"> which are determined by the world price, thus avoiding the additional welfare loss associated with distorted consumption decisions </w:t>
            </w:r>
            <w:r>
              <w:fldChar w:fldCharType="begin"/>
            </w:r>
            <w:r w:rsidR="00ED6B7B">
              <w:instrText xml:space="preserve"> ADDIN ZOTERO_ITEM CSL_CITATION {"citationID":"Br78j2bI","properties":{"formattedCitation":"(Jordan\\uc0\\u160{}2024, pp.\\uc0\\u160{}159\\uc0\\u8211{}162; Krugman et al.\\uc0\\u160{}2022, p.\\uc0\\u160{}228)","plainCitation":"(Jordan 2024, pp. 159–162; Krugman et al. 2022, p. 228)","noteIndex":0},"citationItems":[{"id":3200,"uris":["http://zotero.org/groups/5749450/items/HRH3SDDF"],"itemData":{"id":3200,"type":"chapter","container-title":"International Trade Finance (Part 1)","note":"section: 6.3: Countertrade","page":"159-162","publisher":"eCampusOntario","title":"6.3 Comparing an Import Tariff with a Production Subsidy","URL":"https://ecampusontario.pressbooks.pub/internationaltradefinancepart1/chapter/ch06-3/","author":[{"family":"Jordan","given":"Kendrick"}],"issued":{"date-parts":[["2024"]]}},"locator":"159-162","label":"page"},{"id":3106,"uris":["http://zotero.org/groups/5749450/items/6T4RB7C8"],"itemData":{"id":3106,"type":"book","edition":"12th","ISBN":"978-0-273-75409-6","publisher":"Pearson Education","title":"International Economics: Theory and Policy","author":[{"family":"Krugman","given":"Paul R."},{"family":"Obstfeld","given":"Maurice"},{"family":"Melitz","given":"Marc J."}],"issued":{"date-parts":[["2022"]]}},"locator":"228","label":"page"}],"schema":"https://github.com/citation-style-language/schema/raw/master/csl-citation.json"} </w:instrText>
            </w:r>
            <w:r>
              <w:fldChar w:fldCharType="separate"/>
            </w:r>
            <w:r w:rsidRPr="005773FB">
              <w:rPr>
                <w:rFonts w:ascii="Arial" w:hAnsi="Arial" w:cs="Arial"/>
              </w:rPr>
              <w:t xml:space="preserve">(Jordan 2024, </w:t>
            </w:r>
            <w:r w:rsidRPr="005773FB">
              <w:rPr>
                <w:rFonts w:ascii="Arial" w:hAnsi="Arial" w:cs="Arial"/>
              </w:rPr>
              <w:lastRenderedPageBreak/>
              <w:t>pp. 159–162; Krugman et al. 2022, p. 228)</w:t>
            </w:r>
            <w:r>
              <w:fldChar w:fldCharType="end"/>
            </w:r>
            <w:r>
              <w:t xml:space="preserve">. This can be especially true for small countries that are unable to raise their terms of trade through tariffs, reducing any potential welfare gains from tariffs </w:t>
            </w:r>
            <w:r>
              <w:fldChar w:fldCharType="begin"/>
            </w:r>
            <w:r w:rsidR="00ED6B7B">
              <w:instrText xml:space="preserve"> ADDIN ZOTERO_ITEM CSL_CITATION {"citationID":"Dlr2nS5f","properties":{"formattedCitation":"(Krugman et al.\\uc0\\u160{}2022, p.\\uc0\\u160{}202)","plainCitation":"(Krugman et al. 2022, p. 202)","noteIndex":0},"citationItems":[{"id":3106,"uris":["http://zotero.org/groups/5749450/items/6T4RB7C8"],"itemData":{"id":3106,"type":"book","edition":"12th","ISBN":"978-0-273-75409-6","publisher":"Pearson Education","title":"International Economics: Theory and Policy","author":[{"family":"Krugman","given":"Paul R."},{"family":"Obstfeld","given":"Maurice"},{"family":"Melitz","given":"Marc J."}],"issued":{"date-parts":[["2022"]]}},"locator":"202","label":"page"}],"schema":"https://github.com/citation-style-language/schema/raw/master/csl-citation.json"} </w:instrText>
            </w:r>
            <w:r>
              <w:fldChar w:fldCharType="separate"/>
            </w:r>
            <w:r w:rsidRPr="004552AA">
              <w:rPr>
                <w:rFonts w:ascii="Arial" w:hAnsi="Arial" w:cs="Arial"/>
              </w:rPr>
              <w:t>(Krugman et al. 2022, p. 202)</w:t>
            </w:r>
            <w:r>
              <w:fldChar w:fldCharType="end"/>
            </w:r>
            <w:r>
              <w:t xml:space="preserve">. </w:t>
            </w:r>
          </w:p>
          <w:p w14:paraId="33D8D2A4" w14:textId="77777777" w:rsidR="00BB00EC" w:rsidRDefault="00BB00EC">
            <w:pPr>
              <w:pStyle w:val="BodyText"/>
            </w:pPr>
            <w:r>
              <w:t xml:space="preserve">Production subsidies may result in additional DWL arising from the government needing to raise additional taxes or cut spending to pay for the subsidies. These introduce their own distortions which could result in a subsidy causing a greater DWL than an equivalent tariff. </w:t>
            </w:r>
          </w:p>
          <w:p w14:paraId="2015B3F9" w14:textId="77777777" w:rsidR="00BB00EC" w:rsidRDefault="00BB00EC">
            <w:pPr>
              <w:pStyle w:val="BoxHeading3"/>
            </w:pPr>
            <w:r>
              <w:t>Tariffs themselves create supply chain disruptions</w:t>
            </w:r>
          </w:p>
          <w:p w14:paraId="7BA61B7D" w14:textId="33C5B39B" w:rsidR="00BB00EC" w:rsidRPr="00436139" w:rsidRDefault="00BB00EC">
            <w:pPr>
              <w:pStyle w:val="BodyText"/>
            </w:pPr>
            <w:r>
              <w:t>Tariffs have</w:t>
            </w:r>
            <w:r w:rsidRPr="00436139">
              <w:t xml:space="preserve"> the potential to create negative spillovers </w:t>
            </w:r>
            <w:r>
              <w:t xml:space="preserve">that </w:t>
            </w:r>
            <w:r w:rsidRPr="00436139">
              <w:t xml:space="preserve">complicates their use </w:t>
            </w:r>
            <w:r>
              <w:t>to achieve targeted goals</w:t>
            </w:r>
            <w:r w:rsidRPr="00436139">
              <w:t xml:space="preserve">. </w:t>
            </w:r>
            <w:r>
              <w:t xml:space="preserve">Tariffs on upstream products can hurt downstream users of those products that use imports. For instance, Amiti et al </w:t>
            </w:r>
            <w:r>
              <w:fldChar w:fldCharType="begin"/>
            </w:r>
            <w:r w:rsidR="00ED6B7B">
              <w:instrText xml:space="preserve"> ADDIN ZOTERO_ITEM CSL_CITATION {"citationID":"lTG279Vy","properties":{"formattedCitation":"(2019, p.\\uc0\\u160{}37)","plainCitation":"(2019, p. 37)","noteIndex":0},"citationItems":[{"id":3107,"uris":["http://zotero.org/groups/5749450/items/DVYAZM8N"],"itemData":{"id":3107,"type":"report","abstract":"This paper explores the impacts of the Trump administration’s trade policy on prices and welfare. Over the course of 2018, the U.S. experienced substantial increases in the prices of intermediates and final goods, dramatic changes to its supply-chain network, reductions in availability of imported varieties, and complete passthrough of the tariffs into domestic prices of imported goods. Overall, using standard economic methods, we find that the full incidence of the tariff falls on domestic consumers, with a reduction in U.S. real income of $1.4 billion per month by the end of 2018. We also see similar patterns for foreign countries who have retaliated against the U.S., which indicates that the trade war also reduced real income for other countries.","event-place":"Cambridge, MA","language":"en","note":"DOI: 10.3386/w25672","number":"w25672","page":"w25672","publisher":"National Bureau of Economic Research","publisher-place":"Cambridge, MA","source":"DOI.org (Crossref)","title":"The Impact of the 2018 Trade War on U.S. Prices and Welfare","URL":"http://www.nber.org/papers/w25672.pdf","author":[{"family":"Amiti","given":"Mary"},{"family":"Redding","given":"Stephen"},{"family":"Weinstein","given":"David"}],"accessed":{"date-parts":[["2025",4,24]]},"issued":{"date-parts":[["2019",3]]}},"locator":"37","label":"page","suppress-author":true}],"schema":"https://github.com/citation-style-language/schema/raw/master/csl-citation.json"} </w:instrText>
            </w:r>
            <w:r>
              <w:fldChar w:fldCharType="separate"/>
            </w:r>
            <w:r w:rsidRPr="00102CB8">
              <w:rPr>
                <w:rFonts w:ascii="Arial" w:hAnsi="Arial" w:cs="Arial"/>
              </w:rPr>
              <w:t>(2019, p. 37)</w:t>
            </w:r>
            <w:r>
              <w:fldChar w:fldCharType="end"/>
            </w:r>
            <w:r w:rsidRPr="00436139">
              <w:t xml:space="preserve"> analysing the 2018</w:t>
            </w:r>
            <w:r>
              <w:t xml:space="preserve"> </w:t>
            </w:r>
            <w:r w:rsidRPr="00436139">
              <w:t xml:space="preserve">US tariffs found </w:t>
            </w:r>
            <w:r>
              <w:t>that the primary channel through which these tariffs increased US producer prices was by raising costs for domestic manufacturers reliant on global supply chains of upstream products</w:t>
            </w:r>
            <w:r w:rsidRPr="00436139">
              <w:t xml:space="preserve">. </w:t>
            </w:r>
          </w:p>
          <w:p w14:paraId="2E7987EB" w14:textId="33984E31" w:rsidR="00BB00EC" w:rsidRDefault="00BB00EC">
            <w:pPr>
              <w:pStyle w:val="BoxHeading3"/>
            </w:pPr>
            <w:r>
              <w:t>High tariffs may be incompatible with World Trade Organisation rules and norms</w:t>
            </w:r>
          </w:p>
          <w:p w14:paraId="075FFF71" w14:textId="3D63ACF3" w:rsidR="00BB00EC" w:rsidRPr="00436139" w:rsidRDefault="00BB00EC">
            <w:pPr>
              <w:pStyle w:val="BodyText"/>
            </w:pPr>
            <w:r w:rsidRPr="00436139">
              <w:t xml:space="preserve">International trade rules also present different challenges: while tariffs exceeding agreed </w:t>
            </w:r>
            <w:r w:rsidR="00A936B7">
              <w:t>WTO-</w:t>
            </w:r>
            <w:r w:rsidRPr="00436139">
              <w:t>bound rates typically face clear non</w:t>
            </w:r>
            <w:r w:rsidR="00D25956">
              <w:noBreakHyphen/>
            </w:r>
            <w:r w:rsidRPr="00436139">
              <w:t xml:space="preserve">compliance issues, the </w:t>
            </w:r>
            <w:r w:rsidR="0094079F">
              <w:t>WTO</w:t>
            </w:r>
            <w:r w:rsidRPr="00436139">
              <w:t xml:space="preserve"> compliance of domestic subsidies often depends more on their specific design and demonstrable effects on trade partners, with certain types being prohibited but others potentially permissible if not causing adverse effects. </w:t>
            </w:r>
          </w:p>
          <w:p w14:paraId="08D746F4" w14:textId="2D84698B" w:rsidR="00BB00EC" w:rsidRPr="002914C4" w:rsidRDefault="00BB00EC">
            <w:pPr>
              <w:pStyle w:val="Source"/>
              <w:rPr>
                <w:lang w:val="fr-CA"/>
              </w:rPr>
            </w:pPr>
            <w:r w:rsidRPr="002914C4">
              <w:rPr>
                <w:lang w:val="fr-CA"/>
              </w:rPr>
              <w:t xml:space="preserve">Source: Krugman et al </w:t>
            </w:r>
            <w:r>
              <w:fldChar w:fldCharType="begin"/>
            </w:r>
            <w:r w:rsidR="00ED6B7B" w:rsidRPr="002914C4">
              <w:rPr>
                <w:lang w:val="fr-CA"/>
              </w:rPr>
              <w:instrText xml:space="preserve"> ADDIN ZOTERO_ITEM CSL_CITATION {"citationID":"tj7BFuIY","properties":{"formattedCitation":"(2022)","plainCitation":"(2022)","noteIndex":0},"citationItems":[{"id":3106,"uris":["http://zotero.org/groups/5749450/items/6T4RB7C8"],"itemData":{"id":3106,"type":"book","edition":"12th","ISBN":"978-0-273-75409-6","publisher":"Pearson Education","title":"International Economics: Theory and Policy","author":[{"family":"Krugman","given":"Paul R."},{"family":"Obstfeld","given":"Maurice"},{"family":"Melitz","given":"Marc J."}],"issued":{"date-parts":[["2022"]]}},"suppress-author":true}],"schema":"https://github.com/citation-style-language/schema/raw/master/csl-citation.json"} </w:instrText>
            </w:r>
            <w:r>
              <w:fldChar w:fldCharType="separate"/>
            </w:r>
            <w:r w:rsidRPr="002914C4">
              <w:rPr>
                <w:rFonts w:ascii="Arial" w:hAnsi="Arial" w:cs="Arial"/>
                <w:lang w:val="fr-CA"/>
              </w:rPr>
              <w:t>(2022)</w:t>
            </w:r>
            <w:r>
              <w:fldChar w:fldCharType="end"/>
            </w:r>
            <w:r w:rsidRPr="002914C4">
              <w:rPr>
                <w:lang w:val="fr-CA"/>
              </w:rPr>
              <w:t xml:space="preserve">; Jordan (2024) and </w:t>
            </w:r>
            <w:proofErr w:type="spellStart"/>
            <w:r w:rsidRPr="002914C4">
              <w:rPr>
                <w:lang w:val="fr-CA"/>
              </w:rPr>
              <w:t>Amiti</w:t>
            </w:r>
            <w:proofErr w:type="spellEnd"/>
            <w:r w:rsidRPr="002914C4">
              <w:rPr>
                <w:lang w:val="fr-CA"/>
              </w:rPr>
              <w:t xml:space="preserve"> et al </w:t>
            </w:r>
            <w:r>
              <w:fldChar w:fldCharType="begin"/>
            </w:r>
            <w:r w:rsidR="00ED6B7B" w:rsidRPr="002914C4">
              <w:rPr>
                <w:lang w:val="fr-CA"/>
              </w:rPr>
              <w:instrText xml:space="preserve"> ADDIN ZOTERO_ITEM CSL_CITATION {"citationID":"7TlJZ0oP","properties":{"formattedCitation":"(2019, p.\\uc0\\u160{}37)","plainCitation":"(2019, p. 37)","noteIndex":0},"citationItems":[{"id":3107,"uris":["http://zotero.org/groups/5749450/items/DVYAZM8N"],"itemData":{"id":3107,"type":"report","abstract":"This paper explores the impacts of the Trump administration’s trade policy on prices and welfare. Over the course of 2018, the U.S. experienced substantial increases in the prices of intermediates and final goods, dramatic changes to its supply-chain network, reductions in availability of imported varieties, and complete passthrough of the tariffs into domestic prices of imported goods. Overall, using standard economic methods, we find that the full incidence of the tariff falls on domestic consumers, with a reduction in U.S. real income of $1.4 billion per month by the end of 2018. We also see similar patterns for foreign countries who have retaliated against the U.S., which indicates that the trade war also reduced real income for other countries.","event-place":"Cambridge, MA","language":"en","note":"DOI: 10.3386/w25672","number":"w25672","page":"w25672","publisher":"National Bureau of Economic Research","publisher-place":"Cambridge, MA","source":"DOI.org (Crossref)","title":"The Impact of the 2018 Trade War on U.S. Prices and Welfare","URL":"http://www.nber.org/papers/w25672.pdf","author":[{"family":"Amiti","given":"Mary"},{"family":"Redding","given":"Stephen"},{"family":"Weinstein","given":"David"}],"accessed":{"date-parts":[["2025",4,24]]},"issued":{"date-parts":[["2019",3]]}},"locator":"37","label":"page","suppress-author":true}],"schema":"https://github.com/citation-style-language/schema/raw/master/csl-citation.json"} </w:instrText>
            </w:r>
            <w:r>
              <w:fldChar w:fldCharType="separate"/>
            </w:r>
            <w:r w:rsidRPr="002914C4">
              <w:rPr>
                <w:lang w:val="fr-CA"/>
              </w:rPr>
              <w:t>(2019, p. 37)</w:t>
            </w:r>
            <w:r>
              <w:fldChar w:fldCharType="end"/>
            </w:r>
            <w:r w:rsidRPr="002914C4">
              <w:rPr>
                <w:lang w:val="fr-CA"/>
              </w:rPr>
              <w:t>.</w:t>
            </w:r>
          </w:p>
        </w:tc>
      </w:tr>
      <w:tr w:rsidR="00BB00EC" w:rsidRPr="002914C4" w14:paraId="11A20318" w14:textId="77777777">
        <w:trPr>
          <w:trHeight w:val="60"/>
          <w:hidden/>
        </w:trPr>
        <w:tc>
          <w:tcPr>
            <w:tcW w:w="9638" w:type="dxa"/>
            <w:shd w:val="clear" w:color="auto" w:fill="auto"/>
            <w:tcMar>
              <w:top w:w="0" w:type="dxa"/>
              <w:left w:w="170" w:type="dxa"/>
              <w:bottom w:w="0" w:type="dxa"/>
              <w:right w:w="170" w:type="dxa"/>
            </w:tcMar>
          </w:tcPr>
          <w:p w14:paraId="6721AACA" w14:textId="0AF47063" w:rsidR="00BB00EC" w:rsidRPr="002914C4" w:rsidRDefault="00BB00EC">
            <w:pPr>
              <w:pStyle w:val="BodyText"/>
              <w:spacing w:before="0" w:after="0" w:line="80" w:lineRule="atLeast"/>
              <w:rPr>
                <w:smallCaps/>
                <w:vanish/>
                <w:lang w:val="fr-CA"/>
              </w:rPr>
            </w:pPr>
          </w:p>
        </w:tc>
      </w:tr>
    </w:tbl>
    <w:p w14:paraId="6E7BA6DB" w14:textId="77777777" w:rsidR="00B52155" w:rsidRPr="002914C4" w:rsidRDefault="00B52155">
      <w:pPr>
        <w:spacing w:before="0" w:after="160" w:line="259" w:lineRule="auto"/>
        <w:rPr>
          <w:lang w:val="fr-CA"/>
        </w:rPr>
      </w:pPr>
      <w:r w:rsidRPr="002914C4">
        <w:rPr>
          <w:lang w:val="fr-CA"/>
        </w:rPr>
        <w:br w:type="page"/>
      </w:r>
    </w:p>
    <w:p w14:paraId="47892423" w14:textId="25606674" w:rsidR="001E0917" w:rsidRDefault="001E0917" w:rsidP="006526F8">
      <w:pPr>
        <w:pStyle w:val="Heading-Appendix"/>
      </w:pPr>
      <w:bookmarkStart w:id="121" w:name="_Toc195696854"/>
      <w:bookmarkStart w:id="122" w:name="_Toc195696943"/>
      <w:bookmarkStart w:id="123" w:name="_Toc195696975"/>
      <w:bookmarkStart w:id="124" w:name="_Toc195697041"/>
      <w:bookmarkStart w:id="125" w:name="_Toc195697262"/>
      <w:bookmarkStart w:id="126" w:name="_Toc198818505"/>
      <w:bookmarkStart w:id="127" w:name="_Toc195696944"/>
      <w:bookmarkStart w:id="128" w:name="_Toc210942160"/>
      <w:bookmarkEnd w:id="121"/>
      <w:bookmarkEnd w:id="122"/>
      <w:bookmarkEnd w:id="123"/>
      <w:bookmarkEnd w:id="124"/>
      <w:bookmarkEnd w:id="125"/>
      <w:bookmarkEnd w:id="126"/>
      <w:r w:rsidRPr="00637D2F">
        <w:lastRenderedPageBreak/>
        <w:t xml:space="preserve">Identifying vulnerable, essential </w:t>
      </w:r>
      <w:r>
        <w:t xml:space="preserve">and </w:t>
      </w:r>
      <w:r w:rsidRPr="00637D2F">
        <w:t xml:space="preserve">critical </w:t>
      </w:r>
      <w:r>
        <w:t>goods and services</w:t>
      </w:r>
      <w:bookmarkEnd w:id="127"/>
      <w:bookmarkEnd w:id="128"/>
    </w:p>
    <w:p w14:paraId="20CA4B45" w14:textId="6BA1A962" w:rsidR="001E0917" w:rsidRDefault="001E0917" w:rsidP="001E0917">
      <w:pPr>
        <w:pStyle w:val="BodyText"/>
      </w:pPr>
      <w:r>
        <w:t xml:space="preserve">The </w:t>
      </w:r>
      <w:r w:rsidR="00A03374">
        <w:t>PC’s</w:t>
      </w:r>
      <w:r>
        <w:t xml:space="preserve"> framework for assessing supply chain risk in its 2021 </w:t>
      </w:r>
      <w:r w:rsidRPr="00132373">
        <w:rPr>
          <w:i/>
        </w:rPr>
        <w:t xml:space="preserve">Vulnerable </w:t>
      </w:r>
      <w:r w:rsidR="00BF5863">
        <w:rPr>
          <w:i/>
        </w:rPr>
        <w:t>s</w:t>
      </w:r>
      <w:r w:rsidRPr="00132373">
        <w:rPr>
          <w:i/>
        </w:rPr>
        <w:t xml:space="preserve">upply </w:t>
      </w:r>
      <w:r w:rsidR="00BF5863">
        <w:rPr>
          <w:i/>
        </w:rPr>
        <w:t>c</w:t>
      </w:r>
      <w:r w:rsidRPr="00132373">
        <w:rPr>
          <w:i/>
        </w:rPr>
        <w:t>hains</w:t>
      </w:r>
      <w:r>
        <w:t xml:space="preserve"> report defined vulnerable, essential and critical supply chains as follows. The report proposed a ‘data</w:t>
      </w:r>
      <w:r w:rsidR="00410C80">
        <w:noBreakHyphen/>
      </w:r>
      <w:r>
        <w:t>with</w:t>
      </w:r>
      <w:r w:rsidR="00410C80">
        <w:noBreakHyphen/>
      </w:r>
      <w:r>
        <w:t>experts’ approach to managing supply chain risks</w:t>
      </w:r>
      <w:r w:rsidR="00E65342">
        <w:t xml:space="preserve"> </w:t>
      </w:r>
      <w:r w:rsidR="00D11F35">
        <w:fldChar w:fldCharType="begin"/>
      </w:r>
      <w:r w:rsidR="00ED6B7B">
        <w:instrText xml:space="preserve"> ADDIN ZOTERO_ITEM CSL_CITATION {"citationID":"hwUQ78O7","properties":{"formattedCitation":"(PC\\uc0\\u160{}2021)","plainCitation":"(PC 2021)","noteIndex":0},"citationItems":[{"id":946,"uris":["http://zotero.org/groups/164861/items/FIEXKB8K"],"itemData":{"id":946,"type":"report","genre":"Study Report","title":"Vulnerable Supply Chains","author":[{"family":"Productivity Commission","given":""}],"translator":[{"family":"PC","given":""}],"issued":{"date-parts":[["2021"]]}}}],"schema":"https://github.com/citation-style-language/schema/raw/master/csl-citation.json"} </w:instrText>
      </w:r>
      <w:r w:rsidR="00D11F35">
        <w:fldChar w:fldCharType="separate"/>
      </w:r>
      <w:r w:rsidR="002D4701" w:rsidRPr="002D4701">
        <w:rPr>
          <w:rFonts w:ascii="Arial" w:hAnsi="Arial" w:cs="Arial"/>
        </w:rPr>
        <w:t>(PC 2021)</w:t>
      </w:r>
      <w:r w:rsidR="00D11F35">
        <w:fldChar w:fldCharType="end"/>
      </w:r>
      <w:r>
        <w:t xml:space="preserve">. </w:t>
      </w:r>
    </w:p>
    <w:p w14:paraId="0BB64DF7" w14:textId="77777777" w:rsidR="001E0917" w:rsidRDefault="001E0917" w:rsidP="001E0917">
      <w:pPr>
        <w:pStyle w:val="BodyText"/>
      </w:pPr>
      <w:r>
        <w:t>A vulnerable supply chain was defined as having characteristics that make it susceptible to disruption, primarily due to the lack of flexibility and geographic clustering of the supply chain.</w:t>
      </w:r>
    </w:p>
    <w:p w14:paraId="6BD9C389" w14:textId="5FD0C4CF" w:rsidR="001E0917" w:rsidRPr="003308FA" w:rsidRDefault="001E0917" w:rsidP="001E0917">
      <w:pPr>
        <w:pStyle w:val="BodyText"/>
      </w:pPr>
      <w:r w:rsidRPr="003308FA">
        <w:t>In practice, this was identified through sequentially applying three filters to Australian imports</w:t>
      </w:r>
      <w:r w:rsidR="00807C44">
        <w:t>.</w:t>
      </w:r>
    </w:p>
    <w:p w14:paraId="1C2F5190" w14:textId="2F7E6B97" w:rsidR="001E0917" w:rsidRPr="003308FA" w:rsidRDefault="00807C44" w:rsidP="001E0917">
      <w:pPr>
        <w:pStyle w:val="ListBullet"/>
      </w:pPr>
      <w:r>
        <w:t>T</w:t>
      </w:r>
      <w:r w:rsidR="001E0917" w:rsidRPr="003308FA">
        <w:t>he main supplier (country) account</w:t>
      </w:r>
      <w:r w:rsidR="00D55AEC">
        <w:t>s</w:t>
      </w:r>
      <w:r w:rsidR="001E0917" w:rsidRPr="003308FA">
        <w:t xml:space="preserve"> for more than 80% of Australian imports</w:t>
      </w:r>
      <w:r>
        <w:t>.</w:t>
      </w:r>
    </w:p>
    <w:p w14:paraId="5E58BF47" w14:textId="1FF23AD4" w:rsidR="001E0917" w:rsidRPr="003308FA" w:rsidRDefault="00807C44" w:rsidP="001E0917">
      <w:pPr>
        <w:pStyle w:val="ListBullet"/>
      </w:pPr>
      <w:r>
        <w:t>P</w:t>
      </w:r>
      <w:r w:rsidR="001E0917" w:rsidRPr="003308FA">
        <w:t>roducts are sourced from a concentrated global market (</w:t>
      </w:r>
      <w:r w:rsidR="001E0917">
        <w:t>based on commonly used measures of market concentration</w:t>
      </w:r>
      <w:r w:rsidR="001E0917" w:rsidRPr="003308FA">
        <w:t>, or</w:t>
      </w:r>
      <w:r w:rsidR="001E0917">
        <w:t xml:space="preserve"> if</w:t>
      </w:r>
      <w:r w:rsidR="001E0917" w:rsidRPr="003308FA">
        <w:t xml:space="preserve"> the main supplier account</w:t>
      </w:r>
      <w:r w:rsidR="00D55AEC">
        <w:t>s</w:t>
      </w:r>
      <w:r w:rsidR="001E0917" w:rsidRPr="003308FA">
        <w:t xml:space="preserve"> for over 50% of global exports)</w:t>
      </w:r>
      <w:r>
        <w:t>.</w:t>
      </w:r>
    </w:p>
    <w:p w14:paraId="0DAEE8F4" w14:textId="77777777" w:rsidR="001E0917" w:rsidRDefault="001E0917" w:rsidP="001E0917">
      <w:pPr>
        <w:pStyle w:val="ListBullet"/>
      </w:pPr>
      <w:r w:rsidRPr="003308FA">
        <w:t>Australia sources its supply from the main global supplier.</w:t>
      </w:r>
      <w:r>
        <w:t xml:space="preserve"> </w:t>
      </w:r>
    </w:p>
    <w:p w14:paraId="0A2B8A2C" w14:textId="50864D50" w:rsidR="001E0917" w:rsidRDefault="001E0917" w:rsidP="001E0917">
      <w:pPr>
        <w:pStyle w:val="BodyText"/>
      </w:pPr>
      <w:r>
        <w:t>Essential industries were defined as those producing goods and services that meet the ‘basic needs’ of Australians. The following industries were considered essential based on the ‘basic needs’ test: banking, health, water services, communications, energy, logistics</w:t>
      </w:r>
      <w:r w:rsidR="007A3398">
        <w:t xml:space="preserve"> and</w:t>
      </w:r>
      <w:r>
        <w:t xml:space="preserve"> government. The PC</w:t>
      </w:r>
      <w:r w:rsidRPr="009E715F">
        <w:t xml:space="preserve"> </w:t>
      </w:r>
      <w:r>
        <w:t xml:space="preserve">noted that a </w:t>
      </w:r>
      <w:r w:rsidRPr="009E715F">
        <w:t>broader view might focus on goods and services that are essential to the functioning of the economy, especially if they affect the incomes of many Australians, nationally or regionally (e.</w:t>
      </w:r>
      <w:r w:rsidR="007A3398">
        <w:t>g.</w:t>
      </w:r>
      <w:r w:rsidRPr="009E715F">
        <w:t xml:space="preserve"> </w:t>
      </w:r>
      <w:r>
        <w:t xml:space="preserve">the </w:t>
      </w:r>
      <w:r w:rsidRPr="009E715F">
        <w:t>mining and construction industries)</w:t>
      </w:r>
      <w:r>
        <w:t>, though erred on the side of the ’basic needs’ approach.</w:t>
      </w:r>
    </w:p>
    <w:p w14:paraId="43606FEF" w14:textId="23473957" w:rsidR="001E0917" w:rsidRPr="000E52B6" w:rsidRDefault="001E0917" w:rsidP="001E0917">
      <w:pPr>
        <w:pStyle w:val="BodyText"/>
        <w:rPr>
          <w:spacing w:val="-2"/>
        </w:rPr>
      </w:pPr>
      <w:r w:rsidRPr="000E52B6">
        <w:rPr>
          <w:spacing w:val="-2"/>
        </w:rPr>
        <w:t xml:space="preserve">Finally, critical goods and services were defined as those that cannot be substituted easily, or the production process cannot be adjusted in the short term (i.e. </w:t>
      </w:r>
      <w:r w:rsidR="007A3A2E" w:rsidRPr="000E52B6">
        <w:rPr>
          <w:spacing w:val="-2"/>
        </w:rPr>
        <w:t>six</w:t>
      </w:r>
      <w:r w:rsidRPr="000E52B6">
        <w:rPr>
          <w:spacing w:val="-2"/>
        </w:rPr>
        <w:t xml:space="preserve"> months) to avoid their use. The PC proposed consultation with experts for this part of the framework as they are most familiar with the relevant production processes. </w:t>
      </w:r>
    </w:p>
    <w:p w14:paraId="65B2F545" w14:textId="2E33F227" w:rsidR="001E0917" w:rsidRDefault="001E0917" w:rsidP="001E0917">
      <w:pPr>
        <w:pStyle w:val="BodyText"/>
      </w:pPr>
      <w:r>
        <w:t xml:space="preserve">This approach included a few simplifications that could be addressed with better data over time. </w:t>
      </w:r>
    </w:p>
    <w:p w14:paraId="1D7842EB" w14:textId="42E0F889" w:rsidR="001E0917" w:rsidRDefault="001E0917" w:rsidP="001E0917">
      <w:pPr>
        <w:pStyle w:val="BodyText"/>
      </w:pPr>
      <w:r>
        <w:t>For example, the identification of vulnerable imports at a country level overlooks</w:t>
      </w:r>
      <w:r w:rsidRPr="00B002F7">
        <w:t xml:space="preserve"> the number of firms</w:t>
      </w:r>
      <w:r>
        <w:t xml:space="preserve"> in that industry</w:t>
      </w:r>
      <w:r w:rsidRPr="00B002F7">
        <w:t xml:space="preserve">. </w:t>
      </w:r>
      <w:r>
        <w:t>That is, while a</w:t>
      </w:r>
      <w:r w:rsidRPr="00B002F7">
        <w:t xml:space="preserve"> product </w:t>
      </w:r>
      <w:r>
        <w:t>imported into Australia</w:t>
      </w:r>
      <w:r w:rsidRPr="00B002F7">
        <w:t xml:space="preserve"> could be mostly provided </w:t>
      </w:r>
      <w:r w:rsidR="00DC4DC1">
        <w:t>by</w:t>
      </w:r>
      <w:r w:rsidRPr="00B002F7">
        <w:t xml:space="preserve"> a single country, this could be through </w:t>
      </w:r>
      <w:proofErr w:type="gramStart"/>
      <w:r w:rsidRPr="00B002F7">
        <w:t>a large number of</w:t>
      </w:r>
      <w:proofErr w:type="gramEnd"/>
      <w:r w:rsidRPr="00B002F7">
        <w:t xml:space="preserve"> producing firms</w:t>
      </w:r>
      <w:r>
        <w:t>. This may carry less risk than if there were only one or two producers within the country.</w:t>
      </w:r>
      <w:r w:rsidRPr="00B002F7">
        <w:t xml:space="preserve"> As such, focusing on just geographical concentration could overstate risk by not factoring this added diversification. </w:t>
      </w:r>
    </w:p>
    <w:p w14:paraId="5498D7D5" w14:textId="0620E816" w:rsidR="00D617EC" w:rsidRPr="000E52B6" w:rsidRDefault="00D617EC" w:rsidP="001E0917">
      <w:pPr>
        <w:pStyle w:val="BodyText"/>
        <w:rPr>
          <w:spacing w:val="-2"/>
        </w:rPr>
      </w:pPr>
      <w:r w:rsidRPr="000E52B6">
        <w:rPr>
          <w:spacing w:val="-2"/>
        </w:rPr>
        <w:t xml:space="preserve">The identification of vulnerable imports </w:t>
      </w:r>
      <w:r w:rsidR="00B844C3" w:rsidRPr="000E52B6">
        <w:rPr>
          <w:spacing w:val="-2"/>
        </w:rPr>
        <w:t>is based on import</w:t>
      </w:r>
      <w:r w:rsidR="00186ABC" w:rsidRPr="000E52B6">
        <w:rPr>
          <w:spacing w:val="-2"/>
        </w:rPr>
        <w:t xml:space="preserve">-export data. As such it cannot identify vulnerabilities from high concentration </w:t>
      </w:r>
      <w:r w:rsidR="00B844C3" w:rsidRPr="000E52B6">
        <w:rPr>
          <w:spacing w:val="-2"/>
        </w:rPr>
        <w:t>further up the supply chain, as occurs in some medical supply chains (PC 2021)</w:t>
      </w:r>
      <w:r w:rsidR="000E5FD3" w:rsidRPr="000E52B6">
        <w:rPr>
          <w:spacing w:val="-2"/>
        </w:rPr>
        <w:t>.</w:t>
      </w:r>
    </w:p>
    <w:p w14:paraId="0D4404C7" w14:textId="24014EAD" w:rsidR="00B52155" w:rsidRDefault="001E0917" w:rsidP="000478CB">
      <w:pPr>
        <w:pStyle w:val="BodyText"/>
      </w:pPr>
      <w:r>
        <w:t xml:space="preserve">The definitions of vulnerability and essentiality are based on an assumed level of baseline demand. However, there could be instances where access to a good or service is not impacted by a reduction in global supply, but due to a global demand shock that instead requires greater supply to address. The ability to scale supply up may be limited. Expert consultation might be required to identify how easily a process might be scalable. </w:t>
      </w:r>
    </w:p>
    <w:p w14:paraId="04B9727C" w14:textId="77777777" w:rsidR="0003568C" w:rsidRDefault="0003568C">
      <w:pPr>
        <w:spacing w:before="0" w:after="160" w:line="259" w:lineRule="auto"/>
      </w:pPr>
      <w:bookmarkStart w:id="129" w:name="_Toc195696856"/>
      <w:bookmarkStart w:id="130" w:name="_Toc195696945"/>
      <w:bookmarkStart w:id="131" w:name="_Toc195696977"/>
      <w:bookmarkStart w:id="132" w:name="_Toc195697043"/>
      <w:bookmarkStart w:id="133" w:name="_Toc195697264"/>
      <w:bookmarkStart w:id="134" w:name="_Toc198818507"/>
      <w:bookmarkStart w:id="135" w:name="_Toc195696946"/>
      <w:bookmarkEnd w:id="129"/>
      <w:bookmarkEnd w:id="130"/>
      <w:bookmarkEnd w:id="131"/>
      <w:bookmarkEnd w:id="132"/>
      <w:bookmarkEnd w:id="133"/>
      <w:bookmarkEnd w:id="134"/>
    </w:p>
    <w:p w14:paraId="6258B814" w14:textId="384766A0" w:rsidR="0003568C" w:rsidRDefault="0003568C">
      <w:pPr>
        <w:spacing w:before="0" w:after="160" w:line="259" w:lineRule="auto"/>
        <w:sectPr w:rsidR="0003568C" w:rsidSect="002E3F19">
          <w:headerReference w:type="even" r:id="rId58"/>
          <w:headerReference w:type="default" r:id="rId59"/>
          <w:headerReference w:type="first" r:id="rId60"/>
          <w:pgSz w:w="11906" w:h="16838" w:code="9"/>
          <w:pgMar w:top="1134" w:right="1134" w:bottom="1134" w:left="1134" w:header="794" w:footer="510" w:gutter="0"/>
          <w:cols w:space="708"/>
          <w:docGrid w:linePitch="360"/>
        </w:sectPr>
      </w:pPr>
    </w:p>
    <w:p w14:paraId="1D690D94" w14:textId="662B94B2" w:rsidR="001E0917" w:rsidRDefault="001E0917" w:rsidP="006526F8">
      <w:pPr>
        <w:pStyle w:val="Heading-Appendix"/>
      </w:pPr>
      <w:bookmarkStart w:id="136" w:name="_Toc210942161"/>
      <w:r>
        <w:lastRenderedPageBreak/>
        <w:t>Assessing comparative advantage</w:t>
      </w:r>
      <w:bookmarkEnd w:id="135"/>
      <w:bookmarkEnd w:id="136"/>
    </w:p>
    <w:p w14:paraId="11986389" w14:textId="11063334" w:rsidR="001E0917" w:rsidRPr="00040F21" w:rsidRDefault="001E0917" w:rsidP="00A70717">
      <w:pPr>
        <w:pStyle w:val="BodyText"/>
      </w:pPr>
      <w:r w:rsidRPr="00040F21">
        <w:t>Assessing the sectors in which a country is likely to enjoy a comparative advantage is not straightforward.</w:t>
      </w:r>
      <w:r>
        <w:t xml:space="preserve"> </w:t>
      </w:r>
      <w:r w:rsidRPr="00040F21">
        <w:t xml:space="preserve">The </w:t>
      </w:r>
      <w:r w:rsidRPr="00990886">
        <w:rPr>
          <w:i/>
        </w:rPr>
        <w:t>Trade and Assistance Review</w:t>
      </w:r>
      <w:r w:rsidR="00DC49E8" w:rsidRPr="00990886">
        <w:rPr>
          <w:i/>
        </w:rPr>
        <w:t xml:space="preserve"> 2022</w:t>
      </w:r>
      <w:r w:rsidR="00410C80">
        <w:rPr>
          <w:i/>
        </w:rPr>
        <w:noBreakHyphen/>
      </w:r>
      <w:r w:rsidR="00DC49E8" w:rsidRPr="00990886">
        <w:rPr>
          <w:i/>
        </w:rPr>
        <w:t>23</w:t>
      </w:r>
      <w:r w:rsidRPr="00040F21">
        <w:t xml:space="preserve"> </w:t>
      </w:r>
      <w:r w:rsidR="003C287A">
        <w:fldChar w:fldCharType="begin"/>
      </w:r>
      <w:r w:rsidR="00ED6B7B">
        <w:instrText xml:space="preserve"> ADDIN ZOTERO_ITEM CSL_CITATION {"citationID":"jZK2kv2A","properties":{"formattedCitation":"(PC\\uc0\\u160{}2024b)","plainCitation":"(PC 2024b)","noteIndex":0},"citationItems":[{"id":1363,"uris":["http://zotero.org/groups/164861/items/9SWHLYNN"],"itemData":{"id":1363,"type":"report","collection-title":"Annual Report Series","event-place":"Canberra","publisher-place":"Canberra","title":"Trade and Assistance Review 2022-23","author":[{"family":"Productivity Commission","given":""}],"translator":[{"family":"PC","given":""}],"issued":{"date-parts":[["2024"]]}}}],"schema":"https://github.com/citation-style-language/schema/raw/master/csl-citation.json"} </w:instrText>
      </w:r>
      <w:r w:rsidR="003C287A">
        <w:fldChar w:fldCharType="separate"/>
      </w:r>
      <w:r w:rsidR="003C287A" w:rsidRPr="003C287A">
        <w:rPr>
          <w:rFonts w:ascii="Arial" w:hAnsi="Arial" w:cs="Arial"/>
        </w:rPr>
        <w:t>(PC 2024b)</w:t>
      </w:r>
      <w:r w:rsidR="003C287A">
        <w:fldChar w:fldCharType="end"/>
      </w:r>
      <w:r w:rsidRPr="00040F21">
        <w:t xml:space="preserve"> reviewed methods to assess which sectors </w:t>
      </w:r>
      <w:r w:rsidR="00631926">
        <w:t xml:space="preserve">individual </w:t>
      </w:r>
      <w:r w:rsidRPr="00040F21">
        <w:t>countr</w:t>
      </w:r>
      <w:r w:rsidR="00631926">
        <w:t>ies</w:t>
      </w:r>
      <w:r w:rsidRPr="00040F21">
        <w:t xml:space="preserve"> enjoy a comparative advantage in. This exploration revealed </w:t>
      </w:r>
      <w:proofErr w:type="gramStart"/>
      <w:r w:rsidRPr="00040F21">
        <w:t>a number of</w:t>
      </w:r>
      <w:proofErr w:type="gramEnd"/>
      <w:r w:rsidRPr="00040F21">
        <w:t xml:space="preserve"> challenges for assessing comparative advantage in the future. Mainly, these empirical assessments are backward looking and changes in comparative advantage over time mean that backward looking metrics are likely to be unreliable predictors of comparative advantage in the future.</w:t>
      </w:r>
    </w:p>
    <w:p w14:paraId="1E2F4282" w14:textId="60D31050" w:rsidR="001E0917" w:rsidRPr="00040F21" w:rsidRDefault="001E0917" w:rsidP="00A70717">
      <w:pPr>
        <w:pStyle w:val="BodyText"/>
      </w:pPr>
      <w:r w:rsidRPr="00040F21">
        <w:t>Nevertheless, these methodologies can give a sense of the magnitude of the task facing policy makers wishing to support a sector until Australia enjoys a comparative advantage in it.</w:t>
      </w:r>
      <w:r>
        <w:t xml:space="preserve"> </w:t>
      </w:r>
      <w:r w:rsidRPr="00040F21">
        <w:t xml:space="preserve">If an existing Australian sector is being considered </w:t>
      </w:r>
      <w:r w:rsidR="007410F3">
        <w:t>for</w:t>
      </w:r>
      <w:r w:rsidRPr="00040F21">
        <w:t xml:space="preserve"> funding, these methodologies can give policy makers a sense of the increase in sectoral productivity that would be required for Australia to enjoy an enduring comparative advantage in that sector. Producing these estimates across the three comparative advantage assessment methodologies explored in </w:t>
      </w:r>
      <w:r w:rsidR="00F160F3">
        <w:t>the</w:t>
      </w:r>
      <w:r w:rsidRPr="00040F21">
        <w:t xml:space="preserve"> </w:t>
      </w:r>
      <w:r w:rsidR="00F160F3" w:rsidRPr="00990886">
        <w:rPr>
          <w:i/>
        </w:rPr>
        <w:t>Trade and Assistance Review</w:t>
      </w:r>
      <w:r w:rsidRPr="00990886">
        <w:rPr>
          <w:i/>
        </w:rPr>
        <w:t xml:space="preserve"> 2022</w:t>
      </w:r>
      <w:r w:rsidR="00410C80">
        <w:rPr>
          <w:i/>
        </w:rPr>
        <w:noBreakHyphen/>
      </w:r>
      <w:r w:rsidRPr="00990886">
        <w:rPr>
          <w:i/>
        </w:rPr>
        <w:t>23</w:t>
      </w:r>
      <w:r w:rsidRPr="00040F21">
        <w:t xml:space="preserve"> – the Balassa index, the Ricardian index, and the </w:t>
      </w:r>
      <w:proofErr w:type="spellStart"/>
      <w:r w:rsidRPr="00040F21">
        <w:t>Costinot</w:t>
      </w:r>
      <w:proofErr w:type="spellEnd"/>
      <w:r w:rsidRPr="00040F21">
        <w:t xml:space="preserve"> index – would provide </w:t>
      </w:r>
      <w:r w:rsidRPr="002473C6">
        <w:t>some</w:t>
      </w:r>
      <w:r w:rsidRPr="00040F21">
        <w:t xml:space="preserve"> information to support decision</w:t>
      </w:r>
      <w:r w:rsidR="00410C80">
        <w:noBreakHyphen/>
      </w:r>
      <w:r w:rsidRPr="00040F21">
        <w:t>making.</w:t>
      </w:r>
    </w:p>
    <w:p w14:paraId="1617307F" w14:textId="580E0C9C" w:rsidR="001E0917" w:rsidRPr="00040F21" w:rsidRDefault="001E0917" w:rsidP="00A70717">
      <w:pPr>
        <w:pStyle w:val="BodyText"/>
      </w:pPr>
      <w:r w:rsidRPr="00040F21">
        <w:t xml:space="preserve">More recent methodologies developed by </w:t>
      </w:r>
      <w:r w:rsidR="00E6135A">
        <w:t>Hidalgo and Hausmann</w:t>
      </w:r>
      <w:r w:rsidR="0056741C">
        <w:t xml:space="preserve"> </w:t>
      </w:r>
      <w:r w:rsidR="00E6135A">
        <w:fldChar w:fldCharType="begin"/>
      </w:r>
      <w:r w:rsidR="00ED6B7B">
        <w:instrText xml:space="preserve"> ADDIN ZOTERO_ITEM CSL_CITATION {"citationID":"V7N2Vjvh","properties":{"formattedCitation":"(2009)","plainCitation":"(2009)","noteIndex":0},"citationItems":[{"id":2652,"uris":["http://zotero.org/groups/5560192/items/NEZIMPGQ"],"itemData":{"id":2652,"type":"article-journal","container-title":"PNAS","DOI":"10.1073","issue":"26","page":"10570–10575","title":"The building blocks of economic complexity","volume":"106","author":[{"family":"Hidalgo","given":"Cesar"},{"family":"Hausmann","given":"Ricardo"}],"issued":{"date-parts":[["2009",5,1]]}},"label":"page","suppress-author":true}],"schema":"https://github.com/citation-style-language/schema/raw/master/csl-citation.json"} </w:instrText>
      </w:r>
      <w:r w:rsidR="00E6135A">
        <w:fldChar w:fldCharType="separate"/>
      </w:r>
      <w:r w:rsidR="00E6135A" w:rsidRPr="00E6135A">
        <w:rPr>
          <w:rFonts w:ascii="Arial" w:hAnsi="Arial" w:cs="Arial"/>
        </w:rPr>
        <w:t>(2009)</w:t>
      </w:r>
      <w:r w:rsidR="00E6135A">
        <w:fldChar w:fldCharType="end"/>
      </w:r>
      <w:r w:rsidRPr="00040F21">
        <w:t xml:space="preserve"> have been offered as a way of addressing the ‘backward</w:t>
      </w:r>
      <w:r w:rsidR="00410C80">
        <w:noBreakHyphen/>
      </w:r>
      <w:r w:rsidRPr="00040F21">
        <w:t xml:space="preserve">looking’ limitations noted for the methods mentioned above. The authors assert that comparative advantage can evolve in sectors that are </w:t>
      </w:r>
      <w:r w:rsidRPr="002473C6">
        <w:t>adjacent</w:t>
      </w:r>
      <w:r w:rsidRPr="00040F21">
        <w:t xml:space="preserve"> to areas already identified as having a comparative advantage. Such adjacency might take two general forms.</w:t>
      </w:r>
    </w:p>
    <w:p w14:paraId="12AC459E" w14:textId="713717DD" w:rsidR="001E0917" w:rsidRPr="00040F21" w:rsidRDefault="001E0917" w:rsidP="00A70717">
      <w:pPr>
        <w:pStyle w:val="BodyText"/>
      </w:pPr>
      <w:r w:rsidRPr="00040F21">
        <w:t xml:space="preserve">‘Horizontal adjacency’ refers to activities that are </w:t>
      </w:r>
      <w:proofErr w:type="gramStart"/>
      <w:r w:rsidRPr="00040F21">
        <w:t>similar to</w:t>
      </w:r>
      <w:proofErr w:type="gramEnd"/>
      <w:r w:rsidRPr="00040F21">
        <w:t xml:space="preserve"> activities in which a country already has a revealed comparative advantage. For example, having a revealed comparative advantage in one mining sub</w:t>
      </w:r>
      <w:r w:rsidR="00410C80">
        <w:noBreakHyphen/>
      </w:r>
      <w:r w:rsidRPr="00040F21">
        <w:t>sector might suggest the ability to have a comparative advantage in another mining sub</w:t>
      </w:r>
      <w:r w:rsidR="00410C80">
        <w:noBreakHyphen/>
      </w:r>
      <w:r w:rsidRPr="00040F21">
        <w:t>sector. This is because both activities would rely on resources in both the existing and prospective mining sectors being easily transferable, including skilled labour and technologies.</w:t>
      </w:r>
      <w:r w:rsidRPr="006526F8">
        <w:rPr>
          <w:rStyle w:val="FootnoteReference"/>
        </w:rPr>
        <w:footnoteReference w:id="23"/>
      </w:r>
    </w:p>
    <w:p w14:paraId="75F76AD4" w14:textId="7460C6FB" w:rsidR="001E0917" w:rsidRPr="00040F21" w:rsidRDefault="001E0917" w:rsidP="00A70717">
      <w:pPr>
        <w:pStyle w:val="BodyText"/>
      </w:pPr>
      <w:r w:rsidRPr="00040F21">
        <w:t xml:space="preserve">‘Vertical adjacency’ identifies activities that might be required upstream or downstream of an activity. </w:t>
      </w:r>
      <w:r w:rsidR="00A952F6">
        <w:t xml:space="preserve">For example, </w:t>
      </w:r>
      <w:r w:rsidR="00D01B07">
        <w:t xml:space="preserve">where there is a comparative advantage in a particular industry, this could flow through to upstream or downstream products if there are </w:t>
      </w:r>
      <w:r>
        <w:t xml:space="preserve">high transport costs </w:t>
      </w:r>
      <w:r w:rsidR="00D01B07">
        <w:t xml:space="preserve">for the intermediate goods. These costs </w:t>
      </w:r>
      <w:r w:rsidR="00D01B07">
        <w:lastRenderedPageBreak/>
        <w:t>could outweigh a</w:t>
      </w:r>
      <w:r w:rsidR="00911D72">
        <w:t>n absolute</w:t>
      </w:r>
      <w:r w:rsidR="00D01B07">
        <w:t xml:space="preserve"> comparative disadvantage </w:t>
      </w:r>
      <w:r w:rsidR="00911D72">
        <w:t>for the intermediate goods if produced in isolation.</w:t>
      </w:r>
      <w:r w:rsidR="00D01B07">
        <w:t xml:space="preserve"> </w:t>
      </w:r>
      <w:r w:rsidRPr="00040F21">
        <w:t>These requirements would likely only apply to some segments of the vertical supply chain, however.</w:t>
      </w:r>
      <w:r w:rsidRPr="00BF0D36">
        <w:rPr>
          <w:rStyle w:val="FootnoteReference"/>
        </w:rPr>
        <w:footnoteReference w:id="24"/>
      </w:r>
    </w:p>
    <w:p w14:paraId="2FCA3C34" w14:textId="37E19E23" w:rsidR="001E0917" w:rsidRPr="00040F21" w:rsidRDefault="001E0917" w:rsidP="00A70717">
      <w:pPr>
        <w:pStyle w:val="BodyText"/>
      </w:pPr>
      <w:r w:rsidRPr="00040F21">
        <w:t xml:space="preserve">To date, the </w:t>
      </w:r>
      <w:r w:rsidR="00DA433D">
        <w:t>PC</w:t>
      </w:r>
      <w:r w:rsidRPr="00040F21">
        <w:t xml:space="preserve"> has not undertaken empirical work to test the predictive power of adjacency for comparative advantage assessments. Efforts to assess comparative advantage on this basis should be transparent about the methodology and data used to make the assessment.</w:t>
      </w:r>
    </w:p>
    <w:p w14:paraId="7C747406" w14:textId="77777777" w:rsidR="001E0917" w:rsidRPr="00040F21" w:rsidRDefault="001E0917" w:rsidP="00920126">
      <w:pPr>
        <w:pStyle w:val="BodyText"/>
      </w:pPr>
      <w:r w:rsidRPr="00040F21">
        <w:t xml:space="preserve">Sector assessments could supplement their analysis by undertaking competitiveness assessments that would evaluate whether Australia could produce output at a comparable or lower price than international competitors in the sector, both currently and under likely future cost reduction scenarios. The cost assumptions underlying these assessments, and their sources, should be made public to increase transparency and public confidence in the competitiveness assessment. </w:t>
      </w:r>
    </w:p>
    <w:p w14:paraId="1A9401EB" w14:textId="5C3AF6DA" w:rsidR="001E0917" w:rsidRPr="00040F21" w:rsidRDefault="001E0917" w:rsidP="00A70717">
      <w:pPr>
        <w:pStyle w:val="BodyText"/>
      </w:pPr>
      <w:r w:rsidRPr="00040F21">
        <w:t xml:space="preserve">While all imperfect, a combination of these approaches could help to build </w:t>
      </w:r>
      <w:r w:rsidR="00F63990">
        <w:t xml:space="preserve">a </w:t>
      </w:r>
      <w:r w:rsidRPr="00040F21">
        <w:t xml:space="preserve">stronger evidence base than simply relying on the observation that the production of a sector </w:t>
      </w:r>
      <w:r>
        <w:t>undergoing a sector assessment</w:t>
      </w:r>
      <w:r w:rsidRPr="00040F21">
        <w:t xml:space="preserve"> is intensive in a relatively abundant input. Cost advantages presented by these endowments can dissipate over time as activities move between countries to take advantage of those initial cost differentials, requiring new sources of comparative advantage to ensure ongoing competitiveness.</w:t>
      </w:r>
      <w:r w:rsidRPr="006526F8">
        <w:rPr>
          <w:rStyle w:val="FootnoteReference"/>
        </w:rPr>
        <w:footnoteReference w:id="25"/>
      </w:r>
      <w:r w:rsidRPr="00040F21">
        <w:t xml:space="preserve"> </w:t>
      </w:r>
    </w:p>
    <w:p w14:paraId="1F52E35C" w14:textId="02D9DB16" w:rsidR="001E0917" w:rsidRPr="00920126" w:rsidRDefault="001E0917" w:rsidP="00920126">
      <w:pPr>
        <w:pStyle w:val="BodyText"/>
      </w:pPr>
      <w:r w:rsidRPr="00040F21">
        <w:t>Nevertheless, given the dynamic nature of the net zero technological space, these assessments should be revisited periodically and exit ramps should be triggered if the path towards an enduring comparative advantage for the sector was found to be narrowing.</w:t>
      </w:r>
    </w:p>
    <w:p w14:paraId="3428CEBE" w14:textId="7E932145" w:rsidR="0071478C" w:rsidRDefault="0071478C" w:rsidP="007825C2">
      <w:pPr>
        <w:pStyle w:val="BodyText"/>
        <w:sectPr w:rsidR="0071478C" w:rsidSect="002E3F19">
          <w:headerReference w:type="default" r:id="rId61"/>
          <w:headerReference w:type="first" r:id="rId62"/>
          <w:pgSz w:w="11906" w:h="16838" w:code="9"/>
          <w:pgMar w:top="1134" w:right="1134" w:bottom="1134" w:left="1134" w:header="794" w:footer="510" w:gutter="0"/>
          <w:cols w:space="708"/>
          <w:docGrid w:linePitch="360"/>
        </w:sectPr>
      </w:pPr>
    </w:p>
    <w:p w14:paraId="02762A6D" w14:textId="354123E8" w:rsidR="00EF0D7A" w:rsidRDefault="00904675" w:rsidP="00EF0D7A">
      <w:pPr>
        <w:pStyle w:val="Heading1-nobackground"/>
      </w:pPr>
      <w:bookmarkStart w:id="137" w:name="_Toc195696947"/>
      <w:bookmarkStart w:id="138" w:name="_Toc210942162"/>
      <w:r>
        <w:lastRenderedPageBreak/>
        <w:t>Abbreviations</w:t>
      </w:r>
      <w:bookmarkEnd w:id="137"/>
      <w:bookmarkEnd w:id="138"/>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42"/>
        <w:gridCol w:w="7496"/>
      </w:tblGrid>
      <w:tr w:rsidR="001A43F2" w:rsidRPr="00B83700" w14:paraId="3CD7E1F8" w14:textId="77777777" w:rsidTr="005C127D">
        <w:trPr>
          <w:trHeight w:val="300"/>
          <w:tblHeader/>
        </w:trPr>
        <w:tc>
          <w:tcPr>
            <w:tcW w:w="1111" w:type="pct"/>
            <w:tcBorders>
              <w:top w:val="single" w:sz="4" w:space="0" w:color="B3B3B3"/>
              <w:bottom w:val="nil"/>
            </w:tcBorders>
            <w:shd w:val="clear" w:color="000000" w:fill="F2F2F2"/>
            <w:hideMark/>
          </w:tcPr>
          <w:p w14:paraId="104A5DD7" w14:textId="77777777" w:rsidR="001A43F2" w:rsidRPr="00B83700" w:rsidRDefault="001A43F2"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ABS </w:t>
            </w:r>
          </w:p>
        </w:tc>
        <w:tc>
          <w:tcPr>
            <w:tcW w:w="3889" w:type="pct"/>
            <w:tcBorders>
              <w:top w:val="single" w:sz="4" w:space="0" w:color="B3B3B3"/>
              <w:bottom w:val="nil"/>
            </w:tcBorders>
            <w:shd w:val="clear" w:color="000000" w:fill="F2F2F2"/>
            <w:hideMark/>
          </w:tcPr>
          <w:p w14:paraId="0FFECBAA" w14:textId="77777777" w:rsidR="001A43F2" w:rsidRPr="00B83700" w:rsidRDefault="001A43F2"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Australian Bureau of Statistics </w:t>
            </w:r>
          </w:p>
        </w:tc>
      </w:tr>
      <w:tr w:rsidR="00A5726A" w:rsidRPr="00B83700" w14:paraId="430F8FA3" w14:textId="77777777" w:rsidTr="005C127D">
        <w:trPr>
          <w:trHeight w:val="300"/>
        </w:trPr>
        <w:tc>
          <w:tcPr>
            <w:tcW w:w="1111" w:type="pct"/>
            <w:tcBorders>
              <w:top w:val="nil"/>
              <w:bottom w:val="nil"/>
            </w:tcBorders>
            <w:shd w:val="clear" w:color="000000" w:fill="auto"/>
          </w:tcPr>
          <w:p w14:paraId="6B4D2F5E" w14:textId="48EA8290" w:rsidR="00A5726A" w:rsidRPr="00B83700" w:rsidRDefault="00A5726A"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DWL</w:t>
            </w:r>
          </w:p>
        </w:tc>
        <w:tc>
          <w:tcPr>
            <w:tcW w:w="3889" w:type="pct"/>
            <w:tcBorders>
              <w:top w:val="nil"/>
              <w:bottom w:val="nil"/>
            </w:tcBorders>
            <w:shd w:val="clear" w:color="000000" w:fill="auto"/>
          </w:tcPr>
          <w:p w14:paraId="0B1F1905" w14:textId="023C387E" w:rsidR="00A5726A" w:rsidRPr="00B83700" w:rsidRDefault="00A5726A"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Deadweight loss</w:t>
            </w:r>
          </w:p>
        </w:tc>
      </w:tr>
      <w:tr w:rsidR="00BA496F" w:rsidRPr="00B83700" w14:paraId="5B575383" w14:textId="77777777" w:rsidTr="005C127D">
        <w:trPr>
          <w:trHeight w:val="300"/>
        </w:trPr>
        <w:tc>
          <w:tcPr>
            <w:tcW w:w="1111" w:type="pct"/>
            <w:tcBorders>
              <w:bottom w:val="nil"/>
            </w:tcBorders>
            <w:shd w:val="clear" w:color="000000" w:fill="F2F2F2"/>
          </w:tcPr>
          <w:p w14:paraId="7BA72712" w14:textId="5E7B7A04" w:rsidR="00BA496F" w:rsidRPr="00B83700" w:rsidRDefault="00BA496F"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EU</w:t>
            </w:r>
          </w:p>
        </w:tc>
        <w:tc>
          <w:tcPr>
            <w:tcW w:w="3889" w:type="pct"/>
            <w:tcBorders>
              <w:bottom w:val="nil"/>
            </w:tcBorders>
            <w:shd w:val="clear" w:color="000000" w:fill="F2F2F2"/>
          </w:tcPr>
          <w:p w14:paraId="5692DDE4" w14:textId="6F62FE64" w:rsidR="00BA496F" w:rsidRPr="00B83700" w:rsidRDefault="00BA496F"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European Union</w:t>
            </w:r>
          </w:p>
        </w:tc>
      </w:tr>
      <w:tr w:rsidR="001A43F2" w:rsidRPr="00B83700" w14:paraId="7890CCFD" w14:textId="77777777" w:rsidTr="005C127D">
        <w:trPr>
          <w:trHeight w:val="300"/>
        </w:trPr>
        <w:tc>
          <w:tcPr>
            <w:tcW w:w="1111" w:type="pct"/>
            <w:tcBorders>
              <w:top w:val="nil"/>
              <w:bottom w:val="nil"/>
            </w:tcBorders>
            <w:shd w:val="clear" w:color="000000" w:fill="auto"/>
            <w:hideMark/>
          </w:tcPr>
          <w:p w14:paraId="4104BD30" w14:textId="77777777" w:rsidR="001A43F2" w:rsidRPr="00B83700" w:rsidRDefault="001A43F2"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FMIA </w:t>
            </w:r>
          </w:p>
        </w:tc>
        <w:tc>
          <w:tcPr>
            <w:tcW w:w="3889" w:type="pct"/>
            <w:tcBorders>
              <w:top w:val="nil"/>
              <w:bottom w:val="nil"/>
            </w:tcBorders>
            <w:shd w:val="clear" w:color="000000" w:fill="auto"/>
            <w:hideMark/>
          </w:tcPr>
          <w:p w14:paraId="6DDAA8F6" w14:textId="77777777" w:rsidR="001A43F2" w:rsidRPr="00B83700" w:rsidRDefault="001A43F2"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Future Made in Australia  </w:t>
            </w:r>
          </w:p>
        </w:tc>
      </w:tr>
      <w:tr w:rsidR="001A43F2" w:rsidRPr="00B83700" w14:paraId="28344EB5" w14:textId="77777777" w:rsidTr="005C127D">
        <w:trPr>
          <w:trHeight w:val="300"/>
        </w:trPr>
        <w:tc>
          <w:tcPr>
            <w:tcW w:w="1111" w:type="pct"/>
            <w:tcBorders>
              <w:bottom w:val="nil"/>
            </w:tcBorders>
            <w:shd w:val="clear" w:color="000000" w:fill="F2F2F2"/>
            <w:hideMark/>
          </w:tcPr>
          <w:p w14:paraId="66150E34" w14:textId="77777777" w:rsidR="001A43F2" w:rsidRPr="00B83700" w:rsidRDefault="001A43F2"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MAC </w:t>
            </w:r>
          </w:p>
        </w:tc>
        <w:tc>
          <w:tcPr>
            <w:tcW w:w="3889" w:type="pct"/>
            <w:tcBorders>
              <w:bottom w:val="nil"/>
            </w:tcBorders>
            <w:shd w:val="clear" w:color="000000" w:fill="F2F2F2"/>
            <w:hideMark/>
          </w:tcPr>
          <w:p w14:paraId="50CECA50" w14:textId="77777777" w:rsidR="001A43F2" w:rsidRPr="00B83700" w:rsidRDefault="001A43F2"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Marginal Abatement Cost  </w:t>
            </w:r>
          </w:p>
        </w:tc>
      </w:tr>
      <w:tr w:rsidR="001A43F2" w:rsidRPr="00B83700" w14:paraId="65CAFB1D" w14:textId="77777777" w:rsidTr="005C127D">
        <w:trPr>
          <w:trHeight w:val="300"/>
        </w:trPr>
        <w:tc>
          <w:tcPr>
            <w:tcW w:w="1111" w:type="pct"/>
            <w:tcBorders>
              <w:top w:val="nil"/>
              <w:bottom w:val="nil"/>
            </w:tcBorders>
            <w:shd w:val="clear" w:color="000000" w:fill="auto"/>
            <w:hideMark/>
          </w:tcPr>
          <w:p w14:paraId="79BC41F4" w14:textId="77777777" w:rsidR="001A43F2" w:rsidRPr="00B83700" w:rsidRDefault="001A43F2"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NIF </w:t>
            </w:r>
          </w:p>
        </w:tc>
        <w:tc>
          <w:tcPr>
            <w:tcW w:w="3889" w:type="pct"/>
            <w:tcBorders>
              <w:top w:val="nil"/>
              <w:bottom w:val="nil"/>
            </w:tcBorders>
            <w:shd w:val="clear" w:color="000000" w:fill="auto"/>
            <w:hideMark/>
          </w:tcPr>
          <w:p w14:paraId="463B236E" w14:textId="77777777" w:rsidR="001A43F2" w:rsidRPr="00B83700" w:rsidRDefault="001A43F2"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National Interest Framework </w:t>
            </w:r>
          </w:p>
        </w:tc>
      </w:tr>
      <w:tr w:rsidR="001A43F2" w:rsidRPr="00B83700" w14:paraId="13C1B3C1" w14:textId="77777777" w:rsidTr="005C127D">
        <w:trPr>
          <w:trHeight w:val="300"/>
        </w:trPr>
        <w:tc>
          <w:tcPr>
            <w:tcW w:w="1111" w:type="pct"/>
            <w:tcBorders>
              <w:bottom w:val="nil"/>
            </w:tcBorders>
            <w:shd w:val="clear" w:color="000000" w:fill="F2F2F2"/>
            <w:hideMark/>
          </w:tcPr>
          <w:p w14:paraId="371084AB" w14:textId="77777777" w:rsidR="001A43F2" w:rsidRPr="00B83700" w:rsidRDefault="001A43F2"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NPV </w:t>
            </w:r>
          </w:p>
        </w:tc>
        <w:tc>
          <w:tcPr>
            <w:tcW w:w="3889" w:type="pct"/>
            <w:tcBorders>
              <w:bottom w:val="nil"/>
            </w:tcBorders>
            <w:shd w:val="clear" w:color="000000" w:fill="F2F2F2"/>
            <w:hideMark/>
          </w:tcPr>
          <w:p w14:paraId="0FBE54A3" w14:textId="77777777" w:rsidR="001A43F2" w:rsidRPr="00B83700" w:rsidRDefault="001A43F2"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Net present value </w:t>
            </w:r>
          </w:p>
        </w:tc>
      </w:tr>
      <w:tr w:rsidR="001A43F2" w:rsidRPr="00B83700" w14:paraId="226DB3D1" w14:textId="77777777" w:rsidTr="005C127D">
        <w:trPr>
          <w:trHeight w:val="300"/>
        </w:trPr>
        <w:tc>
          <w:tcPr>
            <w:tcW w:w="1111" w:type="pct"/>
            <w:tcBorders>
              <w:top w:val="nil"/>
              <w:bottom w:val="nil"/>
            </w:tcBorders>
            <w:shd w:val="clear" w:color="000000" w:fill="auto"/>
            <w:hideMark/>
          </w:tcPr>
          <w:p w14:paraId="0919B1FB" w14:textId="77777777" w:rsidR="001A43F2" w:rsidRPr="00B83700" w:rsidRDefault="001A43F2"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PC </w:t>
            </w:r>
          </w:p>
        </w:tc>
        <w:tc>
          <w:tcPr>
            <w:tcW w:w="3889" w:type="pct"/>
            <w:tcBorders>
              <w:top w:val="nil"/>
              <w:bottom w:val="nil"/>
            </w:tcBorders>
            <w:shd w:val="clear" w:color="000000" w:fill="auto"/>
            <w:hideMark/>
          </w:tcPr>
          <w:p w14:paraId="39CDACDF" w14:textId="77777777" w:rsidR="001A43F2" w:rsidRPr="00B83700" w:rsidRDefault="001A43F2"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Productivity Commission  </w:t>
            </w:r>
          </w:p>
        </w:tc>
      </w:tr>
      <w:tr w:rsidR="001A43F2" w:rsidRPr="00B83700" w14:paraId="2ECBCC94" w14:textId="77777777" w:rsidTr="005C127D">
        <w:trPr>
          <w:trHeight w:val="300"/>
        </w:trPr>
        <w:tc>
          <w:tcPr>
            <w:tcW w:w="1111" w:type="pct"/>
            <w:tcBorders>
              <w:bottom w:val="nil"/>
            </w:tcBorders>
            <w:shd w:val="clear" w:color="000000" w:fill="F2F2F2"/>
            <w:hideMark/>
          </w:tcPr>
          <w:p w14:paraId="6598135E" w14:textId="77777777" w:rsidR="001A43F2" w:rsidRPr="00B83700" w:rsidRDefault="001A43F2"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PPE </w:t>
            </w:r>
          </w:p>
        </w:tc>
        <w:tc>
          <w:tcPr>
            <w:tcW w:w="3889" w:type="pct"/>
            <w:tcBorders>
              <w:bottom w:val="nil"/>
            </w:tcBorders>
            <w:shd w:val="clear" w:color="000000" w:fill="F2F2F2"/>
            <w:hideMark/>
          </w:tcPr>
          <w:p w14:paraId="162BF111" w14:textId="77777777" w:rsidR="001A43F2" w:rsidRPr="00B83700" w:rsidRDefault="001A43F2"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Personal Protective Equipment </w:t>
            </w:r>
          </w:p>
        </w:tc>
      </w:tr>
      <w:tr w:rsidR="00355768" w:rsidRPr="00B83700" w14:paraId="6A5B7A89" w14:textId="77777777" w:rsidTr="005C127D">
        <w:trPr>
          <w:trHeight w:val="300"/>
        </w:trPr>
        <w:tc>
          <w:tcPr>
            <w:tcW w:w="1111" w:type="pct"/>
            <w:tcBorders>
              <w:top w:val="nil"/>
              <w:bottom w:val="nil"/>
            </w:tcBorders>
            <w:shd w:val="clear" w:color="000000" w:fill="auto"/>
          </w:tcPr>
          <w:p w14:paraId="1479547B" w14:textId="6BF33636" w:rsidR="00355768" w:rsidRPr="00B83700" w:rsidRDefault="00355768"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ROI</w:t>
            </w:r>
          </w:p>
        </w:tc>
        <w:tc>
          <w:tcPr>
            <w:tcW w:w="3889" w:type="pct"/>
            <w:tcBorders>
              <w:top w:val="nil"/>
              <w:bottom w:val="nil"/>
            </w:tcBorders>
            <w:shd w:val="clear" w:color="000000" w:fill="auto"/>
          </w:tcPr>
          <w:p w14:paraId="0DAABE84" w14:textId="787F14D0" w:rsidR="00355768" w:rsidRPr="00B83700" w:rsidRDefault="00355768"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Return on investment</w:t>
            </w:r>
          </w:p>
        </w:tc>
      </w:tr>
      <w:tr w:rsidR="001A43F2" w:rsidRPr="00B83700" w14:paraId="766362A8" w14:textId="77777777" w:rsidTr="005C127D">
        <w:trPr>
          <w:trHeight w:val="300"/>
        </w:trPr>
        <w:tc>
          <w:tcPr>
            <w:tcW w:w="1111" w:type="pct"/>
            <w:tcBorders>
              <w:bottom w:val="nil"/>
            </w:tcBorders>
            <w:shd w:val="clear" w:color="000000" w:fill="F2F2F2"/>
            <w:hideMark/>
          </w:tcPr>
          <w:p w14:paraId="5B741478" w14:textId="77777777" w:rsidR="001A43F2" w:rsidRPr="00B83700" w:rsidRDefault="001A43F2"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QALY </w:t>
            </w:r>
          </w:p>
        </w:tc>
        <w:tc>
          <w:tcPr>
            <w:tcW w:w="3889" w:type="pct"/>
            <w:tcBorders>
              <w:bottom w:val="nil"/>
            </w:tcBorders>
            <w:shd w:val="clear" w:color="000000" w:fill="F2F2F2"/>
            <w:hideMark/>
          </w:tcPr>
          <w:p w14:paraId="0F421D1C" w14:textId="506C99F5" w:rsidR="001A43F2" w:rsidRPr="00B83700" w:rsidRDefault="001A43F2"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Quality</w:t>
            </w:r>
            <w:r w:rsidR="00D25956">
              <w:rPr>
                <w:rFonts w:ascii="Arial (Body)" w:hAnsi="Arial (Body)"/>
                <w:color w:val="000000"/>
                <w:sz w:val="18"/>
              </w:rPr>
              <w:noBreakHyphen/>
            </w:r>
            <w:r w:rsidRPr="00B83700">
              <w:rPr>
                <w:rFonts w:ascii="Arial (Body)" w:hAnsi="Arial (Body)"/>
                <w:color w:val="000000"/>
                <w:sz w:val="18"/>
              </w:rPr>
              <w:t>adjusted life year </w:t>
            </w:r>
          </w:p>
        </w:tc>
      </w:tr>
      <w:tr w:rsidR="001A43F2" w:rsidRPr="00B83700" w14:paraId="3FB5B424" w14:textId="77777777" w:rsidTr="005C127D">
        <w:trPr>
          <w:trHeight w:val="300"/>
        </w:trPr>
        <w:tc>
          <w:tcPr>
            <w:tcW w:w="1111" w:type="pct"/>
            <w:tcBorders>
              <w:top w:val="nil"/>
              <w:bottom w:val="nil"/>
            </w:tcBorders>
            <w:shd w:val="clear" w:color="000000" w:fill="auto"/>
            <w:hideMark/>
          </w:tcPr>
          <w:p w14:paraId="5DCCBCAB" w14:textId="77777777" w:rsidR="001A43F2" w:rsidRPr="00B83700" w:rsidRDefault="001A43F2"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R&amp;D </w:t>
            </w:r>
          </w:p>
        </w:tc>
        <w:tc>
          <w:tcPr>
            <w:tcW w:w="3889" w:type="pct"/>
            <w:tcBorders>
              <w:top w:val="nil"/>
              <w:bottom w:val="nil"/>
            </w:tcBorders>
            <w:shd w:val="clear" w:color="000000" w:fill="auto"/>
            <w:hideMark/>
          </w:tcPr>
          <w:p w14:paraId="126ECCDB" w14:textId="77777777" w:rsidR="001A43F2" w:rsidRPr="00B83700" w:rsidRDefault="001A43F2"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Research and Development </w:t>
            </w:r>
          </w:p>
        </w:tc>
      </w:tr>
      <w:tr w:rsidR="00BA496F" w:rsidRPr="00B83700" w14:paraId="1EB059F1" w14:textId="77777777" w:rsidTr="005C127D">
        <w:trPr>
          <w:trHeight w:val="300"/>
        </w:trPr>
        <w:tc>
          <w:tcPr>
            <w:tcW w:w="1111" w:type="pct"/>
            <w:tcBorders>
              <w:bottom w:val="single" w:sz="4" w:space="0" w:color="B3B3B3"/>
            </w:tcBorders>
            <w:shd w:val="clear" w:color="000000" w:fill="F2F2F2"/>
          </w:tcPr>
          <w:p w14:paraId="45B80C79" w14:textId="2BA81142" w:rsidR="00BA496F" w:rsidRPr="00B83700" w:rsidRDefault="00BA496F" w:rsidP="00B83700">
            <w:pPr>
              <w:pStyle w:val="BodyText"/>
              <w:spacing w:before="45" w:after="45"/>
              <w:ind w:left="57" w:right="108"/>
              <w:rPr>
                <w:rFonts w:ascii="Arial (Body)" w:hAnsi="Arial (Body)"/>
                <w:b/>
                <w:color w:val="265A9A"/>
                <w:sz w:val="18"/>
              </w:rPr>
            </w:pPr>
            <w:r w:rsidRPr="00B83700">
              <w:rPr>
                <w:rFonts w:ascii="Arial (Body)" w:hAnsi="Arial (Body)"/>
                <w:b/>
                <w:color w:val="265A9A"/>
                <w:sz w:val="18"/>
              </w:rPr>
              <w:t>US</w:t>
            </w:r>
          </w:p>
        </w:tc>
        <w:tc>
          <w:tcPr>
            <w:tcW w:w="3889" w:type="pct"/>
            <w:tcBorders>
              <w:bottom w:val="single" w:sz="4" w:space="0" w:color="B3B3B3"/>
            </w:tcBorders>
            <w:shd w:val="clear" w:color="000000" w:fill="F2F2F2"/>
          </w:tcPr>
          <w:p w14:paraId="40C34810" w14:textId="32A33D6C" w:rsidR="00BA496F" w:rsidRPr="00B83700" w:rsidRDefault="00BA496F" w:rsidP="00B83700">
            <w:pPr>
              <w:pStyle w:val="BodyText"/>
              <w:spacing w:before="45" w:after="45"/>
              <w:ind w:left="57" w:right="108"/>
              <w:rPr>
                <w:rFonts w:ascii="Arial (Body)" w:hAnsi="Arial (Body)"/>
                <w:color w:val="000000"/>
                <w:sz w:val="18"/>
              </w:rPr>
            </w:pPr>
            <w:r w:rsidRPr="00B83700">
              <w:rPr>
                <w:rFonts w:ascii="Arial (Body)" w:hAnsi="Arial (Body)"/>
                <w:color w:val="000000"/>
                <w:sz w:val="18"/>
              </w:rPr>
              <w:t>United States</w:t>
            </w:r>
          </w:p>
        </w:tc>
      </w:tr>
    </w:tbl>
    <w:p w14:paraId="5A76F0C7" w14:textId="77777777" w:rsidR="004F3552" w:rsidRDefault="004F3552">
      <w:pPr>
        <w:spacing w:before="0" w:after="160" w:line="259" w:lineRule="auto"/>
        <w:rPr>
          <w:rFonts w:asciiTheme="majorHAnsi" w:hAnsiTheme="majorHAnsi"/>
          <w:color w:val="265A9A" w:themeColor="background2"/>
          <w:sz w:val="42"/>
        </w:rPr>
        <w:sectPr w:rsidR="004F3552" w:rsidSect="002E3F19">
          <w:headerReference w:type="even" r:id="rId63"/>
          <w:headerReference w:type="default" r:id="rId64"/>
          <w:headerReference w:type="first" r:id="rId65"/>
          <w:pgSz w:w="11906" w:h="16838" w:code="9"/>
          <w:pgMar w:top="1134" w:right="1134" w:bottom="1134" w:left="1134" w:header="794" w:footer="510" w:gutter="0"/>
          <w:cols w:space="708"/>
          <w:docGrid w:linePitch="360"/>
        </w:sectPr>
      </w:pPr>
    </w:p>
    <w:p w14:paraId="6F16168E" w14:textId="78AAAAA6" w:rsidR="009337BD" w:rsidRDefault="00E01521" w:rsidP="00A91551">
      <w:pPr>
        <w:pStyle w:val="Heading1-nobackground"/>
        <w:sectPr w:rsidR="009337BD" w:rsidSect="002E3F19">
          <w:headerReference w:type="default" r:id="rId66"/>
          <w:headerReference w:type="first" r:id="rId67"/>
          <w:pgSz w:w="11906" w:h="16838" w:code="9"/>
          <w:pgMar w:top="1134" w:right="1134" w:bottom="1134" w:left="1134" w:header="794" w:footer="510" w:gutter="0"/>
          <w:cols w:space="708"/>
          <w:docGrid w:linePitch="360"/>
        </w:sectPr>
      </w:pPr>
      <w:bookmarkStart w:id="139" w:name="_Toc183530090"/>
      <w:bookmarkStart w:id="140" w:name="_Toc183785538"/>
      <w:bookmarkStart w:id="141" w:name="_Toc195696948"/>
      <w:bookmarkStart w:id="142" w:name="_Toc210942163"/>
      <w:r>
        <w:lastRenderedPageBreak/>
        <w:t>R</w:t>
      </w:r>
      <w:r w:rsidR="00A91551">
        <w:t>eference</w:t>
      </w:r>
      <w:bookmarkEnd w:id="139"/>
      <w:bookmarkEnd w:id="140"/>
      <w:bookmarkEnd w:id="141"/>
      <w:r w:rsidR="0027116F">
        <w:t>s</w:t>
      </w:r>
      <w:bookmarkEnd w:id="142"/>
    </w:p>
    <w:p w14:paraId="17ED4608" w14:textId="35310634" w:rsidR="00ED6B7B" w:rsidRDefault="00ED6B7B" w:rsidP="003C558E">
      <w:pPr>
        <w:pStyle w:val="Reference"/>
      </w:pPr>
      <w:r>
        <w:t xml:space="preserve">3M 2020, </w:t>
      </w:r>
      <w:r w:rsidRPr="0026357E">
        <w:rPr>
          <w:i/>
          <w:iCs/>
        </w:rPr>
        <w:t>Frequently Asked Questions: 3M Health Care Particulate Respirator and Surgical Masks Storage Conditions and Shelf Life</w:t>
      </w:r>
      <w:r>
        <w:t>, 5 February.</w:t>
      </w:r>
    </w:p>
    <w:p w14:paraId="04A45E80" w14:textId="77777777" w:rsidR="00ED6B7B" w:rsidRDefault="00ED6B7B" w:rsidP="003C558E">
      <w:pPr>
        <w:pStyle w:val="Reference"/>
      </w:pPr>
      <w:r>
        <w:t xml:space="preserve">ABS (Australian Bureau of Statistics) 2020, </w:t>
      </w:r>
      <w:r w:rsidRPr="0026357E">
        <w:rPr>
          <w:i/>
          <w:iCs/>
        </w:rPr>
        <w:t>Imports of Personal Protective Equipment (PPE)</w:t>
      </w:r>
      <w:r>
        <w:t>, https://www.abs.gov.au/articles/imports-personal-protective-equipment-ppe (accessed 5 August 2024).</w:t>
      </w:r>
    </w:p>
    <w:p w14:paraId="30CA13D1" w14:textId="1D1C9116" w:rsidR="00ED6B7B" w:rsidRDefault="00ED6B7B" w:rsidP="003C558E">
      <w:pPr>
        <w:pStyle w:val="Reference"/>
      </w:pPr>
      <w:r>
        <w:t>——</w:t>
      </w:r>
      <w:r w:rsidR="0026357E">
        <w:t> </w:t>
      </w:r>
      <w:r>
        <w:t>2024, 5368.0 - International Trade in Goods and Services, March 2024, Data release, Australian Government, Canberra.</w:t>
      </w:r>
    </w:p>
    <w:p w14:paraId="5366FF0F" w14:textId="77777777" w:rsidR="00ED6B7B" w:rsidRDefault="00ED6B7B" w:rsidP="003C558E">
      <w:pPr>
        <w:pStyle w:val="Reference"/>
      </w:pPr>
      <w:r>
        <w:t xml:space="preserve">Advisory Board 2023, </w:t>
      </w:r>
      <w:r w:rsidRPr="0026357E">
        <w:rPr>
          <w:i/>
          <w:iCs/>
        </w:rPr>
        <w:t xml:space="preserve">Why is ‘made in America’ PPE shutting </w:t>
      </w:r>
      <w:proofErr w:type="gramStart"/>
      <w:r w:rsidRPr="0026357E">
        <w:rPr>
          <w:i/>
          <w:iCs/>
        </w:rPr>
        <w:t>down?,</w:t>
      </w:r>
      <w:proofErr w:type="gramEnd"/>
      <w:r>
        <w:t xml:space="preserve"> https://www.advisory.com/daily-briefing/2022/04/13/ppe-manufacturing (accessed 4 November 2024).</w:t>
      </w:r>
    </w:p>
    <w:p w14:paraId="3153BCE4" w14:textId="77777777" w:rsidR="00ED6B7B" w:rsidRPr="0026357E" w:rsidRDefault="00ED6B7B" w:rsidP="003C558E">
      <w:pPr>
        <w:pStyle w:val="Reference"/>
        <w:rPr>
          <w:spacing w:val="-4"/>
        </w:rPr>
      </w:pPr>
      <w:r w:rsidRPr="0026357E">
        <w:rPr>
          <w:spacing w:val="-4"/>
        </w:rPr>
        <w:t xml:space="preserve">Aiyar, S, Chen, J, Ebeke, CH and Gracia-Saltos, R 2023, </w:t>
      </w:r>
      <w:r w:rsidRPr="0026357E">
        <w:rPr>
          <w:i/>
          <w:iCs/>
          <w:spacing w:val="-4"/>
        </w:rPr>
        <w:t>Geoeconomic Fragmentation and the Future of Multilateralism</w:t>
      </w:r>
      <w:r w:rsidRPr="0026357E">
        <w:rPr>
          <w:spacing w:val="-4"/>
        </w:rPr>
        <w:t>, IMF, https://www.imf.org/en/Publications/Staff-Discussion-Notes/Issues/2023/01/11/Geo-Economic-Fragmentation-and-the-Future-of-Multilateralism-527266 (accessed 6 December 2024).</w:t>
      </w:r>
    </w:p>
    <w:p w14:paraId="74823384" w14:textId="76E10D7F" w:rsidR="00ED6B7B" w:rsidRDefault="00ED6B7B" w:rsidP="003C558E">
      <w:pPr>
        <w:pStyle w:val="Reference"/>
      </w:pPr>
      <w:r>
        <w:t>Albanese, A 2025, Albanese Government to establish critical minerals strategic reserve, https://anthonyalbanese.com.au/</w:t>
      </w:r>
      <w:r w:rsidR="003C5A75">
        <w:br/>
      </w:r>
      <w:r>
        <w:t>media-centre/albanese-government-to-establish-critical-minerals-strategic-reserve (accessed 2 May 2025).</w:t>
      </w:r>
    </w:p>
    <w:p w14:paraId="41FF541A" w14:textId="77777777" w:rsidR="00ED6B7B" w:rsidRDefault="00ED6B7B" w:rsidP="003C558E">
      <w:pPr>
        <w:pStyle w:val="Reference"/>
      </w:pPr>
      <w:r>
        <w:t xml:space="preserve">——, Chalmers, J and Butler, M 2024, </w:t>
      </w:r>
      <w:r w:rsidRPr="003C5A75">
        <w:rPr>
          <w:i/>
          <w:iCs/>
        </w:rPr>
        <w:t>Release of the Covid-19 Inquiry Report</w:t>
      </w:r>
      <w:r>
        <w:t>, Prime Minister of Australia, https://www.pm.gov.au/media/release-covid-19-inquiry-report (accessed 22 May 2025).</w:t>
      </w:r>
    </w:p>
    <w:p w14:paraId="7B4A3ABD" w14:textId="77777777" w:rsidR="00ED6B7B" w:rsidRDefault="00ED6B7B" w:rsidP="003C558E">
      <w:pPr>
        <w:pStyle w:val="Reference"/>
      </w:pPr>
      <w:r>
        <w:t xml:space="preserve">Amiti, M, Redding, S and Weinstein, D 2019, </w:t>
      </w:r>
      <w:r w:rsidRPr="003C5A75">
        <w:rPr>
          <w:i/>
          <w:iCs/>
        </w:rPr>
        <w:t>The Impact of the 2018 Trade War on U.S. Prices and Welfare</w:t>
      </w:r>
      <w:r>
        <w:t>, March, w25672, National Bureau of Economic Research, Cambridge, MA, p. w25672, http://www.nber.org/papers/w25672.pdf (accessed 24 April 2025).</w:t>
      </w:r>
    </w:p>
    <w:p w14:paraId="69BC67EF" w14:textId="77777777" w:rsidR="00ED6B7B" w:rsidRDefault="00ED6B7B" w:rsidP="003C558E">
      <w:pPr>
        <w:pStyle w:val="Reference"/>
      </w:pPr>
      <w:r>
        <w:t xml:space="preserve">ANAO (Australian National Audit Office) 2021, </w:t>
      </w:r>
      <w:r w:rsidRPr="003C5A75">
        <w:rPr>
          <w:i/>
          <w:iCs/>
        </w:rPr>
        <w:t>COVID-19 Procurements and Deployments of the National Medical Stockpile</w:t>
      </w:r>
      <w:r>
        <w:t>, Auditor-General Report, 27 May, 39 of 2020-21, https://www.anao.gov.au/work/performance-audit/covid-19-procurements-and-deployments-the-national-medical-stockpile (accessed 5 August 2024).</w:t>
      </w:r>
    </w:p>
    <w:p w14:paraId="7BEC1EA7" w14:textId="77777777" w:rsidR="00ED6B7B" w:rsidRDefault="00ED6B7B" w:rsidP="003C558E">
      <w:pPr>
        <w:pStyle w:val="Reference"/>
      </w:pPr>
      <w:r>
        <w:t>Andrews, K 2020, Growing Australia’s PPE capability, https://www.minister.industry.gov.au/ministers/karenandrews/media-releases/growing-australias-ppe-capability (accessed 5 December 2024).</w:t>
      </w:r>
    </w:p>
    <w:p w14:paraId="2C60DCE9" w14:textId="77777777" w:rsidR="00ED6B7B" w:rsidRDefault="00ED6B7B" w:rsidP="003C558E">
      <w:pPr>
        <w:pStyle w:val="Reference"/>
      </w:pPr>
      <w:r>
        <w:t xml:space="preserve">Australian Government 2015, </w:t>
      </w:r>
      <w:r w:rsidRPr="00477156">
        <w:rPr>
          <w:i/>
          <w:iCs/>
        </w:rPr>
        <w:t>The cost of cybercrime to Australia</w:t>
      </w:r>
      <w:r>
        <w:t>.</w:t>
      </w:r>
    </w:p>
    <w:p w14:paraId="1B07B462" w14:textId="708591CC" w:rsidR="00ED6B7B" w:rsidRDefault="00ED6B7B" w:rsidP="003C558E">
      <w:pPr>
        <w:pStyle w:val="Reference"/>
      </w:pPr>
      <w:r>
        <w:t>——</w:t>
      </w:r>
      <w:r w:rsidR="0026357E">
        <w:t> </w:t>
      </w:r>
      <w:r>
        <w:t>2022, National Terrorism Threat Advisory System, https://www.nationalsecurity.gov.au/national-threat-level/threat-advisory-system (accessed 23 October 2024).</w:t>
      </w:r>
    </w:p>
    <w:p w14:paraId="119FCFFF" w14:textId="022F91C2" w:rsidR="00ED6B7B" w:rsidRDefault="00ED6B7B" w:rsidP="003C558E">
      <w:pPr>
        <w:pStyle w:val="Reference"/>
      </w:pPr>
      <w:r>
        <w:t>——</w:t>
      </w:r>
      <w:r w:rsidR="0026357E">
        <w:t> </w:t>
      </w:r>
      <w:r>
        <w:t xml:space="preserve">2024, </w:t>
      </w:r>
      <w:r w:rsidRPr="00477156">
        <w:rPr>
          <w:i/>
          <w:iCs/>
        </w:rPr>
        <w:t>Future Made in Australia – National Interest Framework supporting paper</w:t>
      </w:r>
      <w:r>
        <w:t>.</w:t>
      </w:r>
    </w:p>
    <w:p w14:paraId="3AFB2C8C" w14:textId="6CDAEA29" w:rsidR="00ED6B7B" w:rsidRDefault="00ED6B7B" w:rsidP="003C558E">
      <w:pPr>
        <w:pStyle w:val="Reference"/>
      </w:pPr>
      <w:r>
        <w:t>——</w:t>
      </w:r>
      <w:r w:rsidR="0026357E">
        <w:t> </w:t>
      </w:r>
      <w:r>
        <w:t>2025, Future Made in Australia, https://futuremadeinaustralia.gov.au/ (accessed 27 March 2025).</w:t>
      </w:r>
    </w:p>
    <w:p w14:paraId="50E8D891" w14:textId="77777777" w:rsidR="00ED6B7B" w:rsidRPr="003C5DE8" w:rsidRDefault="00ED6B7B" w:rsidP="003C558E">
      <w:pPr>
        <w:pStyle w:val="Reference"/>
        <w:rPr>
          <w:spacing w:val="-4"/>
        </w:rPr>
      </w:pPr>
      <w:r w:rsidRPr="003C5DE8">
        <w:rPr>
          <w:spacing w:val="-4"/>
        </w:rPr>
        <w:t xml:space="preserve">Autor, DH, Dorn, D and Hanson, GH 2016, </w:t>
      </w:r>
      <w:r w:rsidRPr="003C5DE8">
        <w:rPr>
          <w:i/>
          <w:iCs/>
          <w:spacing w:val="-4"/>
        </w:rPr>
        <w:t>The China Shock: Learning from Labor Market Adjustment to Large Changes in Trade</w:t>
      </w:r>
      <w:r w:rsidRPr="003C5DE8">
        <w:rPr>
          <w:spacing w:val="-4"/>
        </w:rPr>
        <w:t>, January, w21906, National Bureau of Economic Research.</w:t>
      </w:r>
    </w:p>
    <w:p w14:paraId="0FC90720" w14:textId="77777777" w:rsidR="00ED6B7B" w:rsidRDefault="00ED6B7B" w:rsidP="003C558E">
      <w:pPr>
        <w:pStyle w:val="Reference"/>
      </w:pPr>
      <w:r>
        <w:t xml:space="preserve">Ayton, D, Soh, S-E, Berkovic, D, Parker, C, Yu, K, Honeyman, D, Manocha, R, MacIntyre, R and Ananda-Rajah, M 2022, ‘Experiences of personal protective equipment by Australian healthcare workers during the COVID-19 pandemic, 2020: A cross-sectional study’, </w:t>
      </w:r>
      <w:r w:rsidRPr="00C719BA">
        <w:rPr>
          <w:i/>
          <w:iCs/>
        </w:rPr>
        <w:t>PLOS ONE</w:t>
      </w:r>
      <w:r>
        <w:t>, vol. 17, no. 6.</w:t>
      </w:r>
    </w:p>
    <w:p w14:paraId="2E22FEF0" w14:textId="77777777" w:rsidR="00ED6B7B" w:rsidRDefault="00ED6B7B" w:rsidP="003C558E">
      <w:pPr>
        <w:pStyle w:val="Reference"/>
      </w:pPr>
      <w:r>
        <w:t>Bildt, C 2022, The great chips war, The Strategist, 23 October, https://www.aspistrategist.org.au/the-great-chips-war/ (accessed 9 May 2025).</w:t>
      </w:r>
    </w:p>
    <w:p w14:paraId="0F9B0C64" w14:textId="77777777" w:rsidR="00ED6B7B" w:rsidRDefault="00ED6B7B" w:rsidP="003C558E">
      <w:pPr>
        <w:pStyle w:val="Reference"/>
      </w:pPr>
      <w:r>
        <w:t>Bown, CP 2022, ‘How COVID</w:t>
      </w:r>
      <w:r>
        <w:rPr>
          <w:rFonts w:ascii="Cambria Math" w:hAnsi="Cambria Math" w:cs="Cambria Math"/>
        </w:rPr>
        <w:t>‐</w:t>
      </w:r>
      <w:r>
        <w:t>19 medical supply shortages led to extraordinary trade and industrial policy</w:t>
      </w:r>
      <w:r>
        <w:rPr>
          <w:rFonts w:ascii="Arial" w:hAnsi="Arial" w:cs="Arial"/>
        </w:rPr>
        <w:t>’</w:t>
      </w:r>
      <w:r>
        <w:t xml:space="preserve">, </w:t>
      </w:r>
      <w:r w:rsidRPr="00C719BA">
        <w:rPr>
          <w:i/>
          <w:iCs/>
        </w:rPr>
        <w:t>Asian Economic Policy Review</w:t>
      </w:r>
      <w:r>
        <w:t>, vol. 17, no. 1, pp. 114–135.</w:t>
      </w:r>
    </w:p>
    <w:p w14:paraId="4A370B94" w14:textId="7BCB0414" w:rsidR="00ED6B7B" w:rsidRDefault="00ED6B7B" w:rsidP="003C558E">
      <w:pPr>
        <w:pStyle w:val="Reference"/>
      </w:pPr>
      <w:r>
        <w:t xml:space="preserve">Brooks, G 2024, </w:t>
      </w:r>
      <w:r w:rsidRPr="00C719BA">
        <w:rPr>
          <w:i/>
          <w:iCs/>
        </w:rPr>
        <w:t xml:space="preserve">The green steel revolution or </w:t>
      </w:r>
      <w:proofErr w:type="gramStart"/>
      <w:r w:rsidRPr="00C719BA">
        <w:rPr>
          <w:i/>
          <w:iCs/>
        </w:rPr>
        <w:t>evolution?</w:t>
      </w:r>
      <w:r>
        <w:t>,</w:t>
      </w:r>
      <w:proofErr w:type="gramEnd"/>
      <w:r>
        <w:t xml:space="preserve"> Mining Magazine Australia, 3 June, https://miningmagazine.com.au/the-green-steel-revolution-or-evolution/ (accessed 28 January 2025).</w:t>
      </w:r>
    </w:p>
    <w:p w14:paraId="3CC40FE5" w14:textId="63049E49" w:rsidR="00ED6B7B" w:rsidRDefault="00ED6B7B" w:rsidP="003C558E">
      <w:pPr>
        <w:pStyle w:val="Reference"/>
      </w:pPr>
      <w:r>
        <w:t xml:space="preserve">Buchanan, JM 1965, ‘An Economic Theory of Clubs’, London School of Economics, Wiley, London School of Economics and Political Science, Suntory and Toyota International Centres for Economics and Related Disciplines, </w:t>
      </w:r>
      <w:r w:rsidRPr="005B7542">
        <w:rPr>
          <w:i/>
          <w:iCs/>
        </w:rPr>
        <w:t>Economica</w:t>
      </w:r>
      <w:r>
        <w:t>, vol. 32, no. 125, pp. 1–14.</w:t>
      </w:r>
    </w:p>
    <w:p w14:paraId="48A2A9F2" w14:textId="77777777" w:rsidR="00ED6B7B" w:rsidRDefault="00ED6B7B" w:rsidP="003C558E">
      <w:pPr>
        <w:pStyle w:val="Reference"/>
      </w:pPr>
      <w:r>
        <w:t xml:space="preserve">CCA (Australian Government Climate Change Authority) 2024, </w:t>
      </w:r>
      <w:r w:rsidRPr="005B7542">
        <w:rPr>
          <w:i/>
          <w:iCs/>
        </w:rPr>
        <w:t>Sector pathways review</w:t>
      </w:r>
      <w:r>
        <w:t>, Climate Change Authority, Canberra.</w:t>
      </w:r>
    </w:p>
    <w:p w14:paraId="235E7604" w14:textId="13F9A8F3" w:rsidR="00ED6B7B" w:rsidRDefault="00ED6B7B" w:rsidP="003C558E">
      <w:pPr>
        <w:pStyle w:val="Reference"/>
      </w:pPr>
      <w:r>
        <w:t xml:space="preserve">Chalmers, J 2024, </w:t>
      </w:r>
      <w:r w:rsidRPr="005B7542">
        <w:rPr>
          <w:i/>
          <w:iCs/>
        </w:rPr>
        <w:t>Opinion piece: More engagement in uncertain times, not less</w:t>
      </w:r>
      <w:r w:rsidR="00A9272B">
        <w:t xml:space="preserve">, </w:t>
      </w:r>
      <w:r>
        <w:t>Treasury Ministers, https://ministers.treasury.gov.au/ministers/jim-chalmers-2022/articles/opinion-piece-more-engagement-uncertain-times-not-less (accessed 2 May 2025).</w:t>
      </w:r>
    </w:p>
    <w:p w14:paraId="79E24DC4" w14:textId="77777777" w:rsidR="00ED6B7B" w:rsidRDefault="00ED6B7B" w:rsidP="003C558E">
      <w:pPr>
        <w:pStyle w:val="Reference"/>
      </w:pPr>
      <w:r>
        <w:t xml:space="preserve">Channer, H, Edmonstone, G and Barrett, T 2025, </w:t>
      </w:r>
      <w:r w:rsidRPr="00A9272B">
        <w:rPr>
          <w:i/>
          <w:iCs/>
        </w:rPr>
        <w:t>Australia’s economic security outlook: Expert perspectives on challenges facing Australia in 2025</w:t>
      </w:r>
      <w:r>
        <w:t>, United States Studies Centre, https://www.ussc.edu.au/australias-economic-security-outlook-expert-perspectives-on-challenges-facing-australia-in-2025 (accessed 4 June 2025).</w:t>
      </w:r>
    </w:p>
    <w:p w14:paraId="79CE61FE" w14:textId="77777777" w:rsidR="00ED6B7B" w:rsidRDefault="00ED6B7B" w:rsidP="003C558E">
      <w:pPr>
        <w:pStyle w:val="Reference"/>
      </w:pPr>
      <w:r>
        <w:t xml:space="preserve">CIE (Centre for International Economics) 2017, </w:t>
      </w:r>
      <w:r w:rsidRPr="00A9272B">
        <w:rPr>
          <w:i/>
          <w:iCs/>
        </w:rPr>
        <w:t>Australian Trade Liberalisation: Analysis of the economic impacts</w:t>
      </w:r>
      <w:r>
        <w:t>, October, Prepared for Australian Department of Foreign Affairs and Trade.</w:t>
      </w:r>
    </w:p>
    <w:p w14:paraId="7D924EF9" w14:textId="77777777" w:rsidR="00ED6B7B" w:rsidRDefault="00ED6B7B" w:rsidP="003C558E">
      <w:pPr>
        <w:pStyle w:val="Reference"/>
      </w:pPr>
      <w:r>
        <w:t xml:space="preserve">Coelli, F, Moxnes, A and Ulltveit-Moe, KH 2022, ‘Better, Faster, Stronger: Global Innovation and Trade Liberalization’, </w:t>
      </w:r>
      <w:r w:rsidRPr="00A9272B">
        <w:rPr>
          <w:i/>
          <w:iCs/>
        </w:rPr>
        <w:t>The Review of Economics and Statistics</w:t>
      </w:r>
      <w:r>
        <w:t>, vol. 104, no. 2, pp. 205–216.</w:t>
      </w:r>
    </w:p>
    <w:p w14:paraId="70EC907A" w14:textId="77777777" w:rsidR="00ED6B7B" w:rsidRDefault="00ED6B7B" w:rsidP="003C558E">
      <w:pPr>
        <w:pStyle w:val="Reference"/>
      </w:pPr>
      <w:r>
        <w:t>Columbia Law School 2025, Inflation Reduction Act Tracker, Inflation Reduction Act Tracker, https://iratracker.org/actions/ (accessed 1 May 2025).</w:t>
      </w:r>
    </w:p>
    <w:p w14:paraId="3E6F996C" w14:textId="77777777" w:rsidR="00ED6B7B" w:rsidRDefault="00ED6B7B" w:rsidP="003C558E">
      <w:pPr>
        <w:pStyle w:val="Reference"/>
      </w:pPr>
      <w:r>
        <w:t xml:space="preserve">Commonwealth of Australia 2024, </w:t>
      </w:r>
      <w:r w:rsidRPr="00A9272B">
        <w:rPr>
          <w:i/>
          <w:iCs/>
        </w:rPr>
        <w:t>Budget Paper No. 2: Budget 2024-25</w:t>
      </w:r>
      <w:r>
        <w:t>.</w:t>
      </w:r>
    </w:p>
    <w:p w14:paraId="5A5D9CE0" w14:textId="21172CA3" w:rsidR="00ED6B7B" w:rsidRPr="003C5DE8" w:rsidRDefault="00ED6B7B" w:rsidP="003C558E">
      <w:pPr>
        <w:pStyle w:val="Reference"/>
        <w:rPr>
          <w:spacing w:val="-4"/>
        </w:rPr>
      </w:pPr>
      <w:r w:rsidRPr="003C5DE8">
        <w:rPr>
          <w:spacing w:val="-4"/>
        </w:rPr>
        <w:t>Cooper, V 2022, Explainer: The CHIPS and Science Act 2022, United States Studies Centre, https://www.ussc.edu.au/explainer-</w:t>
      </w:r>
      <w:r w:rsidR="003C5DE8" w:rsidRPr="003C5DE8">
        <w:rPr>
          <w:spacing w:val="-4"/>
        </w:rPr>
        <w:br/>
      </w:r>
      <w:r w:rsidRPr="003C5DE8">
        <w:rPr>
          <w:spacing w:val="-4"/>
        </w:rPr>
        <w:t>the-chips-and-science-act-2022 (accessed 8 May 2025).</w:t>
      </w:r>
    </w:p>
    <w:p w14:paraId="545812A4" w14:textId="6FFB3EB2" w:rsidR="006249B8" w:rsidRDefault="006249B8" w:rsidP="003C558E">
      <w:pPr>
        <w:pStyle w:val="Reference"/>
      </w:pPr>
      <w:r>
        <w:t>DCCEEW (Australian Government Department of Climate Change, Energy, the Environment and Water) 2025a, Australian Petroleum Statistics - Data Extract March 2025, energy.gov.au, https://www.energy.gov.au/publications/</w:t>
      </w:r>
      <w:r w:rsidR="00A9272B">
        <w:br/>
      </w:r>
      <w:r>
        <w:t>australian-petroleum-statistics-2024 (accessed 2 December 2024).</w:t>
      </w:r>
    </w:p>
    <w:p w14:paraId="51D0128A" w14:textId="0D07B57E" w:rsidR="006249B8" w:rsidRDefault="006249B8" w:rsidP="003C558E">
      <w:pPr>
        <w:pStyle w:val="Reference"/>
      </w:pPr>
      <w:r>
        <w:lastRenderedPageBreak/>
        <w:t>——</w:t>
      </w:r>
      <w:r w:rsidR="0026357E">
        <w:t> </w:t>
      </w:r>
      <w:r>
        <w:t>2025b, National Greenhouse Gas Inventory Quarterly Update: March 2025, 27 August, https://www.dcceew.gov.au/</w:t>
      </w:r>
      <w:r w:rsidR="002B5E9E">
        <w:br/>
      </w:r>
      <w:r>
        <w:t>climate-change/publications/national-greenhouse-gas-inventory-quarterly-update-march-2025 (accessed 25 September 2025).</w:t>
      </w:r>
    </w:p>
    <w:p w14:paraId="366426BA" w14:textId="7BCA6C46" w:rsidR="00ED6B7B" w:rsidRDefault="00ED6B7B" w:rsidP="003C558E">
      <w:pPr>
        <w:pStyle w:val="Reference"/>
      </w:pPr>
      <w:r>
        <w:t>——</w:t>
      </w:r>
      <w:r w:rsidR="0026357E">
        <w:t> </w:t>
      </w:r>
      <w:r w:rsidR="006249B8">
        <w:t>2024</w:t>
      </w:r>
      <w:r>
        <w:t xml:space="preserve">, </w:t>
      </w:r>
      <w:r w:rsidRPr="002B5E9E">
        <w:rPr>
          <w:i/>
          <w:iCs/>
        </w:rPr>
        <w:t>Australia’s fuel security</w:t>
      </w:r>
      <w:r>
        <w:t>, Department of Climate Change, Energy, the Environment and Water, https://www.dcceew.gov.au/energy/security/australias-fuel-security (accessed 22 May 2025).</w:t>
      </w:r>
    </w:p>
    <w:p w14:paraId="3B2E8B4E" w14:textId="77777777" w:rsidR="00ED6B7B" w:rsidRDefault="00ED6B7B" w:rsidP="003C558E">
      <w:pPr>
        <w:pStyle w:val="Reference"/>
      </w:pPr>
      <w:r>
        <w:t xml:space="preserve">DFAT (Australian Government Department of Foreign Affairs and Trade) 2023, </w:t>
      </w:r>
      <w:r w:rsidRPr="002B5E9E">
        <w:rPr>
          <w:i/>
          <w:iCs/>
        </w:rPr>
        <w:t>IPEF Supply Chain Agreement Policy Impact Analysis</w:t>
      </w:r>
      <w:r>
        <w:t>.</w:t>
      </w:r>
    </w:p>
    <w:p w14:paraId="03A31218" w14:textId="77777777" w:rsidR="00ED6B7B" w:rsidRDefault="00ED6B7B" w:rsidP="003C558E">
      <w:pPr>
        <w:pStyle w:val="Reference"/>
      </w:pPr>
      <w:r>
        <w:t>DHAC (Australian Government Department of Health and Aged Care) 2024, Health Workforce Data Portal, https://hwd.health.gov.au/webapi/jsf/login.xhtml?invalidSession=true&amp;reason=Session+not+established. (accessed 22 August 2024).</w:t>
      </w:r>
    </w:p>
    <w:p w14:paraId="21F9E5A2" w14:textId="77777777" w:rsidR="00ED6B7B" w:rsidRDefault="00ED6B7B" w:rsidP="003C558E">
      <w:pPr>
        <w:pStyle w:val="Reference"/>
      </w:pPr>
      <w:r>
        <w:t xml:space="preserve">Dow, W, Lee, K and Lucia, L 2020, </w:t>
      </w:r>
      <w:r w:rsidRPr="0082150B">
        <w:rPr>
          <w:i/>
          <w:iCs/>
        </w:rPr>
        <w:t>Economic and Health Benefits of a PPE Stockpile</w:t>
      </w:r>
      <w:r>
        <w:t>, 12 August, https://laborcenter.berkeley.edu/economic-and-health-benefits-of-a-ppe-stockpile/ (accessed 22 July 2024).</w:t>
      </w:r>
    </w:p>
    <w:p w14:paraId="0AEB3333" w14:textId="4543AF28" w:rsidR="00ED6B7B" w:rsidRDefault="00ED6B7B" w:rsidP="003C558E">
      <w:pPr>
        <w:pStyle w:val="Reference"/>
      </w:pPr>
      <w:r>
        <w:t xml:space="preserve">Dullien, S 2024, ‘European Industrial Policy in the 2020s: Rationale, Challenges and Limitations’, </w:t>
      </w:r>
      <w:proofErr w:type="spellStart"/>
      <w:r w:rsidR="00FA79E5" w:rsidRPr="00FA79E5">
        <w:rPr>
          <w:i/>
          <w:iCs/>
        </w:rPr>
        <w:t>Intereconomics</w:t>
      </w:r>
      <w:proofErr w:type="spellEnd"/>
      <w:r w:rsidR="00FA79E5">
        <w:t xml:space="preserve">, </w:t>
      </w:r>
      <w:r>
        <w:t>vol. 2024, no. 5, pp. 249–253.</w:t>
      </w:r>
    </w:p>
    <w:p w14:paraId="7C17D99B" w14:textId="50A37C14" w:rsidR="00ED6B7B" w:rsidRDefault="00ED6B7B" w:rsidP="003C558E">
      <w:pPr>
        <w:pStyle w:val="Reference"/>
      </w:pPr>
      <w:r>
        <w:t xml:space="preserve">EOHSP (European Observatory on Health Systems and Policies) 2020, </w:t>
      </w:r>
      <w:r w:rsidRPr="00FA79E5">
        <w:rPr>
          <w:i/>
          <w:iCs/>
        </w:rPr>
        <w:t>What strategies are countries using to find new Personal Protective Equipment (PPE</w:t>
      </w:r>
      <w:proofErr w:type="gramStart"/>
      <w:r w:rsidRPr="00FA79E5">
        <w:rPr>
          <w:i/>
          <w:iCs/>
        </w:rPr>
        <w:t>)?</w:t>
      </w:r>
      <w:r>
        <w:t>,</w:t>
      </w:r>
      <w:proofErr w:type="gramEnd"/>
      <w:r>
        <w:t xml:space="preserve"> https://eurohealth</w:t>
      </w:r>
      <w:r w:rsidR="00FA79E5">
        <w:br/>
      </w:r>
      <w:r>
        <w:t>observatory.who.int/monitors/hsrm/analyses/hsrm/what-strategies-are-countries-using-to-find-new-personal-protective-equipment-(ppe) (accessed 8 February 2024).</w:t>
      </w:r>
    </w:p>
    <w:p w14:paraId="3A040459" w14:textId="33FC9DDB" w:rsidR="00ED6B7B" w:rsidRDefault="00ED6B7B" w:rsidP="003C558E">
      <w:pPr>
        <w:pStyle w:val="Reference"/>
      </w:pPr>
      <w:r>
        <w:t xml:space="preserve">Global Trade Alert 2025, </w:t>
      </w:r>
      <w:r w:rsidRPr="00FA79E5">
        <w:rPr>
          <w:i/>
          <w:iCs/>
        </w:rPr>
        <w:t xml:space="preserve">Global Trade Alert </w:t>
      </w:r>
      <w:r w:rsidR="00FA79E5" w:rsidRPr="00FA79E5">
        <w:rPr>
          <w:i/>
          <w:iCs/>
        </w:rPr>
        <w:t>–</w:t>
      </w:r>
      <w:r w:rsidRPr="00FA79E5">
        <w:rPr>
          <w:i/>
          <w:iCs/>
        </w:rPr>
        <w:t xml:space="preserve"> Monitoring Policy Changes That Affect Global Trade, The World’s Trade and Industrial Policy Watchdog</w:t>
      </w:r>
      <w:r>
        <w:t>, https://globaltradealert.org/ (accessed 1 May 2025).</w:t>
      </w:r>
    </w:p>
    <w:p w14:paraId="472799AE" w14:textId="77777777" w:rsidR="00ED6B7B" w:rsidRDefault="00ED6B7B" w:rsidP="003C558E">
      <w:pPr>
        <w:pStyle w:val="Reference"/>
      </w:pPr>
      <w:r>
        <w:t xml:space="preserve">Goldberg, PK and Maggi, G 1999, ‘Protection for Sale: An Empirical Investigation’, </w:t>
      </w:r>
      <w:r w:rsidRPr="00A73EE3">
        <w:rPr>
          <w:i/>
          <w:iCs/>
        </w:rPr>
        <w:t>American Economic Review</w:t>
      </w:r>
      <w:r>
        <w:t>, vol. 89, no. 5, pp. 1135–1155.</w:t>
      </w:r>
    </w:p>
    <w:p w14:paraId="553F8FC3" w14:textId="77777777" w:rsidR="00ED6B7B" w:rsidRDefault="00ED6B7B" w:rsidP="003C558E">
      <w:pPr>
        <w:pStyle w:val="Reference"/>
      </w:pPr>
      <w:r>
        <w:t xml:space="preserve">Greenawald, LA, Moore, SM, Kilinc-Balci, S and Yorio, PL 2022, </w:t>
      </w:r>
      <w:r w:rsidRPr="00A73EE3">
        <w:rPr>
          <w:i/>
          <w:iCs/>
        </w:rPr>
        <w:t>Performance of Stockpiled Level 3 Surgical Gowns Sampled from Six Stockpile Facilities</w:t>
      </w:r>
      <w:r>
        <w:t>, 19 October, United States Government National Institute for Occupational Safety and Health.</w:t>
      </w:r>
    </w:p>
    <w:p w14:paraId="027B06BB" w14:textId="77777777" w:rsidR="00ED6B7B" w:rsidRDefault="00ED6B7B" w:rsidP="003C558E">
      <w:pPr>
        <w:pStyle w:val="Reference"/>
      </w:pPr>
      <w:r>
        <w:t xml:space="preserve">Hidalgo, C and Hausmann, R 2009, ‘The building blocks of economic complexity’, </w:t>
      </w:r>
      <w:r w:rsidRPr="00A73EE3">
        <w:rPr>
          <w:i/>
          <w:iCs/>
        </w:rPr>
        <w:t>PNAS</w:t>
      </w:r>
      <w:r>
        <w:t>, vol. 106, no. 26, pp. 10570–10575.</w:t>
      </w:r>
    </w:p>
    <w:p w14:paraId="44BDF412" w14:textId="77777777" w:rsidR="00ED6B7B" w:rsidRDefault="00ED6B7B" w:rsidP="003C558E">
      <w:pPr>
        <w:pStyle w:val="Reference"/>
      </w:pPr>
      <w:r>
        <w:t xml:space="preserve">——, ——, Barabasi, A-L and Klinger, B 2007, ‘The product space conditions the development of nations’, </w:t>
      </w:r>
      <w:r w:rsidRPr="00A73EE3">
        <w:rPr>
          <w:i/>
          <w:iCs/>
        </w:rPr>
        <w:t>Science</w:t>
      </w:r>
      <w:r>
        <w:t>, vol. 317, no. 5837, pp. 482–487.</w:t>
      </w:r>
    </w:p>
    <w:p w14:paraId="464942F6" w14:textId="599B9CF0" w:rsidR="00ED6B7B" w:rsidRDefault="00ED6B7B" w:rsidP="003C558E">
      <w:pPr>
        <w:pStyle w:val="Reference"/>
      </w:pPr>
      <w:r>
        <w:t xml:space="preserve">IEA (International Energy Agency) 2022, IEA Member Countries agree to new emergency oil stock release in response to market turmoil </w:t>
      </w:r>
      <w:r w:rsidR="00A73EE3">
        <w:t>–</w:t>
      </w:r>
      <w:r>
        <w:t xml:space="preserve"> News, IEA, https://www.iea.org/news/iea-member-countries-agree-to-new-emergency-oil-stock-release-in-response-to-market-turmoil (accessed 2 September 2024).</w:t>
      </w:r>
    </w:p>
    <w:p w14:paraId="039AC1D8" w14:textId="77777777" w:rsidR="00ED6B7B" w:rsidRDefault="00ED6B7B" w:rsidP="003C558E">
      <w:pPr>
        <w:pStyle w:val="Reference"/>
      </w:pPr>
      <w:r>
        <w:t xml:space="preserve">Jordan, K 2024, ‘6.3 Comparing an Import Tariff with a Production Subsidy’, </w:t>
      </w:r>
      <w:r w:rsidRPr="00A73EE3">
        <w:rPr>
          <w:i/>
          <w:iCs/>
        </w:rPr>
        <w:t>International Trade Finance</w:t>
      </w:r>
      <w:r>
        <w:t xml:space="preserve"> (Part 1), eCampusOntario, pp. 159–162.</w:t>
      </w:r>
    </w:p>
    <w:p w14:paraId="630B3337" w14:textId="77777777" w:rsidR="00ED6B7B" w:rsidRDefault="00ED6B7B" w:rsidP="003C558E">
      <w:pPr>
        <w:pStyle w:val="Reference"/>
      </w:pPr>
      <w:r>
        <w:t xml:space="preserve">Kinne, B and Kang, S 2023, ‘Free Riding, Network Effects, and Burden Sharing in Defense Cooperation Networks’, </w:t>
      </w:r>
      <w:r w:rsidRPr="00A73EE3">
        <w:rPr>
          <w:i/>
          <w:iCs/>
        </w:rPr>
        <w:t>International Organization</w:t>
      </w:r>
      <w:r>
        <w:t>, vol. 77, pp. 1–35.</w:t>
      </w:r>
    </w:p>
    <w:p w14:paraId="3FB8A437" w14:textId="77777777" w:rsidR="00ED6B7B" w:rsidRDefault="00ED6B7B" w:rsidP="003C558E">
      <w:pPr>
        <w:pStyle w:val="Reference"/>
      </w:pPr>
      <w:r>
        <w:t xml:space="preserve">Krugman, P 1990, ‘Increasing Returns and Economic Geography’, </w:t>
      </w:r>
      <w:r w:rsidRPr="00A73EE3">
        <w:rPr>
          <w:i/>
          <w:iCs/>
        </w:rPr>
        <w:t>National Bureau of Economic Research</w:t>
      </w:r>
      <w:r>
        <w:t>.</w:t>
      </w:r>
    </w:p>
    <w:p w14:paraId="2980A6A7" w14:textId="77777777" w:rsidR="00ED6B7B" w:rsidRDefault="00ED6B7B" w:rsidP="003C558E">
      <w:pPr>
        <w:pStyle w:val="Reference"/>
      </w:pPr>
      <w:r>
        <w:t xml:space="preserve">Krugman, PR, Obstfeld, M and Melitz, MJ 2022, </w:t>
      </w:r>
      <w:r w:rsidRPr="00A73EE3">
        <w:rPr>
          <w:i/>
          <w:iCs/>
        </w:rPr>
        <w:t>International Economics: Theory and Policy</w:t>
      </w:r>
      <w:r>
        <w:t>, 12th edn, Pearson Education.</w:t>
      </w:r>
    </w:p>
    <w:p w14:paraId="478611E2" w14:textId="72FDE1D4" w:rsidR="00ED6B7B" w:rsidRDefault="00ED6B7B" w:rsidP="003C558E">
      <w:pPr>
        <w:pStyle w:val="Reference"/>
      </w:pPr>
      <w:r>
        <w:t xml:space="preserve">Leamer, EE 1995, </w:t>
      </w:r>
      <w:r w:rsidR="00664F22">
        <w:t>‘</w:t>
      </w:r>
      <w:r w:rsidRPr="00664F22">
        <w:t>The Heckscher-Ohlin model in theory and practice</w:t>
      </w:r>
      <w:r w:rsidR="00664F22">
        <w:t>’</w:t>
      </w:r>
      <w:r>
        <w:t xml:space="preserve">, </w:t>
      </w:r>
      <w:r w:rsidRPr="00664F22">
        <w:rPr>
          <w:i/>
          <w:iCs/>
        </w:rPr>
        <w:t>Princeton Studies in International Finance</w:t>
      </w:r>
      <w:r w:rsidR="00335EB1">
        <w:rPr>
          <w:i/>
          <w:iCs/>
        </w:rPr>
        <w:t xml:space="preserve">, </w:t>
      </w:r>
      <w:r w:rsidR="00335EB1" w:rsidRPr="00EF014D">
        <w:t xml:space="preserve">No. </w:t>
      </w:r>
      <w:r w:rsidR="00EF014D" w:rsidRPr="00EF014D">
        <w:t>77</w:t>
      </w:r>
      <w:r w:rsidRPr="00EF014D">
        <w:t>.</w:t>
      </w:r>
    </w:p>
    <w:p w14:paraId="7D68F44C" w14:textId="77777777" w:rsidR="00ED6B7B" w:rsidRDefault="00ED6B7B" w:rsidP="003C558E">
      <w:pPr>
        <w:pStyle w:val="Reference"/>
      </w:pPr>
      <w:r>
        <w:t>Library of Congress 2023, Frequently Asked Questions: CHIPS Act of 2022 Provisions and Implementation, legislation, https://www.congress.gov/crs-product/R47523 (accessed 8 May 2025).</w:t>
      </w:r>
    </w:p>
    <w:p w14:paraId="3E7108B6" w14:textId="77777777" w:rsidR="00ED6B7B" w:rsidRPr="00B21A68" w:rsidRDefault="00ED6B7B" w:rsidP="003C558E">
      <w:pPr>
        <w:pStyle w:val="Reference"/>
        <w:rPr>
          <w:spacing w:val="-4"/>
        </w:rPr>
      </w:pPr>
      <w:r w:rsidRPr="00B21A68">
        <w:rPr>
          <w:spacing w:val="-4"/>
        </w:rPr>
        <w:t xml:space="preserve">McAndrew, F, Abeysuriya, RG, Sacks-Davis, R, Sammann, M, Lister, DM, West, D, Majumdar, S and Scott, N 2024, ‘Admission screening testing of patients and staff N95 masks are cost-effective in reducing COVID-19 hospital acquired infections’, </w:t>
      </w:r>
      <w:r w:rsidRPr="00B21A68">
        <w:rPr>
          <w:i/>
          <w:iCs/>
          <w:spacing w:val="-4"/>
        </w:rPr>
        <w:t>Journal of Hospital Infection</w:t>
      </w:r>
      <w:r w:rsidRPr="00B21A68">
        <w:rPr>
          <w:spacing w:val="-4"/>
        </w:rPr>
        <w:t>, p. S0195670124002366.</w:t>
      </w:r>
    </w:p>
    <w:p w14:paraId="116806C3" w14:textId="77777777" w:rsidR="00ED6B7B" w:rsidRDefault="00ED6B7B" w:rsidP="003C558E">
      <w:pPr>
        <w:pStyle w:val="Reference"/>
      </w:pPr>
      <w:r>
        <w:t xml:space="preserve">McDonagh, N 2024, Critical Minerals and the Race for Economic Security, </w:t>
      </w:r>
      <w:r w:rsidRPr="003335BC">
        <w:rPr>
          <w:i/>
          <w:iCs/>
        </w:rPr>
        <w:t>Australian Institute of International Affairs</w:t>
      </w:r>
      <w:r>
        <w:t>, https://www.internationalaffairs.org.au/australianoutlook/critical-minerals-and-the-race-for-economic-security/ (accessed 16 May 2025).</w:t>
      </w:r>
    </w:p>
    <w:p w14:paraId="5ED815BE" w14:textId="3ED48AC3" w:rsidR="00ED6B7B" w:rsidRDefault="00ED6B7B" w:rsidP="003C558E">
      <w:pPr>
        <w:pStyle w:val="Reference"/>
      </w:pPr>
      <w:r>
        <w:t xml:space="preserve">McGillis, J 2021, </w:t>
      </w:r>
      <w:r w:rsidRPr="003335BC">
        <w:rPr>
          <w:i/>
          <w:iCs/>
        </w:rPr>
        <w:t>Remembering Synfuels, 35 Years Later</w:t>
      </w:r>
      <w:r>
        <w:t>, IER, 25 August, https://www.instituteforenergyresearch.org/biofuel/</w:t>
      </w:r>
      <w:r w:rsidR="003335BC">
        <w:br/>
      </w:r>
      <w:r>
        <w:t>remembering-synfuels-35-years-later/ (accessed 20 May 2025).</w:t>
      </w:r>
    </w:p>
    <w:p w14:paraId="22C70EFD" w14:textId="77777777" w:rsidR="00ED6B7B" w:rsidRDefault="00ED6B7B" w:rsidP="003C558E">
      <w:pPr>
        <w:pStyle w:val="Reference"/>
      </w:pPr>
      <w:r>
        <w:t xml:space="preserve">Nelson Star 2023, </w:t>
      </w:r>
      <w:r w:rsidRPr="003335BC">
        <w:rPr>
          <w:i/>
          <w:iCs/>
        </w:rPr>
        <w:t>Rise and fall of Canada’s domestic PPE market blamed on government policy</w:t>
      </w:r>
      <w:r>
        <w:t>, https://www.nelsonstar.com/business/rise-and-fall-of-canadas-domestic-ppe-market-blamed-on-government-policy-4911640 (accessed 2 August 2024).</w:t>
      </w:r>
    </w:p>
    <w:p w14:paraId="4996C824" w14:textId="77777777" w:rsidR="00ED6B7B" w:rsidRDefault="00ED6B7B" w:rsidP="003C558E">
      <w:pPr>
        <w:pStyle w:val="Reference"/>
      </w:pPr>
      <w:r>
        <w:t xml:space="preserve">NEMA (National Emergency Management Agency) 2024, </w:t>
      </w:r>
      <w:r w:rsidRPr="003335BC">
        <w:rPr>
          <w:i/>
          <w:iCs/>
        </w:rPr>
        <w:t>Goods and services ready for emergencies</w:t>
      </w:r>
      <w:r>
        <w:t>, https://www.nema.gov.au/about-us/media-centre/goods-and-services-ready-emergencies (accessed 2 December 2024).</w:t>
      </w:r>
    </w:p>
    <w:p w14:paraId="3888EAD0" w14:textId="77777777" w:rsidR="00ED6B7B" w:rsidRDefault="00ED6B7B" w:rsidP="003C558E">
      <w:pPr>
        <w:pStyle w:val="Reference"/>
      </w:pPr>
      <w:r>
        <w:t xml:space="preserve">Newell, R and Prest, B 2017, </w:t>
      </w:r>
      <w:r w:rsidRPr="003335BC">
        <w:rPr>
          <w:i/>
          <w:iCs/>
        </w:rPr>
        <w:t>Informing SPR Policy through Oil Futures and Inventory Dynamics, 21 October</w:t>
      </w:r>
      <w:r>
        <w:t>, Resources for the Future.</w:t>
      </w:r>
    </w:p>
    <w:p w14:paraId="77A51051" w14:textId="2FAA95E8" w:rsidR="00ED6B7B" w:rsidRDefault="00ED6B7B" w:rsidP="003C558E">
      <w:pPr>
        <w:pStyle w:val="Reference"/>
      </w:pPr>
      <w:r>
        <w:t xml:space="preserve">NSW Health 2024, </w:t>
      </w:r>
      <w:r w:rsidRPr="003335BC">
        <w:rPr>
          <w:i/>
          <w:iCs/>
        </w:rPr>
        <w:t xml:space="preserve">Vaccine storage and cold chain management </w:t>
      </w:r>
      <w:r w:rsidR="003335BC" w:rsidRPr="003335BC">
        <w:rPr>
          <w:i/>
          <w:iCs/>
        </w:rPr>
        <w:t>–</w:t>
      </w:r>
      <w:r w:rsidRPr="003335BC">
        <w:rPr>
          <w:i/>
          <w:iCs/>
        </w:rPr>
        <w:t xml:space="preserve"> Immunisation programs</w:t>
      </w:r>
      <w:r>
        <w:t>, NSW Health, https://www.health.nsw.gov.au:443/immunisation/Pages/cold-chain-management.aspx (accessed 2 December 2024).</w:t>
      </w:r>
    </w:p>
    <w:p w14:paraId="126FDCB4" w14:textId="77777777" w:rsidR="00ED6B7B" w:rsidRDefault="00ED6B7B" w:rsidP="003C558E">
      <w:pPr>
        <w:pStyle w:val="Reference"/>
      </w:pPr>
      <w:r>
        <w:t xml:space="preserve">OECD (Organisation for Economic Co-operation and Development) 2020, </w:t>
      </w:r>
      <w:r w:rsidRPr="003335BC">
        <w:rPr>
          <w:i/>
          <w:iCs/>
        </w:rPr>
        <w:t>The Face Mask Global Value Chain in the COVID-19 Outbreak: Evidence and Policy Lessons</w:t>
      </w:r>
      <w:r>
        <w:t>, 4 May.</w:t>
      </w:r>
    </w:p>
    <w:p w14:paraId="6872A0CE" w14:textId="3D644B34" w:rsidR="00ED6B7B" w:rsidRDefault="00ED6B7B" w:rsidP="003C558E">
      <w:pPr>
        <w:pStyle w:val="Reference"/>
      </w:pPr>
      <w:r>
        <w:t>——</w:t>
      </w:r>
      <w:r w:rsidR="0026357E">
        <w:t> </w:t>
      </w:r>
      <w:r>
        <w:t xml:space="preserve">2024, </w:t>
      </w:r>
      <w:r w:rsidRPr="003335BC">
        <w:rPr>
          <w:i/>
          <w:iCs/>
        </w:rPr>
        <w:t>The return of industrial policies: Policy considerations in the current context</w:t>
      </w:r>
      <w:r>
        <w:t>, OECD Economic Policy Papers, 31 May, vol 34, 34, OECD Economic Policy Papers, https://www.oecd.org/en/publications/the-return-of-industrial-policies_051ce36d-en.html (accessed 4 June 2025).</w:t>
      </w:r>
    </w:p>
    <w:p w14:paraId="1090009D" w14:textId="77777777" w:rsidR="00ED6B7B" w:rsidRDefault="00ED6B7B" w:rsidP="003C558E">
      <w:pPr>
        <w:pStyle w:val="Reference"/>
      </w:pPr>
      <w:r>
        <w:t xml:space="preserve">Oliveira, FS, Zahur, NB and Wu, F 2023, ‘Analysis of the optimal policy for managing strategic petroleum reserves under long-term uncertainty: The ASEAN case’, </w:t>
      </w:r>
      <w:r w:rsidRPr="003335BC">
        <w:rPr>
          <w:i/>
          <w:iCs/>
        </w:rPr>
        <w:t>Computers &amp; Industrial Engineering</w:t>
      </w:r>
      <w:r>
        <w:t>, vol. 175, p. 108834.</w:t>
      </w:r>
    </w:p>
    <w:p w14:paraId="7F745196" w14:textId="77777777" w:rsidR="00ED6B7B" w:rsidRPr="003335BC" w:rsidRDefault="00ED6B7B" w:rsidP="003C558E">
      <w:pPr>
        <w:pStyle w:val="Reference"/>
        <w:rPr>
          <w:spacing w:val="-4"/>
        </w:rPr>
      </w:pPr>
      <w:r w:rsidRPr="003335BC">
        <w:rPr>
          <w:spacing w:val="-4"/>
        </w:rPr>
        <w:t xml:space="preserve">Patel, R, Ali, M, Bleasdale, SC and Mena Lora, AJ 2023, ‘Cost of personal protective equipment during the first wave of the coronavirus disease 2019 (COVID-19) pandemic’, </w:t>
      </w:r>
      <w:r w:rsidRPr="003335BC">
        <w:rPr>
          <w:i/>
          <w:iCs/>
          <w:spacing w:val="-4"/>
        </w:rPr>
        <w:t>Infection Control &amp; Hospital Epidemiology</w:t>
      </w:r>
      <w:r w:rsidRPr="003335BC">
        <w:rPr>
          <w:spacing w:val="-4"/>
        </w:rPr>
        <w:t>, vol. 44, no. 11, pp. 1897–1899.</w:t>
      </w:r>
    </w:p>
    <w:p w14:paraId="2C6ADD6E" w14:textId="77777777" w:rsidR="00ED6B7B" w:rsidRDefault="00ED6B7B" w:rsidP="003C558E">
      <w:pPr>
        <w:pStyle w:val="Reference"/>
      </w:pPr>
      <w:r>
        <w:t xml:space="preserve">PBAC (Australian Government Pharmaceutical Benefits Advisory Committee) 2016, </w:t>
      </w:r>
      <w:r w:rsidRPr="003335BC">
        <w:rPr>
          <w:i/>
          <w:iCs/>
        </w:rPr>
        <w:t>PBAC Guidelines | 3A.1 Overview and rationale of the economic evaluation</w:t>
      </w:r>
      <w:r>
        <w:t>, Australian Government Department of Health and Aged Care, https://pbac.pbs.gov.au/section-3a/3a-1-overview-and-rationale-of-economic-evaluation.html (accessed 4 December 2024).</w:t>
      </w:r>
    </w:p>
    <w:p w14:paraId="1ABD9B35" w14:textId="77777777" w:rsidR="00ED6B7B" w:rsidRDefault="00ED6B7B" w:rsidP="003C558E">
      <w:pPr>
        <w:pStyle w:val="Reference"/>
      </w:pPr>
      <w:r>
        <w:lastRenderedPageBreak/>
        <w:t xml:space="preserve">PC (Productivity Commission) 2017, </w:t>
      </w:r>
      <w:r w:rsidRPr="001B7044">
        <w:rPr>
          <w:i/>
          <w:iCs/>
        </w:rPr>
        <w:t>Rising Protectionism: Challenges, threats and opportunities for Australia</w:t>
      </w:r>
      <w:r>
        <w:t>, Commission Research Paper, Canberra.</w:t>
      </w:r>
    </w:p>
    <w:p w14:paraId="76F7F659" w14:textId="3834F68D" w:rsidR="00ED6B7B" w:rsidRDefault="00ED6B7B" w:rsidP="003C558E">
      <w:pPr>
        <w:pStyle w:val="Reference"/>
      </w:pPr>
      <w:r>
        <w:t>——</w:t>
      </w:r>
      <w:r w:rsidR="0026357E">
        <w:t> </w:t>
      </w:r>
      <w:r>
        <w:t xml:space="preserve">2021, </w:t>
      </w:r>
      <w:r w:rsidRPr="001B7044">
        <w:rPr>
          <w:i/>
          <w:iCs/>
        </w:rPr>
        <w:t>Vulnerable Supply Chains</w:t>
      </w:r>
      <w:r>
        <w:t>, Study Report.</w:t>
      </w:r>
    </w:p>
    <w:p w14:paraId="21B2BA15" w14:textId="46E80BF8" w:rsidR="00ED6B7B" w:rsidRDefault="00ED6B7B" w:rsidP="003C558E">
      <w:pPr>
        <w:pStyle w:val="Reference"/>
      </w:pPr>
      <w:r>
        <w:t>——</w:t>
      </w:r>
      <w:r w:rsidR="0026357E">
        <w:t> </w:t>
      </w:r>
      <w:r>
        <w:t xml:space="preserve">2023a, </w:t>
      </w:r>
      <w:r w:rsidRPr="001B7044">
        <w:rPr>
          <w:i/>
          <w:iCs/>
        </w:rPr>
        <w:t>5-year Productivity Inquiry: Advancing Prosperity</w:t>
      </w:r>
      <w:r>
        <w:t>, Inquiry report no. 100, 1, Canberra.</w:t>
      </w:r>
    </w:p>
    <w:p w14:paraId="609973F2" w14:textId="1793B9BA" w:rsidR="00ED6B7B" w:rsidRDefault="00ED6B7B" w:rsidP="003C558E">
      <w:pPr>
        <w:pStyle w:val="Reference"/>
      </w:pPr>
      <w:r>
        <w:t>——</w:t>
      </w:r>
      <w:r w:rsidR="0026357E">
        <w:t> </w:t>
      </w:r>
      <w:r>
        <w:t xml:space="preserve">2023b, </w:t>
      </w:r>
      <w:r w:rsidRPr="001B7044">
        <w:rPr>
          <w:i/>
          <w:iCs/>
        </w:rPr>
        <w:t>Trade and Assistance Review 2021-22</w:t>
      </w:r>
      <w:r>
        <w:t>, Annual Report Series, Canberra.</w:t>
      </w:r>
    </w:p>
    <w:p w14:paraId="7A01ED37" w14:textId="19B63472" w:rsidR="00ED6B7B" w:rsidRDefault="00ED6B7B" w:rsidP="003C558E">
      <w:pPr>
        <w:pStyle w:val="Reference"/>
      </w:pPr>
      <w:r>
        <w:t>——</w:t>
      </w:r>
      <w:r w:rsidR="0026357E">
        <w:t> </w:t>
      </w:r>
      <w:r>
        <w:t xml:space="preserve">2024a, </w:t>
      </w:r>
      <w:r w:rsidRPr="001B7044">
        <w:rPr>
          <w:i/>
          <w:iCs/>
        </w:rPr>
        <w:t>Advances in measuring healthcare productivity</w:t>
      </w:r>
      <w:r>
        <w:t>, Research paper, Canberra.</w:t>
      </w:r>
    </w:p>
    <w:p w14:paraId="36F6632C" w14:textId="63511F69" w:rsidR="00ED6B7B" w:rsidRDefault="00ED6B7B" w:rsidP="003C558E">
      <w:pPr>
        <w:pStyle w:val="Reference"/>
      </w:pPr>
      <w:r>
        <w:t>——</w:t>
      </w:r>
      <w:r w:rsidR="0026357E">
        <w:t> </w:t>
      </w:r>
      <w:r>
        <w:t xml:space="preserve">2024b, </w:t>
      </w:r>
      <w:r w:rsidRPr="001B7044">
        <w:rPr>
          <w:i/>
          <w:iCs/>
        </w:rPr>
        <w:t>Trade and Assistance Review 2022-23</w:t>
      </w:r>
      <w:r>
        <w:t>, Annual Report Series, Canberra.</w:t>
      </w:r>
    </w:p>
    <w:p w14:paraId="25476321" w14:textId="33218364" w:rsidR="006249B8" w:rsidRDefault="006249B8" w:rsidP="003C558E">
      <w:pPr>
        <w:pStyle w:val="Reference"/>
      </w:pPr>
      <w:r>
        <w:t>——</w:t>
      </w:r>
      <w:r w:rsidR="0026357E">
        <w:t> </w:t>
      </w:r>
      <w:r>
        <w:t xml:space="preserve">2025, </w:t>
      </w:r>
      <w:r w:rsidRPr="001B7044">
        <w:rPr>
          <w:i/>
          <w:iCs/>
        </w:rPr>
        <w:t>Investing in cheaper cleaner energy and the net zero transformation</w:t>
      </w:r>
      <w:r>
        <w:t>, Interim report.</w:t>
      </w:r>
    </w:p>
    <w:p w14:paraId="3EB2C227" w14:textId="77777777" w:rsidR="00ED6B7B" w:rsidRDefault="00ED6B7B" w:rsidP="003C558E">
      <w:pPr>
        <w:pStyle w:val="Reference"/>
      </w:pPr>
      <w:r>
        <w:t xml:space="preserve">Reputex Energy 2019, </w:t>
      </w:r>
      <w:r w:rsidRPr="00E05C14">
        <w:rPr>
          <w:i/>
          <w:iCs/>
        </w:rPr>
        <w:t>The Cost of Net-Zero Emissions Under Paris: A Marginal Abatement Cost (MAC) curve for Australia</w:t>
      </w:r>
      <w:r>
        <w:t>.</w:t>
      </w:r>
    </w:p>
    <w:p w14:paraId="6ACF31D9" w14:textId="77777777" w:rsidR="00ED6B7B" w:rsidRDefault="00ED6B7B" w:rsidP="003C558E">
      <w:pPr>
        <w:pStyle w:val="Reference"/>
      </w:pPr>
      <w:r>
        <w:t xml:space="preserve">Risko, N, Werner, K, Offorjebe, OA, Vecino-Ortiz, AI, Wallis, LA and Razzak, J 2020, ‘Cost-effectiveness and return on investment of protecting health workers in low- and middle-income countries during the COVID-19 pandemic’, Di Gennaro, F (ed), </w:t>
      </w:r>
      <w:r w:rsidRPr="00E05C14">
        <w:rPr>
          <w:i/>
          <w:iCs/>
        </w:rPr>
        <w:t>PLOS ONE</w:t>
      </w:r>
      <w:r>
        <w:t>, vol. 15, no. 10, p. e0240503.</w:t>
      </w:r>
    </w:p>
    <w:p w14:paraId="29B85050" w14:textId="37DE5E7D" w:rsidR="00ED6B7B" w:rsidRDefault="00ED6B7B" w:rsidP="003C558E">
      <w:pPr>
        <w:pStyle w:val="Reference"/>
      </w:pPr>
      <w:r>
        <w:t xml:space="preserve">Robinson, N and Panagopoulos, J 2024, ‘A shortage of intravenous IV fluid bags </w:t>
      </w:r>
      <w:proofErr w:type="gramStart"/>
      <w:r>
        <w:t>is</w:t>
      </w:r>
      <w:proofErr w:type="gramEnd"/>
      <w:r>
        <w:t xml:space="preserve"> dubbed “the ultimate example of poor procurement policy” as claims of a widespread global shortage is contradicted’, </w:t>
      </w:r>
      <w:r w:rsidRPr="00E05C14">
        <w:rPr>
          <w:i/>
          <w:iCs/>
        </w:rPr>
        <w:t>The Australian</w:t>
      </w:r>
      <w:r>
        <w:t>, 16 August, https://www.theaustralian.com.au/nation/politics/intravenous-scandal-the-excuses-are-fluid/news-story/38999b95d4d</w:t>
      </w:r>
      <w:r w:rsidR="0077792E">
        <w:br/>
      </w:r>
      <w:r>
        <w:t>630922e7a4cf87492a88f (accessed 16 August 2024).</w:t>
      </w:r>
    </w:p>
    <w:p w14:paraId="1EEDD7EB" w14:textId="77777777" w:rsidR="00ED6B7B" w:rsidRDefault="00ED6B7B" w:rsidP="003C558E">
      <w:pPr>
        <w:pStyle w:val="Reference"/>
      </w:pPr>
      <w:r>
        <w:t xml:space="preserve">Robson, A 2023, </w:t>
      </w:r>
      <w:r w:rsidRPr="00E05C14">
        <w:rPr>
          <w:i/>
          <w:iCs/>
        </w:rPr>
        <w:t>Optimal industry policy</w:t>
      </w:r>
      <w:r>
        <w:t>, Productivity Commission Deputy Chair’s Speech, 30 August, CSIRO Innovation for Impact Summit.</w:t>
      </w:r>
    </w:p>
    <w:p w14:paraId="646DA91C" w14:textId="77777777" w:rsidR="00ED6B7B" w:rsidRDefault="00ED6B7B" w:rsidP="003C558E">
      <w:pPr>
        <w:pStyle w:val="Reference"/>
      </w:pPr>
      <w:r>
        <w:t xml:space="preserve">Sharma, M, Sra, H, Painter, C, Pan-ngum, W, Luangasanatip, N, Chauhan, A, Prinja, S and Singh, M 2024, ‘Cost-effectiveness analysis of surgical masks, N95 masks compared to wearing no mask for the prevention of COVID-19 among health care workers: Evidence from the public health care setting in India’, Iktidar, MA (ed), </w:t>
      </w:r>
      <w:r w:rsidRPr="001107BD">
        <w:rPr>
          <w:i/>
          <w:iCs/>
        </w:rPr>
        <w:t>PLOS ONE</w:t>
      </w:r>
      <w:r>
        <w:t>, vol. 19, no. 5, p. e0299309.</w:t>
      </w:r>
    </w:p>
    <w:p w14:paraId="5DFD8D8F" w14:textId="77777777" w:rsidR="00ED6B7B" w:rsidRDefault="00ED6B7B" w:rsidP="003C558E">
      <w:pPr>
        <w:pStyle w:val="Reference"/>
      </w:pPr>
      <w:r>
        <w:t>Shivakumar, S, Wessner, C and Howell, T 2025, ‘The Limits of Chip Export Controls in Meeting the China Challenge’, https://www.csis.org/analysis/limits-chip-export-controls-meeting-china-challenge (accessed 16 May 2025).</w:t>
      </w:r>
    </w:p>
    <w:p w14:paraId="632C807D" w14:textId="77777777" w:rsidR="00ED6B7B" w:rsidRDefault="00ED6B7B" w:rsidP="003C558E">
      <w:pPr>
        <w:pStyle w:val="Reference"/>
      </w:pPr>
      <w:r>
        <w:t>Stacey, S 2024, ‘NHS England probes data leak after cyber attack on Synnovis blood-test provider’, Financial Times, 21 June, https://www.ft.com/content/a54f9c2e-bf5a-464d-94d2-8b08285a148d (accessed 28 October 2024).</w:t>
      </w:r>
    </w:p>
    <w:p w14:paraId="3D4A1793" w14:textId="6BEC0C7C" w:rsidR="00ED6B7B" w:rsidRDefault="00ED6B7B" w:rsidP="003C558E">
      <w:pPr>
        <w:pStyle w:val="Reference"/>
      </w:pPr>
      <w:r>
        <w:t xml:space="preserve">Stern, N and Stiglitz, </w:t>
      </w:r>
      <w:r w:rsidR="00B61463">
        <w:t>J</w:t>
      </w:r>
      <w:r>
        <w:t xml:space="preserve">E 2021, </w:t>
      </w:r>
      <w:r w:rsidR="001107BD" w:rsidRPr="001107BD">
        <w:rPr>
          <w:i/>
          <w:iCs/>
        </w:rPr>
        <w:t>The social cost of carbon, risk, distribution, market failures: an alternative approach</w:t>
      </w:r>
      <w:r>
        <w:t>, National Bureau of Economic Research.</w:t>
      </w:r>
    </w:p>
    <w:p w14:paraId="5E7725E9" w14:textId="77777777" w:rsidR="00ED6B7B" w:rsidRDefault="00ED6B7B" w:rsidP="003C558E">
      <w:pPr>
        <w:pStyle w:val="Reference"/>
      </w:pPr>
      <w:r>
        <w:t xml:space="preserve">The Global Fund 2021, </w:t>
      </w:r>
      <w:r w:rsidRPr="00B61463">
        <w:rPr>
          <w:i/>
          <w:iCs/>
        </w:rPr>
        <w:t>Transforming the Medical PPE Ecosystem</w:t>
      </w:r>
      <w:r>
        <w:t>, August.</w:t>
      </w:r>
    </w:p>
    <w:p w14:paraId="1BF64EBD" w14:textId="77777777" w:rsidR="00ED6B7B" w:rsidRDefault="00ED6B7B" w:rsidP="003C558E">
      <w:pPr>
        <w:pStyle w:val="Reference"/>
      </w:pPr>
      <w:r>
        <w:t>The White House 2025a, Fact Sheet: President Donald J. Trump Establishes the United States Investment Accelerator, The White House, https://www.whitehouse.gov/fact-sheets/2025/03/fact-sheet-president-donald-j-trump-establishes-the-united-states-investment-accelerator/ (accessed 4 June 2025).</w:t>
      </w:r>
    </w:p>
    <w:p w14:paraId="53375C23" w14:textId="59A7D107" w:rsidR="00ED6B7B" w:rsidRDefault="00ED6B7B" w:rsidP="003C558E">
      <w:pPr>
        <w:pStyle w:val="Reference"/>
      </w:pPr>
      <w:r>
        <w:t>——</w:t>
      </w:r>
      <w:r w:rsidR="0026357E">
        <w:t> </w:t>
      </w:r>
      <w:r>
        <w:t xml:space="preserve">2025b, </w:t>
      </w:r>
      <w:r w:rsidRPr="00B61463">
        <w:rPr>
          <w:i/>
          <w:iCs/>
        </w:rPr>
        <w:t>Regulating Imports with a Reciprocal Tariff to Rectify Trade Practices that Contribute to Large and Persistent Annual United States Goods Trade Deficits</w:t>
      </w:r>
      <w:r>
        <w:t>, The White House, https://www.whitehouse.gov/presidential-actions/2025/04/</w:t>
      </w:r>
      <w:r w:rsidR="00B61463">
        <w:br/>
      </w:r>
      <w:r>
        <w:t>regulating-imports-with-a-reciprocal-tariff-to-rectify-trade-practices-that-contribute-to-large-and-persistent-annual-united-states-goods-trade-deficits/ (accessed 21 May 2025).</w:t>
      </w:r>
    </w:p>
    <w:p w14:paraId="0DD67C64" w14:textId="77777777" w:rsidR="00ED6B7B" w:rsidRDefault="00ED6B7B" w:rsidP="003C558E">
      <w:pPr>
        <w:pStyle w:val="Reference"/>
      </w:pPr>
      <w:r>
        <w:t xml:space="preserve">United States Government Assistant Secretary for Preparedness and Responsiveness TRACIE 2017, </w:t>
      </w:r>
      <w:r w:rsidRPr="00B61463">
        <w:rPr>
          <w:i/>
          <w:iCs/>
        </w:rPr>
        <w:t>Hospital Personal Protective Equipment Planning Tool</w:t>
      </w:r>
      <w:r>
        <w:t>.</w:t>
      </w:r>
    </w:p>
    <w:p w14:paraId="786EBB5A" w14:textId="77777777" w:rsidR="00ED6B7B" w:rsidRDefault="00ED6B7B" w:rsidP="003C558E">
      <w:pPr>
        <w:pStyle w:val="Reference"/>
      </w:pPr>
      <w:r>
        <w:t xml:space="preserve">US CDC (United States Government </w:t>
      </w:r>
      <w:proofErr w:type="spellStart"/>
      <w:r>
        <w:t>Center</w:t>
      </w:r>
      <w:proofErr w:type="spellEnd"/>
      <w:r>
        <w:t xml:space="preserve"> for Disease Control) 2022, </w:t>
      </w:r>
      <w:r w:rsidRPr="00B61463">
        <w:rPr>
          <w:i/>
          <w:iCs/>
        </w:rPr>
        <w:t>How Flu Viruses Can Change: ‘Drift’ and ‘Shift’</w:t>
      </w:r>
      <w:r>
        <w:t xml:space="preserve">, </w:t>
      </w:r>
      <w:proofErr w:type="spellStart"/>
      <w:r>
        <w:t>Centers</w:t>
      </w:r>
      <w:proofErr w:type="spellEnd"/>
      <w:r>
        <w:t xml:space="preserve"> for Disease Control and Prevention, https://www.cdc.gov/flu/php/viruses/change.html (accessed 2 December 2024).</w:t>
      </w:r>
    </w:p>
    <w:p w14:paraId="4B166049" w14:textId="77777777" w:rsidR="00ED6B7B" w:rsidRDefault="00ED6B7B" w:rsidP="003C558E">
      <w:pPr>
        <w:pStyle w:val="Reference"/>
      </w:pPr>
      <w:r>
        <w:t xml:space="preserve">US Department of Commerce and US Department of Homeland Security (United States Government Department of Commerce and United States Government Department of Homeland Security) 2022, </w:t>
      </w:r>
      <w:r w:rsidRPr="00B82160">
        <w:rPr>
          <w:i/>
          <w:iCs/>
        </w:rPr>
        <w:t>Assessment of the critical supply chains supporting the US information and communications technology industry</w:t>
      </w:r>
      <w:r>
        <w:t>, 24 February.</w:t>
      </w:r>
    </w:p>
    <w:p w14:paraId="34789C46" w14:textId="77777777" w:rsidR="00ED6B7B" w:rsidRDefault="00ED6B7B" w:rsidP="003C558E">
      <w:pPr>
        <w:pStyle w:val="Reference"/>
      </w:pPr>
      <w:r>
        <w:t xml:space="preserve">US Department of Energy (United States Government Department of Energy) 2022, </w:t>
      </w:r>
      <w:r w:rsidRPr="00B82160">
        <w:rPr>
          <w:i/>
          <w:iCs/>
        </w:rPr>
        <w:t>SPR FAQs</w:t>
      </w:r>
      <w:r>
        <w:t>, Energy.gov, https://www.energy.gov/ceser/spr-faqs (accessed 23 August 2024).</w:t>
      </w:r>
    </w:p>
    <w:p w14:paraId="120FF569" w14:textId="77777777" w:rsidR="00ED6B7B" w:rsidRDefault="00ED6B7B" w:rsidP="003C558E">
      <w:pPr>
        <w:pStyle w:val="Reference"/>
      </w:pPr>
      <w:r>
        <w:t xml:space="preserve">US Treasury 2025, </w:t>
      </w:r>
      <w:r w:rsidRPr="00B82160">
        <w:rPr>
          <w:i/>
          <w:iCs/>
        </w:rPr>
        <w:t>The Inflation Reduction Act’s Benefits and Costs</w:t>
      </w:r>
      <w:r>
        <w:t>, U.S. Department of the Treasury, https://home.treasury.gov/news/featured-stories/the-inflation-reduction-acts-benefits-and-costs (accessed 30 April 2025).</w:t>
      </w:r>
    </w:p>
    <w:p w14:paraId="094677AB" w14:textId="77777777" w:rsidR="00ED6B7B" w:rsidRDefault="00ED6B7B" w:rsidP="003C558E">
      <w:pPr>
        <w:pStyle w:val="Reference"/>
      </w:pPr>
      <w:r>
        <w:t xml:space="preserve">Wood, T and Reeve, A 2024, </w:t>
      </w:r>
      <w:r w:rsidRPr="00B82160">
        <w:rPr>
          <w:i/>
          <w:iCs/>
        </w:rPr>
        <w:t>How to forge a Future Made in Australia</w:t>
      </w:r>
      <w:r>
        <w:t>, November, Grattan Institute.</w:t>
      </w:r>
    </w:p>
    <w:p w14:paraId="6F698946" w14:textId="77777777" w:rsidR="00ED6B7B" w:rsidRDefault="00ED6B7B" w:rsidP="003C558E">
      <w:pPr>
        <w:pStyle w:val="Reference"/>
      </w:pPr>
      <w:r>
        <w:t xml:space="preserve">World Bank 2023, </w:t>
      </w:r>
      <w:r w:rsidRPr="00B82160">
        <w:rPr>
          <w:i/>
          <w:iCs/>
        </w:rPr>
        <w:t>Trade has been a powerful driver of economic development and poverty reduction</w:t>
      </w:r>
      <w:r>
        <w:t>, World Bank, https://www.worldbank.org/en/topic/trade/brief/trade-has-been-a-powerful-driver-of-economic-development-and-poverty-reduction (accessed 20 May 2025).</w:t>
      </w:r>
    </w:p>
    <w:p w14:paraId="3EC43E70" w14:textId="17B7C332" w:rsidR="00ED6B7B" w:rsidRDefault="00ED6B7B" w:rsidP="003C558E">
      <w:pPr>
        <w:pStyle w:val="Reference"/>
      </w:pPr>
      <w:r>
        <w:t>——</w:t>
      </w:r>
      <w:r w:rsidR="0026357E">
        <w:t> </w:t>
      </w:r>
      <w:r>
        <w:t xml:space="preserve">2025, </w:t>
      </w:r>
      <w:r w:rsidRPr="00B82160">
        <w:rPr>
          <w:i/>
          <w:iCs/>
        </w:rPr>
        <w:t>Trade (% of Gross Domestic Product)</w:t>
      </w:r>
      <w:r>
        <w:t>, https://data.worldbank.org/indicator/NE.TRD.GNFS.ZS (accessed 20 May 2025).</w:t>
      </w:r>
    </w:p>
    <w:p w14:paraId="3500766B" w14:textId="77777777" w:rsidR="00664F22" w:rsidRDefault="00664F22" w:rsidP="003C558E">
      <w:pPr>
        <w:pStyle w:val="Reference"/>
        <w:sectPr w:rsidR="00664F22" w:rsidSect="009337BD">
          <w:type w:val="continuous"/>
          <w:pgSz w:w="11906" w:h="16838" w:code="9"/>
          <w:pgMar w:top="1134" w:right="1134" w:bottom="1134" w:left="1134" w:header="794" w:footer="510" w:gutter="0"/>
          <w:cols w:num="2" w:space="708"/>
          <w:docGrid w:linePitch="360"/>
        </w:sectPr>
      </w:pPr>
    </w:p>
    <w:p w14:paraId="0892AF7B" w14:textId="2B569F7B" w:rsidR="00A91551" w:rsidRPr="00A91551" w:rsidRDefault="00A91551" w:rsidP="003C558E">
      <w:pPr>
        <w:pStyle w:val="Reference"/>
      </w:pPr>
    </w:p>
    <w:sectPr w:rsidR="00A91551" w:rsidRPr="00A91551" w:rsidSect="009337BD">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A6E86" w14:textId="77777777" w:rsidR="00C81A45" w:rsidRDefault="00C81A45" w:rsidP="008017BC">
      <w:r>
        <w:separator/>
      </w:r>
    </w:p>
    <w:p w14:paraId="7B9EDFF2" w14:textId="77777777" w:rsidR="00C81A45" w:rsidRDefault="00C81A45"/>
  </w:endnote>
  <w:endnote w:type="continuationSeparator" w:id="0">
    <w:p w14:paraId="05BFEF0C" w14:textId="77777777" w:rsidR="00C81A45" w:rsidRDefault="00C81A45" w:rsidP="008017BC">
      <w:r>
        <w:continuationSeparator/>
      </w:r>
    </w:p>
    <w:p w14:paraId="2F425DB3" w14:textId="77777777" w:rsidR="00C81A45" w:rsidRDefault="00C81A45"/>
  </w:endnote>
  <w:endnote w:type="continuationNotice" w:id="1">
    <w:p w14:paraId="599B8F0B" w14:textId="77777777" w:rsidR="00C81A45" w:rsidRDefault="00C81A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Body)">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CFA0D" w14:textId="77777777" w:rsidR="005B5F49" w:rsidRPr="00187F05" w:rsidRDefault="005B5F49"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390199"/>
      <w:docPartObj>
        <w:docPartGallery w:val="Page Numbers (Bottom of Page)"/>
        <w:docPartUnique/>
      </w:docPartObj>
    </w:sdtPr>
    <w:sdtContent>
      <w:sdt>
        <w:sdtPr>
          <w:id w:val="-771012843"/>
          <w:docPartObj>
            <w:docPartGallery w:val="Page Numbers (Top of Page)"/>
            <w:docPartUnique/>
          </w:docPartObj>
        </w:sdtPr>
        <w:sdtContent>
          <w:p w14:paraId="0463CA7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A4AF" w14:textId="77777777" w:rsidR="00DB4809" w:rsidRDefault="00DB48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BE3C7" w14:textId="77777777" w:rsidR="005B5F49" w:rsidRDefault="005B5F49">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D22F" w14:textId="531C3462" w:rsidR="005B5F49" w:rsidRPr="00597E42" w:rsidRDefault="005B5F49" w:rsidP="00597E42">
    <w:pPr>
      <w:pStyle w:val="Footer-right"/>
      <w:spacing w:after="360"/>
      <w:jc w:val="left"/>
      <w:rPr>
        <w:rFonts w:ascii="Open Sans Semibold" w:hAnsi="Open Sans Semibold" w:cs="Open Sans Semibold"/>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465237"/>
      <w:docPartObj>
        <w:docPartGallery w:val="Page Numbers (Top of Page)"/>
        <w:docPartUnique/>
      </w:docPartObj>
    </w:sdtPr>
    <w:sdtContent>
      <w:p w14:paraId="215B8618" w14:textId="77777777" w:rsidR="005B5F49" w:rsidRPr="00081185" w:rsidRDefault="005B5F49" w:rsidP="00253CAE">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CD20B22" w14:textId="77777777" w:rsidR="005B5F49" w:rsidRPr="0042508F" w:rsidRDefault="005B5F49"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C1A1E" w14:textId="77777777" w:rsidR="00D05292" w:rsidRDefault="00D05292"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002944"/>
      <w:docPartObj>
        <w:docPartGallery w:val="Page Numbers (Bottom of Page)"/>
        <w:docPartUnique/>
      </w:docPartObj>
    </w:sdtPr>
    <w:sdtContent>
      <w:sdt>
        <w:sdtPr>
          <w:id w:val="1244915546"/>
          <w:docPartObj>
            <w:docPartGallery w:val="Page Numbers (Top of Page)"/>
            <w:docPartUnique/>
          </w:docPartObj>
        </w:sdtPr>
        <w:sdtContent>
          <w:p w14:paraId="68E28646" w14:textId="77777777" w:rsidR="00D05292" w:rsidRDefault="00D05292"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FE416" w14:textId="77777777" w:rsidR="00D05292" w:rsidRDefault="00D052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BEBC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72C1B" w14:textId="77777777" w:rsidR="00C81A45" w:rsidRPr="00C238D1" w:rsidRDefault="00C81A45" w:rsidP="00273E86">
      <w:pPr>
        <w:spacing w:after="0" w:line="240" w:lineRule="auto"/>
        <w:rPr>
          <w:rStyle w:val="ColourDarkBlue"/>
        </w:rPr>
      </w:pPr>
      <w:r w:rsidRPr="00C238D1">
        <w:rPr>
          <w:rStyle w:val="ColourDarkBlue"/>
        </w:rPr>
        <w:continuationSeparator/>
      </w:r>
    </w:p>
  </w:footnote>
  <w:footnote w:type="continuationSeparator" w:id="0">
    <w:p w14:paraId="1885A80D" w14:textId="77777777" w:rsidR="00C81A45" w:rsidRPr="001D7D9B" w:rsidRDefault="00C81A45" w:rsidP="001D7D9B">
      <w:pPr>
        <w:spacing w:after="0" w:line="240" w:lineRule="auto"/>
        <w:rPr>
          <w:color w:val="265A9A" w:themeColor="background2"/>
        </w:rPr>
      </w:pPr>
      <w:r w:rsidRPr="00C238D1">
        <w:rPr>
          <w:rStyle w:val="ColourDarkBlue"/>
        </w:rPr>
        <w:continuationSeparator/>
      </w:r>
    </w:p>
  </w:footnote>
  <w:footnote w:type="continuationNotice" w:id="1">
    <w:p w14:paraId="65C6A0DF" w14:textId="77777777" w:rsidR="00C81A45" w:rsidRDefault="00C81A45"/>
  </w:footnote>
  <w:footnote w:id="2">
    <w:p w14:paraId="51552A82" w14:textId="77777777" w:rsidR="008C0E31" w:rsidRDefault="008C0E31" w:rsidP="008C0E31">
      <w:pPr>
        <w:pStyle w:val="FootnoteText"/>
      </w:pPr>
      <w:r>
        <w:rPr>
          <w:rStyle w:val="FootnoteReference"/>
        </w:rPr>
        <w:footnoteRef/>
      </w:r>
      <w:r>
        <w:t xml:space="preserve"> The CHIPS and Science Act is undergoing some administrative changes but remains law </w:t>
      </w:r>
      <w:r>
        <w:fldChar w:fldCharType="begin"/>
      </w:r>
      <w:r>
        <w:instrText xml:space="preserve"> ADDIN ZOTERO_ITEM CSL_CITATION {"citationID":"VJBgXI0J","properties":{"formattedCitation":"(The White House\\uc0\\u160{}2025a)","plainCitation":"(The White House 2025a)","noteIndex":1},"citationItems":[{"id":2749,"uris":["http://zotero.org/groups/5560192/items/RSS6EQRE"],"itemData":{"id":2749,"type":"webpage","abstract":"ACCELERATING INVESTMENT INTO AMERICA’S ECONOMY: Today, President Donald J. Trump signed an Executive Order establishing the United States Investment","container-title":"The White House","language":"en-US","title":"Fact Sheet: President Donald J. Trump Establishes the United States Investment Accelerator","title-short":"Fact Sheet","URL":"https://www.whitehouse.gov/fact-sheets/2025/03/fact-sheet-president-donald-j-trump-establishes-the-united-states-investment-accelerator/","author":[{"literal":"The White House"}],"accessed":{"date-parts":[["2025",6,4]]},"issued":{"date-parts":[["2025",3,31]]}}}],"schema":"https://github.com/citation-style-language/schema/raw/master/csl-citation.json"} </w:instrText>
      </w:r>
      <w:r>
        <w:fldChar w:fldCharType="separate"/>
      </w:r>
      <w:r w:rsidRPr="003E71BA">
        <w:rPr>
          <w:rFonts w:ascii="Arial" w:hAnsi="Arial" w:cs="Arial"/>
        </w:rPr>
        <w:t>(The White House 2025a)</w:t>
      </w:r>
      <w:r>
        <w:fldChar w:fldCharType="end"/>
      </w:r>
      <w:r>
        <w:t>.</w:t>
      </w:r>
    </w:p>
  </w:footnote>
  <w:footnote w:id="3">
    <w:p w14:paraId="0F3669EE" w14:textId="77777777" w:rsidR="00305F21" w:rsidRDefault="00305F21" w:rsidP="00305F21">
      <w:pPr>
        <w:pStyle w:val="FootnoteText"/>
      </w:pPr>
      <w:r w:rsidRPr="009E1673">
        <w:rPr>
          <w:rStyle w:val="FootnoteReference"/>
        </w:rPr>
        <w:footnoteRef/>
      </w:r>
      <w:r>
        <w:t xml:space="preserve"> As of writing the </w:t>
      </w:r>
      <w:r w:rsidDel="00E73EA6">
        <w:t xml:space="preserve">Inflation Reduction </w:t>
      </w:r>
      <w:r>
        <w:t xml:space="preserve">Act remains law but its scope, scale and composition moving forward is unclear. Columbia Law School’s </w:t>
      </w:r>
      <w:r>
        <w:fldChar w:fldCharType="begin"/>
      </w:r>
      <w:r>
        <w:instrText xml:space="preserve"> ADDIN ZOTERO_ITEM CSL_CITATION {"citationID":"he9TM9je","properties":{"formattedCitation":"(2025)","plainCitation":"(2025)","noteIndex":2},"citationItems":[{"id":2776,"uris":["http://zotero.org/groups/5560192/items/FEKDYYUM"],"itemData":{"id":2776,"type":"webpage","abstract":"This tracker records steps taken by federal agencies to implement, or rollback implementation of, the climate change-related provisions of the 2022 Inflation Reduction Act (IRA).","container-title":"Inflation Reduction Act Tracker","language":"en-US","title":"Inflation Reduction Act Tracker","URL":"https://iratracker.org/actions/","author":[{"literal":"Columbia Law School"}],"accessed":{"date-parts":[["2025",5,1]]},"issued":{"date-parts":[["2025",5,1]]}},"suppress-author":true}],"schema":"https://github.com/citation-style-language/schema/raw/master/csl-citation.json"} </w:instrText>
      </w:r>
      <w:r>
        <w:fldChar w:fldCharType="separate"/>
      </w:r>
      <w:r w:rsidRPr="00F07090">
        <w:rPr>
          <w:rFonts w:ascii="Arial" w:hAnsi="Arial" w:cs="Arial"/>
        </w:rPr>
        <w:t>(2025)</w:t>
      </w:r>
      <w:r>
        <w:fldChar w:fldCharType="end"/>
      </w:r>
      <w:r>
        <w:t xml:space="preserve"> IRA tracker </w:t>
      </w:r>
      <w:r w:rsidRPr="00480C10">
        <w:t>records steps taken by federal agencies to implement, or rollback implementation of</w:t>
      </w:r>
      <w:r>
        <w:t xml:space="preserve"> the IRA.</w:t>
      </w:r>
    </w:p>
  </w:footnote>
  <w:footnote w:id="4">
    <w:p w14:paraId="2ED54B5E" w14:textId="311A1551" w:rsidR="009A12D2" w:rsidRDefault="009A12D2" w:rsidP="009A12D2">
      <w:pPr>
        <w:pStyle w:val="FootnoteText"/>
      </w:pPr>
      <w:r w:rsidRPr="009E1673">
        <w:rPr>
          <w:rStyle w:val="FootnoteReference"/>
        </w:rPr>
        <w:footnoteRef/>
      </w:r>
      <w:r>
        <w:t xml:space="preserve"> For instance Treasurer Jim Chalmers wrote in October 2024 that </w:t>
      </w:r>
      <w:r w:rsidR="00862407">
        <w:t>‘</w:t>
      </w:r>
      <w:r>
        <w:t>f</w:t>
      </w:r>
      <w:r w:rsidRPr="009720C5">
        <w:t>ree, fair and open trade is an important enabler of global economic security, not an obstacle to it</w:t>
      </w:r>
      <w:r w:rsidR="00862407">
        <w:t>’</w:t>
      </w:r>
      <w:r>
        <w:t xml:space="preserve"> </w:t>
      </w:r>
      <w:r>
        <w:fldChar w:fldCharType="begin"/>
      </w:r>
      <w:r w:rsidR="00ED6B7B">
        <w:instrText xml:space="preserve"> ADDIN ZOTERO_ITEM CSL_CITATION {"citationID":"vgLkQ88v","properties":{"formattedCitation":"(Chalmers\\uc0\\u160{}2024)","plainCitation":"(Chalmers 2024)","noteIndex":3},"citationItems":[{"id":2771,"uris":["http://zotero.org/groups/5560192/items/XG6C5QVT"],"itemData":{"id":2771,"type":"webpage","abstract":"A quarter century ago, the G20 was formed because deepening connections between our markets and our people made our economies more dependent on one another and there was no shortage of challenges for us to manage together. Since then, the G20 has done some of its best work in crises.","container-title":"Treasury Ministers","language":"en","note":"publisher: Treasury Ministers","title":"Opinion piece: More engagement in uncertain times, not less | Treasury Ministers","title-short":"Opinion piece","URL":"https://ministers.treasury.gov.au/ministers/jim-chalmers-2022/articles/opinion-piece-more-engagement-uncertain-times-not-less","author":[{"family":"Chalmers","given":"Jim"}],"accessed":{"date-parts":[["2025",5,2]]},"issued":{"date-parts":[["2024",10,28]]}}}],"schema":"https://github.com/citation-style-language/schema/raw/master/csl-citation.json"} </w:instrText>
      </w:r>
      <w:r>
        <w:fldChar w:fldCharType="separate"/>
      </w:r>
      <w:r w:rsidRPr="00511F20">
        <w:rPr>
          <w:rFonts w:ascii="Arial" w:hAnsi="Arial" w:cs="Arial"/>
        </w:rPr>
        <w:t>(Chalmers 2024)</w:t>
      </w:r>
      <w:r>
        <w:fldChar w:fldCharType="end"/>
      </w:r>
      <w:r>
        <w:t xml:space="preserve">, and Prime Minister Anthony Albanese has echoed similar support for free trade despite a </w:t>
      </w:r>
      <w:r w:rsidR="00862407">
        <w:t>‘</w:t>
      </w:r>
      <w:r>
        <w:t>changing geostrategic environment</w:t>
      </w:r>
      <w:r w:rsidR="00862407">
        <w:t>’</w:t>
      </w:r>
      <w:r>
        <w:t xml:space="preserve"> </w:t>
      </w:r>
      <w:r>
        <w:fldChar w:fldCharType="begin"/>
      </w:r>
      <w:r w:rsidR="00ED6B7B">
        <w:instrText xml:space="preserve"> ADDIN ZOTERO_ITEM CSL_CITATION {"citationID":"5BPOOQaT","properties":{"formattedCitation":"(Albanese\\uc0\\u160{}2025)","plainCitation":"(Albanese 2025)","noteIndex":3},"citationItems":[{"id":2770,"uris":["http://zotero.org/groups/5560192/items/KLHNGKBW"],"itemData":{"id":2770,"type":"webpage","abstract":"The Albanese Labor Government will pursue Australia&amp;rsquo;s national interest and boost our economic resilience by establishing a Critical Minerals Strategic Reserve.&amp;nbsp;Critical minerals and rare earths are essential inputs to the modern and future economy &amp;ndash; underpinning the energy transition, high tech manufacturing, AI and the digital economy.&amp;nbsp;Australia is home to some of the largest critical minerals deposits on earth &amp;ndash; just about the whole periodic table of elements. We are uniquely placed to meet the needs of increasing global and domestic demand. The size and sophistication of our mining industry allows us to take maximum advantage of these resources.&amp;nbsp;Australia is a supporter of free and fair trade and will continue to promote our national interests in a changing geostrategic environment. Increasingly uncertain times call for a new approach to make sure Australia maximises the strategic value of critical minerals.&amp;nbsp;We need to do more with the natural resources the world needs, and that Australia can provide.&amp;nbsp;That is why a re-elected Albanese Government will establish a Critical Minerals Strategic Reserve to stand up for Australia&amp;rsquo;s national interest.&amp;nbsp;The Reserve will build on extensive Australian Government investment in critical minerals through two new mechanisms: \n\nNational Offtake Agreements &amp;ndash; through voluntary contractual arrangements the Government will acquire agreed volumes of critical minerals from commercial projects, or establish an option to purchase at a given price, holding security over these assets as part of the Strategic Reserve; and\nSelective stockpiling: the Government will establish Australian stockpiles of certain key critical minerals produced under offtake agreements as required.\n\nThe primary consideration for entering into offtake agreements will be securing priority critical minerals for strategic reasons. The Reserve will be focused on a subset of critical minerals that are most important for Australia&amp;rsquo;s national security and the security of our key partners, including rare earths.&amp;nbsp;As its holdings mature, the Strategic Reserve will generate cash-flow from sales of offtake on global markets and to key partners.&amp;nbsp;The Strategic Reserve will also accumulate stockpiles of priority minerals when warranted by market conditions and strategic considerations, but it is anticipated that these will be modest and time-limited in most cases.&amp;nbsp;Minerals held by the Reserve will be made available to domestic industry and key international partners, with the mechanism and allocations to be determined by Government and subject to consultation.&amp;nbsp;A re-elected Labor Government will make an initial investment of $1.2 billion in the Reserve, including through a $1 billion increase in the existing Critical Minerals Facility. This will take our total investment in the Facility to $5 billion, providing vital support to private sector and international partners with the upfront capital costs of new projects.&amp;nbsp;This will give confidence to our critical minerals sector to invest and create jobs in Australia, while developing secure supply chains with key international partners.A Taskforce will be established to consult and finalise the scope and design of the Strategic Reserve in Government,&amp;nbsp;which is expected to be operational in the second half of 2026.&amp;nbsp;The creation of the Strategic Reserve and the expansion of the Critical Minerals Facility is supported by Labor&amp;rsquo;s $7 billion Critical Minerals Production Tax Incentive.&amp;nbsp;&amp;nbsp;&amp;nbsp;While the Government is building Australia&amp;rsquo;s resources sector and critical minerals industry, Peter Dutton is cutting all assistance to this vital sector to fund his $600 billion nuclear scheme.&amp;nbsp;&amp;nbsp;&amp;nbsp;Peter Dutton will cut Production Tax Incentives and cut the Critical Minerals Facility.&amp;nbsp;A re-elected Albanese Labor Government will build on the strong foundations of our first term to continue to stand up for Australia and act in our national interest.&amp;nbsp;&amp;nbsp;&amp;nbsp;Comments attributable to Prime Minister Anthony Albanese:&amp;nbsp;&amp;nbsp;&amp;nbsp;&amp;ldquo;In a time of global uncertainty, Australia will be stronger and safer by developing our critical national assets to create economic opportunity and resilience.&amp;ldquo;To leverage our natural resources is in our national interest.&amp;nbsp;&amp;ldquo;I will ensure that Australia continues to produce and benefit from the resources that are essential to our national interest.&amp;nbsp;&amp;ldquo;The Strategic Reserve will mean Government has the power to purchase, own and sell critical minerals found here in Australia.&amp;nbsp;&amp;ldquo;It will mean we can deal with trade and market disruptions from a position of strength. Because Australia will be able to call on an internationally-significant quantity of resources in global demand.&amp;nbsp;&amp;ldquo;This will be a national asset and our Government will use it to advance Australia&amp;rsquo;s national interest.&amp;rdquo;&amp;nbsp;Comments attributable to Resources Minister Madeleine King:&amp;nbsp;&amp;nbsp;&amp;ldquo;Critical minerals and rare earths and essential not only to reducing emissions but also for our security and the security of our key partners. &amp;nbsp;&amp;nbsp;&amp;nbsp;&amp;ldquo;While we will continue to supply the world with critical minerals, it&amp;rsquo;s also important that Australia has access to the critical minerals and rare earths we need for a Future Made in Australia.&amp;nbsp;&amp;nbsp;&amp;ldquo;The Strategic Reserve, combined with Production Tax Credits and the expansion of the Critical Minerals Facility, shows the Albanese Government is taking the development of an Australian critical minerals industry seriously.&amp;nbsp;&amp;ldquo;And that means more investment and more jobs for Western Australia.&amp;rdquo;","title":"Albanese Government to establish critical minerals strategic reserve","URL":"https://anthonyalbanese.com.au/media-centre/albanese-government-to-establish-critical-minerals-strategic-reserve","author":[{"family":"Albanese","given":"Anthony"}],"accessed":{"date-parts":[["2025",5,2]]},"issued":{"date-parts":[["2025",4,24]]}}}],"schema":"https://github.com/citation-style-language/schema/raw/master/csl-citation.json"} </w:instrText>
      </w:r>
      <w:r>
        <w:fldChar w:fldCharType="separate"/>
      </w:r>
      <w:r w:rsidRPr="009333CC">
        <w:rPr>
          <w:rFonts w:ascii="Arial" w:hAnsi="Arial" w:cs="Arial"/>
        </w:rPr>
        <w:t>(Albanese 2025)</w:t>
      </w:r>
      <w:r>
        <w:fldChar w:fldCharType="end"/>
      </w:r>
      <w:r>
        <w:t>.</w:t>
      </w:r>
    </w:p>
  </w:footnote>
  <w:footnote w:id="5">
    <w:p w14:paraId="340D7453" w14:textId="3D4BD0CA" w:rsidR="000E48AE" w:rsidRPr="00744F1E" w:rsidRDefault="000E48AE" w:rsidP="000E48AE">
      <w:pPr>
        <w:pStyle w:val="FootnoteText"/>
        <w:rPr>
          <w:lang w:val="en-US"/>
        </w:rPr>
      </w:pPr>
      <w:r w:rsidRPr="009E1673">
        <w:rPr>
          <w:rStyle w:val="FootnoteReference"/>
        </w:rPr>
        <w:footnoteRef/>
      </w:r>
      <w:r>
        <w:t xml:space="preserve"> A</w:t>
      </w:r>
      <w:r w:rsidRPr="00EE306F">
        <w:t xml:space="preserve">s outlined in the </w:t>
      </w:r>
      <w:r w:rsidRPr="00487C4B">
        <w:rPr>
          <w:i/>
        </w:rPr>
        <w:t>Future Made in Australia National Interest Framework Supporting Paper</w:t>
      </w:r>
      <w:r w:rsidRPr="00EE306F">
        <w:t xml:space="preserve"> (the Supporting Paper) published in May 2024</w:t>
      </w:r>
      <w:r>
        <w:t xml:space="preserve"> and </w:t>
      </w:r>
      <w:r w:rsidR="00257125">
        <w:t>supported</w:t>
      </w:r>
      <w:r>
        <w:t xml:space="preserve"> through the passing of the </w:t>
      </w:r>
      <w:r w:rsidRPr="0074143E">
        <w:rPr>
          <w:i/>
          <w:iCs/>
        </w:rPr>
        <w:t xml:space="preserve">Future Made in Australia </w:t>
      </w:r>
      <w:r w:rsidR="00842A30" w:rsidRPr="0074143E">
        <w:rPr>
          <w:i/>
          <w:iCs/>
        </w:rPr>
        <w:t>Act</w:t>
      </w:r>
      <w:r w:rsidRPr="0074143E">
        <w:rPr>
          <w:i/>
          <w:iCs/>
        </w:rPr>
        <w:t xml:space="preserve"> 2024</w:t>
      </w:r>
      <w:r>
        <w:rPr>
          <w:i/>
          <w:iCs/>
        </w:rPr>
        <w:t xml:space="preserve"> </w:t>
      </w:r>
      <w:r w:rsidRPr="00CE48B2">
        <w:t>(Cth)</w:t>
      </w:r>
      <w:r w:rsidR="009E65FE">
        <w:rPr>
          <w:i/>
          <w:iCs/>
        </w:rPr>
        <w:t xml:space="preserve"> </w:t>
      </w:r>
      <w:r w:rsidR="00257125">
        <w:t>in November 2024</w:t>
      </w:r>
      <w:r w:rsidR="009E65FE">
        <w:t xml:space="preserve"> </w:t>
      </w:r>
      <w:r w:rsidR="006B7553">
        <w:rPr>
          <w:i/>
          <w:iCs/>
        </w:rPr>
        <w:fldChar w:fldCharType="begin"/>
      </w:r>
      <w:r w:rsidR="00ED6B7B">
        <w:rPr>
          <w:i/>
          <w:iCs/>
        </w:rPr>
        <w:instrText xml:space="preserve"> ADDIN ZOTERO_ITEM CSL_CITATION {"citationID":"g3jmWMjI","properties":{"formattedCitation":"(Australian Government\\uc0\\u160{}2024)","plainCitation":"(Australian Government 2024)","noteIndex":4},"citationItems":[{"id":2834,"uris":["http://zotero.org/groups/5560192/items/Q5WL6KVF"],"itemData":{"id":2834,"type":"article-journal","language":"en","source":"Zotero","title":"Future Made in Australia – National Interest Framework supporting paper","URL":"https://treasury.gov.au/sites/default/files/2024-05/p2024-526942-fmia-nif.pdf","author":[{"family":"Australian Government","given":""}],"issued":{"date-parts":[["2024",5,14]]}}}],"schema":"https://github.com/citation-style-language/schema/raw/master/csl-citation.json"} </w:instrText>
      </w:r>
      <w:r w:rsidR="006B7553">
        <w:rPr>
          <w:i/>
          <w:iCs/>
        </w:rPr>
        <w:fldChar w:fldCharType="separate"/>
      </w:r>
      <w:r w:rsidR="006B7553" w:rsidRPr="006B7553">
        <w:rPr>
          <w:rFonts w:ascii="Arial" w:hAnsi="Arial" w:cs="Arial"/>
        </w:rPr>
        <w:t>(Australian Government 2024)</w:t>
      </w:r>
      <w:r w:rsidR="006B7553">
        <w:rPr>
          <w:i/>
          <w:iCs/>
        </w:rPr>
        <w:fldChar w:fldCharType="end"/>
      </w:r>
      <w:r>
        <w:rPr>
          <w:i/>
          <w:iCs/>
        </w:rPr>
        <w:t>.</w:t>
      </w:r>
    </w:p>
  </w:footnote>
  <w:footnote w:id="6">
    <w:p w14:paraId="00D77774" w14:textId="089A7959" w:rsidR="00A57D06" w:rsidRDefault="00A57D06" w:rsidP="00A57D06">
      <w:pPr>
        <w:pStyle w:val="FootnoteText"/>
      </w:pPr>
      <w:r w:rsidRPr="009E1673">
        <w:rPr>
          <w:rStyle w:val="FootnoteReference"/>
        </w:rPr>
        <w:footnoteRef/>
      </w:r>
      <w:r>
        <w:t xml:space="preserve"> The framework identified geographical concentration rather than firm concentration, to account for geopolitical risks and for the potential for natural disasters to affect transport routes, rather than vulnerability due to market concentration. However, future measures might also benefit from estimates of firm level concentration, potentially accounting for a</w:t>
      </w:r>
      <w:r w:rsidR="0065379D">
        <w:t xml:space="preserve"> </w:t>
      </w:r>
      <w:r>
        <w:t xml:space="preserve">number of supply risks that are relevant to the number of firms. </w:t>
      </w:r>
    </w:p>
  </w:footnote>
  <w:footnote w:id="7">
    <w:p w14:paraId="6C6CC46A" w14:textId="70A94A4D" w:rsidR="00441B85" w:rsidRDefault="00441B85" w:rsidP="00441B85">
      <w:pPr>
        <w:pStyle w:val="FootnoteText"/>
      </w:pPr>
      <w:r w:rsidRPr="009E1673">
        <w:rPr>
          <w:rStyle w:val="FootnoteReference"/>
        </w:rPr>
        <w:footnoteRef/>
      </w:r>
      <w:r>
        <w:t xml:space="preserve"> </w:t>
      </w:r>
      <w:r>
        <w:fldChar w:fldCharType="begin"/>
      </w:r>
      <w:r w:rsidR="00ED6B7B">
        <w:instrText xml:space="preserve"> ADDIN ZOTERO_ITEM CSL_CITATION {"citationID":"pibxQgxl","properties":{"unsorted":true,"formattedCitation":"(OECD\\uc0\\u160{}2020, pp.\\uc0\\u160{}2, 6\\uc0\\u8211{}8; Patel et al.\\uc0\\u160{}2023, p.\\uc0\\u160{}1898; The Global Fund\\uc0\\u160{}2021, p.\\uc0\\u160{}14)","plainCitation":"(OECD 2020, pp. 2, 6–8; Patel et al. 2023, p. 1898; The Global Fund 2021, p. 14)","dontUpdate":true,"noteIndex":6},"citationItems":[{"id":2813,"uris":["http://zotero.org/groups/5560192/items/ZCY7XYA8"],"itemData":{"id":2813,"type":"report","title":"The Face Mask Global Value Chain in the COVID-19 Outbreak: Evidence and Policy Lessons","URL":"https://pcgov.sharepoint.com/:b:/t/Supplyresilience/ESJsGmYwhQZPpbIYEYb9Vl0B1c0ENckaezF3TWECYUqz8g?e=xarJgY","author":[{"literal":"Organisation for Economic Co-operation and Development"}],"translator":[{"family":"OECD","given":""}],"issued":{"date-parts":[["2020",5,4]]}},"locator":"2, 6-8","label":"page"},{"id":2605,"uris":["http://zotero.org/groups/5560192/items/663TH3IT"],"itemData":{"id":2605,"type":"article-journal","container-title":"Infection Control &amp; Hospital Epidemiology","DOI":"10.1017/ice.2023.115","ISSN":"0899-823X, 1559-6834","issue":"11","journalAbbreviation":"Infect. Control Hosp. Epidemiol.","language":"en","page":"1897-1899","source":"DOI.org (Crossref)","title":"Cost of personal protective equipment during the first wave of the coronavirus disease 2019 (COVID-19) pandemic","volume":"44","author":[{"family":"Patel","given":"Ria"},{"family":"Ali","given":"Mirza"},{"family":"Bleasdale","given":"Susan C."},{"family":"Mena Lora","given":"Alfredo J."}],"issued":{"date-parts":[["2023",11]]}},"locator":"1898","label":"page"},{"id":2599,"uris":["http://zotero.org/groups/5560192/items/VGZ5SAC7"],"itemData":{"id":2599,"type":"report","title":"Transforming the Medical PPE Ecosystem","URL":"https://www.theglobalfund.org/media/11243/publication_ppe-synthesis_paper_en.pdf","author":[{"literal":"The Global Fund"}],"issued":{"date-parts":[["2021",8]]}},"locator":"14","label":"page"}],"schema":"https://github.com/citation-style-language/schema/raw/master/csl-citation.json"} </w:instrText>
      </w:r>
      <w:r>
        <w:fldChar w:fldCharType="separate"/>
      </w:r>
      <w:r w:rsidRPr="00E6135A">
        <w:rPr>
          <w:rFonts w:ascii="Arial" w:hAnsi="Arial" w:cs="Arial"/>
        </w:rPr>
        <w:t>OECD 2020, pp. 2, 6–8; Patel et al. 2023, p. 1898; The Global Fund 2021, p. 14</w:t>
      </w:r>
      <w:r>
        <w:fldChar w:fldCharType="end"/>
      </w:r>
      <w:r>
        <w:t>.</w:t>
      </w:r>
    </w:p>
  </w:footnote>
  <w:footnote w:id="8">
    <w:p w14:paraId="23B7F6CB" w14:textId="4B136853" w:rsidR="00441B85" w:rsidRDefault="00441B85" w:rsidP="00441B85">
      <w:pPr>
        <w:pStyle w:val="FootnoteText"/>
      </w:pPr>
      <w:r w:rsidRPr="009E1673">
        <w:rPr>
          <w:rStyle w:val="FootnoteReference"/>
        </w:rPr>
        <w:footnoteRef/>
      </w:r>
      <w:r>
        <w:t xml:space="preserve"> The PPE under this data includes PPE for other uses including industrial and mining. While some PPE for these uses (such as N95 masks) may be substitutes, others are specific to certain sectors </w:t>
      </w:r>
      <w:r>
        <w:fldChar w:fldCharType="begin"/>
      </w:r>
      <w:r w:rsidR="00ED6B7B">
        <w:instrText xml:space="preserve"> ADDIN ZOTERO_ITEM CSL_CITATION {"citationID":"d5bDU4Ex","properties":{"formattedCitation":"(ABS\\uc0\\u160{}2020, 2024)","plainCitation":"(ABS 2020, 2024)","noteIndex":7},"citationItems":[{"id":2584,"uris":["http://zotero.org/groups/5560192/items/JV4FJUHI"],"itemData":{"id":2584,"type":"webpage","language":"en","title":"Imports of Personal Protective Equipment (PPE)","URL":"https://www.abs.gov.au/articles/imports-personal-protective-equipment-ppe","author":[{"literal":"Australian Bureau of Statistics"}],"translator":[{"literal":"ABS"}],"accessed":{"date-parts":[["2024",8,5]]},"issued":{"date-parts":[["2020",9,3]]}}},{"id":2741,"uris":["http://zotero.org/groups/5560192/items/RWU4E2KJ"],"itemData":{"id":2741,"type":"report","event-place":"Canberra","genre":"Data release","publisher":"Australian Government","publisher-place":"Canberra","title":"5368.0 - International Trade in Goods and Services, March 2024","author":[{"family":"Australian Bureau of Statistics","given":""}],"translator":[{"family":"ABS","given":""}],"issued":{"date-parts":[["2024"]]}}}],"schema":"https://github.com/citation-style-language/schema/raw/master/csl-citation.json"} </w:instrText>
      </w:r>
      <w:r>
        <w:fldChar w:fldCharType="separate"/>
      </w:r>
      <w:r w:rsidR="00BF135A" w:rsidRPr="00BF135A">
        <w:rPr>
          <w:rFonts w:ascii="Arial" w:hAnsi="Arial" w:cs="Arial"/>
        </w:rPr>
        <w:t>(ABS 2020, 2024)</w:t>
      </w:r>
      <w:r>
        <w:fldChar w:fldCharType="end"/>
      </w:r>
      <w:r>
        <w:t>.</w:t>
      </w:r>
    </w:p>
  </w:footnote>
  <w:footnote w:id="9">
    <w:p w14:paraId="63838CF4" w14:textId="30D158B9" w:rsidR="00441B85" w:rsidRDefault="00441B85" w:rsidP="00441B85">
      <w:pPr>
        <w:pStyle w:val="FootnoteText"/>
      </w:pPr>
      <w:r w:rsidRPr="009E1673">
        <w:rPr>
          <w:rStyle w:val="FootnoteReference"/>
        </w:rPr>
        <w:footnoteRef/>
      </w:r>
      <w:r>
        <w:t xml:space="preserve"> Shelf life of PPE is around 5 years (</w:t>
      </w:r>
      <w:r>
        <w:fldChar w:fldCharType="begin"/>
      </w:r>
      <w:r w:rsidR="00ED6B7B">
        <w:instrText xml:space="preserve"> ADDIN ZOTERO_ITEM CSL_CITATION {"citationID":"X5epiUmu","properties":{"formattedCitation":"(3M\\uc0\\u160{}2020, p.\\uc0\\u160{}1; Dow et al.\\uc0\\u160{}2020, p.\\uc0\\u160{}4; Greenawald et al.\\uc0\\u160{}2022, p.\\uc0\\u160{}1)","plainCitation":"(3M 2020, p. 1; Dow et al. 2020, p. 4; Greenawald et al. 2022, p. 1)","dontUpdate":true,"noteIndex":8},"citationItems":[{"id":2581,"uris":["http://zotero.org/groups/5560192/items/E745CZNY"],"itemData":{"id":2581,"type":"report","title":"Frequently Asked Questions: 3M Health Care Particulate Respirator and Surgical Masks Storage Conditions and Shelf Life","URL":"https://multimedia.3m.com/mws/media/869238O/3m-health-care-particulate-respirator-and-surgical-masks-storage-conditions-and-shelf-life-faq.pdf","author":[{"literal":"3M"}],"issued":{"date-parts":[["2020",2,5]]}},"locator":"1","label":"page"},{"id":2554,"uris":["http://zotero.org/groups/5560192/items/8VC8QKCH"],"itemData":{"id":2554,"type":"report","abstract":"The COVID-19 pandemic has exposed tragic shortcomings in California’s preparedness for infrequent but catastrophic public health threats. This failure has caused serious health consequences—in addition to being financially myopic. One specific type of prevention investment that is widely recognized to be crucial is the stockpiling of personal protective equipment (PPE) for essential workers.","language":"en-US","title":"Economic and Health Benefits of a PPE Stockpile","URL":"https://laborcenter.berkeley.edu/economic-and-health-benefits-of-a-ppe-stockpile/","author":[{"family":"Dow","given":"William"},{"family":"Lee","given":"Kevin"},{"family":"Lucia","given":"Laurel"}],"accessed":{"date-parts":[["2024",7,22]]},"issued":{"date-parts":[["2020",8,12]]}},"locator":"4","label":"page"},{"id":2580,"uris":["http://zotero.org/groups/5560192/items/RWPZ62SF"],"itemData":{"id":2580,"type":"report","publisher":"United States Government National Institute for Occupational Safety and Health","title":"Performance of Stockpiled Level 3 Surgical Gowns Sampled from Six Stockpile Facilities","URL":"https://www.cdc.gov/niosh/npptl/ppecase/pdfs/ppe-case-p2022-0101.pdf","author":[{"family":"Greenawald","given":"Lee A."},{"family":"Moore","given":"Susan M."},{"family":"Kilinc-Balci","given":"Selcen"},{"family":"Yorio","given":"Patrick L."}],"issued":{"date-parts":[["2022",10,19]]}},"locator":"1","label":"page"}],"schema":"https://github.com/citation-style-language/schema/raw/master/csl-citation.json"} </w:instrText>
      </w:r>
      <w:r>
        <w:fldChar w:fldCharType="separate"/>
      </w:r>
      <w:r w:rsidRPr="00167CBD">
        <w:rPr>
          <w:rFonts w:ascii="Arial" w:hAnsi="Arial" w:cs="Arial"/>
        </w:rPr>
        <w:t>3M 2020, p. 1; Dow et al. 2020, p. 4; Greenawald et al. 2022, p. 1</w:t>
      </w:r>
      <w:r>
        <w:fldChar w:fldCharType="end"/>
      </w:r>
      <w:r>
        <w:t>).</w:t>
      </w:r>
    </w:p>
  </w:footnote>
  <w:footnote w:id="10">
    <w:p w14:paraId="48C36A38" w14:textId="25B08A7A" w:rsidR="00441B85" w:rsidRDefault="00441B85" w:rsidP="00441B85">
      <w:pPr>
        <w:pStyle w:val="FootnoteText"/>
      </w:pPr>
      <w:r w:rsidRPr="009E1673">
        <w:rPr>
          <w:rStyle w:val="FootnoteReference"/>
        </w:rPr>
        <w:footnoteRef/>
      </w:r>
      <w:r>
        <w:t xml:space="preserve"> Calculation based on the size of Australia’s hospital workforce as 302,727 full time equivalents in 2023 </w:t>
      </w:r>
      <w:r>
        <w:fldChar w:fldCharType="begin"/>
      </w:r>
      <w:r w:rsidR="00ED6B7B">
        <w:instrText xml:space="preserve"> ADDIN ZOTERO_ITEM CSL_CITATION {"citationID":"BWecDlGh","properties":{"formattedCitation":"(DHAC\\uc0\\u160{}2024)","plainCitation":"(DHAC 2024)","noteIndex":9},"citationItems":[{"id":2710,"uris":["http://zotero.org/groups/5560192/items/84NWELK5"],"itemData":{"id":2710,"type":"webpage","title":"Health Workforce Data Portal","URL":"https://hwd.health.gov.au/webapi/jsf/login.xhtml?invalidSession=true&amp;reason=Session+not+established.","author":[{"literal":"Australian Government Department of Health and Aged Care"}],"translator":[{"literal":"DHAC"}],"accessed":{"date-parts":[["2024",8,22]]},"issued":{"date-parts":[["2024",8]]}}}],"schema":"https://github.com/citation-style-language/schema/raw/master/csl-citation.json"} </w:instrText>
      </w:r>
      <w:r>
        <w:fldChar w:fldCharType="separate"/>
      </w:r>
      <w:r w:rsidRPr="00686EF9">
        <w:rPr>
          <w:rFonts w:ascii="Arial" w:hAnsi="Arial" w:cs="Arial"/>
        </w:rPr>
        <w:t>(DHAC 2024)</w:t>
      </w:r>
      <w:r>
        <w:fldChar w:fldCharType="end"/>
      </w:r>
      <w:r>
        <w:t xml:space="preserve">, and using the United States Government TRACIE PPE planning tool to estimate PPE volumes required for a hospital workforce in a respiratory pandemic situation </w:t>
      </w:r>
      <w:r>
        <w:fldChar w:fldCharType="begin"/>
      </w:r>
      <w:r w:rsidR="00ED6B7B">
        <w:instrText xml:space="preserve"> ADDIN ZOTERO_ITEM CSL_CITATION {"citationID":"9oV8D4M8","properties":{"formattedCitation":"(United States Government Assistant Secretary for Preparedness and Responsiveness TRACIE\\uc0\\u160{}2017)","plainCitation":"(United States Government Assistant Secretary for Preparedness and Responsiveness TRACIE 2017)","noteIndex":9},"citationItems":[{"id":2604,"uris":["http://zotero.org/groups/5560192/items/CAQAJH8U"],"itemData":{"id":2604,"type":"software","title":"Hospital Personal Protective Equipment Planning Tool","URL":"https://www.google.com/url?sa=t&amp;rct=j&amp;q=&amp;esrc=s&amp;source=web&amp;cd=&amp;ved=2ahUKEwjUxvT3rdCHAxXPsFYBHf1KC0IQFnoECBMQAQ&amp;url=https%3A%2F%2Fwww.ahrmm.org%2Faspr-tracie-hospital-personal-protective-equipment-planning-tool&amp;usg=AOvVaw2UhFE_ZZQBdU0rwC6UFCoX&amp;opi=89978449","author":[{"literal":"United States Government Assistant Secretary for Preparedness and Responsiveness TRACIE"}],"issued":{"date-parts":[["2017"]]}}}],"schema":"https://github.com/citation-style-language/schema/raw/master/csl-citation.json"} </w:instrText>
      </w:r>
      <w:r>
        <w:fldChar w:fldCharType="separate"/>
      </w:r>
      <w:r w:rsidRPr="003408D5">
        <w:rPr>
          <w:rFonts w:ascii="Arial" w:hAnsi="Arial" w:cs="Arial"/>
        </w:rPr>
        <w:t>(United States Government Assistant Secretary for Preparedness and Responsiveness TRACIE 2017)</w:t>
      </w:r>
      <w:r>
        <w:fldChar w:fldCharType="end"/>
      </w:r>
      <w:r>
        <w:t>. Average PPE costs sampled from Australian wholesale prices in</w:t>
      </w:r>
      <w:r w:rsidDel="00CE024B">
        <w:t xml:space="preserve"> </w:t>
      </w:r>
      <w:r>
        <w:t xml:space="preserve">December 2024: N95 respirator $1.33 per unit; shoe covers $0.06 per pair; gowns $1.47 per unit; gloves $0.16 per pair. </w:t>
      </w:r>
    </w:p>
  </w:footnote>
  <w:footnote w:id="11">
    <w:p w14:paraId="0BCED0AC" w14:textId="152FC0A6" w:rsidR="00441B85" w:rsidRDefault="00441B85" w:rsidP="00441B85">
      <w:pPr>
        <w:pStyle w:val="FootnoteText"/>
      </w:pPr>
      <w:r w:rsidRPr="009E1673">
        <w:rPr>
          <w:rStyle w:val="FootnoteReference"/>
        </w:rPr>
        <w:footnoteRef/>
      </w:r>
      <w:r>
        <w:t xml:space="preserve"> Calculation based on</w:t>
      </w:r>
      <w:r w:rsidRPr="003B5D77">
        <w:t xml:space="preserve"> an average shelf life of 5 years for PPE, </w:t>
      </w:r>
      <w:r>
        <w:t xml:space="preserve">so </w:t>
      </w:r>
      <w:r w:rsidRPr="003B5D77">
        <w:t xml:space="preserve">20% of stock </w:t>
      </w:r>
      <w:r>
        <w:t>wi</w:t>
      </w:r>
      <w:r w:rsidRPr="003B5D77">
        <w:t>ll be renewed annually</w:t>
      </w:r>
      <w:r>
        <w:t>. T</w:t>
      </w:r>
      <w:r w:rsidRPr="003B5D77">
        <w:t xml:space="preserve">his </w:t>
      </w:r>
      <w:r>
        <w:t>assumes</w:t>
      </w:r>
      <w:r w:rsidRPr="003B5D77">
        <w:t xml:space="preserve"> no expiring stock can be used</w:t>
      </w:r>
      <w:r>
        <w:t xml:space="preserve"> or sold. Overheads are modelled as 3% of the total stock value </w:t>
      </w:r>
      <w:r>
        <w:fldChar w:fldCharType="begin"/>
      </w:r>
      <w:r w:rsidR="00ED6B7B">
        <w:instrText xml:space="preserve"> ADDIN ZOTERO_ITEM CSL_CITATION {"citationID":"dZFuLA01","properties":{"formattedCitation":"(Dow et al.\\uc0\\u160{}2020)","plainCitation":"(Dow et al. 2020)","noteIndex":10},"citationItems":[{"id":2554,"uris":["http://zotero.org/groups/5560192/items/8VC8QKCH"],"itemData":{"id":2554,"type":"report","abstract":"The COVID-19 pandemic has exposed tragic shortcomings in California’s preparedness for infrequent but catastrophic public health threats. This failure has caused serious health consequences—in addition to being financially myopic. One specific type of prevention investment that is widely recognized to be crucial is the stockpiling of personal protective equipment (PPE) for essential workers.","language":"en-US","title":"Economic and Health Benefits of a PPE Stockpile","URL":"https://laborcenter.berkeley.edu/economic-and-health-benefits-of-a-ppe-stockpile/","author":[{"family":"Dow","given":"William"},{"family":"Lee","given":"Kevin"},{"family":"Lucia","given":"Laurel"}],"accessed":{"date-parts":[["2024",7,22]]},"issued":{"date-parts":[["2020",8,12]]}}}],"schema":"https://github.com/citation-style-language/schema/raw/master/csl-citation.json"} </w:instrText>
      </w:r>
      <w:r>
        <w:fldChar w:fldCharType="separate"/>
      </w:r>
      <w:r w:rsidRPr="006A5951">
        <w:rPr>
          <w:rFonts w:ascii="Arial" w:hAnsi="Arial" w:cs="Arial"/>
        </w:rPr>
        <w:t>(Dow et al. 2020)</w:t>
      </w:r>
      <w:r>
        <w:fldChar w:fldCharType="end"/>
      </w:r>
      <w:r>
        <w:t>. For simplicity, the size of the health workforce is held constant.</w:t>
      </w:r>
    </w:p>
  </w:footnote>
  <w:footnote w:id="12">
    <w:p w14:paraId="1828004C" w14:textId="0D346E63" w:rsidR="00441B85" w:rsidRDefault="00441B85" w:rsidP="00441B85">
      <w:pPr>
        <w:pStyle w:val="FootnoteText"/>
      </w:pPr>
      <w:r w:rsidRPr="009E1673">
        <w:rPr>
          <w:rStyle w:val="FootnoteReference"/>
        </w:rPr>
        <w:footnoteRef/>
      </w:r>
      <w:r>
        <w:t xml:space="preserve"> Based on a sample of the literature </w:t>
      </w:r>
      <w:r>
        <w:fldChar w:fldCharType="begin"/>
      </w:r>
      <w:r w:rsidR="00ED6B7B">
        <w:instrText xml:space="preserve"> ADDIN ZOTERO_ITEM CSL_CITATION {"citationID":"7cslnf3a","properties":{"formattedCitation":"(McAndrew et al.\\uc0\\u160{}2024, p.\\uc0\\u160{}88; Risko et al.\\uc0\\u160{}2020, p.\\uc0\\u160{}4,6; Sharma et al.\\uc0\\u160{}2024, p.\\uc0\\u160{}8)","plainCitation":"(McAndrew et al. 2024, p. 88; Risko et al. 2020, p. 4,6; Sharma et al. 2024, p. 8)","noteIndex":11},"citationItems":[{"id":2638,"uris":["http://zotero.org/groups/5560192/items/KA43PXYK"],"itemData":{"id":2638,"type":"article-journal","container-title":"Journal of Hospital Infection","DOI":"10.1016/j.jhin.2024.06.015","ISSN":"01956701","journalAbbreviation":"Journal of Hospital Infection","language":"en","page":"S0195670124002366","source":"DOI.org (Crossref)","title":"Admission screening testing of patients and staff N95 masks are cost-effective in reducing COVID-19 hospital acquired infections","author":[{"family":"McAndrew","given":"Fenella"},{"family":"Abeysuriya","given":"Romesh G."},{"family":"Sacks-Davis","given":"Rachel"},{"family":"Sammann","given":"Marlya"},{"family":"Lister","given":"David M."},{"family":"West","given":"Daniel"},{"family":"Majumdar","given":"Suman"},{"family":"Scott","given":"Nick"}],"issued":{"date-parts":[["2024",7]]}},"locator":"88","label":"page"},{"id":2603,"uris":["http://zotero.org/groups/5560192/items/IA8REIYU"],"itemData":{"id":2603,"type":"article-journal","container-title":"PLOS ONE","DOI":"10.1371/journal.pone.0240503","ISSN":"1932-6203","issue":"10","journalAbbreviation":"PLoS ONE","language":"en","page":"e0240503","source":"DOI.org (Crossref)","title":"Cost-effectiveness and return on investment of protecting health workers in low- and middle-income countries during the COVID-19 pandemic","volume":"15","author":[{"family":"Risko","given":"Nicholas"},{"family":"Werner","given":"Kalin"},{"family":"Offorjebe","given":"O. Agatha"},{"family":"Vecino-Ortiz","given":"Andres I."},{"family":"Wallis","given":"Lee A."},{"family":"Razzak","given":"Junaid"}],"editor":[{"family":"Di Gennaro","given":"Francesco"}],"issued":{"date-parts":[["2020",10,9]]}},"locator":"4,6","label":"page"},{"id":2636,"uris":["http://zotero.org/groups/5560192/items/NCJRYQIG"],"itemData":{"id":2636,"type":"article-journal","abstract":"Background\n              Nonpharmacological interventions, such as personal protective equipment for example, surgical masks and respirators, and maintenance of hand hygiene along with COVID-19 vaccines have been recommended to reduce viral transmission in the community and health care settings. There is evidence from the literature that surgical and N95 masks may reduce the initial degree of exposure to the virus. A limited research that has studied the cost-effective analysis of surgical masks and N95 masks among health care workers in the prevention of COVID-19 in India. The objective of this study was to estimate the cost-effectiveness of N95 and surgical mask compared to wearing no mask in public hospital settings for preventing COVID-19 infection among Health care workers (HCWs) from the health care provider’s perspective.\n            \n            \n              Methods\n              A deterministic baseline model, without any mask use, based on Eikenberry et al was used to form the foundation for parameter estimation and to estimate transmission rates among HCWs. Information on mask efficacy, including the overall filtering efficiency of a mask and clinical efficiency, in terms of either inward efficiency(ei) or outward efficiency(e0), was obtained from published literature. Hospitalized HCWs were assumed to be in one of the disease states i.e., mild, moderate, severe, or critical. A total of 10,000 HCWs was considered as representative of the size of a tertiary care institution HCW population. The utility values for the mild, moderate and severe model health states were sourced from the primary data collection on quality-of-life of HCWs COVID-19 survivors. The utility scores for mild, moderate, and severe COVID-19 conditions were 0.88, 0.738 and 0.58, respectively. The cost of treatment for mild sickness (6,500 INR per day), moderate sickness (10,000 INR per day), severe (require ICU facility without ventilation, 15,000 INR per day), and critical (require ICU facility with ventilation per day, 18,000 INR) per day as per government and private COVID-19 treatment costs and capping were considered. One way sensitivity analyses were performed to identify the model inputs which had the largest impact on model results.\n            \n            \n              Results\n              The use of N95 masks compared to using no mask is cost-saving of $1,454,632 (INR 0.106 billion) per 10,000 HCWs in a year. The use of N95 masks compared to using surgical masks is cost-saving of $63,919 (INR 0.005 billion) per 10,000 HCWs in a year. the use of surgical masks compared to using no mask is cost-saving of $1,390,713 (INR 0.102 billion) per 10,000 HCWs in a year. The uncertainty analysis showed that considering fixed transmission rate (1.7), adoption of mask efficiency as 20%, 50% and 80% reduces the cumulative relative mortality to 41%, 79% and 94% respectively. On considering ei = e0 (99%) for N95 and surgical mask with ei = e0 (90%) the cumulative relat</w:instrText>
      </w:r>
      <w:r w:rsidR="00ED6B7B" w:rsidRPr="00760A08">
        <w:rPr>
          <w:lang w:val="fr-CA"/>
        </w:rPr>
        <w:instrText xml:space="preserve">ive mortality was reduced by 97% and the use of N95 masks compared to using surgical masks is cost-saving of $24,361 (INR 0.002 billion) per 10,000 HCWs in a year.\n            \n            \n              Discussion\n              Both considered interventions were dominant compared to no mask based on the model estimates. N95 masks were also dominant compared to surgical masks.","container-title":"PLOS ONE","DOI":"10.1371/journal.pone.0299309","ISSN":"1932-6203","issue":"5","journalAbbreviation":"PLoS ONE","language":"en","page":"e0299309","source":"DOI.org (Crossref)","title":"Cost-effectiveness analysis of surgical masks, N95 masks compared to wearing no mask for the prevention of COVID-19 among health care workers: Evidence from the public health care setting in India","title-short":"Cost-effectiveness analysis of surgical masks, N95 masks compared to wearing no mask for the prevention of COVID-19 among health care workers","volume":"19","author":[{"family":"Sharma","given":"Meenakshi"},{"family":"Sra","given":"Harnoor"},{"family":"Painter","given":"Chris"},{"family":"Pan-ngum","given":"Wirichada"},{"family":"Luangasanatip","given":"Nantasit"},{"family":"Chauhan","given":"Anil"},{"family":"Prinja","given":"Shankar"},{"family":"Singh","given":"Meenu"}],"editor":[{"family":"Iktidar","given":"Mohammad Azmain"}],"issued":{"date-parts":[["2024",5,20]]}},"locator":"8","label":"page"}],"schema":"https://github.com/citation-style-language/schema/raw/master/csl-citation.json"} </w:instrText>
      </w:r>
      <w:r>
        <w:fldChar w:fldCharType="separate"/>
      </w:r>
      <w:r w:rsidRPr="002914C4">
        <w:rPr>
          <w:rFonts w:ascii="Arial" w:hAnsi="Arial" w:cs="Arial"/>
          <w:lang w:val="fr-CA"/>
        </w:rPr>
        <w:t>(McAndrew et al. 2024, p. 88; Risko et al. 2020, p. 4,6; Sharma et al. 2024, p. 8)</w:t>
      </w:r>
      <w:r>
        <w:fldChar w:fldCharType="end"/>
      </w:r>
      <w:r w:rsidRPr="002914C4">
        <w:rPr>
          <w:lang w:val="fr-CA"/>
        </w:rPr>
        <w:t xml:space="preserve">. </w:t>
      </w:r>
      <w:r>
        <w:t xml:space="preserve">A full literature review would be required to undertake a full </w:t>
      </w:r>
      <w:r w:rsidR="009C1272">
        <w:t>cost-benefit analysis</w:t>
      </w:r>
      <w:r>
        <w:t>.</w:t>
      </w:r>
    </w:p>
  </w:footnote>
  <w:footnote w:id="13">
    <w:p w14:paraId="51A024B9" w14:textId="1DFF0065" w:rsidR="00441B85" w:rsidRDefault="00441B85" w:rsidP="00441B85">
      <w:pPr>
        <w:pStyle w:val="FootnoteText"/>
      </w:pPr>
      <w:r w:rsidRPr="009E1673">
        <w:rPr>
          <w:rStyle w:val="FootnoteReference"/>
        </w:rPr>
        <w:footnoteRef/>
      </w:r>
      <w:r>
        <w:t xml:space="preserve"> Benefits calculated using the midpoint estimates from literature of $4,000 spend per QALY gained for health outcomes </w:t>
      </w:r>
      <w:r w:rsidRPr="00F5722C">
        <w:t xml:space="preserve">and a 40-fold </w:t>
      </w:r>
      <w:r w:rsidR="00AA00B0">
        <w:t>return on investment (</w:t>
      </w:r>
      <w:r w:rsidRPr="00F5722C">
        <w:t>ROI</w:t>
      </w:r>
      <w:r w:rsidR="00AA00B0">
        <w:t>)</w:t>
      </w:r>
      <w:r w:rsidR="00AA00B0" w:rsidRPr="00F5722C">
        <w:t xml:space="preserve"> </w:t>
      </w:r>
      <w:r w:rsidRPr="00F5722C">
        <w:t xml:space="preserve">for costs averted and converting to dollars. We used the benefit value of a QALY as $126,000 in 2023 terms </w:t>
      </w:r>
      <w:r w:rsidRPr="00F5722C">
        <w:fldChar w:fldCharType="begin"/>
      </w:r>
      <w:r w:rsidR="00ED6B7B">
        <w:instrText xml:space="preserve"> ADDIN ZOTERO_ITEM CSL_CITATION {"citationID":"J1A5mfnj","properties":{"formattedCitation":"(PC\\uc0\\u160{}2024a)","plainCitation":"(PC 2024a)","noteIndex":12},"citationItems":[{"id":155,"uris":["http://zotero.org/groups/164861/items/GURPSN7V"],"itemData":{"id":155,"type":"report","event-place":"Canberra","genre":"Research paper","publisher-place":"Canberra","title":"Advances in measuring healthcare productivity","author":[{"family":"Productivity Commission","given":""}],"translator":[{"family":"PC","given":""}],"issued":{"date-parts":[["2024"]]}}}],"schema":"https://github.com/citation-style-language/schema/raw/master/csl-citation.json"} </w:instrText>
      </w:r>
      <w:r w:rsidRPr="00F5722C">
        <w:fldChar w:fldCharType="separate"/>
      </w:r>
      <w:r w:rsidR="00180E84" w:rsidRPr="00180E84">
        <w:rPr>
          <w:rFonts w:ascii="Arial" w:hAnsi="Arial" w:cs="Arial"/>
        </w:rPr>
        <w:t>(PC 2024a)</w:t>
      </w:r>
      <w:r w:rsidRPr="00F5722C">
        <w:fldChar w:fldCharType="end"/>
      </w:r>
      <w:r w:rsidRPr="00F5722C">
        <w:t>. The calculation assumes that the stockpile would be the only practical source of PPE while it lasts – the counterfactual is that absent the stockpile, hospital workers would have to perform their duties without adequate PPE. This is an oversimplification – in reality other strategies could be used which may reduce the calculated benefits.</w:t>
      </w:r>
      <w:r>
        <w:t xml:space="preserve"> </w:t>
      </w:r>
    </w:p>
  </w:footnote>
  <w:footnote w:id="14">
    <w:p w14:paraId="3418BE2B" w14:textId="694160D2" w:rsidR="003D3DCD" w:rsidRPr="00030887" w:rsidRDefault="003D3DCD" w:rsidP="003D3DCD">
      <w:pPr>
        <w:pStyle w:val="FootnoteText"/>
        <w:rPr>
          <w:spacing w:val="-2"/>
        </w:rPr>
      </w:pPr>
      <w:r w:rsidRPr="00030887">
        <w:rPr>
          <w:rStyle w:val="FootnoteReference"/>
          <w:spacing w:val="-2"/>
        </w:rPr>
        <w:footnoteRef/>
      </w:r>
      <w:r w:rsidRPr="00030887">
        <w:rPr>
          <w:spacing w:val="-2"/>
        </w:rPr>
        <w:t xml:space="preserve"> In the ‘best case’ scenario </w:t>
      </w:r>
      <w:r w:rsidR="00A33FAA" w:rsidRPr="00030887">
        <w:rPr>
          <w:spacing w:val="-2"/>
        </w:rPr>
        <w:t>(the one that has the highest assumptions for benefits and lowest for costs)</w:t>
      </w:r>
      <w:r w:rsidRPr="00030887">
        <w:rPr>
          <w:spacing w:val="-2"/>
        </w:rPr>
        <w:t xml:space="preserve"> it is assumed that a $1,000 spend per QALY gained for health outcomes, while one QALY is worth $239,000 and </w:t>
      </w:r>
      <w:r w:rsidR="00EA33F3" w:rsidRPr="00030887">
        <w:rPr>
          <w:spacing w:val="-2"/>
        </w:rPr>
        <w:t>an</w:t>
      </w:r>
      <w:r w:rsidRPr="00030887">
        <w:rPr>
          <w:spacing w:val="-2"/>
        </w:rPr>
        <w:t xml:space="preserve"> 80-fold ROI for costs averted. Conversely, in the ‘worst case’ scenario</w:t>
      </w:r>
      <w:r w:rsidR="00D5260E" w:rsidRPr="00030887">
        <w:rPr>
          <w:spacing w:val="-2"/>
        </w:rPr>
        <w:t xml:space="preserve"> (with the lowest assumptions for benefits and highest for costs)</w:t>
      </w:r>
      <w:r w:rsidRPr="00030887">
        <w:rPr>
          <w:spacing w:val="-2"/>
        </w:rPr>
        <w:t xml:space="preserve">, these values change to $7,500 spend per QALY, $75,000 </w:t>
      </w:r>
      <w:r w:rsidR="001C7C27" w:rsidRPr="00030887">
        <w:rPr>
          <w:spacing w:val="-2"/>
        </w:rPr>
        <w:t>value</w:t>
      </w:r>
      <w:r w:rsidRPr="00030887">
        <w:rPr>
          <w:spacing w:val="-2"/>
        </w:rPr>
        <w:t xml:space="preserve"> per QALY, and a 5-fold ROI for costs averted, respectively.</w:t>
      </w:r>
    </w:p>
  </w:footnote>
  <w:footnote w:id="15">
    <w:p w14:paraId="1CC43495" w14:textId="77777777" w:rsidR="001E6E43" w:rsidRDefault="001E6E43" w:rsidP="001E6E43">
      <w:pPr>
        <w:pStyle w:val="FootnoteText"/>
      </w:pPr>
      <w:r w:rsidRPr="009E1673">
        <w:rPr>
          <w:rStyle w:val="FootnoteReference"/>
        </w:rPr>
        <w:footnoteRef/>
      </w:r>
      <w:r>
        <w:t xml:space="preserve"> This analysis considers COVID-19 in isolation; it is probable that other epidemics such as influenza would also require resources from a national stockpile within the same timeframe, increasing its value further relative to cost.</w:t>
      </w:r>
    </w:p>
  </w:footnote>
  <w:footnote w:id="16">
    <w:p w14:paraId="2E21F173" w14:textId="25271A67" w:rsidR="001E6E43" w:rsidRPr="00030887" w:rsidRDefault="001E6E43" w:rsidP="001E6E43">
      <w:pPr>
        <w:pStyle w:val="FootnoteText"/>
        <w:rPr>
          <w:spacing w:val="-2"/>
          <w:lang w:val="en-US"/>
        </w:rPr>
      </w:pPr>
      <w:r w:rsidRPr="00030887">
        <w:rPr>
          <w:rStyle w:val="FootnoteReference"/>
          <w:spacing w:val="-2"/>
        </w:rPr>
        <w:footnoteRef/>
      </w:r>
      <w:r w:rsidRPr="00030887">
        <w:rPr>
          <w:spacing w:val="-2"/>
        </w:rPr>
        <w:t xml:space="preserve"> In thinking about existential events, however, there</w:t>
      </w:r>
      <w:r w:rsidR="0085560E">
        <w:rPr>
          <w:spacing w:val="-2"/>
        </w:rPr>
        <w:t xml:space="preserve"> i</w:t>
      </w:r>
      <w:r w:rsidRPr="00030887">
        <w:rPr>
          <w:spacing w:val="-2"/>
        </w:rPr>
        <w:t>s an important distinction to be made between the lead up to an event and the realisation of the event itself. Once realised, expenditure will shift to responding to the event, which may move to ‘war economy’ like settings where almost all of a societ</w:t>
      </w:r>
      <w:r w:rsidR="000C4891" w:rsidRPr="00030887">
        <w:rPr>
          <w:spacing w:val="-2"/>
        </w:rPr>
        <w:t>y’s</w:t>
      </w:r>
      <w:r w:rsidRPr="00030887">
        <w:rPr>
          <w:spacing w:val="-2"/>
        </w:rPr>
        <w:t xml:space="preserve"> resources are directed to repelling the existential attack.</w:t>
      </w:r>
    </w:p>
  </w:footnote>
  <w:footnote w:id="17">
    <w:p w14:paraId="68863E81" w14:textId="5985697E" w:rsidR="00964058" w:rsidRDefault="00964058" w:rsidP="00964058">
      <w:pPr>
        <w:pStyle w:val="FootnoteText"/>
      </w:pPr>
      <w:r w:rsidRPr="009E1673">
        <w:rPr>
          <w:rStyle w:val="FootnoteReference"/>
        </w:rPr>
        <w:footnoteRef/>
      </w:r>
      <w:r>
        <w:t xml:space="preserve"> For example, in June 2024 a hack on </w:t>
      </w:r>
      <w:r>
        <w:t>Synnovis pathology disrupted hospitals throughout the U</w:t>
      </w:r>
      <w:r w:rsidR="007D545F">
        <w:t xml:space="preserve">nited </w:t>
      </w:r>
      <w:r>
        <w:t>K</w:t>
      </w:r>
      <w:r w:rsidR="007D545F">
        <w:t>ingdom</w:t>
      </w:r>
      <w:r>
        <w:t xml:space="preserve">. National Health Service </w:t>
      </w:r>
      <w:r w:rsidR="009C57AB">
        <w:t>a</w:t>
      </w:r>
      <w:r>
        <w:t xml:space="preserve">uthorities had to postpone thousands of elective procedures and outpatient appointments while IT systems were being </w:t>
      </w:r>
      <w:r w:rsidR="00180989">
        <w:t>secured</w:t>
      </w:r>
      <w:r w:rsidR="00383688">
        <w:t xml:space="preserve"> </w:t>
      </w:r>
      <w:r w:rsidR="00383688">
        <w:fldChar w:fldCharType="begin"/>
      </w:r>
      <w:r w:rsidR="00ED6B7B">
        <w:instrText xml:space="preserve"> ADDIN ZOTERO_ITEM CSL_CITATION {"citationID":"OgURFOmL","properties":{"formattedCitation":"(Stacey\\uc0\\u160{}2024)","plainCitation":"(Stacey 2024)","noteIndex":16},"citationItems":[{"id":2669,"uris":["http://zotero.org/groups/5560192/items/PAFFU76G"],"itemData":{"id":2669,"type":"article-newspaper","abstract":"Health service investigates ransomware hit to determine content of published files","container-title":"Financial Times","section":"Ransomware","title":"NHS England probes data leak after cyber attack on Synnovis blood-test provider","URL":"https://www.ft.com/content/a54f9c2e-bf5a-464d-94d2-8b08285a148d","author":[{"family":"Stacey","given":"Stephanie"}],"accessed":{"date-parts":[["2024",10,28]]},"issued":{"date-parts":[["2024",6,21]]}}}],"schema":"https://github.com/citation-style-language/schema/raw/master/csl-citation.json"} </w:instrText>
      </w:r>
      <w:r w:rsidR="00383688">
        <w:fldChar w:fldCharType="separate"/>
      </w:r>
      <w:r w:rsidR="00383688" w:rsidRPr="00383688">
        <w:rPr>
          <w:rFonts w:ascii="Arial" w:hAnsi="Arial" w:cs="Arial"/>
        </w:rPr>
        <w:t>(Stacey 2024)</w:t>
      </w:r>
      <w:r w:rsidR="00383688">
        <w:fldChar w:fldCharType="end"/>
      </w:r>
      <w:r w:rsidR="00180989">
        <w:t>.</w:t>
      </w:r>
    </w:p>
  </w:footnote>
  <w:footnote w:id="18">
    <w:p w14:paraId="1804FD8B" w14:textId="77777777" w:rsidR="00B34C13" w:rsidRPr="006D5191" w:rsidRDefault="00B34C13" w:rsidP="00B34C13">
      <w:pPr>
        <w:pStyle w:val="FootnoteText"/>
        <w:rPr>
          <w:lang w:val="en-US"/>
        </w:rPr>
      </w:pPr>
      <w:r w:rsidRPr="009E1673">
        <w:rPr>
          <w:rStyle w:val="FootnoteReference"/>
        </w:rPr>
        <w:footnoteRef/>
      </w:r>
      <w:r>
        <w:t xml:space="preserve"> </w:t>
      </w:r>
      <w:r w:rsidRPr="00F505BE">
        <w:rPr>
          <w:lang w:val="en-US"/>
        </w:rPr>
        <w:t xml:space="preserve">Air gapping is </w:t>
      </w:r>
      <w:r>
        <w:rPr>
          <w:lang w:val="en-US"/>
        </w:rPr>
        <w:t>physically isolating telecommunication systems from networks to protect against remote attack.</w:t>
      </w:r>
    </w:p>
  </w:footnote>
  <w:footnote w:id="19">
    <w:p w14:paraId="5AEF7DD1" w14:textId="3C758553" w:rsidR="00F337A7" w:rsidRPr="00771868" w:rsidRDefault="00F337A7" w:rsidP="00F337A7">
      <w:pPr>
        <w:pStyle w:val="FootnoteText"/>
      </w:pPr>
      <w:r w:rsidRPr="009E1673">
        <w:rPr>
          <w:rStyle w:val="FootnoteReference"/>
        </w:rPr>
        <w:footnoteRef/>
      </w:r>
      <w:r>
        <w:t xml:space="preserve"> Probability of event occurring at least once is calculated as 1 – (1</w:t>
      </w:r>
      <w:r w:rsidR="003B0E5E">
        <w:t xml:space="preserve"> –</w:t>
      </w:r>
      <w:r>
        <w:t xml:space="preserve"> 0.5)</w:t>
      </w:r>
      <w:r>
        <w:rPr>
          <w:vertAlign w:val="superscript"/>
        </w:rPr>
        <w:t>4</w:t>
      </w:r>
      <w:r>
        <w:t>.</w:t>
      </w:r>
    </w:p>
  </w:footnote>
  <w:footnote w:id="20">
    <w:p w14:paraId="471B87A0" w14:textId="77777777" w:rsidR="00964058" w:rsidRPr="00ED1BA0" w:rsidRDefault="00964058" w:rsidP="00B460B0">
      <w:pPr>
        <w:pStyle w:val="BodyText"/>
        <w:spacing w:line="240" w:lineRule="atLeast"/>
        <w:rPr>
          <w:sz w:val="18"/>
          <w:szCs w:val="18"/>
        </w:rPr>
      </w:pPr>
      <w:r w:rsidRPr="009E1673">
        <w:rPr>
          <w:rStyle w:val="FootnoteReference"/>
        </w:rPr>
        <w:footnoteRef/>
      </w:r>
      <w:r>
        <w:t xml:space="preserve"> </w:t>
      </w:r>
      <w:r w:rsidRPr="00ED1BA0">
        <w:rPr>
          <w:sz w:val="18"/>
          <w:szCs w:val="18"/>
        </w:rPr>
        <w:t xml:space="preserve">The policy options examined are not exhaustive. Alternatives, such as funding a portion of domestic production or reconfiguring the imported hardware to eliminate security vulnerabilities, could also be considered. </w:t>
      </w:r>
    </w:p>
  </w:footnote>
  <w:footnote w:id="21">
    <w:p w14:paraId="062EE500" w14:textId="49B16D56" w:rsidR="00964058" w:rsidRDefault="00964058" w:rsidP="00964058">
      <w:pPr>
        <w:pStyle w:val="FootnoteText"/>
      </w:pPr>
      <w:r w:rsidRPr="009E1673">
        <w:rPr>
          <w:rStyle w:val="FootnoteReference"/>
        </w:rPr>
        <w:footnoteRef/>
      </w:r>
      <w:r>
        <w:t xml:space="preserve"> </w:t>
      </w:r>
      <w:r w:rsidRPr="00B36981">
        <w:t xml:space="preserve">For the baseline case, benefits are the avoided spending on the least costly intervention, while costs are the cumulative expected costs of disruptions over 10 years (calculated as the product of the risk level and the cost of disruption each year). In the intervention case, benefits are the savings from reduced disruption costs compared to the baseline. As production increases and reliance on country A decreases, disruption costs drop eventually reaching zero. Costs in the intervention case are as shown in </w:t>
      </w:r>
      <w:r w:rsidR="00816B3F">
        <w:t xml:space="preserve">table </w:t>
      </w:r>
      <w:r w:rsidR="00B34602">
        <w:t>2.</w:t>
      </w:r>
      <w:r w:rsidR="00816B3F">
        <w:t>3</w:t>
      </w:r>
      <w:r w:rsidRPr="00B36981">
        <w:t>.</w:t>
      </w:r>
    </w:p>
  </w:footnote>
  <w:footnote w:id="22">
    <w:p w14:paraId="2E79564F" w14:textId="75D3A008" w:rsidR="009C7AFF" w:rsidRPr="00010640" w:rsidRDefault="009C7AFF" w:rsidP="009C7AFF">
      <w:pPr>
        <w:pStyle w:val="FootnoteText"/>
        <w:rPr>
          <w:lang w:val="en-US"/>
        </w:rPr>
      </w:pPr>
      <w:r w:rsidRPr="009E1673">
        <w:rPr>
          <w:rStyle w:val="FootnoteReference"/>
        </w:rPr>
        <w:footnoteRef/>
      </w:r>
      <w:r>
        <w:t xml:space="preserve"> </w:t>
      </w:r>
      <w:r>
        <w:rPr>
          <w:bCs/>
        </w:rPr>
        <w:t>In addition, some emissions abatement activities may simultaneously generate co-benefits to emissions abatement that are distinct from reductions in abatement itself, such as reforestation-based carbon sequestration projects that are designed to also promote ecosystem restoration in addition to carbon sequestration (</w:t>
      </w:r>
      <w:r w:rsidR="001553E9">
        <w:rPr>
          <w:bCs/>
        </w:rPr>
        <w:t xml:space="preserve">although </w:t>
      </w:r>
      <w:r>
        <w:rPr>
          <w:bCs/>
        </w:rPr>
        <w:t>many do not), or transport electrification technologies that simultaneously improve local air quality. Providing additional policy support in order to capture these co-benefits is also another possible reason to pursue abatement options that are higher on the MAC curve relative to other options.</w:t>
      </w:r>
    </w:p>
  </w:footnote>
  <w:footnote w:id="23">
    <w:p w14:paraId="7BCA0FEA" w14:textId="5C094A4E" w:rsidR="001E0917" w:rsidRPr="00BF54CD" w:rsidRDefault="001E0917" w:rsidP="001E0917">
      <w:pPr>
        <w:pStyle w:val="FootnoteText"/>
        <w:rPr>
          <w:spacing w:val="-4"/>
          <w:lang w:val="en-US"/>
        </w:rPr>
      </w:pPr>
      <w:r w:rsidRPr="00BF54CD">
        <w:rPr>
          <w:rStyle w:val="FootnoteReference"/>
          <w:spacing w:val="-4"/>
        </w:rPr>
        <w:footnoteRef/>
      </w:r>
      <w:r w:rsidRPr="00BF54CD">
        <w:rPr>
          <w:spacing w:val="-4"/>
        </w:rPr>
        <w:t xml:space="preserve"> The paper introduces the idea of a </w:t>
      </w:r>
      <w:r w:rsidR="00B91C50">
        <w:rPr>
          <w:spacing w:val="-4"/>
        </w:rPr>
        <w:t>‘</w:t>
      </w:r>
      <w:r w:rsidRPr="00BF54CD">
        <w:rPr>
          <w:spacing w:val="-4"/>
        </w:rPr>
        <w:t>product space</w:t>
      </w:r>
      <w:r w:rsidR="00B91C50">
        <w:rPr>
          <w:spacing w:val="-4"/>
        </w:rPr>
        <w:t>’</w:t>
      </w:r>
      <w:r w:rsidRPr="00BF54CD">
        <w:rPr>
          <w:spacing w:val="-4"/>
        </w:rPr>
        <w:t xml:space="preserve"> network showing the relatedness between products based on the skills, technologies and infrastructure needed to produce them. More sophisticated products are found in the densely connected core of this network, while less sophisticated products are in a less connected periphery. Economic growth is linked to a country’s ability to move towards producing more sophisticated products. This occurs through comparative advantage – countries with a comparative advantage in certain products are likely to develop new products that are closely related in the product space, as they can more easily adapt their existing capabilities. As such, the paper suggests that understanding the structure of the product space and the proximity between products is crucial for identifying future comparative advantages.</w:t>
      </w:r>
    </w:p>
  </w:footnote>
  <w:footnote w:id="24">
    <w:p w14:paraId="11D16C63" w14:textId="40B3DE9B" w:rsidR="001E0917" w:rsidRDefault="001E0917" w:rsidP="001E0917">
      <w:pPr>
        <w:pStyle w:val="FootnoteText"/>
      </w:pPr>
      <w:r w:rsidRPr="009E1673">
        <w:rPr>
          <w:rStyle w:val="FootnoteReference"/>
        </w:rPr>
        <w:footnoteRef/>
      </w:r>
      <w:r>
        <w:t xml:space="preserve"> Paul Krugman’s work on the role of increasing returns to scale in establishing localised industry clusters is an example of these kinds of dynamics. According to Krugman, a small concentration of firms in a region, </w:t>
      </w:r>
      <w:r w:rsidR="007F1CD6">
        <w:t xml:space="preserve">even </w:t>
      </w:r>
      <w:r w:rsidR="004B72CB">
        <w:t>one</w:t>
      </w:r>
      <w:r>
        <w:t xml:space="preserve"> arising from ‘accidents of history,’ can attract additional firms – including those integral to the industrial ‘core’ through their production of required intermediate goods</w:t>
      </w:r>
      <w:r w:rsidR="00B600E0">
        <w:t xml:space="preserve"> </w:t>
      </w:r>
      <w:r w:rsidR="00B600E0">
        <w:fldChar w:fldCharType="begin"/>
      </w:r>
      <w:r w:rsidR="00ED6B7B">
        <w:instrText xml:space="preserve"> ADDIN ZOTERO_ITEM CSL_CITATION {"citationID":"i8goJbTe","properties":{"formattedCitation":"(Krugman\\uc0\\u160{}1990)","plainCitation":"(Krugman 1990)","noteIndex":23},"citationItems":[{"id":2657,"uris":["http://zotero.org/groups/5560192/items/SJD5T2QL"],"itemData":{"id":2657,"type":"article-journal","container-title":"National Bureau of Economic Research","title":"Increasing Returns and Economic Geography","URL":"file:///C:/Users/rdas/AppData/Local/Temp/MicrosoftEdgeDownloads/0d74675a-435d-4b48-918a-15654aaa21da/ssrn-453812.pdf","author":[{"family":"Krugman","given":"Paul"}],"issued":{"date-parts":[["1990"]]}}}],"schema":"https://github.com/citation-style-language/schema/raw/master/csl-citation.json"} </w:instrText>
      </w:r>
      <w:r w:rsidR="00B600E0">
        <w:fldChar w:fldCharType="separate"/>
      </w:r>
      <w:r w:rsidR="00B600E0" w:rsidRPr="006820EB">
        <w:rPr>
          <w:rFonts w:ascii="Arial" w:hAnsi="Arial" w:cs="Arial"/>
        </w:rPr>
        <w:t>(Krugman 1990)</w:t>
      </w:r>
      <w:r w:rsidR="00B600E0">
        <w:fldChar w:fldCharType="end"/>
      </w:r>
      <w:r w:rsidR="00B600E0">
        <w:t>.</w:t>
      </w:r>
      <w:r>
        <w:t xml:space="preserve"> </w:t>
      </w:r>
    </w:p>
  </w:footnote>
  <w:footnote w:id="25">
    <w:p w14:paraId="2A37C67E" w14:textId="7CA2DA15" w:rsidR="001E0917" w:rsidRDefault="001E0917" w:rsidP="001E0917">
      <w:pPr>
        <w:pStyle w:val="FootnoteText"/>
        <w:rPr>
          <w:lang w:val="en-US"/>
        </w:rPr>
      </w:pPr>
      <w:r w:rsidRPr="009E1673">
        <w:rPr>
          <w:rStyle w:val="FootnoteReference"/>
        </w:rPr>
        <w:footnoteRef/>
      </w:r>
      <w:r>
        <w:t xml:space="preserve"> </w:t>
      </w:r>
      <w:r>
        <w:rPr>
          <w:lang w:val="en-US"/>
        </w:rPr>
        <w:t>Under the Heckscher-Ohlin theorem both the traded and non-traded inputs of countries will equalise as a result of international trade over time. Empirical evidence suggests that the predictions of H-O theorem are particularly relevant for small open economies like Australia</w:t>
      </w:r>
      <w:r w:rsidR="00B600E0">
        <w:rPr>
          <w:lang w:val="en-US"/>
        </w:rPr>
        <w:t xml:space="preserve"> </w:t>
      </w:r>
      <w:r w:rsidR="00985E71">
        <w:rPr>
          <w:lang w:val="en-US"/>
        </w:rPr>
        <w:fldChar w:fldCharType="begin"/>
      </w:r>
      <w:r w:rsidR="00ED6B7B">
        <w:rPr>
          <w:lang w:val="en-US"/>
        </w:rPr>
        <w:instrText xml:space="preserve"> ADDIN ZOTERO_ITEM CSL_CITATION {"citationID":"KTExwYVr","properties":{"formattedCitation":"(Leamer\\uc0\\u160{}1995)","plainCitation":"(Leamer 1995)","noteIndex":24},"citationItems":[{"id":2785,"uris":["http://zotero.org/groups/5560192/items/6BNK5KNM"],"itemData":{"id":2785,"type":"article-journal","container-title":"Princeton Studies in International Finance","title":"The Heckscher-Ohlin model in theory and practice","URL":"https://ies.princeton.edu/pdf/S77.pdf","author":[{"family":"Leamer","given":"Edward E"}],"issued":{"date-parts":[["1995"]]}}}],"schema":"https://github.com/citation-style-language/schema/raw/master/csl-citation.json"} </w:instrText>
      </w:r>
      <w:r w:rsidR="00985E71">
        <w:rPr>
          <w:lang w:val="en-US"/>
        </w:rPr>
        <w:fldChar w:fldCharType="separate"/>
      </w:r>
      <w:r w:rsidR="00985E71" w:rsidRPr="00985E71">
        <w:rPr>
          <w:rFonts w:ascii="Arial" w:hAnsi="Arial" w:cs="Arial"/>
        </w:rPr>
        <w:t>(Leamer 1995)</w:t>
      </w:r>
      <w:r w:rsidR="00985E71">
        <w:rPr>
          <w:lang w:val="en-US"/>
        </w:rPr>
        <w:fldChar w:fldCharType="end"/>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2F1A" w14:textId="77777777" w:rsidR="005B5F49" w:rsidRPr="007215EF" w:rsidRDefault="005B5F49" w:rsidP="007215EF">
    <w:r>
      <w:rPr>
        <w:noProof/>
      </w:rPr>
      <w:drawing>
        <wp:anchor distT="0" distB="0" distL="114300" distR="114300" simplePos="0" relativeHeight="251658240" behindDoc="1" locked="0" layoutInCell="1" allowOverlap="1" wp14:anchorId="5C6667E3" wp14:editId="762AF8D7">
          <wp:simplePos x="0" y="0"/>
          <wp:positionH relativeFrom="page">
            <wp:align>left</wp:align>
          </wp:positionH>
          <wp:positionV relativeFrom="paragraph">
            <wp:posOffset>-396596</wp:posOffset>
          </wp:positionV>
          <wp:extent cx="7550287" cy="10680004"/>
          <wp:effectExtent l="0" t="0" r="0" b="7620"/>
          <wp:wrapNone/>
          <wp:docPr id="2067476722" name="Picture 3" descr="Australian Government | Productivity Commission logo: PC research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76722" name="Picture 3" descr="Australian Government | Productivity Commission logo: PC research cov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287" cy="10680004"/>
                  </a:xfrm>
                  <a:prstGeom prst="rect">
                    <a:avLst/>
                  </a:prstGeom>
                </pic:spPr>
              </pic:pic>
            </a:graphicData>
          </a:graphic>
          <wp14:sizeRelH relativeFrom="page">
            <wp14:pctWidth>0</wp14:pctWidth>
          </wp14:sizeRelH>
          <wp14:sizeRelV relativeFrom="page">
            <wp14:pctHeight>0</wp14:pctHeight>
          </wp14:sizeRelV>
        </wp:anchor>
      </w:drawing>
    </w:r>
  </w:p>
  <w:p w14:paraId="3F07E65E" w14:textId="77777777" w:rsidR="005B5F49" w:rsidRPr="005965BC" w:rsidRDefault="005B5F49"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CE8A" w14:textId="23CF24C2" w:rsidR="00751C36" w:rsidRDefault="00751C3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D28A" w14:textId="6926E287" w:rsidR="00CA60E8" w:rsidRDefault="00D003E4" w:rsidP="0074143E">
    <w:pPr>
      <w:pStyle w:val="Header-Keyline"/>
    </w:pPr>
    <w:r w:rsidRPr="008057EA">
      <w:t>Commission research paper</w:t>
    </w:r>
    <w:r>
      <w:rPr>
        <w:noProo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082E3" w14:textId="5A6726C0" w:rsidR="00C81EB8" w:rsidRDefault="00B4357A" w:rsidP="00F173EF">
    <w:pPr>
      <w:pStyle w:val="Header-KeylineRight"/>
    </w:pPr>
    <w:r w:rsidRPr="00B4357A">
      <w:t>Guardrails for modern industry policy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7814E" w14:textId="7A89C31C" w:rsidR="00CA60E8" w:rsidRDefault="00CA60E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06795" w14:textId="11418ABE" w:rsidR="00CA60E8" w:rsidRDefault="004A1346" w:rsidP="000E52B6">
    <w:pPr>
      <w:pStyle w:val="Header-Keyline"/>
    </w:pPr>
    <w:r>
      <w:t>Commission research paper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7116F" w14:textId="28F4C4FB" w:rsidR="00C81EB8" w:rsidRDefault="004A1346" w:rsidP="00F173EF">
    <w:pPr>
      <w:pStyle w:val="Header-KeylineRight"/>
    </w:pPr>
    <w:r w:rsidRPr="00B4357A">
      <w:t>Guardrails for modern industry policy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B56D" w14:textId="161F8B56" w:rsidR="00CA60E8" w:rsidRDefault="00CA60E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F552" w14:textId="329077AE" w:rsidR="00C81EB8" w:rsidRDefault="004A1346" w:rsidP="00F173EF">
    <w:pPr>
      <w:pStyle w:val="Header-KeylineRight"/>
    </w:pPr>
    <w:r w:rsidRPr="00B4357A">
      <w:t>Guardrails for modern industry policy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5902" w14:textId="63BA2EE8" w:rsidR="00CA60E8" w:rsidRDefault="00CA60E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CFAC" w14:textId="192A2ACF" w:rsidR="00CA60E8" w:rsidRDefault="004A1346" w:rsidP="005C127D">
    <w:pPr>
      <w:pStyle w:val="Header-Keyline"/>
    </w:pPr>
    <w:r>
      <w:t>Commission research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80AEA" w14:textId="77777777" w:rsidR="005B5F49" w:rsidRPr="004A1346" w:rsidRDefault="005B5F49" w:rsidP="004A1346">
    <w:pPr>
      <w:pStyle w:val="Header-Keyline"/>
    </w:pPr>
    <w:r w:rsidRPr="004A1346">
      <w:t>Commission research paper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E1E8" w14:textId="45D20C37" w:rsidR="00BA6F2D" w:rsidRDefault="00F12238" w:rsidP="00F173EF">
    <w:pPr>
      <w:pStyle w:val="Header-KeylineRight"/>
    </w:pPr>
    <w:r>
      <w:t>Abbreviations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4B76" w14:textId="7D889A10" w:rsidR="00CA60E8" w:rsidRDefault="00CA60E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E3520" w14:textId="098766E9" w:rsidR="00BA6F2D" w:rsidRDefault="004A1346" w:rsidP="00F173EF">
    <w:pPr>
      <w:pStyle w:val="Header-KeylineRight"/>
    </w:pPr>
    <w:r w:rsidRPr="00B4357A">
      <w:t>Guardrails for modern industry policy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F10D" w14:textId="3DC65E07" w:rsidR="00CA60E8" w:rsidRDefault="00CA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20215" w14:textId="59E1A69A" w:rsidR="005B5F49" w:rsidRPr="00201320" w:rsidRDefault="005B5F49"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E57184" w:rsidRPr="00E57184">
      <w:rPr>
        <w:rStyle w:val="Strong"/>
        <w:noProof/>
        <w:lang w:val="en-US"/>
      </w:rPr>
      <w:t>Summary</w:t>
    </w:r>
    <w:r>
      <w:rPr>
        <w:rStyle w:val="Strong"/>
        <w:b w:val="0"/>
        <w:bCs w:val="0"/>
      </w:rPr>
      <w:fldChar w:fldCharType="end"/>
    </w:r>
    <w:bookmarkStart w:id="1" w:name="_Toc183530083"/>
    <w:bookmarkStart w:id="2" w:name="_Toc183785525"/>
    <w:bookmarkEnd w:id="1"/>
    <w:bookmarkEnd w:id="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6B458" w14:textId="77777777" w:rsidR="005B5F49" w:rsidRDefault="005B5F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9BEDC" w14:textId="5D19DDE6" w:rsidR="00D05292" w:rsidRPr="008057EA" w:rsidRDefault="00D05292" w:rsidP="00FB4B41">
    <w:pPr>
      <w:pStyle w:val="Header-Keyline"/>
    </w:pPr>
    <w:r w:rsidRPr="008057EA">
      <w:t>Commission research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C13D0" w14:textId="146872FD" w:rsidR="00D05292" w:rsidRDefault="00B4357A" w:rsidP="00F173EF">
    <w:pPr>
      <w:pStyle w:val="Header-KeylineRight"/>
    </w:pPr>
    <w:r w:rsidRPr="00B4357A">
      <w:t>Guardrails for modern industry policy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47734" w14:textId="11DE00D0" w:rsidR="00D05292" w:rsidRDefault="00D0529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497C5" w14:textId="12106A9E" w:rsidR="00F173EF" w:rsidRPr="008057EA" w:rsidRDefault="008057EA" w:rsidP="00FB4B41">
    <w:pPr>
      <w:pStyle w:val="Header-Keyline"/>
    </w:pPr>
    <w:r w:rsidRPr="008057EA">
      <w:t>Commission research paper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C621" w14:textId="261E0489" w:rsidR="00F173EF" w:rsidRDefault="00B4357A" w:rsidP="00F173EF">
    <w:pPr>
      <w:pStyle w:val="Header-KeylineRight"/>
    </w:pPr>
    <w:r w:rsidRPr="00B4357A">
      <w:t>Guardrails for modern industry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A61AD902"/>
    <w:lvl w:ilvl="0">
      <w:start w:val="5"/>
      <w:numFmt w:val="decimal"/>
      <w:pStyle w:val="ListNumber"/>
      <w:lvlText w:val="%1."/>
      <w:lvlJc w:val="left"/>
      <w:pPr>
        <w:tabs>
          <w:tab w:val="num" w:pos="360"/>
        </w:tabs>
        <w:ind w:left="360" w:hanging="360"/>
      </w:pPr>
      <w:rPr>
        <w:rFonts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7" w15:restartNumberingAfterBreak="0">
    <w:nsid w:val="761B4A1B"/>
    <w:multiLevelType w:val="multilevel"/>
    <w:tmpl w:val="4F48000A"/>
    <w:numStyleLink w:val="Alphalist"/>
  </w:abstractNum>
  <w:abstractNum w:abstractNumId="18" w15:restartNumberingAfterBreak="0">
    <w:nsid w:val="78006B41"/>
    <w:multiLevelType w:val="hybridMultilevel"/>
    <w:tmpl w:val="C450E0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35417846">
    <w:abstractNumId w:val="7"/>
  </w:num>
  <w:num w:numId="2" w16cid:durableId="1519077027">
    <w:abstractNumId w:val="3"/>
  </w:num>
  <w:num w:numId="3" w16cid:durableId="1468549479">
    <w:abstractNumId w:val="10"/>
  </w:num>
  <w:num w:numId="4" w16cid:durableId="915166386">
    <w:abstractNumId w:val="15"/>
  </w:num>
  <w:num w:numId="5" w16cid:durableId="1510681289">
    <w:abstractNumId w:val="16"/>
  </w:num>
  <w:num w:numId="6" w16cid:durableId="912081833">
    <w:abstractNumId w:val="14"/>
  </w:num>
  <w:num w:numId="7" w16cid:durableId="2023432934">
    <w:abstractNumId w:val="12"/>
  </w:num>
  <w:num w:numId="8" w16cid:durableId="192770611">
    <w:abstractNumId w:val="8"/>
  </w:num>
  <w:num w:numId="9" w16cid:durableId="485167421">
    <w:abstractNumId w:val="11"/>
  </w:num>
  <w:num w:numId="10" w16cid:durableId="775756382">
    <w:abstractNumId w:val="17"/>
  </w:num>
  <w:num w:numId="11" w16cid:durableId="1975406722">
    <w:abstractNumId w:val="0"/>
  </w:num>
  <w:num w:numId="12" w16cid:durableId="2055227720">
    <w:abstractNumId w:val="4"/>
  </w:num>
  <w:num w:numId="13" w16cid:durableId="432627348">
    <w:abstractNumId w:val="9"/>
  </w:num>
  <w:num w:numId="14" w16cid:durableId="1889947188">
    <w:abstractNumId w:val="6"/>
  </w:num>
  <w:num w:numId="15" w16cid:durableId="818545292">
    <w:abstractNumId w:val="2"/>
  </w:num>
  <w:num w:numId="16" w16cid:durableId="561333589">
    <w:abstractNumId w:val="13"/>
  </w:num>
  <w:num w:numId="17" w16cid:durableId="267082509">
    <w:abstractNumId w:val="5"/>
  </w:num>
  <w:num w:numId="18" w16cid:durableId="4005198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89797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1360209">
    <w:abstractNumId w:val="6"/>
    <w:lvlOverride w:ilvl="0">
      <w:startOverride w:val="1"/>
      <w:lvl w:ilvl="0">
        <w:start w:val="1"/>
        <w:numFmt w:val="decimal"/>
        <w:lvlText w:val="%1."/>
        <w:lvlJc w:val="left"/>
        <w:pPr>
          <w:ind w:left="454" w:hanging="454"/>
        </w:pPr>
        <w:rPr>
          <w:rFonts w:hint="default"/>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1" w16cid:durableId="118498062">
    <w:abstractNumId w:val="1"/>
  </w:num>
  <w:num w:numId="22" w16cid:durableId="1955598071">
    <w:abstractNumId w:val="1"/>
    <w:lvlOverride w:ilvl="0">
      <w:startOverride w:val="1"/>
    </w:lvlOverride>
  </w:num>
  <w:num w:numId="23" w16cid:durableId="261378226">
    <w:abstractNumId w:val="18"/>
  </w:num>
  <w:num w:numId="24" w16cid:durableId="2115784047">
    <w:abstractNumId w:val="5"/>
  </w:num>
  <w:num w:numId="25" w16cid:durableId="1567495862">
    <w:abstractNumId w:val="1"/>
  </w:num>
  <w:num w:numId="26" w16cid:durableId="239607736">
    <w:abstractNumId w:val="1"/>
  </w:num>
  <w:num w:numId="27" w16cid:durableId="898633530">
    <w:abstractNumId w:val="1"/>
  </w:num>
  <w:num w:numId="28" w16cid:durableId="1251305568">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C36"/>
    <w:rsid w:val="0000000C"/>
    <w:rsid w:val="00000075"/>
    <w:rsid w:val="00000116"/>
    <w:rsid w:val="000001FC"/>
    <w:rsid w:val="00000249"/>
    <w:rsid w:val="00000385"/>
    <w:rsid w:val="00000502"/>
    <w:rsid w:val="000006AD"/>
    <w:rsid w:val="000008F1"/>
    <w:rsid w:val="00000BC1"/>
    <w:rsid w:val="00000BD4"/>
    <w:rsid w:val="00000CF9"/>
    <w:rsid w:val="00000D1D"/>
    <w:rsid w:val="00000D6A"/>
    <w:rsid w:val="00000E58"/>
    <w:rsid w:val="00000EF3"/>
    <w:rsid w:val="00000F1B"/>
    <w:rsid w:val="00000F3C"/>
    <w:rsid w:val="00000FB0"/>
    <w:rsid w:val="0000107D"/>
    <w:rsid w:val="0000113D"/>
    <w:rsid w:val="00001148"/>
    <w:rsid w:val="00001195"/>
    <w:rsid w:val="000011D0"/>
    <w:rsid w:val="00001233"/>
    <w:rsid w:val="0000126A"/>
    <w:rsid w:val="00001380"/>
    <w:rsid w:val="00001394"/>
    <w:rsid w:val="0000150A"/>
    <w:rsid w:val="0000164A"/>
    <w:rsid w:val="0000169B"/>
    <w:rsid w:val="000016B8"/>
    <w:rsid w:val="00001709"/>
    <w:rsid w:val="00001755"/>
    <w:rsid w:val="00001992"/>
    <w:rsid w:val="000019C4"/>
    <w:rsid w:val="00001A32"/>
    <w:rsid w:val="00001A6B"/>
    <w:rsid w:val="00001A99"/>
    <w:rsid w:val="00001B6A"/>
    <w:rsid w:val="00001C93"/>
    <w:rsid w:val="00001CDF"/>
    <w:rsid w:val="00001D03"/>
    <w:rsid w:val="00001DAD"/>
    <w:rsid w:val="00001DCD"/>
    <w:rsid w:val="00001DE2"/>
    <w:rsid w:val="00001E80"/>
    <w:rsid w:val="00002076"/>
    <w:rsid w:val="000020C6"/>
    <w:rsid w:val="00002247"/>
    <w:rsid w:val="000022FF"/>
    <w:rsid w:val="00002622"/>
    <w:rsid w:val="000026A3"/>
    <w:rsid w:val="000026B3"/>
    <w:rsid w:val="00002775"/>
    <w:rsid w:val="0000280D"/>
    <w:rsid w:val="000029A7"/>
    <w:rsid w:val="00002BD1"/>
    <w:rsid w:val="00002D2C"/>
    <w:rsid w:val="00002D7F"/>
    <w:rsid w:val="00002FA1"/>
    <w:rsid w:val="0000314C"/>
    <w:rsid w:val="0000317E"/>
    <w:rsid w:val="000031DF"/>
    <w:rsid w:val="00003272"/>
    <w:rsid w:val="000032F8"/>
    <w:rsid w:val="000034AE"/>
    <w:rsid w:val="00003606"/>
    <w:rsid w:val="0000364C"/>
    <w:rsid w:val="00003711"/>
    <w:rsid w:val="00003768"/>
    <w:rsid w:val="0000377A"/>
    <w:rsid w:val="00003905"/>
    <w:rsid w:val="00003A06"/>
    <w:rsid w:val="00003AC4"/>
    <w:rsid w:val="00003BF7"/>
    <w:rsid w:val="000041A7"/>
    <w:rsid w:val="000042C9"/>
    <w:rsid w:val="00004415"/>
    <w:rsid w:val="00004489"/>
    <w:rsid w:val="000049F3"/>
    <w:rsid w:val="00004AB0"/>
    <w:rsid w:val="00004BCB"/>
    <w:rsid w:val="00004C6D"/>
    <w:rsid w:val="00004D18"/>
    <w:rsid w:val="00005036"/>
    <w:rsid w:val="0000543F"/>
    <w:rsid w:val="00005456"/>
    <w:rsid w:val="000054CC"/>
    <w:rsid w:val="0000564F"/>
    <w:rsid w:val="0000587A"/>
    <w:rsid w:val="000059CA"/>
    <w:rsid w:val="00005A66"/>
    <w:rsid w:val="00005B4F"/>
    <w:rsid w:val="00005B9B"/>
    <w:rsid w:val="00005C79"/>
    <w:rsid w:val="00005C88"/>
    <w:rsid w:val="00005DA5"/>
    <w:rsid w:val="00005DC7"/>
    <w:rsid w:val="0000625D"/>
    <w:rsid w:val="000062E8"/>
    <w:rsid w:val="000063A4"/>
    <w:rsid w:val="000065EF"/>
    <w:rsid w:val="000067EB"/>
    <w:rsid w:val="0000685D"/>
    <w:rsid w:val="0000687E"/>
    <w:rsid w:val="00006A2E"/>
    <w:rsid w:val="00006DB9"/>
    <w:rsid w:val="00006E30"/>
    <w:rsid w:val="00006F3B"/>
    <w:rsid w:val="00007281"/>
    <w:rsid w:val="000073EA"/>
    <w:rsid w:val="000074CC"/>
    <w:rsid w:val="00007539"/>
    <w:rsid w:val="0000755F"/>
    <w:rsid w:val="000075A4"/>
    <w:rsid w:val="00007BD2"/>
    <w:rsid w:val="00007C9E"/>
    <w:rsid w:val="00007CE4"/>
    <w:rsid w:val="000101C7"/>
    <w:rsid w:val="0001021B"/>
    <w:rsid w:val="00010427"/>
    <w:rsid w:val="000105AB"/>
    <w:rsid w:val="00010671"/>
    <w:rsid w:val="00010853"/>
    <w:rsid w:val="000108C5"/>
    <w:rsid w:val="00010A79"/>
    <w:rsid w:val="00010A9A"/>
    <w:rsid w:val="00010AED"/>
    <w:rsid w:val="00010B59"/>
    <w:rsid w:val="00010CEF"/>
    <w:rsid w:val="00010DEA"/>
    <w:rsid w:val="00010E56"/>
    <w:rsid w:val="00011037"/>
    <w:rsid w:val="0001104C"/>
    <w:rsid w:val="000110DD"/>
    <w:rsid w:val="00011520"/>
    <w:rsid w:val="000119A1"/>
    <w:rsid w:val="00011B43"/>
    <w:rsid w:val="00011C0B"/>
    <w:rsid w:val="00011C38"/>
    <w:rsid w:val="00011C83"/>
    <w:rsid w:val="00011C95"/>
    <w:rsid w:val="00011CF8"/>
    <w:rsid w:val="00011DA8"/>
    <w:rsid w:val="00011DC9"/>
    <w:rsid w:val="00011E2A"/>
    <w:rsid w:val="00011EE2"/>
    <w:rsid w:val="00011FAB"/>
    <w:rsid w:val="00011FB1"/>
    <w:rsid w:val="000120EE"/>
    <w:rsid w:val="0001217E"/>
    <w:rsid w:val="000121FA"/>
    <w:rsid w:val="000122D8"/>
    <w:rsid w:val="00012469"/>
    <w:rsid w:val="00012495"/>
    <w:rsid w:val="00012676"/>
    <w:rsid w:val="000127C7"/>
    <w:rsid w:val="000127F4"/>
    <w:rsid w:val="000128E6"/>
    <w:rsid w:val="00012964"/>
    <w:rsid w:val="00012AAF"/>
    <w:rsid w:val="00012AE2"/>
    <w:rsid w:val="00012B06"/>
    <w:rsid w:val="00012C17"/>
    <w:rsid w:val="00012C96"/>
    <w:rsid w:val="00012CCA"/>
    <w:rsid w:val="00012D50"/>
    <w:rsid w:val="00012DCF"/>
    <w:rsid w:val="00012E64"/>
    <w:rsid w:val="00013098"/>
    <w:rsid w:val="0001310C"/>
    <w:rsid w:val="00013196"/>
    <w:rsid w:val="00013380"/>
    <w:rsid w:val="0001346A"/>
    <w:rsid w:val="0001353E"/>
    <w:rsid w:val="00013643"/>
    <w:rsid w:val="00013697"/>
    <w:rsid w:val="000137E4"/>
    <w:rsid w:val="00013897"/>
    <w:rsid w:val="00013957"/>
    <w:rsid w:val="00013A58"/>
    <w:rsid w:val="00013AAD"/>
    <w:rsid w:val="00013BA7"/>
    <w:rsid w:val="00013BC7"/>
    <w:rsid w:val="00013C97"/>
    <w:rsid w:val="00013D08"/>
    <w:rsid w:val="00013EBA"/>
    <w:rsid w:val="00013EF0"/>
    <w:rsid w:val="000140AD"/>
    <w:rsid w:val="0001411D"/>
    <w:rsid w:val="00014127"/>
    <w:rsid w:val="00014230"/>
    <w:rsid w:val="0001427D"/>
    <w:rsid w:val="00014305"/>
    <w:rsid w:val="00014330"/>
    <w:rsid w:val="00014345"/>
    <w:rsid w:val="000144D9"/>
    <w:rsid w:val="00014526"/>
    <w:rsid w:val="00014712"/>
    <w:rsid w:val="00014718"/>
    <w:rsid w:val="0001482B"/>
    <w:rsid w:val="00014A1D"/>
    <w:rsid w:val="00014A6F"/>
    <w:rsid w:val="00014C36"/>
    <w:rsid w:val="00014C73"/>
    <w:rsid w:val="00014D3B"/>
    <w:rsid w:val="00014DF4"/>
    <w:rsid w:val="00014F1A"/>
    <w:rsid w:val="00015060"/>
    <w:rsid w:val="0001508B"/>
    <w:rsid w:val="00015172"/>
    <w:rsid w:val="000152C2"/>
    <w:rsid w:val="000152C3"/>
    <w:rsid w:val="0001536E"/>
    <w:rsid w:val="000154BB"/>
    <w:rsid w:val="0001555C"/>
    <w:rsid w:val="00015715"/>
    <w:rsid w:val="00015744"/>
    <w:rsid w:val="000157AE"/>
    <w:rsid w:val="00015944"/>
    <w:rsid w:val="00015A41"/>
    <w:rsid w:val="00015A47"/>
    <w:rsid w:val="00015AA2"/>
    <w:rsid w:val="00015ABC"/>
    <w:rsid w:val="00015ACB"/>
    <w:rsid w:val="00015D45"/>
    <w:rsid w:val="00015E30"/>
    <w:rsid w:val="00015FCE"/>
    <w:rsid w:val="00016004"/>
    <w:rsid w:val="00016018"/>
    <w:rsid w:val="000162D2"/>
    <w:rsid w:val="0001650F"/>
    <w:rsid w:val="00016562"/>
    <w:rsid w:val="00016569"/>
    <w:rsid w:val="00016680"/>
    <w:rsid w:val="0001671A"/>
    <w:rsid w:val="000168B7"/>
    <w:rsid w:val="00016BD4"/>
    <w:rsid w:val="00016BED"/>
    <w:rsid w:val="00016C90"/>
    <w:rsid w:val="00016CE0"/>
    <w:rsid w:val="00016D2E"/>
    <w:rsid w:val="00016ECE"/>
    <w:rsid w:val="00016F04"/>
    <w:rsid w:val="00017087"/>
    <w:rsid w:val="00017122"/>
    <w:rsid w:val="00017136"/>
    <w:rsid w:val="00017169"/>
    <w:rsid w:val="0001725A"/>
    <w:rsid w:val="00017395"/>
    <w:rsid w:val="000174CF"/>
    <w:rsid w:val="0001760A"/>
    <w:rsid w:val="00017708"/>
    <w:rsid w:val="000178BE"/>
    <w:rsid w:val="00017903"/>
    <w:rsid w:val="00017BBC"/>
    <w:rsid w:val="00017CE1"/>
    <w:rsid w:val="00017CF8"/>
    <w:rsid w:val="00017D3F"/>
    <w:rsid w:val="00017E22"/>
    <w:rsid w:val="00020012"/>
    <w:rsid w:val="00020375"/>
    <w:rsid w:val="00020377"/>
    <w:rsid w:val="0002037C"/>
    <w:rsid w:val="000204DC"/>
    <w:rsid w:val="0002058E"/>
    <w:rsid w:val="000205F2"/>
    <w:rsid w:val="0002070B"/>
    <w:rsid w:val="000207F5"/>
    <w:rsid w:val="0002082C"/>
    <w:rsid w:val="00020AD4"/>
    <w:rsid w:val="00020D14"/>
    <w:rsid w:val="00020DFD"/>
    <w:rsid w:val="00020E72"/>
    <w:rsid w:val="00020E7D"/>
    <w:rsid w:val="00020F50"/>
    <w:rsid w:val="00021008"/>
    <w:rsid w:val="00021019"/>
    <w:rsid w:val="0002105E"/>
    <w:rsid w:val="00021200"/>
    <w:rsid w:val="00021210"/>
    <w:rsid w:val="00021347"/>
    <w:rsid w:val="0002139D"/>
    <w:rsid w:val="0002149F"/>
    <w:rsid w:val="000214B7"/>
    <w:rsid w:val="00021640"/>
    <w:rsid w:val="0002165E"/>
    <w:rsid w:val="000219EE"/>
    <w:rsid w:val="00021A14"/>
    <w:rsid w:val="00021AA4"/>
    <w:rsid w:val="00021CBA"/>
    <w:rsid w:val="00021D3D"/>
    <w:rsid w:val="00021D69"/>
    <w:rsid w:val="00022012"/>
    <w:rsid w:val="000221AC"/>
    <w:rsid w:val="0002225B"/>
    <w:rsid w:val="0002234F"/>
    <w:rsid w:val="00022432"/>
    <w:rsid w:val="00022438"/>
    <w:rsid w:val="00022607"/>
    <w:rsid w:val="00022626"/>
    <w:rsid w:val="000226DD"/>
    <w:rsid w:val="000227C3"/>
    <w:rsid w:val="000227C6"/>
    <w:rsid w:val="00022801"/>
    <w:rsid w:val="00022857"/>
    <w:rsid w:val="00022916"/>
    <w:rsid w:val="00022A0E"/>
    <w:rsid w:val="00022A23"/>
    <w:rsid w:val="00022A87"/>
    <w:rsid w:val="00022D38"/>
    <w:rsid w:val="00022E62"/>
    <w:rsid w:val="00022FAD"/>
    <w:rsid w:val="000230B8"/>
    <w:rsid w:val="000230FA"/>
    <w:rsid w:val="0002318D"/>
    <w:rsid w:val="00023299"/>
    <w:rsid w:val="000232E1"/>
    <w:rsid w:val="00023417"/>
    <w:rsid w:val="000235C3"/>
    <w:rsid w:val="000237EC"/>
    <w:rsid w:val="0002381E"/>
    <w:rsid w:val="00023879"/>
    <w:rsid w:val="000238FE"/>
    <w:rsid w:val="00023AED"/>
    <w:rsid w:val="00023C79"/>
    <w:rsid w:val="00024191"/>
    <w:rsid w:val="000241EF"/>
    <w:rsid w:val="00024262"/>
    <w:rsid w:val="000243EF"/>
    <w:rsid w:val="00024561"/>
    <w:rsid w:val="00024651"/>
    <w:rsid w:val="00024675"/>
    <w:rsid w:val="000246A7"/>
    <w:rsid w:val="00024869"/>
    <w:rsid w:val="000248DB"/>
    <w:rsid w:val="00024B73"/>
    <w:rsid w:val="00024C05"/>
    <w:rsid w:val="00024CA0"/>
    <w:rsid w:val="00024D4F"/>
    <w:rsid w:val="00024D98"/>
    <w:rsid w:val="00024DB6"/>
    <w:rsid w:val="000250B8"/>
    <w:rsid w:val="0002511F"/>
    <w:rsid w:val="000251A5"/>
    <w:rsid w:val="000251F9"/>
    <w:rsid w:val="000252B7"/>
    <w:rsid w:val="00025316"/>
    <w:rsid w:val="00025365"/>
    <w:rsid w:val="0002543D"/>
    <w:rsid w:val="0002550F"/>
    <w:rsid w:val="00025683"/>
    <w:rsid w:val="00025706"/>
    <w:rsid w:val="00025721"/>
    <w:rsid w:val="0002594B"/>
    <w:rsid w:val="000259A0"/>
    <w:rsid w:val="00025A1C"/>
    <w:rsid w:val="00025C26"/>
    <w:rsid w:val="00025C7B"/>
    <w:rsid w:val="00025EE0"/>
    <w:rsid w:val="00025FD3"/>
    <w:rsid w:val="00026014"/>
    <w:rsid w:val="00026111"/>
    <w:rsid w:val="00026146"/>
    <w:rsid w:val="00026287"/>
    <w:rsid w:val="000262DD"/>
    <w:rsid w:val="000263CC"/>
    <w:rsid w:val="000265AD"/>
    <w:rsid w:val="000269A8"/>
    <w:rsid w:val="00026ADB"/>
    <w:rsid w:val="00026C03"/>
    <w:rsid w:val="00026C04"/>
    <w:rsid w:val="00026D08"/>
    <w:rsid w:val="00026D7B"/>
    <w:rsid w:val="00026E15"/>
    <w:rsid w:val="00026E4F"/>
    <w:rsid w:val="00026F0A"/>
    <w:rsid w:val="00026F40"/>
    <w:rsid w:val="00026F71"/>
    <w:rsid w:val="00026FC7"/>
    <w:rsid w:val="00027180"/>
    <w:rsid w:val="00027213"/>
    <w:rsid w:val="00027264"/>
    <w:rsid w:val="0002739B"/>
    <w:rsid w:val="000273EA"/>
    <w:rsid w:val="0002742F"/>
    <w:rsid w:val="00027499"/>
    <w:rsid w:val="00027518"/>
    <w:rsid w:val="0002752E"/>
    <w:rsid w:val="0002782E"/>
    <w:rsid w:val="0002789E"/>
    <w:rsid w:val="000278B5"/>
    <w:rsid w:val="00027A8B"/>
    <w:rsid w:val="00027A98"/>
    <w:rsid w:val="00027AC5"/>
    <w:rsid w:val="00027B3C"/>
    <w:rsid w:val="00027C9D"/>
    <w:rsid w:val="00027E4B"/>
    <w:rsid w:val="000300AF"/>
    <w:rsid w:val="000301B1"/>
    <w:rsid w:val="000303EB"/>
    <w:rsid w:val="0003057A"/>
    <w:rsid w:val="00030695"/>
    <w:rsid w:val="000306BE"/>
    <w:rsid w:val="0003085D"/>
    <w:rsid w:val="00030887"/>
    <w:rsid w:val="000308B4"/>
    <w:rsid w:val="000308DB"/>
    <w:rsid w:val="000308FD"/>
    <w:rsid w:val="0003094D"/>
    <w:rsid w:val="00030A30"/>
    <w:rsid w:val="00030ABE"/>
    <w:rsid w:val="00030AD9"/>
    <w:rsid w:val="00030B54"/>
    <w:rsid w:val="00030D33"/>
    <w:rsid w:val="00030EEB"/>
    <w:rsid w:val="00030F4E"/>
    <w:rsid w:val="00031198"/>
    <w:rsid w:val="0003123C"/>
    <w:rsid w:val="00031259"/>
    <w:rsid w:val="000313F4"/>
    <w:rsid w:val="000314EF"/>
    <w:rsid w:val="0003169F"/>
    <w:rsid w:val="000316F8"/>
    <w:rsid w:val="00031784"/>
    <w:rsid w:val="000317DB"/>
    <w:rsid w:val="0003197F"/>
    <w:rsid w:val="00031A25"/>
    <w:rsid w:val="00031A76"/>
    <w:rsid w:val="00031D2C"/>
    <w:rsid w:val="00031D41"/>
    <w:rsid w:val="00031F42"/>
    <w:rsid w:val="00031F52"/>
    <w:rsid w:val="00031FB5"/>
    <w:rsid w:val="000320C2"/>
    <w:rsid w:val="00032644"/>
    <w:rsid w:val="00032766"/>
    <w:rsid w:val="00032812"/>
    <w:rsid w:val="00032A62"/>
    <w:rsid w:val="00032C17"/>
    <w:rsid w:val="00032D0B"/>
    <w:rsid w:val="00032D81"/>
    <w:rsid w:val="00032F17"/>
    <w:rsid w:val="00032F3C"/>
    <w:rsid w:val="00032FE6"/>
    <w:rsid w:val="00033029"/>
    <w:rsid w:val="000330F3"/>
    <w:rsid w:val="000331B9"/>
    <w:rsid w:val="000331C1"/>
    <w:rsid w:val="000331E4"/>
    <w:rsid w:val="000331FD"/>
    <w:rsid w:val="00033222"/>
    <w:rsid w:val="0003335F"/>
    <w:rsid w:val="0003338D"/>
    <w:rsid w:val="000333BD"/>
    <w:rsid w:val="000335EA"/>
    <w:rsid w:val="00033619"/>
    <w:rsid w:val="00033649"/>
    <w:rsid w:val="00033890"/>
    <w:rsid w:val="00033907"/>
    <w:rsid w:val="00033DD7"/>
    <w:rsid w:val="00033DE5"/>
    <w:rsid w:val="00033E6D"/>
    <w:rsid w:val="00033FAD"/>
    <w:rsid w:val="000340C6"/>
    <w:rsid w:val="00034440"/>
    <w:rsid w:val="00034475"/>
    <w:rsid w:val="00034500"/>
    <w:rsid w:val="0003453E"/>
    <w:rsid w:val="00034602"/>
    <w:rsid w:val="0003467E"/>
    <w:rsid w:val="00034707"/>
    <w:rsid w:val="00034BF1"/>
    <w:rsid w:val="00034C25"/>
    <w:rsid w:val="00034E25"/>
    <w:rsid w:val="00034EA7"/>
    <w:rsid w:val="00034F38"/>
    <w:rsid w:val="00034FCE"/>
    <w:rsid w:val="0003511F"/>
    <w:rsid w:val="00035264"/>
    <w:rsid w:val="0003534B"/>
    <w:rsid w:val="00035426"/>
    <w:rsid w:val="00035474"/>
    <w:rsid w:val="00035495"/>
    <w:rsid w:val="000354A5"/>
    <w:rsid w:val="000354D2"/>
    <w:rsid w:val="0003568C"/>
    <w:rsid w:val="00035691"/>
    <w:rsid w:val="000356AA"/>
    <w:rsid w:val="000359BE"/>
    <w:rsid w:val="00035B77"/>
    <w:rsid w:val="00035C1C"/>
    <w:rsid w:val="00035C60"/>
    <w:rsid w:val="00035CAA"/>
    <w:rsid w:val="00035F44"/>
    <w:rsid w:val="00035F45"/>
    <w:rsid w:val="00035FD0"/>
    <w:rsid w:val="00036026"/>
    <w:rsid w:val="000360A9"/>
    <w:rsid w:val="000362A6"/>
    <w:rsid w:val="00036536"/>
    <w:rsid w:val="00036635"/>
    <w:rsid w:val="000367A7"/>
    <w:rsid w:val="0003681A"/>
    <w:rsid w:val="00036859"/>
    <w:rsid w:val="00036892"/>
    <w:rsid w:val="0003697C"/>
    <w:rsid w:val="00036986"/>
    <w:rsid w:val="00036AE1"/>
    <w:rsid w:val="00036C57"/>
    <w:rsid w:val="00036C95"/>
    <w:rsid w:val="00036D45"/>
    <w:rsid w:val="00036DAC"/>
    <w:rsid w:val="00036EA8"/>
    <w:rsid w:val="00036F03"/>
    <w:rsid w:val="00036F38"/>
    <w:rsid w:val="00037040"/>
    <w:rsid w:val="000371DD"/>
    <w:rsid w:val="00037300"/>
    <w:rsid w:val="0003736F"/>
    <w:rsid w:val="00037479"/>
    <w:rsid w:val="0003751A"/>
    <w:rsid w:val="0003753B"/>
    <w:rsid w:val="00037796"/>
    <w:rsid w:val="0003779A"/>
    <w:rsid w:val="000378AE"/>
    <w:rsid w:val="000378B3"/>
    <w:rsid w:val="00037A91"/>
    <w:rsid w:val="00037AE9"/>
    <w:rsid w:val="00037B36"/>
    <w:rsid w:val="00037BD4"/>
    <w:rsid w:val="00037C2F"/>
    <w:rsid w:val="00037DC7"/>
    <w:rsid w:val="00037E19"/>
    <w:rsid w:val="00037EE2"/>
    <w:rsid w:val="00037F3E"/>
    <w:rsid w:val="00037FDB"/>
    <w:rsid w:val="000403B3"/>
    <w:rsid w:val="000407AB"/>
    <w:rsid w:val="000407CC"/>
    <w:rsid w:val="000408D6"/>
    <w:rsid w:val="00040B63"/>
    <w:rsid w:val="00040BEB"/>
    <w:rsid w:val="00040CF1"/>
    <w:rsid w:val="00040D40"/>
    <w:rsid w:val="00040F30"/>
    <w:rsid w:val="00041029"/>
    <w:rsid w:val="0004124F"/>
    <w:rsid w:val="00041308"/>
    <w:rsid w:val="00041413"/>
    <w:rsid w:val="000415D3"/>
    <w:rsid w:val="000416B6"/>
    <w:rsid w:val="000416D5"/>
    <w:rsid w:val="00041725"/>
    <w:rsid w:val="0004174A"/>
    <w:rsid w:val="000417E7"/>
    <w:rsid w:val="00041836"/>
    <w:rsid w:val="00041965"/>
    <w:rsid w:val="00041AF8"/>
    <w:rsid w:val="00041D0C"/>
    <w:rsid w:val="00041E06"/>
    <w:rsid w:val="00041F7E"/>
    <w:rsid w:val="00041F7F"/>
    <w:rsid w:val="00042278"/>
    <w:rsid w:val="000422C4"/>
    <w:rsid w:val="000423F7"/>
    <w:rsid w:val="00042503"/>
    <w:rsid w:val="0004266C"/>
    <w:rsid w:val="00042848"/>
    <w:rsid w:val="00042884"/>
    <w:rsid w:val="00042B11"/>
    <w:rsid w:val="00042D0D"/>
    <w:rsid w:val="00042E04"/>
    <w:rsid w:val="00042F58"/>
    <w:rsid w:val="00042F8E"/>
    <w:rsid w:val="00042FE2"/>
    <w:rsid w:val="000431B2"/>
    <w:rsid w:val="00043233"/>
    <w:rsid w:val="0004328D"/>
    <w:rsid w:val="000432CC"/>
    <w:rsid w:val="000432D5"/>
    <w:rsid w:val="0004332D"/>
    <w:rsid w:val="00043700"/>
    <w:rsid w:val="00043808"/>
    <w:rsid w:val="0004388A"/>
    <w:rsid w:val="00043A59"/>
    <w:rsid w:val="00043BD5"/>
    <w:rsid w:val="00043D60"/>
    <w:rsid w:val="00043EEA"/>
    <w:rsid w:val="00044115"/>
    <w:rsid w:val="00044170"/>
    <w:rsid w:val="000441C5"/>
    <w:rsid w:val="0004422A"/>
    <w:rsid w:val="000442A4"/>
    <w:rsid w:val="00044405"/>
    <w:rsid w:val="00044454"/>
    <w:rsid w:val="00044513"/>
    <w:rsid w:val="00044626"/>
    <w:rsid w:val="000448DE"/>
    <w:rsid w:val="00044A59"/>
    <w:rsid w:val="00044B0E"/>
    <w:rsid w:val="00044C78"/>
    <w:rsid w:val="00044CC3"/>
    <w:rsid w:val="00044D2C"/>
    <w:rsid w:val="00044EFB"/>
    <w:rsid w:val="00044F59"/>
    <w:rsid w:val="00044F83"/>
    <w:rsid w:val="00044FED"/>
    <w:rsid w:val="00045068"/>
    <w:rsid w:val="000450A3"/>
    <w:rsid w:val="00045188"/>
    <w:rsid w:val="000451C5"/>
    <w:rsid w:val="000452C5"/>
    <w:rsid w:val="000452FE"/>
    <w:rsid w:val="00045322"/>
    <w:rsid w:val="00045539"/>
    <w:rsid w:val="0004574F"/>
    <w:rsid w:val="000459D1"/>
    <w:rsid w:val="00045AF6"/>
    <w:rsid w:val="00045B16"/>
    <w:rsid w:val="00045B1F"/>
    <w:rsid w:val="00045D60"/>
    <w:rsid w:val="00045E27"/>
    <w:rsid w:val="00045EF4"/>
    <w:rsid w:val="00045F12"/>
    <w:rsid w:val="0004600A"/>
    <w:rsid w:val="0004607A"/>
    <w:rsid w:val="000461CB"/>
    <w:rsid w:val="00046507"/>
    <w:rsid w:val="0004654C"/>
    <w:rsid w:val="00046563"/>
    <w:rsid w:val="0004687E"/>
    <w:rsid w:val="000468D5"/>
    <w:rsid w:val="00046A6D"/>
    <w:rsid w:val="00046B2A"/>
    <w:rsid w:val="00046B6D"/>
    <w:rsid w:val="00046BED"/>
    <w:rsid w:val="00046DCC"/>
    <w:rsid w:val="00046E29"/>
    <w:rsid w:val="00046E4E"/>
    <w:rsid w:val="000471BC"/>
    <w:rsid w:val="00047583"/>
    <w:rsid w:val="00047894"/>
    <w:rsid w:val="000478CB"/>
    <w:rsid w:val="00047B8C"/>
    <w:rsid w:val="00047BD0"/>
    <w:rsid w:val="00047C9A"/>
    <w:rsid w:val="00047F6B"/>
    <w:rsid w:val="000500C9"/>
    <w:rsid w:val="00050138"/>
    <w:rsid w:val="0005019D"/>
    <w:rsid w:val="0005032E"/>
    <w:rsid w:val="000506D0"/>
    <w:rsid w:val="000506DC"/>
    <w:rsid w:val="000509EA"/>
    <w:rsid w:val="00050A9B"/>
    <w:rsid w:val="00050DEC"/>
    <w:rsid w:val="00050EDA"/>
    <w:rsid w:val="00050F8F"/>
    <w:rsid w:val="00050FAD"/>
    <w:rsid w:val="0005104F"/>
    <w:rsid w:val="0005109E"/>
    <w:rsid w:val="00051237"/>
    <w:rsid w:val="00051336"/>
    <w:rsid w:val="0005138B"/>
    <w:rsid w:val="000513B1"/>
    <w:rsid w:val="00051509"/>
    <w:rsid w:val="0005151B"/>
    <w:rsid w:val="00051706"/>
    <w:rsid w:val="00051731"/>
    <w:rsid w:val="000518E0"/>
    <w:rsid w:val="0005197C"/>
    <w:rsid w:val="00051C18"/>
    <w:rsid w:val="00051C35"/>
    <w:rsid w:val="00051C54"/>
    <w:rsid w:val="00051DA7"/>
    <w:rsid w:val="000521D7"/>
    <w:rsid w:val="00052225"/>
    <w:rsid w:val="00052248"/>
    <w:rsid w:val="0005224C"/>
    <w:rsid w:val="0005233B"/>
    <w:rsid w:val="000523F9"/>
    <w:rsid w:val="00052405"/>
    <w:rsid w:val="0005240E"/>
    <w:rsid w:val="00052514"/>
    <w:rsid w:val="0005262E"/>
    <w:rsid w:val="000527FB"/>
    <w:rsid w:val="00052918"/>
    <w:rsid w:val="00052949"/>
    <w:rsid w:val="0005295D"/>
    <w:rsid w:val="000529D8"/>
    <w:rsid w:val="00052A17"/>
    <w:rsid w:val="00052A91"/>
    <w:rsid w:val="00052BAF"/>
    <w:rsid w:val="00052BDE"/>
    <w:rsid w:val="00052C29"/>
    <w:rsid w:val="00052CE2"/>
    <w:rsid w:val="00052E7B"/>
    <w:rsid w:val="00052E8B"/>
    <w:rsid w:val="00052EE2"/>
    <w:rsid w:val="00053452"/>
    <w:rsid w:val="00053574"/>
    <w:rsid w:val="000537F3"/>
    <w:rsid w:val="000537FC"/>
    <w:rsid w:val="0005397E"/>
    <w:rsid w:val="000539B5"/>
    <w:rsid w:val="00053A22"/>
    <w:rsid w:val="00053B14"/>
    <w:rsid w:val="00053CB3"/>
    <w:rsid w:val="00053CBA"/>
    <w:rsid w:val="00053D3C"/>
    <w:rsid w:val="00053D79"/>
    <w:rsid w:val="00053FB8"/>
    <w:rsid w:val="00054021"/>
    <w:rsid w:val="0005402C"/>
    <w:rsid w:val="0005406B"/>
    <w:rsid w:val="0005409B"/>
    <w:rsid w:val="000540A4"/>
    <w:rsid w:val="00054237"/>
    <w:rsid w:val="000543B5"/>
    <w:rsid w:val="000543EF"/>
    <w:rsid w:val="0005462E"/>
    <w:rsid w:val="000546B3"/>
    <w:rsid w:val="000546CE"/>
    <w:rsid w:val="00054735"/>
    <w:rsid w:val="0005485F"/>
    <w:rsid w:val="00054892"/>
    <w:rsid w:val="00054969"/>
    <w:rsid w:val="00054C95"/>
    <w:rsid w:val="00054D1D"/>
    <w:rsid w:val="00054D43"/>
    <w:rsid w:val="00054DA2"/>
    <w:rsid w:val="0005523A"/>
    <w:rsid w:val="00055333"/>
    <w:rsid w:val="0005533B"/>
    <w:rsid w:val="000553C6"/>
    <w:rsid w:val="0005540E"/>
    <w:rsid w:val="000554B0"/>
    <w:rsid w:val="000554B1"/>
    <w:rsid w:val="000554F4"/>
    <w:rsid w:val="00055510"/>
    <w:rsid w:val="00055676"/>
    <w:rsid w:val="000556AC"/>
    <w:rsid w:val="00055A52"/>
    <w:rsid w:val="00055AEC"/>
    <w:rsid w:val="00055BD0"/>
    <w:rsid w:val="00055D97"/>
    <w:rsid w:val="00056103"/>
    <w:rsid w:val="000561CF"/>
    <w:rsid w:val="000561E7"/>
    <w:rsid w:val="00056340"/>
    <w:rsid w:val="000563A1"/>
    <w:rsid w:val="000565B2"/>
    <w:rsid w:val="00056659"/>
    <w:rsid w:val="00056730"/>
    <w:rsid w:val="0005696B"/>
    <w:rsid w:val="00056A86"/>
    <w:rsid w:val="00056D22"/>
    <w:rsid w:val="00056E18"/>
    <w:rsid w:val="00056F3D"/>
    <w:rsid w:val="00056FDF"/>
    <w:rsid w:val="0005702F"/>
    <w:rsid w:val="0005717B"/>
    <w:rsid w:val="000572DB"/>
    <w:rsid w:val="000575DB"/>
    <w:rsid w:val="00057609"/>
    <w:rsid w:val="00057613"/>
    <w:rsid w:val="0005774F"/>
    <w:rsid w:val="00057758"/>
    <w:rsid w:val="000577D3"/>
    <w:rsid w:val="00057818"/>
    <w:rsid w:val="00057BD7"/>
    <w:rsid w:val="00057D1D"/>
    <w:rsid w:val="00057DD6"/>
    <w:rsid w:val="00057E0D"/>
    <w:rsid w:val="00057F88"/>
    <w:rsid w:val="00060022"/>
    <w:rsid w:val="000600CC"/>
    <w:rsid w:val="00060176"/>
    <w:rsid w:val="00060603"/>
    <w:rsid w:val="000606EA"/>
    <w:rsid w:val="00060787"/>
    <w:rsid w:val="00060A33"/>
    <w:rsid w:val="00060DB4"/>
    <w:rsid w:val="00060F32"/>
    <w:rsid w:val="00060FA2"/>
    <w:rsid w:val="00060FED"/>
    <w:rsid w:val="000614C5"/>
    <w:rsid w:val="000614D8"/>
    <w:rsid w:val="000616A4"/>
    <w:rsid w:val="00061749"/>
    <w:rsid w:val="000617B2"/>
    <w:rsid w:val="00061A73"/>
    <w:rsid w:val="00061BC7"/>
    <w:rsid w:val="00061C03"/>
    <w:rsid w:val="00061C27"/>
    <w:rsid w:val="00061D5F"/>
    <w:rsid w:val="00061DA6"/>
    <w:rsid w:val="00061DEB"/>
    <w:rsid w:val="00061E29"/>
    <w:rsid w:val="00061E8E"/>
    <w:rsid w:val="00061FFB"/>
    <w:rsid w:val="000620BC"/>
    <w:rsid w:val="000621BF"/>
    <w:rsid w:val="00062200"/>
    <w:rsid w:val="0006250B"/>
    <w:rsid w:val="0006277A"/>
    <w:rsid w:val="000627E8"/>
    <w:rsid w:val="000628D4"/>
    <w:rsid w:val="00062963"/>
    <w:rsid w:val="000629E3"/>
    <w:rsid w:val="000629ED"/>
    <w:rsid w:val="000629F3"/>
    <w:rsid w:val="00062A43"/>
    <w:rsid w:val="00062A44"/>
    <w:rsid w:val="00062DD2"/>
    <w:rsid w:val="00062DEC"/>
    <w:rsid w:val="00062F0D"/>
    <w:rsid w:val="00062F53"/>
    <w:rsid w:val="00062F70"/>
    <w:rsid w:val="000630DF"/>
    <w:rsid w:val="00063130"/>
    <w:rsid w:val="0006313B"/>
    <w:rsid w:val="00063292"/>
    <w:rsid w:val="00063308"/>
    <w:rsid w:val="00063548"/>
    <w:rsid w:val="00063564"/>
    <w:rsid w:val="000636A3"/>
    <w:rsid w:val="00063913"/>
    <w:rsid w:val="00063AFC"/>
    <w:rsid w:val="00063E30"/>
    <w:rsid w:val="00063F52"/>
    <w:rsid w:val="00063F6F"/>
    <w:rsid w:val="00063FB3"/>
    <w:rsid w:val="00064046"/>
    <w:rsid w:val="00064324"/>
    <w:rsid w:val="00064359"/>
    <w:rsid w:val="00064413"/>
    <w:rsid w:val="00064416"/>
    <w:rsid w:val="000644DF"/>
    <w:rsid w:val="000645AE"/>
    <w:rsid w:val="000645FB"/>
    <w:rsid w:val="0006474A"/>
    <w:rsid w:val="0006487C"/>
    <w:rsid w:val="00064906"/>
    <w:rsid w:val="00064D87"/>
    <w:rsid w:val="00064DCA"/>
    <w:rsid w:val="00064E99"/>
    <w:rsid w:val="00064F6B"/>
    <w:rsid w:val="00065108"/>
    <w:rsid w:val="00065214"/>
    <w:rsid w:val="000652E4"/>
    <w:rsid w:val="000653F0"/>
    <w:rsid w:val="0006544D"/>
    <w:rsid w:val="00065466"/>
    <w:rsid w:val="00065493"/>
    <w:rsid w:val="00065644"/>
    <w:rsid w:val="0006568D"/>
    <w:rsid w:val="00065781"/>
    <w:rsid w:val="00065867"/>
    <w:rsid w:val="0006586A"/>
    <w:rsid w:val="0006588B"/>
    <w:rsid w:val="00065956"/>
    <w:rsid w:val="00065A46"/>
    <w:rsid w:val="00065B81"/>
    <w:rsid w:val="00065BEA"/>
    <w:rsid w:val="00065CCF"/>
    <w:rsid w:val="00065D20"/>
    <w:rsid w:val="00065E29"/>
    <w:rsid w:val="00065E43"/>
    <w:rsid w:val="00065E7D"/>
    <w:rsid w:val="00065EAE"/>
    <w:rsid w:val="00066043"/>
    <w:rsid w:val="0006628C"/>
    <w:rsid w:val="000662DC"/>
    <w:rsid w:val="00066452"/>
    <w:rsid w:val="000666AA"/>
    <w:rsid w:val="0006684A"/>
    <w:rsid w:val="000668A3"/>
    <w:rsid w:val="00066AAF"/>
    <w:rsid w:val="00066B6C"/>
    <w:rsid w:val="00066D06"/>
    <w:rsid w:val="00067019"/>
    <w:rsid w:val="00067131"/>
    <w:rsid w:val="0006731D"/>
    <w:rsid w:val="00067501"/>
    <w:rsid w:val="00067563"/>
    <w:rsid w:val="00067650"/>
    <w:rsid w:val="00067679"/>
    <w:rsid w:val="000677DA"/>
    <w:rsid w:val="000678B0"/>
    <w:rsid w:val="000679EB"/>
    <w:rsid w:val="00067B94"/>
    <w:rsid w:val="00067D6A"/>
    <w:rsid w:val="00067DB8"/>
    <w:rsid w:val="00067E03"/>
    <w:rsid w:val="00067E32"/>
    <w:rsid w:val="00067EDC"/>
    <w:rsid w:val="00067F71"/>
    <w:rsid w:val="00070194"/>
    <w:rsid w:val="00070243"/>
    <w:rsid w:val="00070322"/>
    <w:rsid w:val="0007032B"/>
    <w:rsid w:val="0007037F"/>
    <w:rsid w:val="000703BF"/>
    <w:rsid w:val="000703CC"/>
    <w:rsid w:val="000704E8"/>
    <w:rsid w:val="0007053C"/>
    <w:rsid w:val="000706C5"/>
    <w:rsid w:val="000708B1"/>
    <w:rsid w:val="000708BB"/>
    <w:rsid w:val="000708CA"/>
    <w:rsid w:val="00070964"/>
    <w:rsid w:val="00070AD5"/>
    <w:rsid w:val="00070B84"/>
    <w:rsid w:val="00070BD2"/>
    <w:rsid w:val="00070BF0"/>
    <w:rsid w:val="00070EC5"/>
    <w:rsid w:val="00070FFE"/>
    <w:rsid w:val="00071051"/>
    <w:rsid w:val="000710FC"/>
    <w:rsid w:val="000711A0"/>
    <w:rsid w:val="00071219"/>
    <w:rsid w:val="0007125F"/>
    <w:rsid w:val="00071450"/>
    <w:rsid w:val="00071505"/>
    <w:rsid w:val="000715F7"/>
    <w:rsid w:val="00071653"/>
    <w:rsid w:val="0007180B"/>
    <w:rsid w:val="0007180C"/>
    <w:rsid w:val="00071A66"/>
    <w:rsid w:val="00071BB9"/>
    <w:rsid w:val="00071C26"/>
    <w:rsid w:val="00071C2D"/>
    <w:rsid w:val="00071C6C"/>
    <w:rsid w:val="00071D93"/>
    <w:rsid w:val="00071DDA"/>
    <w:rsid w:val="00072020"/>
    <w:rsid w:val="00072091"/>
    <w:rsid w:val="00072257"/>
    <w:rsid w:val="000724AE"/>
    <w:rsid w:val="000724CD"/>
    <w:rsid w:val="00072510"/>
    <w:rsid w:val="000725FB"/>
    <w:rsid w:val="00072605"/>
    <w:rsid w:val="00072799"/>
    <w:rsid w:val="0007290E"/>
    <w:rsid w:val="00072B45"/>
    <w:rsid w:val="00072C0B"/>
    <w:rsid w:val="00072D28"/>
    <w:rsid w:val="00072E98"/>
    <w:rsid w:val="00072F43"/>
    <w:rsid w:val="00072F79"/>
    <w:rsid w:val="00072F96"/>
    <w:rsid w:val="00072FE5"/>
    <w:rsid w:val="00073027"/>
    <w:rsid w:val="000730CB"/>
    <w:rsid w:val="00073143"/>
    <w:rsid w:val="000731C4"/>
    <w:rsid w:val="000733DB"/>
    <w:rsid w:val="00073417"/>
    <w:rsid w:val="00073720"/>
    <w:rsid w:val="0007375F"/>
    <w:rsid w:val="000738E6"/>
    <w:rsid w:val="00073AC8"/>
    <w:rsid w:val="00073BD8"/>
    <w:rsid w:val="00073C75"/>
    <w:rsid w:val="00073CB2"/>
    <w:rsid w:val="00073EB6"/>
    <w:rsid w:val="00073FC8"/>
    <w:rsid w:val="000741A6"/>
    <w:rsid w:val="00074253"/>
    <w:rsid w:val="00074435"/>
    <w:rsid w:val="0007448F"/>
    <w:rsid w:val="00074665"/>
    <w:rsid w:val="000747FC"/>
    <w:rsid w:val="0007497A"/>
    <w:rsid w:val="00074BFD"/>
    <w:rsid w:val="00074C99"/>
    <w:rsid w:val="00074E91"/>
    <w:rsid w:val="000750F3"/>
    <w:rsid w:val="000750F7"/>
    <w:rsid w:val="000752A6"/>
    <w:rsid w:val="00075338"/>
    <w:rsid w:val="0007535B"/>
    <w:rsid w:val="000753CE"/>
    <w:rsid w:val="000753EC"/>
    <w:rsid w:val="00075488"/>
    <w:rsid w:val="000755E5"/>
    <w:rsid w:val="000756F8"/>
    <w:rsid w:val="0007570E"/>
    <w:rsid w:val="00075936"/>
    <w:rsid w:val="0007597D"/>
    <w:rsid w:val="0007599F"/>
    <w:rsid w:val="000759D1"/>
    <w:rsid w:val="00075A58"/>
    <w:rsid w:val="00075B3D"/>
    <w:rsid w:val="00075B77"/>
    <w:rsid w:val="00075B79"/>
    <w:rsid w:val="00075BE4"/>
    <w:rsid w:val="00075C72"/>
    <w:rsid w:val="00075C9F"/>
    <w:rsid w:val="00075D9F"/>
    <w:rsid w:val="00075E1D"/>
    <w:rsid w:val="00075E30"/>
    <w:rsid w:val="00075EC6"/>
    <w:rsid w:val="00075FE4"/>
    <w:rsid w:val="00076040"/>
    <w:rsid w:val="00076288"/>
    <w:rsid w:val="000764E8"/>
    <w:rsid w:val="0007651C"/>
    <w:rsid w:val="000767C9"/>
    <w:rsid w:val="0007695E"/>
    <w:rsid w:val="00076C53"/>
    <w:rsid w:val="00076C9D"/>
    <w:rsid w:val="00076D5B"/>
    <w:rsid w:val="00076EFA"/>
    <w:rsid w:val="00077021"/>
    <w:rsid w:val="00077062"/>
    <w:rsid w:val="00077204"/>
    <w:rsid w:val="00077318"/>
    <w:rsid w:val="000773D6"/>
    <w:rsid w:val="00077496"/>
    <w:rsid w:val="000774E0"/>
    <w:rsid w:val="00077540"/>
    <w:rsid w:val="000775A6"/>
    <w:rsid w:val="0007776A"/>
    <w:rsid w:val="000777E1"/>
    <w:rsid w:val="000779A8"/>
    <w:rsid w:val="00077A05"/>
    <w:rsid w:val="00077A76"/>
    <w:rsid w:val="00077C5E"/>
    <w:rsid w:val="00077CFF"/>
    <w:rsid w:val="00077ED5"/>
    <w:rsid w:val="00077FFE"/>
    <w:rsid w:val="0008001A"/>
    <w:rsid w:val="00080152"/>
    <w:rsid w:val="0008036B"/>
    <w:rsid w:val="0008037D"/>
    <w:rsid w:val="000803E8"/>
    <w:rsid w:val="000805FC"/>
    <w:rsid w:val="000806A3"/>
    <w:rsid w:val="00080D3A"/>
    <w:rsid w:val="00080D51"/>
    <w:rsid w:val="00081009"/>
    <w:rsid w:val="00081049"/>
    <w:rsid w:val="000810C5"/>
    <w:rsid w:val="0008138D"/>
    <w:rsid w:val="00081427"/>
    <w:rsid w:val="000815A6"/>
    <w:rsid w:val="000817BE"/>
    <w:rsid w:val="00081871"/>
    <w:rsid w:val="0008188D"/>
    <w:rsid w:val="00081AAC"/>
    <w:rsid w:val="00081ABA"/>
    <w:rsid w:val="00081C4A"/>
    <w:rsid w:val="00081DB4"/>
    <w:rsid w:val="00081E29"/>
    <w:rsid w:val="00081FAE"/>
    <w:rsid w:val="0008200A"/>
    <w:rsid w:val="00082020"/>
    <w:rsid w:val="0008203D"/>
    <w:rsid w:val="0008215E"/>
    <w:rsid w:val="00082226"/>
    <w:rsid w:val="0008250B"/>
    <w:rsid w:val="00082603"/>
    <w:rsid w:val="00082629"/>
    <w:rsid w:val="000826C3"/>
    <w:rsid w:val="000827F6"/>
    <w:rsid w:val="000828C9"/>
    <w:rsid w:val="000828D6"/>
    <w:rsid w:val="000828F1"/>
    <w:rsid w:val="0008296C"/>
    <w:rsid w:val="00082A83"/>
    <w:rsid w:val="00082C61"/>
    <w:rsid w:val="00082EC2"/>
    <w:rsid w:val="00082EE6"/>
    <w:rsid w:val="00083287"/>
    <w:rsid w:val="00083762"/>
    <w:rsid w:val="000837FD"/>
    <w:rsid w:val="00083832"/>
    <w:rsid w:val="0008383E"/>
    <w:rsid w:val="0008388C"/>
    <w:rsid w:val="000838A0"/>
    <w:rsid w:val="00083974"/>
    <w:rsid w:val="0008399F"/>
    <w:rsid w:val="000839FF"/>
    <w:rsid w:val="00083BE1"/>
    <w:rsid w:val="00083D5D"/>
    <w:rsid w:val="00083F39"/>
    <w:rsid w:val="00083FBF"/>
    <w:rsid w:val="00083FF6"/>
    <w:rsid w:val="00084054"/>
    <w:rsid w:val="0008406B"/>
    <w:rsid w:val="00084270"/>
    <w:rsid w:val="000842AE"/>
    <w:rsid w:val="00084379"/>
    <w:rsid w:val="00084410"/>
    <w:rsid w:val="000844E1"/>
    <w:rsid w:val="00084660"/>
    <w:rsid w:val="00084785"/>
    <w:rsid w:val="0008481C"/>
    <w:rsid w:val="00084888"/>
    <w:rsid w:val="00084911"/>
    <w:rsid w:val="000849CE"/>
    <w:rsid w:val="000849FA"/>
    <w:rsid w:val="00084B1E"/>
    <w:rsid w:val="00084B5D"/>
    <w:rsid w:val="00084C52"/>
    <w:rsid w:val="00084EFD"/>
    <w:rsid w:val="00084F34"/>
    <w:rsid w:val="00084FC5"/>
    <w:rsid w:val="000850E5"/>
    <w:rsid w:val="0008537C"/>
    <w:rsid w:val="00085558"/>
    <w:rsid w:val="000856FC"/>
    <w:rsid w:val="00085813"/>
    <w:rsid w:val="00085847"/>
    <w:rsid w:val="00085A14"/>
    <w:rsid w:val="00085A45"/>
    <w:rsid w:val="00085AA3"/>
    <w:rsid w:val="00085DE4"/>
    <w:rsid w:val="00085FB9"/>
    <w:rsid w:val="00086235"/>
    <w:rsid w:val="0008634A"/>
    <w:rsid w:val="00086388"/>
    <w:rsid w:val="000864A8"/>
    <w:rsid w:val="00086546"/>
    <w:rsid w:val="000865F8"/>
    <w:rsid w:val="00086604"/>
    <w:rsid w:val="00086628"/>
    <w:rsid w:val="00086824"/>
    <w:rsid w:val="000868CB"/>
    <w:rsid w:val="00086DB0"/>
    <w:rsid w:val="000870CA"/>
    <w:rsid w:val="0008714B"/>
    <w:rsid w:val="00087155"/>
    <w:rsid w:val="000871B1"/>
    <w:rsid w:val="000871B3"/>
    <w:rsid w:val="000873AD"/>
    <w:rsid w:val="000876EC"/>
    <w:rsid w:val="0008782D"/>
    <w:rsid w:val="00087922"/>
    <w:rsid w:val="00087B8A"/>
    <w:rsid w:val="00087BD8"/>
    <w:rsid w:val="00087F44"/>
    <w:rsid w:val="00087F9F"/>
    <w:rsid w:val="000901BC"/>
    <w:rsid w:val="000903E6"/>
    <w:rsid w:val="000905FF"/>
    <w:rsid w:val="00090630"/>
    <w:rsid w:val="00090653"/>
    <w:rsid w:val="00090760"/>
    <w:rsid w:val="00090844"/>
    <w:rsid w:val="00090A20"/>
    <w:rsid w:val="00090ACE"/>
    <w:rsid w:val="00090B06"/>
    <w:rsid w:val="00090B12"/>
    <w:rsid w:val="00090B53"/>
    <w:rsid w:val="00090B70"/>
    <w:rsid w:val="00090C89"/>
    <w:rsid w:val="00090D3C"/>
    <w:rsid w:val="00090D7E"/>
    <w:rsid w:val="00090F20"/>
    <w:rsid w:val="00090F77"/>
    <w:rsid w:val="00091255"/>
    <w:rsid w:val="0009127D"/>
    <w:rsid w:val="00091286"/>
    <w:rsid w:val="00091308"/>
    <w:rsid w:val="000913D7"/>
    <w:rsid w:val="000915A5"/>
    <w:rsid w:val="000916E4"/>
    <w:rsid w:val="00091986"/>
    <w:rsid w:val="000919FB"/>
    <w:rsid w:val="00091A14"/>
    <w:rsid w:val="00091A71"/>
    <w:rsid w:val="00091AEB"/>
    <w:rsid w:val="00091BFF"/>
    <w:rsid w:val="00091F12"/>
    <w:rsid w:val="00091FD2"/>
    <w:rsid w:val="00092119"/>
    <w:rsid w:val="0009222F"/>
    <w:rsid w:val="000922FA"/>
    <w:rsid w:val="00092317"/>
    <w:rsid w:val="0009233E"/>
    <w:rsid w:val="000926A7"/>
    <w:rsid w:val="00092705"/>
    <w:rsid w:val="00092801"/>
    <w:rsid w:val="0009290F"/>
    <w:rsid w:val="00092B4A"/>
    <w:rsid w:val="00092D30"/>
    <w:rsid w:val="00092DA7"/>
    <w:rsid w:val="00092E67"/>
    <w:rsid w:val="00092F08"/>
    <w:rsid w:val="00092FB8"/>
    <w:rsid w:val="000930D3"/>
    <w:rsid w:val="000932CF"/>
    <w:rsid w:val="000932FB"/>
    <w:rsid w:val="000933B1"/>
    <w:rsid w:val="00093460"/>
    <w:rsid w:val="00093562"/>
    <w:rsid w:val="000935D6"/>
    <w:rsid w:val="000935FF"/>
    <w:rsid w:val="00093650"/>
    <w:rsid w:val="00093688"/>
    <w:rsid w:val="00093750"/>
    <w:rsid w:val="00093827"/>
    <w:rsid w:val="0009392F"/>
    <w:rsid w:val="0009393C"/>
    <w:rsid w:val="00093CD4"/>
    <w:rsid w:val="00093D1F"/>
    <w:rsid w:val="00093E56"/>
    <w:rsid w:val="00093EA8"/>
    <w:rsid w:val="00093EC9"/>
    <w:rsid w:val="00093EFA"/>
    <w:rsid w:val="000940B1"/>
    <w:rsid w:val="0009417A"/>
    <w:rsid w:val="0009418F"/>
    <w:rsid w:val="000942A8"/>
    <w:rsid w:val="000943F1"/>
    <w:rsid w:val="00094574"/>
    <w:rsid w:val="00094619"/>
    <w:rsid w:val="00094717"/>
    <w:rsid w:val="00094AC5"/>
    <w:rsid w:val="00094B7C"/>
    <w:rsid w:val="00094B88"/>
    <w:rsid w:val="00094C30"/>
    <w:rsid w:val="00094E5F"/>
    <w:rsid w:val="00094EF5"/>
    <w:rsid w:val="00094F18"/>
    <w:rsid w:val="0009507A"/>
    <w:rsid w:val="00095163"/>
    <w:rsid w:val="000952F6"/>
    <w:rsid w:val="0009553E"/>
    <w:rsid w:val="00095752"/>
    <w:rsid w:val="00095888"/>
    <w:rsid w:val="00095A70"/>
    <w:rsid w:val="00095BE1"/>
    <w:rsid w:val="00095DBF"/>
    <w:rsid w:val="00095DF1"/>
    <w:rsid w:val="00095EE4"/>
    <w:rsid w:val="00095F95"/>
    <w:rsid w:val="000960BC"/>
    <w:rsid w:val="00096111"/>
    <w:rsid w:val="00096129"/>
    <w:rsid w:val="0009613B"/>
    <w:rsid w:val="0009619E"/>
    <w:rsid w:val="0009632B"/>
    <w:rsid w:val="00096354"/>
    <w:rsid w:val="00096720"/>
    <w:rsid w:val="00096788"/>
    <w:rsid w:val="000968AA"/>
    <w:rsid w:val="000968B3"/>
    <w:rsid w:val="00096912"/>
    <w:rsid w:val="00096A2E"/>
    <w:rsid w:val="00096DE9"/>
    <w:rsid w:val="00096E0F"/>
    <w:rsid w:val="00096ECF"/>
    <w:rsid w:val="00096F61"/>
    <w:rsid w:val="0009701E"/>
    <w:rsid w:val="000971F0"/>
    <w:rsid w:val="000973DD"/>
    <w:rsid w:val="0009752A"/>
    <w:rsid w:val="00097560"/>
    <w:rsid w:val="000978D9"/>
    <w:rsid w:val="00097A07"/>
    <w:rsid w:val="00097F98"/>
    <w:rsid w:val="000A0057"/>
    <w:rsid w:val="000A0374"/>
    <w:rsid w:val="000A03D8"/>
    <w:rsid w:val="000A04EF"/>
    <w:rsid w:val="000A0768"/>
    <w:rsid w:val="000A076E"/>
    <w:rsid w:val="000A07C6"/>
    <w:rsid w:val="000A097C"/>
    <w:rsid w:val="000A0B27"/>
    <w:rsid w:val="000A0B3A"/>
    <w:rsid w:val="000A0C41"/>
    <w:rsid w:val="000A0D2A"/>
    <w:rsid w:val="000A0F08"/>
    <w:rsid w:val="000A1049"/>
    <w:rsid w:val="000A1090"/>
    <w:rsid w:val="000A1123"/>
    <w:rsid w:val="000A1262"/>
    <w:rsid w:val="000A12F3"/>
    <w:rsid w:val="000A1958"/>
    <w:rsid w:val="000A1C67"/>
    <w:rsid w:val="000A1F70"/>
    <w:rsid w:val="000A20F2"/>
    <w:rsid w:val="000A21AE"/>
    <w:rsid w:val="000A23E7"/>
    <w:rsid w:val="000A23EF"/>
    <w:rsid w:val="000A24BC"/>
    <w:rsid w:val="000A2563"/>
    <w:rsid w:val="000A2589"/>
    <w:rsid w:val="000A27B4"/>
    <w:rsid w:val="000A2867"/>
    <w:rsid w:val="000A295C"/>
    <w:rsid w:val="000A2A0E"/>
    <w:rsid w:val="000A2A2B"/>
    <w:rsid w:val="000A2AA8"/>
    <w:rsid w:val="000A2B7A"/>
    <w:rsid w:val="000A2DE2"/>
    <w:rsid w:val="000A2DEA"/>
    <w:rsid w:val="000A2F95"/>
    <w:rsid w:val="000A303C"/>
    <w:rsid w:val="000A304A"/>
    <w:rsid w:val="000A3308"/>
    <w:rsid w:val="000A337F"/>
    <w:rsid w:val="000A3487"/>
    <w:rsid w:val="000A3529"/>
    <w:rsid w:val="000A35BA"/>
    <w:rsid w:val="000A35EC"/>
    <w:rsid w:val="000A36CA"/>
    <w:rsid w:val="000A36CF"/>
    <w:rsid w:val="000A36F2"/>
    <w:rsid w:val="000A382E"/>
    <w:rsid w:val="000A3843"/>
    <w:rsid w:val="000A3861"/>
    <w:rsid w:val="000A38AA"/>
    <w:rsid w:val="000A399C"/>
    <w:rsid w:val="000A3AE6"/>
    <w:rsid w:val="000A3C8E"/>
    <w:rsid w:val="000A3E48"/>
    <w:rsid w:val="000A3E7E"/>
    <w:rsid w:val="000A3EC3"/>
    <w:rsid w:val="000A4119"/>
    <w:rsid w:val="000A4127"/>
    <w:rsid w:val="000A4133"/>
    <w:rsid w:val="000A41B6"/>
    <w:rsid w:val="000A4246"/>
    <w:rsid w:val="000A42F0"/>
    <w:rsid w:val="000A4374"/>
    <w:rsid w:val="000A4503"/>
    <w:rsid w:val="000A463E"/>
    <w:rsid w:val="000A4770"/>
    <w:rsid w:val="000A47DE"/>
    <w:rsid w:val="000A4D3D"/>
    <w:rsid w:val="000A4E07"/>
    <w:rsid w:val="000A4E2B"/>
    <w:rsid w:val="000A4E84"/>
    <w:rsid w:val="000A4ED1"/>
    <w:rsid w:val="000A4FC3"/>
    <w:rsid w:val="000A50A6"/>
    <w:rsid w:val="000A514F"/>
    <w:rsid w:val="000A51BC"/>
    <w:rsid w:val="000A5243"/>
    <w:rsid w:val="000A555F"/>
    <w:rsid w:val="000A5648"/>
    <w:rsid w:val="000A56C6"/>
    <w:rsid w:val="000A58D2"/>
    <w:rsid w:val="000A58E0"/>
    <w:rsid w:val="000A5927"/>
    <w:rsid w:val="000A598E"/>
    <w:rsid w:val="000A5A50"/>
    <w:rsid w:val="000A5A96"/>
    <w:rsid w:val="000A5B58"/>
    <w:rsid w:val="000A5CA3"/>
    <w:rsid w:val="000A5D6E"/>
    <w:rsid w:val="000A5EF5"/>
    <w:rsid w:val="000A6426"/>
    <w:rsid w:val="000A642B"/>
    <w:rsid w:val="000A64C5"/>
    <w:rsid w:val="000A64EC"/>
    <w:rsid w:val="000A660A"/>
    <w:rsid w:val="000A66DA"/>
    <w:rsid w:val="000A6820"/>
    <w:rsid w:val="000A6A8D"/>
    <w:rsid w:val="000A6B4D"/>
    <w:rsid w:val="000A6C40"/>
    <w:rsid w:val="000A6D75"/>
    <w:rsid w:val="000A6F44"/>
    <w:rsid w:val="000A723F"/>
    <w:rsid w:val="000A72F9"/>
    <w:rsid w:val="000A733D"/>
    <w:rsid w:val="000A734C"/>
    <w:rsid w:val="000A745C"/>
    <w:rsid w:val="000A75B9"/>
    <w:rsid w:val="000A761B"/>
    <w:rsid w:val="000A7705"/>
    <w:rsid w:val="000A78BC"/>
    <w:rsid w:val="000A79A2"/>
    <w:rsid w:val="000A7A6D"/>
    <w:rsid w:val="000A7ADE"/>
    <w:rsid w:val="000A7B8D"/>
    <w:rsid w:val="000A7BD6"/>
    <w:rsid w:val="000A7CEC"/>
    <w:rsid w:val="000A7E48"/>
    <w:rsid w:val="000A7E58"/>
    <w:rsid w:val="000B0250"/>
    <w:rsid w:val="000B027E"/>
    <w:rsid w:val="000B02D0"/>
    <w:rsid w:val="000B02D4"/>
    <w:rsid w:val="000B06CC"/>
    <w:rsid w:val="000B0736"/>
    <w:rsid w:val="000B0954"/>
    <w:rsid w:val="000B0963"/>
    <w:rsid w:val="000B0A06"/>
    <w:rsid w:val="000B0C54"/>
    <w:rsid w:val="000B0E49"/>
    <w:rsid w:val="000B11CF"/>
    <w:rsid w:val="000B1230"/>
    <w:rsid w:val="000B1395"/>
    <w:rsid w:val="000B1471"/>
    <w:rsid w:val="000B1512"/>
    <w:rsid w:val="000B1624"/>
    <w:rsid w:val="000B188F"/>
    <w:rsid w:val="000B1933"/>
    <w:rsid w:val="000B19BA"/>
    <w:rsid w:val="000B1BD3"/>
    <w:rsid w:val="000B1E53"/>
    <w:rsid w:val="000B1EDC"/>
    <w:rsid w:val="000B2096"/>
    <w:rsid w:val="000B244F"/>
    <w:rsid w:val="000B27CD"/>
    <w:rsid w:val="000B2822"/>
    <w:rsid w:val="000B282C"/>
    <w:rsid w:val="000B2A24"/>
    <w:rsid w:val="000B2A52"/>
    <w:rsid w:val="000B2BCD"/>
    <w:rsid w:val="000B2BF6"/>
    <w:rsid w:val="000B2E5E"/>
    <w:rsid w:val="000B3023"/>
    <w:rsid w:val="000B328B"/>
    <w:rsid w:val="000B3353"/>
    <w:rsid w:val="000B339B"/>
    <w:rsid w:val="000B33AC"/>
    <w:rsid w:val="000B35B0"/>
    <w:rsid w:val="000B36A5"/>
    <w:rsid w:val="000B3747"/>
    <w:rsid w:val="000B3761"/>
    <w:rsid w:val="000B3850"/>
    <w:rsid w:val="000B3A77"/>
    <w:rsid w:val="000B3B27"/>
    <w:rsid w:val="000B3B9E"/>
    <w:rsid w:val="000B3BB3"/>
    <w:rsid w:val="000B3DAA"/>
    <w:rsid w:val="000B3ED7"/>
    <w:rsid w:val="000B4036"/>
    <w:rsid w:val="000B450C"/>
    <w:rsid w:val="000B4575"/>
    <w:rsid w:val="000B497F"/>
    <w:rsid w:val="000B49EA"/>
    <w:rsid w:val="000B4A72"/>
    <w:rsid w:val="000B4AF8"/>
    <w:rsid w:val="000B4BD6"/>
    <w:rsid w:val="000B4C18"/>
    <w:rsid w:val="000B4EA8"/>
    <w:rsid w:val="000B509B"/>
    <w:rsid w:val="000B5105"/>
    <w:rsid w:val="000B5107"/>
    <w:rsid w:val="000B5213"/>
    <w:rsid w:val="000B5240"/>
    <w:rsid w:val="000B524F"/>
    <w:rsid w:val="000B52D0"/>
    <w:rsid w:val="000B5503"/>
    <w:rsid w:val="000B55F8"/>
    <w:rsid w:val="000B5676"/>
    <w:rsid w:val="000B56FC"/>
    <w:rsid w:val="000B5884"/>
    <w:rsid w:val="000B58B5"/>
    <w:rsid w:val="000B5A42"/>
    <w:rsid w:val="000B5A93"/>
    <w:rsid w:val="000B5AFE"/>
    <w:rsid w:val="000B5BBA"/>
    <w:rsid w:val="000B5C62"/>
    <w:rsid w:val="000B5CE0"/>
    <w:rsid w:val="000B5CFC"/>
    <w:rsid w:val="000B61FF"/>
    <w:rsid w:val="000B6243"/>
    <w:rsid w:val="000B650A"/>
    <w:rsid w:val="000B65B9"/>
    <w:rsid w:val="000B6723"/>
    <w:rsid w:val="000B6958"/>
    <w:rsid w:val="000B6B50"/>
    <w:rsid w:val="000B6FBF"/>
    <w:rsid w:val="000B7007"/>
    <w:rsid w:val="000B7020"/>
    <w:rsid w:val="000B7177"/>
    <w:rsid w:val="000B72E5"/>
    <w:rsid w:val="000B74A8"/>
    <w:rsid w:val="000B7506"/>
    <w:rsid w:val="000B7A06"/>
    <w:rsid w:val="000B7A2B"/>
    <w:rsid w:val="000B7BE7"/>
    <w:rsid w:val="000B7C7C"/>
    <w:rsid w:val="000B7D8E"/>
    <w:rsid w:val="000B7DE6"/>
    <w:rsid w:val="000C0159"/>
    <w:rsid w:val="000C016C"/>
    <w:rsid w:val="000C01D5"/>
    <w:rsid w:val="000C01DF"/>
    <w:rsid w:val="000C01F7"/>
    <w:rsid w:val="000C0248"/>
    <w:rsid w:val="000C0280"/>
    <w:rsid w:val="000C034D"/>
    <w:rsid w:val="000C0423"/>
    <w:rsid w:val="000C04D7"/>
    <w:rsid w:val="000C06EC"/>
    <w:rsid w:val="000C099F"/>
    <w:rsid w:val="000C0BB9"/>
    <w:rsid w:val="000C0C39"/>
    <w:rsid w:val="000C0DA5"/>
    <w:rsid w:val="000C0EF1"/>
    <w:rsid w:val="000C1141"/>
    <w:rsid w:val="000C11E0"/>
    <w:rsid w:val="000C12DA"/>
    <w:rsid w:val="000C1374"/>
    <w:rsid w:val="000C155B"/>
    <w:rsid w:val="000C1712"/>
    <w:rsid w:val="000C1723"/>
    <w:rsid w:val="000C18E8"/>
    <w:rsid w:val="000C1A2B"/>
    <w:rsid w:val="000C1A99"/>
    <w:rsid w:val="000C1F07"/>
    <w:rsid w:val="000C1F25"/>
    <w:rsid w:val="000C2149"/>
    <w:rsid w:val="000C21B9"/>
    <w:rsid w:val="000C232F"/>
    <w:rsid w:val="000C23E0"/>
    <w:rsid w:val="000C286A"/>
    <w:rsid w:val="000C2B70"/>
    <w:rsid w:val="000C2E88"/>
    <w:rsid w:val="000C2F1D"/>
    <w:rsid w:val="000C2F48"/>
    <w:rsid w:val="000C3181"/>
    <w:rsid w:val="000C3557"/>
    <w:rsid w:val="000C35AF"/>
    <w:rsid w:val="000C35C0"/>
    <w:rsid w:val="000C3644"/>
    <w:rsid w:val="000C379E"/>
    <w:rsid w:val="000C37F7"/>
    <w:rsid w:val="000C399E"/>
    <w:rsid w:val="000C3B61"/>
    <w:rsid w:val="000C3EC1"/>
    <w:rsid w:val="000C4181"/>
    <w:rsid w:val="000C4523"/>
    <w:rsid w:val="000C47AC"/>
    <w:rsid w:val="000C487C"/>
    <w:rsid w:val="000C4891"/>
    <w:rsid w:val="000C490F"/>
    <w:rsid w:val="000C497A"/>
    <w:rsid w:val="000C4ADC"/>
    <w:rsid w:val="000C4B49"/>
    <w:rsid w:val="000C4BC2"/>
    <w:rsid w:val="000C4E20"/>
    <w:rsid w:val="000C50E4"/>
    <w:rsid w:val="000C5134"/>
    <w:rsid w:val="000C5150"/>
    <w:rsid w:val="000C5183"/>
    <w:rsid w:val="000C5251"/>
    <w:rsid w:val="000C5459"/>
    <w:rsid w:val="000C562A"/>
    <w:rsid w:val="000C59E4"/>
    <w:rsid w:val="000C5A4F"/>
    <w:rsid w:val="000C5BBA"/>
    <w:rsid w:val="000C5C9E"/>
    <w:rsid w:val="000C5D00"/>
    <w:rsid w:val="000C5E44"/>
    <w:rsid w:val="000C5EEF"/>
    <w:rsid w:val="000C6085"/>
    <w:rsid w:val="000C60CF"/>
    <w:rsid w:val="000C60D6"/>
    <w:rsid w:val="000C617B"/>
    <w:rsid w:val="000C61AD"/>
    <w:rsid w:val="000C61E0"/>
    <w:rsid w:val="000C641C"/>
    <w:rsid w:val="000C678F"/>
    <w:rsid w:val="000C67A6"/>
    <w:rsid w:val="000C69E7"/>
    <w:rsid w:val="000C6A15"/>
    <w:rsid w:val="000C6AC5"/>
    <w:rsid w:val="000C6AF6"/>
    <w:rsid w:val="000C6B77"/>
    <w:rsid w:val="000C6BE0"/>
    <w:rsid w:val="000C6C15"/>
    <w:rsid w:val="000C6CA1"/>
    <w:rsid w:val="000C6E77"/>
    <w:rsid w:val="000C7018"/>
    <w:rsid w:val="000C70EA"/>
    <w:rsid w:val="000C728D"/>
    <w:rsid w:val="000C7485"/>
    <w:rsid w:val="000C75DC"/>
    <w:rsid w:val="000C760E"/>
    <w:rsid w:val="000C7753"/>
    <w:rsid w:val="000C7781"/>
    <w:rsid w:val="000C797E"/>
    <w:rsid w:val="000C79C3"/>
    <w:rsid w:val="000C79D8"/>
    <w:rsid w:val="000C7ACA"/>
    <w:rsid w:val="000C7BCA"/>
    <w:rsid w:val="000C7D4F"/>
    <w:rsid w:val="000C7E57"/>
    <w:rsid w:val="000C7F20"/>
    <w:rsid w:val="000D0017"/>
    <w:rsid w:val="000D00DF"/>
    <w:rsid w:val="000D01A2"/>
    <w:rsid w:val="000D03AF"/>
    <w:rsid w:val="000D03C1"/>
    <w:rsid w:val="000D0421"/>
    <w:rsid w:val="000D05BA"/>
    <w:rsid w:val="000D05EF"/>
    <w:rsid w:val="000D0627"/>
    <w:rsid w:val="000D06E5"/>
    <w:rsid w:val="000D073A"/>
    <w:rsid w:val="000D07D3"/>
    <w:rsid w:val="000D08E3"/>
    <w:rsid w:val="000D0A77"/>
    <w:rsid w:val="000D0C09"/>
    <w:rsid w:val="000D0C3B"/>
    <w:rsid w:val="000D0CC1"/>
    <w:rsid w:val="000D0E13"/>
    <w:rsid w:val="000D0E85"/>
    <w:rsid w:val="000D0F74"/>
    <w:rsid w:val="000D12AF"/>
    <w:rsid w:val="000D13DA"/>
    <w:rsid w:val="000D14FA"/>
    <w:rsid w:val="000D1525"/>
    <w:rsid w:val="000D1545"/>
    <w:rsid w:val="000D1992"/>
    <w:rsid w:val="000D1DED"/>
    <w:rsid w:val="000D1E31"/>
    <w:rsid w:val="000D1EB0"/>
    <w:rsid w:val="000D224A"/>
    <w:rsid w:val="000D2358"/>
    <w:rsid w:val="000D2389"/>
    <w:rsid w:val="000D2505"/>
    <w:rsid w:val="000D2575"/>
    <w:rsid w:val="000D25CE"/>
    <w:rsid w:val="000D2704"/>
    <w:rsid w:val="000D279A"/>
    <w:rsid w:val="000D28EB"/>
    <w:rsid w:val="000D2940"/>
    <w:rsid w:val="000D2979"/>
    <w:rsid w:val="000D2C25"/>
    <w:rsid w:val="000D2E32"/>
    <w:rsid w:val="000D2EEE"/>
    <w:rsid w:val="000D2FFE"/>
    <w:rsid w:val="000D30F7"/>
    <w:rsid w:val="000D343A"/>
    <w:rsid w:val="000D3441"/>
    <w:rsid w:val="000D344C"/>
    <w:rsid w:val="000D34AF"/>
    <w:rsid w:val="000D34FB"/>
    <w:rsid w:val="000D3524"/>
    <w:rsid w:val="000D356F"/>
    <w:rsid w:val="000D37E1"/>
    <w:rsid w:val="000D392E"/>
    <w:rsid w:val="000D3BED"/>
    <w:rsid w:val="000D3CF1"/>
    <w:rsid w:val="000D3E0A"/>
    <w:rsid w:val="000D3E1F"/>
    <w:rsid w:val="000D3F96"/>
    <w:rsid w:val="000D406E"/>
    <w:rsid w:val="000D4174"/>
    <w:rsid w:val="000D4627"/>
    <w:rsid w:val="000D464E"/>
    <w:rsid w:val="000D46C5"/>
    <w:rsid w:val="000D46DF"/>
    <w:rsid w:val="000D47C9"/>
    <w:rsid w:val="000D48A3"/>
    <w:rsid w:val="000D490E"/>
    <w:rsid w:val="000D4923"/>
    <w:rsid w:val="000D4AFE"/>
    <w:rsid w:val="000D4B57"/>
    <w:rsid w:val="000D4B7E"/>
    <w:rsid w:val="000D4C6A"/>
    <w:rsid w:val="000D4DC7"/>
    <w:rsid w:val="000D4FFD"/>
    <w:rsid w:val="000D514E"/>
    <w:rsid w:val="000D520E"/>
    <w:rsid w:val="000D527C"/>
    <w:rsid w:val="000D52BE"/>
    <w:rsid w:val="000D548A"/>
    <w:rsid w:val="000D563D"/>
    <w:rsid w:val="000D57F3"/>
    <w:rsid w:val="000D5839"/>
    <w:rsid w:val="000D5870"/>
    <w:rsid w:val="000D5A8F"/>
    <w:rsid w:val="000D5AAD"/>
    <w:rsid w:val="000D5ACA"/>
    <w:rsid w:val="000D5CBA"/>
    <w:rsid w:val="000D5CC8"/>
    <w:rsid w:val="000D5CD8"/>
    <w:rsid w:val="000D5DB8"/>
    <w:rsid w:val="000D5DE4"/>
    <w:rsid w:val="000D5DEC"/>
    <w:rsid w:val="000D5E36"/>
    <w:rsid w:val="000D5FA2"/>
    <w:rsid w:val="000D6118"/>
    <w:rsid w:val="000D62BA"/>
    <w:rsid w:val="000D636F"/>
    <w:rsid w:val="000D6448"/>
    <w:rsid w:val="000D6663"/>
    <w:rsid w:val="000D66BB"/>
    <w:rsid w:val="000D67BD"/>
    <w:rsid w:val="000D6932"/>
    <w:rsid w:val="000D6B80"/>
    <w:rsid w:val="000D6D48"/>
    <w:rsid w:val="000D6E5A"/>
    <w:rsid w:val="000D6E88"/>
    <w:rsid w:val="000D6F08"/>
    <w:rsid w:val="000D6F71"/>
    <w:rsid w:val="000D706E"/>
    <w:rsid w:val="000D7090"/>
    <w:rsid w:val="000D725B"/>
    <w:rsid w:val="000D73B3"/>
    <w:rsid w:val="000D7509"/>
    <w:rsid w:val="000D774D"/>
    <w:rsid w:val="000D7835"/>
    <w:rsid w:val="000D785B"/>
    <w:rsid w:val="000D7A8B"/>
    <w:rsid w:val="000D7B04"/>
    <w:rsid w:val="000D7B94"/>
    <w:rsid w:val="000D7BA7"/>
    <w:rsid w:val="000D7C70"/>
    <w:rsid w:val="000D7CCE"/>
    <w:rsid w:val="000D7D1F"/>
    <w:rsid w:val="000D7EDA"/>
    <w:rsid w:val="000D7F10"/>
    <w:rsid w:val="000E02B8"/>
    <w:rsid w:val="000E02D8"/>
    <w:rsid w:val="000E0328"/>
    <w:rsid w:val="000E040A"/>
    <w:rsid w:val="000E05E9"/>
    <w:rsid w:val="000E06E0"/>
    <w:rsid w:val="000E07F0"/>
    <w:rsid w:val="000E08B7"/>
    <w:rsid w:val="000E09B4"/>
    <w:rsid w:val="000E0A98"/>
    <w:rsid w:val="000E0B1D"/>
    <w:rsid w:val="000E0CD4"/>
    <w:rsid w:val="000E0D9E"/>
    <w:rsid w:val="000E1031"/>
    <w:rsid w:val="000E126E"/>
    <w:rsid w:val="000E1345"/>
    <w:rsid w:val="000E13F7"/>
    <w:rsid w:val="000E14BE"/>
    <w:rsid w:val="000E1521"/>
    <w:rsid w:val="000E1561"/>
    <w:rsid w:val="000E157E"/>
    <w:rsid w:val="000E16CC"/>
    <w:rsid w:val="000E17D4"/>
    <w:rsid w:val="000E18CF"/>
    <w:rsid w:val="000E1AC5"/>
    <w:rsid w:val="000E1B54"/>
    <w:rsid w:val="000E1B74"/>
    <w:rsid w:val="000E1C36"/>
    <w:rsid w:val="000E1DA7"/>
    <w:rsid w:val="000E1DB7"/>
    <w:rsid w:val="000E1F0C"/>
    <w:rsid w:val="000E1F2C"/>
    <w:rsid w:val="000E20D1"/>
    <w:rsid w:val="000E2128"/>
    <w:rsid w:val="000E2357"/>
    <w:rsid w:val="000E249B"/>
    <w:rsid w:val="000E24C6"/>
    <w:rsid w:val="000E2594"/>
    <w:rsid w:val="000E276C"/>
    <w:rsid w:val="000E2B58"/>
    <w:rsid w:val="000E2C6D"/>
    <w:rsid w:val="000E2CBA"/>
    <w:rsid w:val="000E2CE4"/>
    <w:rsid w:val="000E2E6E"/>
    <w:rsid w:val="000E306F"/>
    <w:rsid w:val="000E322E"/>
    <w:rsid w:val="000E3235"/>
    <w:rsid w:val="000E3237"/>
    <w:rsid w:val="000E3265"/>
    <w:rsid w:val="000E326D"/>
    <w:rsid w:val="000E32C3"/>
    <w:rsid w:val="000E33C7"/>
    <w:rsid w:val="000E3409"/>
    <w:rsid w:val="000E347B"/>
    <w:rsid w:val="000E3602"/>
    <w:rsid w:val="000E382B"/>
    <w:rsid w:val="000E388D"/>
    <w:rsid w:val="000E3A18"/>
    <w:rsid w:val="000E3AE6"/>
    <w:rsid w:val="000E3B8B"/>
    <w:rsid w:val="000E3BF9"/>
    <w:rsid w:val="000E3D26"/>
    <w:rsid w:val="000E3D7A"/>
    <w:rsid w:val="000E3FA5"/>
    <w:rsid w:val="000E3FA7"/>
    <w:rsid w:val="000E40B8"/>
    <w:rsid w:val="000E40E1"/>
    <w:rsid w:val="000E419E"/>
    <w:rsid w:val="000E43B0"/>
    <w:rsid w:val="000E43B6"/>
    <w:rsid w:val="000E4487"/>
    <w:rsid w:val="000E4561"/>
    <w:rsid w:val="000E461C"/>
    <w:rsid w:val="000E48AE"/>
    <w:rsid w:val="000E4C89"/>
    <w:rsid w:val="000E4D8F"/>
    <w:rsid w:val="000E4D99"/>
    <w:rsid w:val="000E4DCC"/>
    <w:rsid w:val="000E5064"/>
    <w:rsid w:val="000E50F5"/>
    <w:rsid w:val="000E526E"/>
    <w:rsid w:val="000E52B6"/>
    <w:rsid w:val="000E53D1"/>
    <w:rsid w:val="000E5491"/>
    <w:rsid w:val="000E5554"/>
    <w:rsid w:val="000E5598"/>
    <w:rsid w:val="000E5614"/>
    <w:rsid w:val="000E57A0"/>
    <w:rsid w:val="000E5895"/>
    <w:rsid w:val="000E5906"/>
    <w:rsid w:val="000E5959"/>
    <w:rsid w:val="000E5B4B"/>
    <w:rsid w:val="000E5BBC"/>
    <w:rsid w:val="000E5C37"/>
    <w:rsid w:val="000E5DE8"/>
    <w:rsid w:val="000E5FD3"/>
    <w:rsid w:val="000E6055"/>
    <w:rsid w:val="000E6058"/>
    <w:rsid w:val="000E6074"/>
    <w:rsid w:val="000E60B9"/>
    <w:rsid w:val="000E6113"/>
    <w:rsid w:val="000E6348"/>
    <w:rsid w:val="000E63C0"/>
    <w:rsid w:val="000E665F"/>
    <w:rsid w:val="000E6A6A"/>
    <w:rsid w:val="000E6DF4"/>
    <w:rsid w:val="000E6F7D"/>
    <w:rsid w:val="000E6FCC"/>
    <w:rsid w:val="000E700E"/>
    <w:rsid w:val="000E70A4"/>
    <w:rsid w:val="000E7252"/>
    <w:rsid w:val="000E7272"/>
    <w:rsid w:val="000E73B7"/>
    <w:rsid w:val="000E753B"/>
    <w:rsid w:val="000E75D4"/>
    <w:rsid w:val="000E7950"/>
    <w:rsid w:val="000E79AA"/>
    <w:rsid w:val="000E79FB"/>
    <w:rsid w:val="000E7A24"/>
    <w:rsid w:val="000E7D98"/>
    <w:rsid w:val="000F00BC"/>
    <w:rsid w:val="000F00E8"/>
    <w:rsid w:val="000F0146"/>
    <w:rsid w:val="000F014E"/>
    <w:rsid w:val="000F016E"/>
    <w:rsid w:val="000F01F2"/>
    <w:rsid w:val="000F0220"/>
    <w:rsid w:val="000F0356"/>
    <w:rsid w:val="000F047C"/>
    <w:rsid w:val="000F05CE"/>
    <w:rsid w:val="000F0715"/>
    <w:rsid w:val="000F0839"/>
    <w:rsid w:val="000F0842"/>
    <w:rsid w:val="000F09B1"/>
    <w:rsid w:val="000F09CA"/>
    <w:rsid w:val="000F09D5"/>
    <w:rsid w:val="000F09E7"/>
    <w:rsid w:val="000F0ABC"/>
    <w:rsid w:val="000F0C17"/>
    <w:rsid w:val="000F0C24"/>
    <w:rsid w:val="000F0C82"/>
    <w:rsid w:val="000F0D24"/>
    <w:rsid w:val="000F0DF2"/>
    <w:rsid w:val="000F0E90"/>
    <w:rsid w:val="000F0E95"/>
    <w:rsid w:val="000F0EA8"/>
    <w:rsid w:val="000F0F0C"/>
    <w:rsid w:val="000F0F23"/>
    <w:rsid w:val="000F0FDF"/>
    <w:rsid w:val="000F1110"/>
    <w:rsid w:val="000F1161"/>
    <w:rsid w:val="000F116E"/>
    <w:rsid w:val="000F1426"/>
    <w:rsid w:val="000F1438"/>
    <w:rsid w:val="000F1439"/>
    <w:rsid w:val="000F1456"/>
    <w:rsid w:val="000F1497"/>
    <w:rsid w:val="000F14D6"/>
    <w:rsid w:val="000F16BA"/>
    <w:rsid w:val="000F17BF"/>
    <w:rsid w:val="000F1852"/>
    <w:rsid w:val="000F191B"/>
    <w:rsid w:val="000F191D"/>
    <w:rsid w:val="000F1978"/>
    <w:rsid w:val="000F1AFF"/>
    <w:rsid w:val="000F1B34"/>
    <w:rsid w:val="000F1E2B"/>
    <w:rsid w:val="000F1E3D"/>
    <w:rsid w:val="000F1F4C"/>
    <w:rsid w:val="000F1FBC"/>
    <w:rsid w:val="000F2013"/>
    <w:rsid w:val="000F2127"/>
    <w:rsid w:val="000F2171"/>
    <w:rsid w:val="000F23B2"/>
    <w:rsid w:val="000F23E3"/>
    <w:rsid w:val="000F240E"/>
    <w:rsid w:val="000F2473"/>
    <w:rsid w:val="000F24B3"/>
    <w:rsid w:val="000F24EC"/>
    <w:rsid w:val="000F25A7"/>
    <w:rsid w:val="000F26D6"/>
    <w:rsid w:val="000F2812"/>
    <w:rsid w:val="000F2825"/>
    <w:rsid w:val="000F2873"/>
    <w:rsid w:val="000F2881"/>
    <w:rsid w:val="000F2A45"/>
    <w:rsid w:val="000F2A6B"/>
    <w:rsid w:val="000F2D78"/>
    <w:rsid w:val="000F2FE0"/>
    <w:rsid w:val="000F3070"/>
    <w:rsid w:val="000F30DD"/>
    <w:rsid w:val="000F322B"/>
    <w:rsid w:val="000F32AA"/>
    <w:rsid w:val="000F333E"/>
    <w:rsid w:val="000F3501"/>
    <w:rsid w:val="000F36AB"/>
    <w:rsid w:val="000F370E"/>
    <w:rsid w:val="000F3891"/>
    <w:rsid w:val="000F392F"/>
    <w:rsid w:val="000F39BD"/>
    <w:rsid w:val="000F3A3D"/>
    <w:rsid w:val="000F3A6B"/>
    <w:rsid w:val="000F3A97"/>
    <w:rsid w:val="000F3E58"/>
    <w:rsid w:val="000F3EF1"/>
    <w:rsid w:val="000F3EF7"/>
    <w:rsid w:val="000F40DB"/>
    <w:rsid w:val="000F41CE"/>
    <w:rsid w:val="000F432A"/>
    <w:rsid w:val="000F4339"/>
    <w:rsid w:val="000F43CC"/>
    <w:rsid w:val="000F43D1"/>
    <w:rsid w:val="000F4488"/>
    <w:rsid w:val="000F44A9"/>
    <w:rsid w:val="000F482A"/>
    <w:rsid w:val="000F49FD"/>
    <w:rsid w:val="000F4A49"/>
    <w:rsid w:val="000F4ACF"/>
    <w:rsid w:val="000F4C34"/>
    <w:rsid w:val="000F4CC2"/>
    <w:rsid w:val="000F4D19"/>
    <w:rsid w:val="000F4EC6"/>
    <w:rsid w:val="000F51E3"/>
    <w:rsid w:val="000F523A"/>
    <w:rsid w:val="000F55EB"/>
    <w:rsid w:val="000F55F7"/>
    <w:rsid w:val="000F56F4"/>
    <w:rsid w:val="000F57E2"/>
    <w:rsid w:val="000F5814"/>
    <w:rsid w:val="000F5862"/>
    <w:rsid w:val="000F58CE"/>
    <w:rsid w:val="000F5923"/>
    <w:rsid w:val="000F599E"/>
    <w:rsid w:val="000F5ADE"/>
    <w:rsid w:val="000F5EBA"/>
    <w:rsid w:val="000F5F06"/>
    <w:rsid w:val="000F5FE6"/>
    <w:rsid w:val="000F6016"/>
    <w:rsid w:val="000F60BE"/>
    <w:rsid w:val="000F638F"/>
    <w:rsid w:val="000F651D"/>
    <w:rsid w:val="000F6651"/>
    <w:rsid w:val="000F6711"/>
    <w:rsid w:val="000F67CF"/>
    <w:rsid w:val="000F6861"/>
    <w:rsid w:val="000F686B"/>
    <w:rsid w:val="000F6A3B"/>
    <w:rsid w:val="000F6A65"/>
    <w:rsid w:val="000F6BAD"/>
    <w:rsid w:val="000F6C97"/>
    <w:rsid w:val="000F6D6C"/>
    <w:rsid w:val="000F6F32"/>
    <w:rsid w:val="000F7141"/>
    <w:rsid w:val="000F7249"/>
    <w:rsid w:val="000F7260"/>
    <w:rsid w:val="000F72F1"/>
    <w:rsid w:val="000F74B6"/>
    <w:rsid w:val="000F7533"/>
    <w:rsid w:val="000F7636"/>
    <w:rsid w:val="000F763B"/>
    <w:rsid w:val="000F7682"/>
    <w:rsid w:val="000F77BA"/>
    <w:rsid w:val="000F787A"/>
    <w:rsid w:val="000F7A37"/>
    <w:rsid w:val="000F7AC6"/>
    <w:rsid w:val="000F7ACE"/>
    <w:rsid w:val="000F7DAC"/>
    <w:rsid w:val="000F7DB3"/>
    <w:rsid w:val="000F7DEE"/>
    <w:rsid w:val="000F7E71"/>
    <w:rsid w:val="0010001C"/>
    <w:rsid w:val="0010001D"/>
    <w:rsid w:val="00100039"/>
    <w:rsid w:val="0010012C"/>
    <w:rsid w:val="001001D7"/>
    <w:rsid w:val="00100442"/>
    <w:rsid w:val="00100530"/>
    <w:rsid w:val="0010069F"/>
    <w:rsid w:val="00100720"/>
    <w:rsid w:val="00100745"/>
    <w:rsid w:val="0010078B"/>
    <w:rsid w:val="001007A2"/>
    <w:rsid w:val="0010086D"/>
    <w:rsid w:val="00100AA0"/>
    <w:rsid w:val="00100BD3"/>
    <w:rsid w:val="00100C25"/>
    <w:rsid w:val="00100CA5"/>
    <w:rsid w:val="00100D4A"/>
    <w:rsid w:val="00100F1C"/>
    <w:rsid w:val="00100F21"/>
    <w:rsid w:val="00100F5A"/>
    <w:rsid w:val="00100FAB"/>
    <w:rsid w:val="00101085"/>
    <w:rsid w:val="0010111E"/>
    <w:rsid w:val="00101165"/>
    <w:rsid w:val="00101386"/>
    <w:rsid w:val="001013C8"/>
    <w:rsid w:val="001015AC"/>
    <w:rsid w:val="001015D5"/>
    <w:rsid w:val="00101632"/>
    <w:rsid w:val="001017B0"/>
    <w:rsid w:val="00101994"/>
    <w:rsid w:val="001019F1"/>
    <w:rsid w:val="00101A54"/>
    <w:rsid w:val="00101A8F"/>
    <w:rsid w:val="00101B0A"/>
    <w:rsid w:val="00101C0F"/>
    <w:rsid w:val="00101CFC"/>
    <w:rsid w:val="00101E88"/>
    <w:rsid w:val="00101EA3"/>
    <w:rsid w:val="00101EF3"/>
    <w:rsid w:val="00101F2B"/>
    <w:rsid w:val="00101F61"/>
    <w:rsid w:val="001021BF"/>
    <w:rsid w:val="00102200"/>
    <w:rsid w:val="001024CD"/>
    <w:rsid w:val="00102504"/>
    <w:rsid w:val="0010252A"/>
    <w:rsid w:val="00102758"/>
    <w:rsid w:val="00102926"/>
    <w:rsid w:val="0010293A"/>
    <w:rsid w:val="00102A17"/>
    <w:rsid w:val="00102A87"/>
    <w:rsid w:val="00102ACF"/>
    <w:rsid w:val="00102C23"/>
    <w:rsid w:val="00102CD7"/>
    <w:rsid w:val="00102D28"/>
    <w:rsid w:val="00102DC9"/>
    <w:rsid w:val="00103182"/>
    <w:rsid w:val="0010322A"/>
    <w:rsid w:val="00103246"/>
    <w:rsid w:val="0010326B"/>
    <w:rsid w:val="001032BC"/>
    <w:rsid w:val="001032C6"/>
    <w:rsid w:val="001035C5"/>
    <w:rsid w:val="00103762"/>
    <w:rsid w:val="0010388D"/>
    <w:rsid w:val="001039AC"/>
    <w:rsid w:val="00103A1B"/>
    <w:rsid w:val="00103CCD"/>
    <w:rsid w:val="00103F84"/>
    <w:rsid w:val="00103F95"/>
    <w:rsid w:val="00103FCC"/>
    <w:rsid w:val="00104215"/>
    <w:rsid w:val="0010462A"/>
    <w:rsid w:val="00104643"/>
    <w:rsid w:val="0010471F"/>
    <w:rsid w:val="00104AA8"/>
    <w:rsid w:val="00104C66"/>
    <w:rsid w:val="00104D07"/>
    <w:rsid w:val="00104D2C"/>
    <w:rsid w:val="00104DE8"/>
    <w:rsid w:val="00104E05"/>
    <w:rsid w:val="001051AF"/>
    <w:rsid w:val="0010521B"/>
    <w:rsid w:val="001052EF"/>
    <w:rsid w:val="0010533C"/>
    <w:rsid w:val="0010536B"/>
    <w:rsid w:val="001053FB"/>
    <w:rsid w:val="00105551"/>
    <w:rsid w:val="0010569E"/>
    <w:rsid w:val="0010588F"/>
    <w:rsid w:val="0010594C"/>
    <w:rsid w:val="00105967"/>
    <w:rsid w:val="00105A02"/>
    <w:rsid w:val="00105A17"/>
    <w:rsid w:val="00105C1D"/>
    <w:rsid w:val="00105C52"/>
    <w:rsid w:val="00105E5F"/>
    <w:rsid w:val="0010607C"/>
    <w:rsid w:val="00106095"/>
    <w:rsid w:val="001060AF"/>
    <w:rsid w:val="00106143"/>
    <w:rsid w:val="0010619F"/>
    <w:rsid w:val="0010630B"/>
    <w:rsid w:val="001063FC"/>
    <w:rsid w:val="00106418"/>
    <w:rsid w:val="00106461"/>
    <w:rsid w:val="001064A2"/>
    <w:rsid w:val="00106501"/>
    <w:rsid w:val="00106787"/>
    <w:rsid w:val="001067AC"/>
    <w:rsid w:val="001068C9"/>
    <w:rsid w:val="00106965"/>
    <w:rsid w:val="00106B10"/>
    <w:rsid w:val="00106BE0"/>
    <w:rsid w:val="00106CAB"/>
    <w:rsid w:val="00106D25"/>
    <w:rsid w:val="00106E1C"/>
    <w:rsid w:val="00106E8C"/>
    <w:rsid w:val="00106EEC"/>
    <w:rsid w:val="00106FC6"/>
    <w:rsid w:val="001070DB"/>
    <w:rsid w:val="00107159"/>
    <w:rsid w:val="00107289"/>
    <w:rsid w:val="00107330"/>
    <w:rsid w:val="0010733A"/>
    <w:rsid w:val="001073A3"/>
    <w:rsid w:val="00107559"/>
    <w:rsid w:val="00107703"/>
    <w:rsid w:val="00107852"/>
    <w:rsid w:val="00107C06"/>
    <w:rsid w:val="00107CEF"/>
    <w:rsid w:val="00107D2E"/>
    <w:rsid w:val="00107D80"/>
    <w:rsid w:val="0011018B"/>
    <w:rsid w:val="00110342"/>
    <w:rsid w:val="001103E8"/>
    <w:rsid w:val="0011040E"/>
    <w:rsid w:val="0011047A"/>
    <w:rsid w:val="001106F8"/>
    <w:rsid w:val="001107BD"/>
    <w:rsid w:val="0011081F"/>
    <w:rsid w:val="00110850"/>
    <w:rsid w:val="00110B0A"/>
    <w:rsid w:val="00110B10"/>
    <w:rsid w:val="00110B36"/>
    <w:rsid w:val="00110B66"/>
    <w:rsid w:val="00110B7A"/>
    <w:rsid w:val="00110BF7"/>
    <w:rsid w:val="00110C4F"/>
    <w:rsid w:val="00110CF6"/>
    <w:rsid w:val="00110DB6"/>
    <w:rsid w:val="00110F79"/>
    <w:rsid w:val="00110F88"/>
    <w:rsid w:val="0011105C"/>
    <w:rsid w:val="00111065"/>
    <w:rsid w:val="00111239"/>
    <w:rsid w:val="00111250"/>
    <w:rsid w:val="00111284"/>
    <w:rsid w:val="001114B5"/>
    <w:rsid w:val="0011150C"/>
    <w:rsid w:val="0011159D"/>
    <w:rsid w:val="00111670"/>
    <w:rsid w:val="001116BE"/>
    <w:rsid w:val="0011170E"/>
    <w:rsid w:val="00111769"/>
    <w:rsid w:val="001119A0"/>
    <w:rsid w:val="00111B04"/>
    <w:rsid w:val="00111B4A"/>
    <w:rsid w:val="00111B9F"/>
    <w:rsid w:val="00111C74"/>
    <w:rsid w:val="00111C82"/>
    <w:rsid w:val="00111E1E"/>
    <w:rsid w:val="00111EBF"/>
    <w:rsid w:val="0011217E"/>
    <w:rsid w:val="0011231A"/>
    <w:rsid w:val="001125E2"/>
    <w:rsid w:val="00112631"/>
    <w:rsid w:val="00112727"/>
    <w:rsid w:val="0011285E"/>
    <w:rsid w:val="00112871"/>
    <w:rsid w:val="00112C01"/>
    <w:rsid w:val="00112C09"/>
    <w:rsid w:val="00112CE6"/>
    <w:rsid w:val="00112E8F"/>
    <w:rsid w:val="001130A6"/>
    <w:rsid w:val="00113180"/>
    <w:rsid w:val="00113185"/>
    <w:rsid w:val="001131C4"/>
    <w:rsid w:val="0011326E"/>
    <w:rsid w:val="001132E3"/>
    <w:rsid w:val="0011332E"/>
    <w:rsid w:val="00113383"/>
    <w:rsid w:val="001135B5"/>
    <w:rsid w:val="001136EF"/>
    <w:rsid w:val="00113762"/>
    <w:rsid w:val="001137CB"/>
    <w:rsid w:val="00113CFF"/>
    <w:rsid w:val="00113E7A"/>
    <w:rsid w:val="00113EBA"/>
    <w:rsid w:val="00113EC3"/>
    <w:rsid w:val="00114007"/>
    <w:rsid w:val="0011408D"/>
    <w:rsid w:val="001140BC"/>
    <w:rsid w:val="00114184"/>
    <w:rsid w:val="001143F2"/>
    <w:rsid w:val="001146C1"/>
    <w:rsid w:val="00114890"/>
    <w:rsid w:val="00114930"/>
    <w:rsid w:val="0011499C"/>
    <w:rsid w:val="001149B5"/>
    <w:rsid w:val="00114BC1"/>
    <w:rsid w:val="00114C93"/>
    <w:rsid w:val="00114CD7"/>
    <w:rsid w:val="00114DD6"/>
    <w:rsid w:val="00114E45"/>
    <w:rsid w:val="00114FA5"/>
    <w:rsid w:val="00115091"/>
    <w:rsid w:val="00115297"/>
    <w:rsid w:val="001152A0"/>
    <w:rsid w:val="00115608"/>
    <w:rsid w:val="0011560E"/>
    <w:rsid w:val="0011563F"/>
    <w:rsid w:val="0011579C"/>
    <w:rsid w:val="00115A75"/>
    <w:rsid w:val="00115B5F"/>
    <w:rsid w:val="00115BAB"/>
    <w:rsid w:val="00115CD4"/>
    <w:rsid w:val="00115E83"/>
    <w:rsid w:val="00115EFD"/>
    <w:rsid w:val="00115F46"/>
    <w:rsid w:val="00115F79"/>
    <w:rsid w:val="00115F8E"/>
    <w:rsid w:val="0011612C"/>
    <w:rsid w:val="00116222"/>
    <w:rsid w:val="0011622C"/>
    <w:rsid w:val="001162B8"/>
    <w:rsid w:val="001162FD"/>
    <w:rsid w:val="0011654A"/>
    <w:rsid w:val="001165FD"/>
    <w:rsid w:val="00116652"/>
    <w:rsid w:val="001167A2"/>
    <w:rsid w:val="001167A8"/>
    <w:rsid w:val="001167C1"/>
    <w:rsid w:val="00116A1A"/>
    <w:rsid w:val="00116CF6"/>
    <w:rsid w:val="00116D20"/>
    <w:rsid w:val="00117056"/>
    <w:rsid w:val="00117246"/>
    <w:rsid w:val="001172B7"/>
    <w:rsid w:val="0011740C"/>
    <w:rsid w:val="00117680"/>
    <w:rsid w:val="001176FE"/>
    <w:rsid w:val="0011770B"/>
    <w:rsid w:val="00117726"/>
    <w:rsid w:val="0011780D"/>
    <w:rsid w:val="0011786E"/>
    <w:rsid w:val="00117A27"/>
    <w:rsid w:val="00117AEB"/>
    <w:rsid w:val="00117B53"/>
    <w:rsid w:val="00117DC8"/>
    <w:rsid w:val="00117E07"/>
    <w:rsid w:val="00117F97"/>
    <w:rsid w:val="00117FCA"/>
    <w:rsid w:val="00120102"/>
    <w:rsid w:val="0012019A"/>
    <w:rsid w:val="001202DF"/>
    <w:rsid w:val="001203A1"/>
    <w:rsid w:val="001203B2"/>
    <w:rsid w:val="001203DF"/>
    <w:rsid w:val="00120792"/>
    <w:rsid w:val="001208DF"/>
    <w:rsid w:val="00120A48"/>
    <w:rsid w:val="00120B81"/>
    <w:rsid w:val="00120B9F"/>
    <w:rsid w:val="00120D0C"/>
    <w:rsid w:val="00120FE1"/>
    <w:rsid w:val="0012115C"/>
    <w:rsid w:val="001214D5"/>
    <w:rsid w:val="00121743"/>
    <w:rsid w:val="00121763"/>
    <w:rsid w:val="00121771"/>
    <w:rsid w:val="0012181C"/>
    <w:rsid w:val="00121821"/>
    <w:rsid w:val="0012188C"/>
    <w:rsid w:val="00121B6D"/>
    <w:rsid w:val="00121B7A"/>
    <w:rsid w:val="00121D98"/>
    <w:rsid w:val="00121EF5"/>
    <w:rsid w:val="00122068"/>
    <w:rsid w:val="00122102"/>
    <w:rsid w:val="00122103"/>
    <w:rsid w:val="00122392"/>
    <w:rsid w:val="001223B6"/>
    <w:rsid w:val="0012241D"/>
    <w:rsid w:val="00122462"/>
    <w:rsid w:val="00122644"/>
    <w:rsid w:val="00122873"/>
    <w:rsid w:val="00122A43"/>
    <w:rsid w:val="00122A87"/>
    <w:rsid w:val="00122AC5"/>
    <w:rsid w:val="00122E9E"/>
    <w:rsid w:val="00122F1C"/>
    <w:rsid w:val="00122FFF"/>
    <w:rsid w:val="00123088"/>
    <w:rsid w:val="001230A7"/>
    <w:rsid w:val="00123543"/>
    <w:rsid w:val="00123573"/>
    <w:rsid w:val="00123670"/>
    <w:rsid w:val="00123705"/>
    <w:rsid w:val="00123929"/>
    <w:rsid w:val="001239CA"/>
    <w:rsid w:val="00123B65"/>
    <w:rsid w:val="00123BA2"/>
    <w:rsid w:val="00123C78"/>
    <w:rsid w:val="00123C79"/>
    <w:rsid w:val="00123DC4"/>
    <w:rsid w:val="00123FA4"/>
    <w:rsid w:val="00123FA9"/>
    <w:rsid w:val="00124101"/>
    <w:rsid w:val="001242C2"/>
    <w:rsid w:val="00124377"/>
    <w:rsid w:val="001244F6"/>
    <w:rsid w:val="001245FD"/>
    <w:rsid w:val="0012461B"/>
    <w:rsid w:val="00124621"/>
    <w:rsid w:val="0012466F"/>
    <w:rsid w:val="00124825"/>
    <w:rsid w:val="00124967"/>
    <w:rsid w:val="00124A67"/>
    <w:rsid w:val="00124B87"/>
    <w:rsid w:val="00124C53"/>
    <w:rsid w:val="00124D54"/>
    <w:rsid w:val="00124E24"/>
    <w:rsid w:val="00125176"/>
    <w:rsid w:val="00125195"/>
    <w:rsid w:val="00125466"/>
    <w:rsid w:val="0012549C"/>
    <w:rsid w:val="00125516"/>
    <w:rsid w:val="0012558B"/>
    <w:rsid w:val="001255A5"/>
    <w:rsid w:val="001256F3"/>
    <w:rsid w:val="00125718"/>
    <w:rsid w:val="001257E5"/>
    <w:rsid w:val="00125D74"/>
    <w:rsid w:val="00125EAF"/>
    <w:rsid w:val="00125FBA"/>
    <w:rsid w:val="00125FFB"/>
    <w:rsid w:val="001263B4"/>
    <w:rsid w:val="00126467"/>
    <w:rsid w:val="00126559"/>
    <w:rsid w:val="00126732"/>
    <w:rsid w:val="00126882"/>
    <w:rsid w:val="001268BC"/>
    <w:rsid w:val="001269DB"/>
    <w:rsid w:val="00126B0D"/>
    <w:rsid w:val="00126B8E"/>
    <w:rsid w:val="00126CD2"/>
    <w:rsid w:val="00126CD9"/>
    <w:rsid w:val="00126EC2"/>
    <w:rsid w:val="00127029"/>
    <w:rsid w:val="001272C6"/>
    <w:rsid w:val="0012730B"/>
    <w:rsid w:val="00127556"/>
    <w:rsid w:val="00127566"/>
    <w:rsid w:val="0012760C"/>
    <w:rsid w:val="00127748"/>
    <w:rsid w:val="00127971"/>
    <w:rsid w:val="001279F5"/>
    <w:rsid w:val="00127B48"/>
    <w:rsid w:val="00127EE1"/>
    <w:rsid w:val="00127F54"/>
    <w:rsid w:val="00127F97"/>
    <w:rsid w:val="0013006D"/>
    <w:rsid w:val="0013033C"/>
    <w:rsid w:val="00130698"/>
    <w:rsid w:val="001307C5"/>
    <w:rsid w:val="00130816"/>
    <w:rsid w:val="001308F7"/>
    <w:rsid w:val="00130964"/>
    <w:rsid w:val="001309D1"/>
    <w:rsid w:val="00130AAD"/>
    <w:rsid w:val="00130C1C"/>
    <w:rsid w:val="00130CDA"/>
    <w:rsid w:val="00130F05"/>
    <w:rsid w:val="00130F7E"/>
    <w:rsid w:val="00131058"/>
    <w:rsid w:val="0013107A"/>
    <w:rsid w:val="001310A3"/>
    <w:rsid w:val="0013117A"/>
    <w:rsid w:val="00131216"/>
    <w:rsid w:val="00131263"/>
    <w:rsid w:val="0013126E"/>
    <w:rsid w:val="001312C5"/>
    <w:rsid w:val="0013134A"/>
    <w:rsid w:val="0013138B"/>
    <w:rsid w:val="001315B5"/>
    <w:rsid w:val="001315E8"/>
    <w:rsid w:val="001316CB"/>
    <w:rsid w:val="001317AB"/>
    <w:rsid w:val="00131832"/>
    <w:rsid w:val="0013184A"/>
    <w:rsid w:val="00131A3A"/>
    <w:rsid w:val="00131B03"/>
    <w:rsid w:val="00131DD2"/>
    <w:rsid w:val="00131DDD"/>
    <w:rsid w:val="00131E20"/>
    <w:rsid w:val="00131E3D"/>
    <w:rsid w:val="00131E69"/>
    <w:rsid w:val="00131E80"/>
    <w:rsid w:val="00132092"/>
    <w:rsid w:val="00132122"/>
    <w:rsid w:val="0013212B"/>
    <w:rsid w:val="00132201"/>
    <w:rsid w:val="00132373"/>
    <w:rsid w:val="00132495"/>
    <w:rsid w:val="00132499"/>
    <w:rsid w:val="0013249C"/>
    <w:rsid w:val="001324FD"/>
    <w:rsid w:val="00132529"/>
    <w:rsid w:val="00132598"/>
    <w:rsid w:val="00132623"/>
    <w:rsid w:val="00132643"/>
    <w:rsid w:val="00132714"/>
    <w:rsid w:val="001327E9"/>
    <w:rsid w:val="00132A1B"/>
    <w:rsid w:val="00132A5D"/>
    <w:rsid w:val="00132BC2"/>
    <w:rsid w:val="00132D7B"/>
    <w:rsid w:val="00132E5C"/>
    <w:rsid w:val="00132EFC"/>
    <w:rsid w:val="00132F33"/>
    <w:rsid w:val="00133072"/>
    <w:rsid w:val="001331D6"/>
    <w:rsid w:val="0013329C"/>
    <w:rsid w:val="0013337F"/>
    <w:rsid w:val="001333B1"/>
    <w:rsid w:val="0013345C"/>
    <w:rsid w:val="00133632"/>
    <w:rsid w:val="001336A1"/>
    <w:rsid w:val="00133A4F"/>
    <w:rsid w:val="00133A9E"/>
    <w:rsid w:val="00133F41"/>
    <w:rsid w:val="00133F6A"/>
    <w:rsid w:val="00133F92"/>
    <w:rsid w:val="00133FDC"/>
    <w:rsid w:val="0013407B"/>
    <w:rsid w:val="0013425F"/>
    <w:rsid w:val="00134341"/>
    <w:rsid w:val="00134394"/>
    <w:rsid w:val="00134437"/>
    <w:rsid w:val="00134463"/>
    <w:rsid w:val="001347FA"/>
    <w:rsid w:val="00134941"/>
    <w:rsid w:val="00134A3E"/>
    <w:rsid w:val="00134B04"/>
    <w:rsid w:val="00134C4C"/>
    <w:rsid w:val="00134D12"/>
    <w:rsid w:val="00134E49"/>
    <w:rsid w:val="00134EDA"/>
    <w:rsid w:val="001351C4"/>
    <w:rsid w:val="001353A6"/>
    <w:rsid w:val="001353BD"/>
    <w:rsid w:val="00135760"/>
    <w:rsid w:val="0013576C"/>
    <w:rsid w:val="00135828"/>
    <w:rsid w:val="0013583C"/>
    <w:rsid w:val="00135A5C"/>
    <w:rsid w:val="00135AAA"/>
    <w:rsid w:val="00135CFE"/>
    <w:rsid w:val="00135F8D"/>
    <w:rsid w:val="0013606A"/>
    <w:rsid w:val="00136142"/>
    <w:rsid w:val="00136185"/>
    <w:rsid w:val="00136213"/>
    <w:rsid w:val="0013623E"/>
    <w:rsid w:val="001362DD"/>
    <w:rsid w:val="00136489"/>
    <w:rsid w:val="001364F0"/>
    <w:rsid w:val="00136512"/>
    <w:rsid w:val="0013674E"/>
    <w:rsid w:val="00136781"/>
    <w:rsid w:val="00136808"/>
    <w:rsid w:val="00136D41"/>
    <w:rsid w:val="00136F1D"/>
    <w:rsid w:val="001370B2"/>
    <w:rsid w:val="00137168"/>
    <w:rsid w:val="0013722E"/>
    <w:rsid w:val="00137336"/>
    <w:rsid w:val="00137367"/>
    <w:rsid w:val="00137416"/>
    <w:rsid w:val="0013758E"/>
    <w:rsid w:val="00137700"/>
    <w:rsid w:val="0013777B"/>
    <w:rsid w:val="0013778D"/>
    <w:rsid w:val="001378CA"/>
    <w:rsid w:val="001379DF"/>
    <w:rsid w:val="00137C14"/>
    <w:rsid w:val="00137D81"/>
    <w:rsid w:val="00137E50"/>
    <w:rsid w:val="00137EE3"/>
    <w:rsid w:val="00137FAB"/>
    <w:rsid w:val="0014000C"/>
    <w:rsid w:val="00140207"/>
    <w:rsid w:val="001402E3"/>
    <w:rsid w:val="00140465"/>
    <w:rsid w:val="001407B0"/>
    <w:rsid w:val="00140903"/>
    <w:rsid w:val="00140A0A"/>
    <w:rsid w:val="00140A28"/>
    <w:rsid w:val="00140AA5"/>
    <w:rsid w:val="00140AF4"/>
    <w:rsid w:val="00140D15"/>
    <w:rsid w:val="00140EAA"/>
    <w:rsid w:val="00140EBF"/>
    <w:rsid w:val="00140FD3"/>
    <w:rsid w:val="0014110B"/>
    <w:rsid w:val="00141130"/>
    <w:rsid w:val="00141151"/>
    <w:rsid w:val="001413AD"/>
    <w:rsid w:val="001413B1"/>
    <w:rsid w:val="001413DC"/>
    <w:rsid w:val="00141738"/>
    <w:rsid w:val="001418E1"/>
    <w:rsid w:val="00141A3D"/>
    <w:rsid w:val="00141A89"/>
    <w:rsid w:val="00141BDC"/>
    <w:rsid w:val="00141C86"/>
    <w:rsid w:val="00141C9E"/>
    <w:rsid w:val="00141DAC"/>
    <w:rsid w:val="00141DDB"/>
    <w:rsid w:val="00141EC0"/>
    <w:rsid w:val="00141F98"/>
    <w:rsid w:val="0014217F"/>
    <w:rsid w:val="001421C8"/>
    <w:rsid w:val="00142207"/>
    <w:rsid w:val="0014261A"/>
    <w:rsid w:val="0014288A"/>
    <w:rsid w:val="00142B81"/>
    <w:rsid w:val="00142BDE"/>
    <w:rsid w:val="00142C97"/>
    <w:rsid w:val="00142CAE"/>
    <w:rsid w:val="00142F98"/>
    <w:rsid w:val="00143104"/>
    <w:rsid w:val="00143124"/>
    <w:rsid w:val="00143196"/>
    <w:rsid w:val="0014326E"/>
    <w:rsid w:val="00143288"/>
    <w:rsid w:val="00143498"/>
    <w:rsid w:val="00143668"/>
    <w:rsid w:val="0014371C"/>
    <w:rsid w:val="0014375F"/>
    <w:rsid w:val="00143899"/>
    <w:rsid w:val="00143914"/>
    <w:rsid w:val="001439FA"/>
    <w:rsid w:val="00143A17"/>
    <w:rsid w:val="00143DBE"/>
    <w:rsid w:val="001440DB"/>
    <w:rsid w:val="00144103"/>
    <w:rsid w:val="00144105"/>
    <w:rsid w:val="0014411C"/>
    <w:rsid w:val="0014427A"/>
    <w:rsid w:val="001443FA"/>
    <w:rsid w:val="00144593"/>
    <w:rsid w:val="001448A8"/>
    <w:rsid w:val="0014494C"/>
    <w:rsid w:val="00144BF9"/>
    <w:rsid w:val="00144CB1"/>
    <w:rsid w:val="00144E0D"/>
    <w:rsid w:val="00144E77"/>
    <w:rsid w:val="0014507D"/>
    <w:rsid w:val="00145221"/>
    <w:rsid w:val="00145256"/>
    <w:rsid w:val="0014549A"/>
    <w:rsid w:val="001454A9"/>
    <w:rsid w:val="00145615"/>
    <w:rsid w:val="0014566A"/>
    <w:rsid w:val="0014567F"/>
    <w:rsid w:val="0014578C"/>
    <w:rsid w:val="001458E6"/>
    <w:rsid w:val="00145928"/>
    <w:rsid w:val="0014598D"/>
    <w:rsid w:val="00145BF0"/>
    <w:rsid w:val="00145E7D"/>
    <w:rsid w:val="00146011"/>
    <w:rsid w:val="0014616A"/>
    <w:rsid w:val="001463DA"/>
    <w:rsid w:val="00146564"/>
    <w:rsid w:val="0014677C"/>
    <w:rsid w:val="001467F7"/>
    <w:rsid w:val="001467FB"/>
    <w:rsid w:val="0014686E"/>
    <w:rsid w:val="0014688E"/>
    <w:rsid w:val="001468C4"/>
    <w:rsid w:val="00146B56"/>
    <w:rsid w:val="00146B85"/>
    <w:rsid w:val="00146C23"/>
    <w:rsid w:val="00146CA9"/>
    <w:rsid w:val="00146E6D"/>
    <w:rsid w:val="00146FC4"/>
    <w:rsid w:val="001470D0"/>
    <w:rsid w:val="00147190"/>
    <w:rsid w:val="00147207"/>
    <w:rsid w:val="00147232"/>
    <w:rsid w:val="001472EF"/>
    <w:rsid w:val="0014737D"/>
    <w:rsid w:val="001473FD"/>
    <w:rsid w:val="00147400"/>
    <w:rsid w:val="00147411"/>
    <w:rsid w:val="001476B1"/>
    <w:rsid w:val="001478D4"/>
    <w:rsid w:val="00147904"/>
    <w:rsid w:val="001479BA"/>
    <w:rsid w:val="001479F6"/>
    <w:rsid w:val="00147A2D"/>
    <w:rsid w:val="00147A97"/>
    <w:rsid w:val="00147AC2"/>
    <w:rsid w:val="00147BFE"/>
    <w:rsid w:val="00147F98"/>
    <w:rsid w:val="00147FDD"/>
    <w:rsid w:val="00150729"/>
    <w:rsid w:val="001507FD"/>
    <w:rsid w:val="00150C4F"/>
    <w:rsid w:val="00150C65"/>
    <w:rsid w:val="00150CC2"/>
    <w:rsid w:val="00150CF6"/>
    <w:rsid w:val="00150D09"/>
    <w:rsid w:val="00150D34"/>
    <w:rsid w:val="00150E67"/>
    <w:rsid w:val="00150E7F"/>
    <w:rsid w:val="00150EA4"/>
    <w:rsid w:val="0015109C"/>
    <w:rsid w:val="0015120D"/>
    <w:rsid w:val="001513AB"/>
    <w:rsid w:val="0015140F"/>
    <w:rsid w:val="001514E1"/>
    <w:rsid w:val="001515E5"/>
    <w:rsid w:val="001516DD"/>
    <w:rsid w:val="00151734"/>
    <w:rsid w:val="00151744"/>
    <w:rsid w:val="001518C5"/>
    <w:rsid w:val="0015198C"/>
    <w:rsid w:val="00151A15"/>
    <w:rsid w:val="00151C0A"/>
    <w:rsid w:val="00151D3C"/>
    <w:rsid w:val="00151E7F"/>
    <w:rsid w:val="00151F9E"/>
    <w:rsid w:val="0015202E"/>
    <w:rsid w:val="00152126"/>
    <w:rsid w:val="001521AE"/>
    <w:rsid w:val="001521CD"/>
    <w:rsid w:val="0015222E"/>
    <w:rsid w:val="00152286"/>
    <w:rsid w:val="0015228B"/>
    <w:rsid w:val="001524D3"/>
    <w:rsid w:val="001524F0"/>
    <w:rsid w:val="0015254E"/>
    <w:rsid w:val="0015276A"/>
    <w:rsid w:val="00152B91"/>
    <w:rsid w:val="00152C7F"/>
    <w:rsid w:val="00152CC0"/>
    <w:rsid w:val="00152D0F"/>
    <w:rsid w:val="00152D1B"/>
    <w:rsid w:val="00152DDB"/>
    <w:rsid w:val="00152E57"/>
    <w:rsid w:val="00152FE3"/>
    <w:rsid w:val="00153119"/>
    <w:rsid w:val="0015331C"/>
    <w:rsid w:val="00153333"/>
    <w:rsid w:val="00153386"/>
    <w:rsid w:val="0015342A"/>
    <w:rsid w:val="001534C1"/>
    <w:rsid w:val="001534F5"/>
    <w:rsid w:val="0015369E"/>
    <w:rsid w:val="001536B3"/>
    <w:rsid w:val="001537F9"/>
    <w:rsid w:val="00153879"/>
    <w:rsid w:val="001538B9"/>
    <w:rsid w:val="001538D5"/>
    <w:rsid w:val="001539E7"/>
    <w:rsid w:val="001539FA"/>
    <w:rsid w:val="00153A62"/>
    <w:rsid w:val="00153AB5"/>
    <w:rsid w:val="00153B21"/>
    <w:rsid w:val="00153E5B"/>
    <w:rsid w:val="00153E96"/>
    <w:rsid w:val="00154038"/>
    <w:rsid w:val="00154056"/>
    <w:rsid w:val="001541F5"/>
    <w:rsid w:val="00154226"/>
    <w:rsid w:val="0015427F"/>
    <w:rsid w:val="001542BA"/>
    <w:rsid w:val="001542DC"/>
    <w:rsid w:val="001544B3"/>
    <w:rsid w:val="0015460B"/>
    <w:rsid w:val="00154875"/>
    <w:rsid w:val="001549B9"/>
    <w:rsid w:val="00154C57"/>
    <w:rsid w:val="00154CCB"/>
    <w:rsid w:val="00154E0D"/>
    <w:rsid w:val="00154E8C"/>
    <w:rsid w:val="00154F84"/>
    <w:rsid w:val="00154FE8"/>
    <w:rsid w:val="00155044"/>
    <w:rsid w:val="00155087"/>
    <w:rsid w:val="001551ED"/>
    <w:rsid w:val="001551FC"/>
    <w:rsid w:val="00155339"/>
    <w:rsid w:val="0015534F"/>
    <w:rsid w:val="001553E9"/>
    <w:rsid w:val="0015545C"/>
    <w:rsid w:val="001554D5"/>
    <w:rsid w:val="001555DB"/>
    <w:rsid w:val="00155603"/>
    <w:rsid w:val="001556BC"/>
    <w:rsid w:val="001557F7"/>
    <w:rsid w:val="001559B1"/>
    <w:rsid w:val="00155A54"/>
    <w:rsid w:val="00155ABB"/>
    <w:rsid w:val="00155E01"/>
    <w:rsid w:val="00155E97"/>
    <w:rsid w:val="00155F09"/>
    <w:rsid w:val="00155F20"/>
    <w:rsid w:val="00155F84"/>
    <w:rsid w:val="00156137"/>
    <w:rsid w:val="00156177"/>
    <w:rsid w:val="00156280"/>
    <w:rsid w:val="0015630E"/>
    <w:rsid w:val="0015645B"/>
    <w:rsid w:val="0015657A"/>
    <w:rsid w:val="00156599"/>
    <w:rsid w:val="00156614"/>
    <w:rsid w:val="00156892"/>
    <w:rsid w:val="001568AB"/>
    <w:rsid w:val="00156962"/>
    <w:rsid w:val="001569C7"/>
    <w:rsid w:val="00156BB6"/>
    <w:rsid w:val="00156D8C"/>
    <w:rsid w:val="00156EF0"/>
    <w:rsid w:val="00156F51"/>
    <w:rsid w:val="00156FE2"/>
    <w:rsid w:val="00157065"/>
    <w:rsid w:val="001570D4"/>
    <w:rsid w:val="001570F4"/>
    <w:rsid w:val="0015713D"/>
    <w:rsid w:val="001571FF"/>
    <w:rsid w:val="00157259"/>
    <w:rsid w:val="001574DE"/>
    <w:rsid w:val="0015784B"/>
    <w:rsid w:val="001578FD"/>
    <w:rsid w:val="001579FC"/>
    <w:rsid w:val="00157A45"/>
    <w:rsid w:val="00157A5E"/>
    <w:rsid w:val="00157AF0"/>
    <w:rsid w:val="00157B99"/>
    <w:rsid w:val="00157E5D"/>
    <w:rsid w:val="00157EB1"/>
    <w:rsid w:val="00157F16"/>
    <w:rsid w:val="00157F99"/>
    <w:rsid w:val="001600AD"/>
    <w:rsid w:val="001600E9"/>
    <w:rsid w:val="0016012D"/>
    <w:rsid w:val="00160158"/>
    <w:rsid w:val="00160360"/>
    <w:rsid w:val="00160401"/>
    <w:rsid w:val="00160727"/>
    <w:rsid w:val="0016084C"/>
    <w:rsid w:val="00160906"/>
    <w:rsid w:val="00160927"/>
    <w:rsid w:val="001609F0"/>
    <w:rsid w:val="00160C70"/>
    <w:rsid w:val="00160D78"/>
    <w:rsid w:val="00160DBF"/>
    <w:rsid w:val="00160DF7"/>
    <w:rsid w:val="00160FEC"/>
    <w:rsid w:val="0016105A"/>
    <w:rsid w:val="00161098"/>
    <w:rsid w:val="001610E5"/>
    <w:rsid w:val="0016112E"/>
    <w:rsid w:val="00161497"/>
    <w:rsid w:val="001614DD"/>
    <w:rsid w:val="0016152E"/>
    <w:rsid w:val="00161575"/>
    <w:rsid w:val="001617CD"/>
    <w:rsid w:val="00161846"/>
    <w:rsid w:val="0016193D"/>
    <w:rsid w:val="0016199F"/>
    <w:rsid w:val="001619A9"/>
    <w:rsid w:val="00161BC8"/>
    <w:rsid w:val="00161D0F"/>
    <w:rsid w:val="00161D2A"/>
    <w:rsid w:val="00161D5B"/>
    <w:rsid w:val="00161E36"/>
    <w:rsid w:val="00161F07"/>
    <w:rsid w:val="00162267"/>
    <w:rsid w:val="001622FC"/>
    <w:rsid w:val="00162325"/>
    <w:rsid w:val="001625E9"/>
    <w:rsid w:val="00162619"/>
    <w:rsid w:val="00162718"/>
    <w:rsid w:val="00162874"/>
    <w:rsid w:val="00162A30"/>
    <w:rsid w:val="00162BAD"/>
    <w:rsid w:val="00162BB9"/>
    <w:rsid w:val="00162CE9"/>
    <w:rsid w:val="0016317D"/>
    <w:rsid w:val="001632E1"/>
    <w:rsid w:val="0016332D"/>
    <w:rsid w:val="0016339D"/>
    <w:rsid w:val="00163587"/>
    <w:rsid w:val="001635AC"/>
    <w:rsid w:val="00163645"/>
    <w:rsid w:val="00163850"/>
    <w:rsid w:val="00163BD3"/>
    <w:rsid w:val="00163D5F"/>
    <w:rsid w:val="00163EA6"/>
    <w:rsid w:val="00163EB0"/>
    <w:rsid w:val="00163ECA"/>
    <w:rsid w:val="00163F0E"/>
    <w:rsid w:val="0016401D"/>
    <w:rsid w:val="001640E6"/>
    <w:rsid w:val="00164214"/>
    <w:rsid w:val="00164278"/>
    <w:rsid w:val="00164385"/>
    <w:rsid w:val="0016440F"/>
    <w:rsid w:val="0016456C"/>
    <w:rsid w:val="00164697"/>
    <w:rsid w:val="00164775"/>
    <w:rsid w:val="00164807"/>
    <w:rsid w:val="00164810"/>
    <w:rsid w:val="00164899"/>
    <w:rsid w:val="00164ADA"/>
    <w:rsid w:val="00164B2F"/>
    <w:rsid w:val="00164C17"/>
    <w:rsid w:val="00164D14"/>
    <w:rsid w:val="00164D94"/>
    <w:rsid w:val="00164DF7"/>
    <w:rsid w:val="00164F78"/>
    <w:rsid w:val="00165014"/>
    <w:rsid w:val="00165055"/>
    <w:rsid w:val="00165159"/>
    <w:rsid w:val="001654CA"/>
    <w:rsid w:val="001658FF"/>
    <w:rsid w:val="00165A4A"/>
    <w:rsid w:val="00165A4D"/>
    <w:rsid w:val="00165B64"/>
    <w:rsid w:val="00165DC9"/>
    <w:rsid w:val="00165DED"/>
    <w:rsid w:val="00165E55"/>
    <w:rsid w:val="00165E5A"/>
    <w:rsid w:val="00165E75"/>
    <w:rsid w:val="00165ED6"/>
    <w:rsid w:val="00165F57"/>
    <w:rsid w:val="00165FAD"/>
    <w:rsid w:val="00166079"/>
    <w:rsid w:val="00166097"/>
    <w:rsid w:val="001660D5"/>
    <w:rsid w:val="00166150"/>
    <w:rsid w:val="0016618B"/>
    <w:rsid w:val="001661B4"/>
    <w:rsid w:val="001663F1"/>
    <w:rsid w:val="00166444"/>
    <w:rsid w:val="001664E9"/>
    <w:rsid w:val="001666C2"/>
    <w:rsid w:val="00166A96"/>
    <w:rsid w:val="00166B64"/>
    <w:rsid w:val="00166DD9"/>
    <w:rsid w:val="00166F0B"/>
    <w:rsid w:val="00166F1A"/>
    <w:rsid w:val="00166F98"/>
    <w:rsid w:val="00167093"/>
    <w:rsid w:val="00167129"/>
    <w:rsid w:val="001671E3"/>
    <w:rsid w:val="0016752C"/>
    <w:rsid w:val="00167750"/>
    <w:rsid w:val="001677E5"/>
    <w:rsid w:val="00167835"/>
    <w:rsid w:val="00167886"/>
    <w:rsid w:val="001679CF"/>
    <w:rsid w:val="00167A75"/>
    <w:rsid w:val="00167A7E"/>
    <w:rsid w:val="00167B76"/>
    <w:rsid w:val="00167BB6"/>
    <w:rsid w:val="00167C18"/>
    <w:rsid w:val="00167D5B"/>
    <w:rsid w:val="00167F88"/>
    <w:rsid w:val="001700D0"/>
    <w:rsid w:val="0017030B"/>
    <w:rsid w:val="0017038E"/>
    <w:rsid w:val="00170505"/>
    <w:rsid w:val="00170673"/>
    <w:rsid w:val="001706CF"/>
    <w:rsid w:val="001708BE"/>
    <w:rsid w:val="00170AEF"/>
    <w:rsid w:val="00170C6B"/>
    <w:rsid w:val="00170D8D"/>
    <w:rsid w:val="00170E48"/>
    <w:rsid w:val="00171251"/>
    <w:rsid w:val="001714F3"/>
    <w:rsid w:val="001716B3"/>
    <w:rsid w:val="001717BB"/>
    <w:rsid w:val="00171807"/>
    <w:rsid w:val="0017181E"/>
    <w:rsid w:val="00171826"/>
    <w:rsid w:val="0017185F"/>
    <w:rsid w:val="001718EE"/>
    <w:rsid w:val="00171AD9"/>
    <w:rsid w:val="00171BC8"/>
    <w:rsid w:val="00171D94"/>
    <w:rsid w:val="00171D9A"/>
    <w:rsid w:val="00171F0B"/>
    <w:rsid w:val="00171F87"/>
    <w:rsid w:val="00172053"/>
    <w:rsid w:val="00172132"/>
    <w:rsid w:val="00172137"/>
    <w:rsid w:val="001723DB"/>
    <w:rsid w:val="00172436"/>
    <w:rsid w:val="001729B2"/>
    <w:rsid w:val="00172AF0"/>
    <w:rsid w:val="00172BA0"/>
    <w:rsid w:val="00172E01"/>
    <w:rsid w:val="00172F52"/>
    <w:rsid w:val="00172FD8"/>
    <w:rsid w:val="001730DF"/>
    <w:rsid w:val="00173137"/>
    <w:rsid w:val="001731EE"/>
    <w:rsid w:val="00173263"/>
    <w:rsid w:val="001732BF"/>
    <w:rsid w:val="001733FB"/>
    <w:rsid w:val="0017368C"/>
    <w:rsid w:val="00173748"/>
    <w:rsid w:val="0017378A"/>
    <w:rsid w:val="001737CE"/>
    <w:rsid w:val="001738E5"/>
    <w:rsid w:val="00173A49"/>
    <w:rsid w:val="00173AC1"/>
    <w:rsid w:val="00173ACC"/>
    <w:rsid w:val="00173B6C"/>
    <w:rsid w:val="00173B97"/>
    <w:rsid w:val="0017404D"/>
    <w:rsid w:val="00174132"/>
    <w:rsid w:val="0017449D"/>
    <w:rsid w:val="0017452F"/>
    <w:rsid w:val="00174587"/>
    <w:rsid w:val="0017466A"/>
    <w:rsid w:val="001746B5"/>
    <w:rsid w:val="001746EA"/>
    <w:rsid w:val="00174719"/>
    <w:rsid w:val="001747E6"/>
    <w:rsid w:val="0017480C"/>
    <w:rsid w:val="0017485A"/>
    <w:rsid w:val="001748E5"/>
    <w:rsid w:val="0017496C"/>
    <w:rsid w:val="00174977"/>
    <w:rsid w:val="00174A00"/>
    <w:rsid w:val="00174ADA"/>
    <w:rsid w:val="00174B73"/>
    <w:rsid w:val="00174C23"/>
    <w:rsid w:val="00174C96"/>
    <w:rsid w:val="00174E92"/>
    <w:rsid w:val="00174F63"/>
    <w:rsid w:val="001750DA"/>
    <w:rsid w:val="0017517C"/>
    <w:rsid w:val="00175337"/>
    <w:rsid w:val="00175372"/>
    <w:rsid w:val="001753EC"/>
    <w:rsid w:val="00175400"/>
    <w:rsid w:val="001756BB"/>
    <w:rsid w:val="001756D5"/>
    <w:rsid w:val="001756E4"/>
    <w:rsid w:val="001757EE"/>
    <w:rsid w:val="0017581C"/>
    <w:rsid w:val="001759B9"/>
    <w:rsid w:val="00175BE7"/>
    <w:rsid w:val="00175C28"/>
    <w:rsid w:val="00175C52"/>
    <w:rsid w:val="00175D11"/>
    <w:rsid w:val="00175ED7"/>
    <w:rsid w:val="00176162"/>
    <w:rsid w:val="00176245"/>
    <w:rsid w:val="00176690"/>
    <w:rsid w:val="001766AC"/>
    <w:rsid w:val="001766E9"/>
    <w:rsid w:val="00176940"/>
    <w:rsid w:val="001769B0"/>
    <w:rsid w:val="00176B15"/>
    <w:rsid w:val="00176B4B"/>
    <w:rsid w:val="00176C9B"/>
    <w:rsid w:val="00176D33"/>
    <w:rsid w:val="00176DC1"/>
    <w:rsid w:val="00176E07"/>
    <w:rsid w:val="0017704A"/>
    <w:rsid w:val="00177053"/>
    <w:rsid w:val="0017707E"/>
    <w:rsid w:val="00177082"/>
    <w:rsid w:val="001770D4"/>
    <w:rsid w:val="00177190"/>
    <w:rsid w:val="0017732A"/>
    <w:rsid w:val="001774C7"/>
    <w:rsid w:val="00177524"/>
    <w:rsid w:val="0017756E"/>
    <w:rsid w:val="00177A95"/>
    <w:rsid w:val="00177AD8"/>
    <w:rsid w:val="00177B2D"/>
    <w:rsid w:val="00177C76"/>
    <w:rsid w:val="00177CA7"/>
    <w:rsid w:val="00177FFE"/>
    <w:rsid w:val="0018027C"/>
    <w:rsid w:val="00180416"/>
    <w:rsid w:val="0018045F"/>
    <w:rsid w:val="0018060D"/>
    <w:rsid w:val="001806DF"/>
    <w:rsid w:val="0018074F"/>
    <w:rsid w:val="0018087F"/>
    <w:rsid w:val="00180989"/>
    <w:rsid w:val="00180A99"/>
    <w:rsid w:val="00180AF4"/>
    <w:rsid w:val="00180B5B"/>
    <w:rsid w:val="00180B69"/>
    <w:rsid w:val="00180C92"/>
    <w:rsid w:val="00180E84"/>
    <w:rsid w:val="00180F09"/>
    <w:rsid w:val="00180F46"/>
    <w:rsid w:val="00180F96"/>
    <w:rsid w:val="0018105B"/>
    <w:rsid w:val="00181129"/>
    <w:rsid w:val="001811DC"/>
    <w:rsid w:val="0018129C"/>
    <w:rsid w:val="001813AC"/>
    <w:rsid w:val="001814D1"/>
    <w:rsid w:val="001814E8"/>
    <w:rsid w:val="001816B2"/>
    <w:rsid w:val="001817C4"/>
    <w:rsid w:val="001819F1"/>
    <w:rsid w:val="00181D5A"/>
    <w:rsid w:val="00181DB5"/>
    <w:rsid w:val="00181DEE"/>
    <w:rsid w:val="00181E3F"/>
    <w:rsid w:val="00181E44"/>
    <w:rsid w:val="00181F28"/>
    <w:rsid w:val="00182092"/>
    <w:rsid w:val="001822AC"/>
    <w:rsid w:val="001822C3"/>
    <w:rsid w:val="0018246A"/>
    <w:rsid w:val="00182478"/>
    <w:rsid w:val="00182A32"/>
    <w:rsid w:val="00182BBC"/>
    <w:rsid w:val="00182D2F"/>
    <w:rsid w:val="00182E39"/>
    <w:rsid w:val="00182E79"/>
    <w:rsid w:val="00182F4F"/>
    <w:rsid w:val="00183157"/>
    <w:rsid w:val="0018336F"/>
    <w:rsid w:val="00183563"/>
    <w:rsid w:val="001835FB"/>
    <w:rsid w:val="001839B6"/>
    <w:rsid w:val="001839D7"/>
    <w:rsid w:val="00183BD2"/>
    <w:rsid w:val="00183BEF"/>
    <w:rsid w:val="00183D61"/>
    <w:rsid w:val="00183E4C"/>
    <w:rsid w:val="00183E97"/>
    <w:rsid w:val="001840D3"/>
    <w:rsid w:val="001840FD"/>
    <w:rsid w:val="0018436F"/>
    <w:rsid w:val="00184416"/>
    <w:rsid w:val="00184483"/>
    <w:rsid w:val="00184675"/>
    <w:rsid w:val="0018475F"/>
    <w:rsid w:val="001847BB"/>
    <w:rsid w:val="00184970"/>
    <w:rsid w:val="001849E6"/>
    <w:rsid w:val="00184B62"/>
    <w:rsid w:val="00184C78"/>
    <w:rsid w:val="00184DD7"/>
    <w:rsid w:val="00184E4F"/>
    <w:rsid w:val="001851FC"/>
    <w:rsid w:val="001853CC"/>
    <w:rsid w:val="001856F8"/>
    <w:rsid w:val="001857E2"/>
    <w:rsid w:val="001858BF"/>
    <w:rsid w:val="00185A78"/>
    <w:rsid w:val="00185B4D"/>
    <w:rsid w:val="00185D5F"/>
    <w:rsid w:val="00185D77"/>
    <w:rsid w:val="00185DCE"/>
    <w:rsid w:val="00185DD9"/>
    <w:rsid w:val="00185E2E"/>
    <w:rsid w:val="0018616F"/>
    <w:rsid w:val="001861AE"/>
    <w:rsid w:val="0018633A"/>
    <w:rsid w:val="00186423"/>
    <w:rsid w:val="0018651D"/>
    <w:rsid w:val="001868AB"/>
    <w:rsid w:val="001868FD"/>
    <w:rsid w:val="00186A66"/>
    <w:rsid w:val="00186A9B"/>
    <w:rsid w:val="00186ABC"/>
    <w:rsid w:val="00186BC4"/>
    <w:rsid w:val="00186D7E"/>
    <w:rsid w:val="00186DF6"/>
    <w:rsid w:val="00186E8C"/>
    <w:rsid w:val="00186ED1"/>
    <w:rsid w:val="00187173"/>
    <w:rsid w:val="001872BD"/>
    <w:rsid w:val="00187454"/>
    <w:rsid w:val="00187456"/>
    <w:rsid w:val="0018748E"/>
    <w:rsid w:val="0018756E"/>
    <w:rsid w:val="001875E0"/>
    <w:rsid w:val="0018775E"/>
    <w:rsid w:val="00187828"/>
    <w:rsid w:val="0018782C"/>
    <w:rsid w:val="00187A28"/>
    <w:rsid w:val="00187BA3"/>
    <w:rsid w:val="00187E3C"/>
    <w:rsid w:val="00187F05"/>
    <w:rsid w:val="00187F22"/>
    <w:rsid w:val="00187F88"/>
    <w:rsid w:val="00187FD6"/>
    <w:rsid w:val="00190018"/>
    <w:rsid w:val="0019008C"/>
    <w:rsid w:val="0019016D"/>
    <w:rsid w:val="00190266"/>
    <w:rsid w:val="001903F4"/>
    <w:rsid w:val="00190555"/>
    <w:rsid w:val="001905A0"/>
    <w:rsid w:val="001905BE"/>
    <w:rsid w:val="001905C0"/>
    <w:rsid w:val="0019067F"/>
    <w:rsid w:val="00190870"/>
    <w:rsid w:val="0019091B"/>
    <w:rsid w:val="00190A19"/>
    <w:rsid w:val="00190CA3"/>
    <w:rsid w:val="00190F9A"/>
    <w:rsid w:val="0019102F"/>
    <w:rsid w:val="001912C2"/>
    <w:rsid w:val="0019134F"/>
    <w:rsid w:val="0019138A"/>
    <w:rsid w:val="001913E2"/>
    <w:rsid w:val="00191402"/>
    <w:rsid w:val="00191573"/>
    <w:rsid w:val="001915C1"/>
    <w:rsid w:val="001915F2"/>
    <w:rsid w:val="00191785"/>
    <w:rsid w:val="0019193E"/>
    <w:rsid w:val="00191A0F"/>
    <w:rsid w:val="00191A27"/>
    <w:rsid w:val="00191B97"/>
    <w:rsid w:val="00191EF0"/>
    <w:rsid w:val="00191F68"/>
    <w:rsid w:val="001921FB"/>
    <w:rsid w:val="0019220B"/>
    <w:rsid w:val="0019221B"/>
    <w:rsid w:val="00192307"/>
    <w:rsid w:val="001923E7"/>
    <w:rsid w:val="0019246B"/>
    <w:rsid w:val="001925D8"/>
    <w:rsid w:val="0019276E"/>
    <w:rsid w:val="00192797"/>
    <w:rsid w:val="001927DF"/>
    <w:rsid w:val="00192873"/>
    <w:rsid w:val="001929CC"/>
    <w:rsid w:val="001929E8"/>
    <w:rsid w:val="00192C08"/>
    <w:rsid w:val="00192C37"/>
    <w:rsid w:val="00192DEF"/>
    <w:rsid w:val="00192FD1"/>
    <w:rsid w:val="00192FE6"/>
    <w:rsid w:val="001932A6"/>
    <w:rsid w:val="0019340B"/>
    <w:rsid w:val="00193520"/>
    <w:rsid w:val="00193557"/>
    <w:rsid w:val="001937FC"/>
    <w:rsid w:val="001939A2"/>
    <w:rsid w:val="00193A00"/>
    <w:rsid w:val="00193F49"/>
    <w:rsid w:val="001940B9"/>
    <w:rsid w:val="0019414A"/>
    <w:rsid w:val="0019420F"/>
    <w:rsid w:val="00194470"/>
    <w:rsid w:val="001944E9"/>
    <w:rsid w:val="00194769"/>
    <w:rsid w:val="001947AC"/>
    <w:rsid w:val="00194989"/>
    <w:rsid w:val="00194AC8"/>
    <w:rsid w:val="00194AD3"/>
    <w:rsid w:val="00194BCA"/>
    <w:rsid w:val="00194C03"/>
    <w:rsid w:val="00194C3C"/>
    <w:rsid w:val="00194C91"/>
    <w:rsid w:val="00194FA3"/>
    <w:rsid w:val="00194FD4"/>
    <w:rsid w:val="00195005"/>
    <w:rsid w:val="00195026"/>
    <w:rsid w:val="0019506E"/>
    <w:rsid w:val="00195106"/>
    <w:rsid w:val="00195242"/>
    <w:rsid w:val="00195498"/>
    <w:rsid w:val="001957BF"/>
    <w:rsid w:val="0019590E"/>
    <w:rsid w:val="001959F8"/>
    <w:rsid w:val="00195B37"/>
    <w:rsid w:val="00195DD2"/>
    <w:rsid w:val="00195F8C"/>
    <w:rsid w:val="00196020"/>
    <w:rsid w:val="001960A9"/>
    <w:rsid w:val="0019610F"/>
    <w:rsid w:val="00196167"/>
    <w:rsid w:val="001961E1"/>
    <w:rsid w:val="0019632C"/>
    <w:rsid w:val="0019645E"/>
    <w:rsid w:val="001967E1"/>
    <w:rsid w:val="001969BC"/>
    <w:rsid w:val="001969CD"/>
    <w:rsid w:val="00196B83"/>
    <w:rsid w:val="00196D67"/>
    <w:rsid w:val="00196E78"/>
    <w:rsid w:val="00196F0B"/>
    <w:rsid w:val="00196FE2"/>
    <w:rsid w:val="0019704C"/>
    <w:rsid w:val="00197148"/>
    <w:rsid w:val="0019716F"/>
    <w:rsid w:val="00197177"/>
    <w:rsid w:val="0019717F"/>
    <w:rsid w:val="001972AF"/>
    <w:rsid w:val="00197396"/>
    <w:rsid w:val="001973C0"/>
    <w:rsid w:val="0019754B"/>
    <w:rsid w:val="001975B8"/>
    <w:rsid w:val="00197782"/>
    <w:rsid w:val="0019787F"/>
    <w:rsid w:val="00197911"/>
    <w:rsid w:val="00197A2C"/>
    <w:rsid w:val="00197B70"/>
    <w:rsid w:val="00197C84"/>
    <w:rsid w:val="00197DC4"/>
    <w:rsid w:val="00197F88"/>
    <w:rsid w:val="001A0106"/>
    <w:rsid w:val="001A01EB"/>
    <w:rsid w:val="001A0332"/>
    <w:rsid w:val="001A039D"/>
    <w:rsid w:val="001A03AD"/>
    <w:rsid w:val="001A0525"/>
    <w:rsid w:val="001A0562"/>
    <w:rsid w:val="001A0602"/>
    <w:rsid w:val="001A06F4"/>
    <w:rsid w:val="001A080E"/>
    <w:rsid w:val="001A0A2F"/>
    <w:rsid w:val="001A0B77"/>
    <w:rsid w:val="001A0C06"/>
    <w:rsid w:val="001A0C3B"/>
    <w:rsid w:val="001A0C5F"/>
    <w:rsid w:val="001A0C6D"/>
    <w:rsid w:val="001A0CBD"/>
    <w:rsid w:val="001A0D53"/>
    <w:rsid w:val="001A0D77"/>
    <w:rsid w:val="001A0DCA"/>
    <w:rsid w:val="001A0E1B"/>
    <w:rsid w:val="001A0EDA"/>
    <w:rsid w:val="001A10D3"/>
    <w:rsid w:val="001A10D5"/>
    <w:rsid w:val="001A1136"/>
    <w:rsid w:val="001A11B2"/>
    <w:rsid w:val="001A1250"/>
    <w:rsid w:val="001A1376"/>
    <w:rsid w:val="001A139B"/>
    <w:rsid w:val="001A13CD"/>
    <w:rsid w:val="001A142F"/>
    <w:rsid w:val="001A14D0"/>
    <w:rsid w:val="001A1545"/>
    <w:rsid w:val="001A17D2"/>
    <w:rsid w:val="001A196A"/>
    <w:rsid w:val="001A1A1E"/>
    <w:rsid w:val="001A1CB6"/>
    <w:rsid w:val="001A1D0A"/>
    <w:rsid w:val="001A1D95"/>
    <w:rsid w:val="001A1DFE"/>
    <w:rsid w:val="001A1FDA"/>
    <w:rsid w:val="001A2108"/>
    <w:rsid w:val="001A21A8"/>
    <w:rsid w:val="001A22E1"/>
    <w:rsid w:val="001A22FE"/>
    <w:rsid w:val="001A2475"/>
    <w:rsid w:val="001A255E"/>
    <w:rsid w:val="001A2565"/>
    <w:rsid w:val="001A2574"/>
    <w:rsid w:val="001A27E8"/>
    <w:rsid w:val="001A29FC"/>
    <w:rsid w:val="001A2A54"/>
    <w:rsid w:val="001A2A99"/>
    <w:rsid w:val="001A2AD3"/>
    <w:rsid w:val="001A2BAB"/>
    <w:rsid w:val="001A2C22"/>
    <w:rsid w:val="001A2C25"/>
    <w:rsid w:val="001A2C75"/>
    <w:rsid w:val="001A2F71"/>
    <w:rsid w:val="001A3055"/>
    <w:rsid w:val="001A30B0"/>
    <w:rsid w:val="001A31C8"/>
    <w:rsid w:val="001A3209"/>
    <w:rsid w:val="001A3216"/>
    <w:rsid w:val="001A3259"/>
    <w:rsid w:val="001A3274"/>
    <w:rsid w:val="001A33C8"/>
    <w:rsid w:val="001A37A2"/>
    <w:rsid w:val="001A37AF"/>
    <w:rsid w:val="001A382F"/>
    <w:rsid w:val="001A3A18"/>
    <w:rsid w:val="001A3BE7"/>
    <w:rsid w:val="001A3C12"/>
    <w:rsid w:val="001A3C51"/>
    <w:rsid w:val="001A3E2E"/>
    <w:rsid w:val="001A3FFB"/>
    <w:rsid w:val="001A40A9"/>
    <w:rsid w:val="001A40B2"/>
    <w:rsid w:val="001A42F7"/>
    <w:rsid w:val="001A4376"/>
    <w:rsid w:val="001A438B"/>
    <w:rsid w:val="001A43F2"/>
    <w:rsid w:val="001A440A"/>
    <w:rsid w:val="001A4562"/>
    <w:rsid w:val="001A4667"/>
    <w:rsid w:val="001A4749"/>
    <w:rsid w:val="001A479B"/>
    <w:rsid w:val="001A47C1"/>
    <w:rsid w:val="001A48DB"/>
    <w:rsid w:val="001A4941"/>
    <w:rsid w:val="001A4C48"/>
    <w:rsid w:val="001A4CF8"/>
    <w:rsid w:val="001A4D7A"/>
    <w:rsid w:val="001A4DDF"/>
    <w:rsid w:val="001A4DE3"/>
    <w:rsid w:val="001A503D"/>
    <w:rsid w:val="001A5138"/>
    <w:rsid w:val="001A5260"/>
    <w:rsid w:val="001A5307"/>
    <w:rsid w:val="001A531C"/>
    <w:rsid w:val="001A553A"/>
    <w:rsid w:val="001A557F"/>
    <w:rsid w:val="001A5688"/>
    <w:rsid w:val="001A56D0"/>
    <w:rsid w:val="001A57DE"/>
    <w:rsid w:val="001A57E2"/>
    <w:rsid w:val="001A5814"/>
    <w:rsid w:val="001A5DE0"/>
    <w:rsid w:val="001A5E42"/>
    <w:rsid w:val="001A5F11"/>
    <w:rsid w:val="001A604F"/>
    <w:rsid w:val="001A6212"/>
    <w:rsid w:val="001A6270"/>
    <w:rsid w:val="001A6295"/>
    <w:rsid w:val="001A629D"/>
    <w:rsid w:val="001A62DD"/>
    <w:rsid w:val="001A6494"/>
    <w:rsid w:val="001A6529"/>
    <w:rsid w:val="001A653E"/>
    <w:rsid w:val="001A6622"/>
    <w:rsid w:val="001A681E"/>
    <w:rsid w:val="001A6935"/>
    <w:rsid w:val="001A69D1"/>
    <w:rsid w:val="001A6BC0"/>
    <w:rsid w:val="001A6D51"/>
    <w:rsid w:val="001A6D8B"/>
    <w:rsid w:val="001A6DE3"/>
    <w:rsid w:val="001A6E51"/>
    <w:rsid w:val="001A6E5D"/>
    <w:rsid w:val="001A6E96"/>
    <w:rsid w:val="001A6EF8"/>
    <w:rsid w:val="001A7127"/>
    <w:rsid w:val="001A71F0"/>
    <w:rsid w:val="001A7217"/>
    <w:rsid w:val="001A72E4"/>
    <w:rsid w:val="001A73C9"/>
    <w:rsid w:val="001A73F8"/>
    <w:rsid w:val="001A740B"/>
    <w:rsid w:val="001A7856"/>
    <w:rsid w:val="001A792B"/>
    <w:rsid w:val="001A7953"/>
    <w:rsid w:val="001A7C2F"/>
    <w:rsid w:val="001A7C50"/>
    <w:rsid w:val="001A7CE7"/>
    <w:rsid w:val="001A7D57"/>
    <w:rsid w:val="001A7E64"/>
    <w:rsid w:val="001A7F2E"/>
    <w:rsid w:val="001A7FEC"/>
    <w:rsid w:val="001B001D"/>
    <w:rsid w:val="001B00FE"/>
    <w:rsid w:val="001B013C"/>
    <w:rsid w:val="001B020B"/>
    <w:rsid w:val="001B032F"/>
    <w:rsid w:val="001B04CA"/>
    <w:rsid w:val="001B0535"/>
    <w:rsid w:val="001B073D"/>
    <w:rsid w:val="001B0CF4"/>
    <w:rsid w:val="001B0E21"/>
    <w:rsid w:val="001B0EE2"/>
    <w:rsid w:val="001B111B"/>
    <w:rsid w:val="001B125B"/>
    <w:rsid w:val="001B12E2"/>
    <w:rsid w:val="001B140D"/>
    <w:rsid w:val="001B1762"/>
    <w:rsid w:val="001B17AC"/>
    <w:rsid w:val="001B17EF"/>
    <w:rsid w:val="001B18EF"/>
    <w:rsid w:val="001B1950"/>
    <w:rsid w:val="001B1C78"/>
    <w:rsid w:val="001B1D06"/>
    <w:rsid w:val="001B1D54"/>
    <w:rsid w:val="001B1E60"/>
    <w:rsid w:val="001B2007"/>
    <w:rsid w:val="001B2108"/>
    <w:rsid w:val="001B22E1"/>
    <w:rsid w:val="001B2465"/>
    <w:rsid w:val="001B25F3"/>
    <w:rsid w:val="001B26D2"/>
    <w:rsid w:val="001B2896"/>
    <w:rsid w:val="001B28C8"/>
    <w:rsid w:val="001B2A78"/>
    <w:rsid w:val="001B2A8F"/>
    <w:rsid w:val="001B2E0F"/>
    <w:rsid w:val="001B2E9B"/>
    <w:rsid w:val="001B2F74"/>
    <w:rsid w:val="001B2FA9"/>
    <w:rsid w:val="001B33A2"/>
    <w:rsid w:val="001B3480"/>
    <w:rsid w:val="001B35BD"/>
    <w:rsid w:val="001B3645"/>
    <w:rsid w:val="001B3849"/>
    <w:rsid w:val="001B3A20"/>
    <w:rsid w:val="001B3A79"/>
    <w:rsid w:val="001B3AAE"/>
    <w:rsid w:val="001B3C76"/>
    <w:rsid w:val="001B3CD8"/>
    <w:rsid w:val="001B3DD4"/>
    <w:rsid w:val="001B3E40"/>
    <w:rsid w:val="001B4028"/>
    <w:rsid w:val="001B4040"/>
    <w:rsid w:val="001B4103"/>
    <w:rsid w:val="001B4393"/>
    <w:rsid w:val="001B445A"/>
    <w:rsid w:val="001B44E7"/>
    <w:rsid w:val="001B44FD"/>
    <w:rsid w:val="001B4607"/>
    <w:rsid w:val="001B46ED"/>
    <w:rsid w:val="001B47F6"/>
    <w:rsid w:val="001B488E"/>
    <w:rsid w:val="001B48E6"/>
    <w:rsid w:val="001B4913"/>
    <w:rsid w:val="001B494D"/>
    <w:rsid w:val="001B49C6"/>
    <w:rsid w:val="001B49DB"/>
    <w:rsid w:val="001B4A92"/>
    <w:rsid w:val="001B4B05"/>
    <w:rsid w:val="001B4B39"/>
    <w:rsid w:val="001B4B3F"/>
    <w:rsid w:val="001B4BDF"/>
    <w:rsid w:val="001B4BE8"/>
    <w:rsid w:val="001B4BEA"/>
    <w:rsid w:val="001B4E6E"/>
    <w:rsid w:val="001B4ED4"/>
    <w:rsid w:val="001B4F44"/>
    <w:rsid w:val="001B5242"/>
    <w:rsid w:val="001B52E5"/>
    <w:rsid w:val="001B549D"/>
    <w:rsid w:val="001B579B"/>
    <w:rsid w:val="001B588D"/>
    <w:rsid w:val="001B5A39"/>
    <w:rsid w:val="001B5A7A"/>
    <w:rsid w:val="001B5C91"/>
    <w:rsid w:val="001B61AF"/>
    <w:rsid w:val="001B6362"/>
    <w:rsid w:val="001B6363"/>
    <w:rsid w:val="001B6481"/>
    <w:rsid w:val="001B64AC"/>
    <w:rsid w:val="001B6676"/>
    <w:rsid w:val="001B6883"/>
    <w:rsid w:val="001B694E"/>
    <w:rsid w:val="001B6A96"/>
    <w:rsid w:val="001B6B08"/>
    <w:rsid w:val="001B6FDF"/>
    <w:rsid w:val="001B7044"/>
    <w:rsid w:val="001B708A"/>
    <w:rsid w:val="001B70C6"/>
    <w:rsid w:val="001B71D9"/>
    <w:rsid w:val="001B7209"/>
    <w:rsid w:val="001B72CB"/>
    <w:rsid w:val="001B742A"/>
    <w:rsid w:val="001B7430"/>
    <w:rsid w:val="001B7607"/>
    <w:rsid w:val="001B76B6"/>
    <w:rsid w:val="001B7893"/>
    <w:rsid w:val="001B791C"/>
    <w:rsid w:val="001B7954"/>
    <w:rsid w:val="001B7A02"/>
    <w:rsid w:val="001B7A0A"/>
    <w:rsid w:val="001B7F3C"/>
    <w:rsid w:val="001B7F82"/>
    <w:rsid w:val="001C005C"/>
    <w:rsid w:val="001C00D6"/>
    <w:rsid w:val="001C0122"/>
    <w:rsid w:val="001C029E"/>
    <w:rsid w:val="001C06EF"/>
    <w:rsid w:val="001C0852"/>
    <w:rsid w:val="001C0893"/>
    <w:rsid w:val="001C09F2"/>
    <w:rsid w:val="001C0A79"/>
    <w:rsid w:val="001C0A8A"/>
    <w:rsid w:val="001C0AEB"/>
    <w:rsid w:val="001C0B0B"/>
    <w:rsid w:val="001C0C71"/>
    <w:rsid w:val="001C0CB5"/>
    <w:rsid w:val="001C10F5"/>
    <w:rsid w:val="001C126A"/>
    <w:rsid w:val="001C1310"/>
    <w:rsid w:val="001C1496"/>
    <w:rsid w:val="001C15A2"/>
    <w:rsid w:val="001C1656"/>
    <w:rsid w:val="001C16E3"/>
    <w:rsid w:val="001C1C25"/>
    <w:rsid w:val="001C1D8F"/>
    <w:rsid w:val="001C1FC3"/>
    <w:rsid w:val="001C204D"/>
    <w:rsid w:val="001C2162"/>
    <w:rsid w:val="001C2321"/>
    <w:rsid w:val="001C23F9"/>
    <w:rsid w:val="001C2418"/>
    <w:rsid w:val="001C24D2"/>
    <w:rsid w:val="001C252E"/>
    <w:rsid w:val="001C25B2"/>
    <w:rsid w:val="001C26C7"/>
    <w:rsid w:val="001C2795"/>
    <w:rsid w:val="001C288D"/>
    <w:rsid w:val="001C2AD7"/>
    <w:rsid w:val="001C2B3A"/>
    <w:rsid w:val="001C345C"/>
    <w:rsid w:val="001C3577"/>
    <w:rsid w:val="001C358B"/>
    <w:rsid w:val="001C35E9"/>
    <w:rsid w:val="001C36D0"/>
    <w:rsid w:val="001C378A"/>
    <w:rsid w:val="001C37FD"/>
    <w:rsid w:val="001C3872"/>
    <w:rsid w:val="001C38A7"/>
    <w:rsid w:val="001C39BC"/>
    <w:rsid w:val="001C3C0C"/>
    <w:rsid w:val="001C3D94"/>
    <w:rsid w:val="001C3E63"/>
    <w:rsid w:val="001C4010"/>
    <w:rsid w:val="001C40CE"/>
    <w:rsid w:val="001C41D2"/>
    <w:rsid w:val="001C4373"/>
    <w:rsid w:val="001C43CB"/>
    <w:rsid w:val="001C451E"/>
    <w:rsid w:val="001C45E5"/>
    <w:rsid w:val="001C4648"/>
    <w:rsid w:val="001C46DC"/>
    <w:rsid w:val="001C4B2F"/>
    <w:rsid w:val="001C4D1E"/>
    <w:rsid w:val="001C4DEC"/>
    <w:rsid w:val="001C4EC3"/>
    <w:rsid w:val="001C4EDE"/>
    <w:rsid w:val="001C4FAF"/>
    <w:rsid w:val="001C51C0"/>
    <w:rsid w:val="001C5481"/>
    <w:rsid w:val="001C54C1"/>
    <w:rsid w:val="001C550A"/>
    <w:rsid w:val="001C559B"/>
    <w:rsid w:val="001C5726"/>
    <w:rsid w:val="001C58DD"/>
    <w:rsid w:val="001C58FD"/>
    <w:rsid w:val="001C59B2"/>
    <w:rsid w:val="001C59D7"/>
    <w:rsid w:val="001C5B43"/>
    <w:rsid w:val="001C5B89"/>
    <w:rsid w:val="001C5BD7"/>
    <w:rsid w:val="001C5C71"/>
    <w:rsid w:val="001C5CD6"/>
    <w:rsid w:val="001C5D7D"/>
    <w:rsid w:val="001C5DDD"/>
    <w:rsid w:val="001C5E51"/>
    <w:rsid w:val="001C5EE8"/>
    <w:rsid w:val="001C6190"/>
    <w:rsid w:val="001C61F1"/>
    <w:rsid w:val="001C6282"/>
    <w:rsid w:val="001C63A6"/>
    <w:rsid w:val="001C63C4"/>
    <w:rsid w:val="001C6536"/>
    <w:rsid w:val="001C675A"/>
    <w:rsid w:val="001C676A"/>
    <w:rsid w:val="001C68D3"/>
    <w:rsid w:val="001C6A07"/>
    <w:rsid w:val="001C6C97"/>
    <w:rsid w:val="001C6D24"/>
    <w:rsid w:val="001C710C"/>
    <w:rsid w:val="001C7358"/>
    <w:rsid w:val="001C7560"/>
    <w:rsid w:val="001C75A3"/>
    <w:rsid w:val="001C76EC"/>
    <w:rsid w:val="001C77A1"/>
    <w:rsid w:val="001C782A"/>
    <w:rsid w:val="001C7835"/>
    <w:rsid w:val="001C783D"/>
    <w:rsid w:val="001C7841"/>
    <w:rsid w:val="001C788F"/>
    <w:rsid w:val="001C78F6"/>
    <w:rsid w:val="001C79AA"/>
    <w:rsid w:val="001C7A21"/>
    <w:rsid w:val="001C7C27"/>
    <w:rsid w:val="001C7C8D"/>
    <w:rsid w:val="001C7E35"/>
    <w:rsid w:val="001C7E8B"/>
    <w:rsid w:val="001D0053"/>
    <w:rsid w:val="001D0148"/>
    <w:rsid w:val="001D0430"/>
    <w:rsid w:val="001D0947"/>
    <w:rsid w:val="001D0A70"/>
    <w:rsid w:val="001D0BEA"/>
    <w:rsid w:val="001D0C21"/>
    <w:rsid w:val="001D0C3D"/>
    <w:rsid w:val="001D0CFA"/>
    <w:rsid w:val="001D0DF9"/>
    <w:rsid w:val="001D0EAB"/>
    <w:rsid w:val="001D0FB3"/>
    <w:rsid w:val="001D0FC1"/>
    <w:rsid w:val="001D1042"/>
    <w:rsid w:val="001D118E"/>
    <w:rsid w:val="001D1609"/>
    <w:rsid w:val="001D1623"/>
    <w:rsid w:val="001D16CB"/>
    <w:rsid w:val="001D170D"/>
    <w:rsid w:val="001D1787"/>
    <w:rsid w:val="001D17BF"/>
    <w:rsid w:val="001D1983"/>
    <w:rsid w:val="001D1A0D"/>
    <w:rsid w:val="001D1A87"/>
    <w:rsid w:val="001D1B15"/>
    <w:rsid w:val="001D1C11"/>
    <w:rsid w:val="001D1C4A"/>
    <w:rsid w:val="001D1C50"/>
    <w:rsid w:val="001D1EEA"/>
    <w:rsid w:val="001D206D"/>
    <w:rsid w:val="001D2169"/>
    <w:rsid w:val="001D218F"/>
    <w:rsid w:val="001D2773"/>
    <w:rsid w:val="001D2782"/>
    <w:rsid w:val="001D27B9"/>
    <w:rsid w:val="001D29B8"/>
    <w:rsid w:val="001D2A72"/>
    <w:rsid w:val="001D2B9C"/>
    <w:rsid w:val="001D2D93"/>
    <w:rsid w:val="001D2E3A"/>
    <w:rsid w:val="001D2EC3"/>
    <w:rsid w:val="001D30FD"/>
    <w:rsid w:val="001D3191"/>
    <w:rsid w:val="001D31FB"/>
    <w:rsid w:val="001D3439"/>
    <w:rsid w:val="001D3457"/>
    <w:rsid w:val="001D37C1"/>
    <w:rsid w:val="001D38FD"/>
    <w:rsid w:val="001D39DF"/>
    <w:rsid w:val="001D3A2B"/>
    <w:rsid w:val="001D3AE0"/>
    <w:rsid w:val="001D3C16"/>
    <w:rsid w:val="001D3C2D"/>
    <w:rsid w:val="001D3C6B"/>
    <w:rsid w:val="001D3CFC"/>
    <w:rsid w:val="001D3D41"/>
    <w:rsid w:val="001D3D89"/>
    <w:rsid w:val="001D3DAB"/>
    <w:rsid w:val="001D4050"/>
    <w:rsid w:val="001D40DF"/>
    <w:rsid w:val="001D442D"/>
    <w:rsid w:val="001D44AF"/>
    <w:rsid w:val="001D44FE"/>
    <w:rsid w:val="001D45DB"/>
    <w:rsid w:val="001D46EE"/>
    <w:rsid w:val="001D4797"/>
    <w:rsid w:val="001D48AB"/>
    <w:rsid w:val="001D498D"/>
    <w:rsid w:val="001D4A15"/>
    <w:rsid w:val="001D4AFF"/>
    <w:rsid w:val="001D4C3C"/>
    <w:rsid w:val="001D4C86"/>
    <w:rsid w:val="001D4CA4"/>
    <w:rsid w:val="001D4CCE"/>
    <w:rsid w:val="001D4CF9"/>
    <w:rsid w:val="001D4D26"/>
    <w:rsid w:val="001D4D31"/>
    <w:rsid w:val="001D4DBC"/>
    <w:rsid w:val="001D4E1E"/>
    <w:rsid w:val="001D5040"/>
    <w:rsid w:val="001D505E"/>
    <w:rsid w:val="001D51B0"/>
    <w:rsid w:val="001D52D1"/>
    <w:rsid w:val="001D52FB"/>
    <w:rsid w:val="001D5564"/>
    <w:rsid w:val="001D557B"/>
    <w:rsid w:val="001D5597"/>
    <w:rsid w:val="001D574A"/>
    <w:rsid w:val="001D5B08"/>
    <w:rsid w:val="001D5B3E"/>
    <w:rsid w:val="001D5B62"/>
    <w:rsid w:val="001D5C4C"/>
    <w:rsid w:val="001D5DD6"/>
    <w:rsid w:val="001D5E0F"/>
    <w:rsid w:val="001D5F9F"/>
    <w:rsid w:val="001D6060"/>
    <w:rsid w:val="001D60EA"/>
    <w:rsid w:val="001D6118"/>
    <w:rsid w:val="001D6142"/>
    <w:rsid w:val="001D6198"/>
    <w:rsid w:val="001D61A6"/>
    <w:rsid w:val="001D61B2"/>
    <w:rsid w:val="001D621F"/>
    <w:rsid w:val="001D6471"/>
    <w:rsid w:val="001D6670"/>
    <w:rsid w:val="001D66AE"/>
    <w:rsid w:val="001D66F2"/>
    <w:rsid w:val="001D676D"/>
    <w:rsid w:val="001D682E"/>
    <w:rsid w:val="001D688B"/>
    <w:rsid w:val="001D6A4B"/>
    <w:rsid w:val="001D6FF5"/>
    <w:rsid w:val="001D7019"/>
    <w:rsid w:val="001D701B"/>
    <w:rsid w:val="001D7124"/>
    <w:rsid w:val="001D7143"/>
    <w:rsid w:val="001D7170"/>
    <w:rsid w:val="001D73AA"/>
    <w:rsid w:val="001D74C1"/>
    <w:rsid w:val="001D7530"/>
    <w:rsid w:val="001D75ED"/>
    <w:rsid w:val="001D769B"/>
    <w:rsid w:val="001D773D"/>
    <w:rsid w:val="001D775A"/>
    <w:rsid w:val="001D78DB"/>
    <w:rsid w:val="001D7926"/>
    <w:rsid w:val="001D7940"/>
    <w:rsid w:val="001D79B7"/>
    <w:rsid w:val="001D7AB2"/>
    <w:rsid w:val="001D7C2B"/>
    <w:rsid w:val="001D7C80"/>
    <w:rsid w:val="001D7C8D"/>
    <w:rsid w:val="001D7D9B"/>
    <w:rsid w:val="001D7E12"/>
    <w:rsid w:val="001D7EC7"/>
    <w:rsid w:val="001E0080"/>
    <w:rsid w:val="001E0196"/>
    <w:rsid w:val="001E0211"/>
    <w:rsid w:val="001E026F"/>
    <w:rsid w:val="001E031F"/>
    <w:rsid w:val="001E06D1"/>
    <w:rsid w:val="001E0720"/>
    <w:rsid w:val="001E0737"/>
    <w:rsid w:val="001E074C"/>
    <w:rsid w:val="001E07DF"/>
    <w:rsid w:val="001E0802"/>
    <w:rsid w:val="001E0917"/>
    <w:rsid w:val="001E0A8F"/>
    <w:rsid w:val="001E0BEE"/>
    <w:rsid w:val="001E0C59"/>
    <w:rsid w:val="001E100A"/>
    <w:rsid w:val="001E124A"/>
    <w:rsid w:val="001E13F8"/>
    <w:rsid w:val="001E146B"/>
    <w:rsid w:val="001E146F"/>
    <w:rsid w:val="001E16C5"/>
    <w:rsid w:val="001E1703"/>
    <w:rsid w:val="001E17CC"/>
    <w:rsid w:val="001E1840"/>
    <w:rsid w:val="001E1860"/>
    <w:rsid w:val="001E1886"/>
    <w:rsid w:val="001E1965"/>
    <w:rsid w:val="001E19BD"/>
    <w:rsid w:val="001E1A05"/>
    <w:rsid w:val="001E1A80"/>
    <w:rsid w:val="001E1D68"/>
    <w:rsid w:val="001E1F9B"/>
    <w:rsid w:val="001E2044"/>
    <w:rsid w:val="001E2070"/>
    <w:rsid w:val="001E20B7"/>
    <w:rsid w:val="001E20FB"/>
    <w:rsid w:val="001E2230"/>
    <w:rsid w:val="001E2346"/>
    <w:rsid w:val="001E251B"/>
    <w:rsid w:val="001E26AE"/>
    <w:rsid w:val="001E274B"/>
    <w:rsid w:val="001E29FB"/>
    <w:rsid w:val="001E2C59"/>
    <w:rsid w:val="001E2CCB"/>
    <w:rsid w:val="001E2F00"/>
    <w:rsid w:val="001E2F05"/>
    <w:rsid w:val="001E2FAA"/>
    <w:rsid w:val="001E2FB6"/>
    <w:rsid w:val="001E31F3"/>
    <w:rsid w:val="001E3242"/>
    <w:rsid w:val="001E326D"/>
    <w:rsid w:val="001E33F2"/>
    <w:rsid w:val="001E3586"/>
    <w:rsid w:val="001E35A1"/>
    <w:rsid w:val="001E3670"/>
    <w:rsid w:val="001E367C"/>
    <w:rsid w:val="001E36B4"/>
    <w:rsid w:val="001E391F"/>
    <w:rsid w:val="001E395A"/>
    <w:rsid w:val="001E3A17"/>
    <w:rsid w:val="001E3B17"/>
    <w:rsid w:val="001E3B62"/>
    <w:rsid w:val="001E3BC4"/>
    <w:rsid w:val="001E3BF7"/>
    <w:rsid w:val="001E3C64"/>
    <w:rsid w:val="001E3CDE"/>
    <w:rsid w:val="001E3D8D"/>
    <w:rsid w:val="001E3E78"/>
    <w:rsid w:val="001E3F49"/>
    <w:rsid w:val="001E40C5"/>
    <w:rsid w:val="001E40CE"/>
    <w:rsid w:val="001E41FC"/>
    <w:rsid w:val="001E42C6"/>
    <w:rsid w:val="001E42EF"/>
    <w:rsid w:val="001E43B4"/>
    <w:rsid w:val="001E43FD"/>
    <w:rsid w:val="001E4467"/>
    <w:rsid w:val="001E4494"/>
    <w:rsid w:val="001E4777"/>
    <w:rsid w:val="001E4975"/>
    <w:rsid w:val="001E4A4D"/>
    <w:rsid w:val="001E4C3C"/>
    <w:rsid w:val="001E4D56"/>
    <w:rsid w:val="001E4EE6"/>
    <w:rsid w:val="001E4F5C"/>
    <w:rsid w:val="001E4F6F"/>
    <w:rsid w:val="001E50AE"/>
    <w:rsid w:val="001E523F"/>
    <w:rsid w:val="001E591C"/>
    <w:rsid w:val="001E5AA6"/>
    <w:rsid w:val="001E5C2F"/>
    <w:rsid w:val="001E5C72"/>
    <w:rsid w:val="001E5D0E"/>
    <w:rsid w:val="001E5D17"/>
    <w:rsid w:val="001E5DA7"/>
    <w:rsid w:val="001E5DF4"/>
    <w:rsid w:val="001E5E7A"/>
    <w:rsid w:val="001E5E99"/>
    <w:rsid w:val="001E6130"/>
    <w:rsid w:val="001E6165"/>
    <w:rsid w:val="001E61AA"/>
    <w:rsid w:val="001E61F4"/>
    <w:rsid w:val="001E628A"/>
    <w:rsid w:val="001E62D4"/>
    <w:rsid w:val="001E63AC"/>
    <w:rsid w:val="001E6645"/>
    <w:rsid w:val="001E6686"/>
    <w:rsid w:val="001E6692"/>
    <w:rsid w:val="001E670D"/>
    <w:rsid w:val="001E679D"/>
    <w:rsid w:val="001E67D2"/>
    <w:rsid w:val="001E682C"/>
    <w:rsid w:val="001E686D"/>
    <w:rsid w:val="001E6B00"/>
    <w:rsid w:val="001E6BD9"/>
    <w:rsid w:val="001E6E33"/>
    <w:rsid w:val="001E6E43"/>
    <w:rsid w:val="001E6E87"/>
    <w:rsid w:val="001E7147"/>
    <w:rsid w:val="001E720B"/>
    <w:rsid w:val="001E7257"/>
    <w:rsid w:val="001E7267"/>
    <w:rsid w:val="001E7288"/>
    <w:rsid w:val="001E73C3"/>
    <w:rsid w:val="001E7538"/>
    <w:rsid w:val="001E7548"/>
    <w:rsid w:val="001E7591"/>
    <w:rsid w:val="001E76D0"/>
    <w:rsid w:val="001E76D1"/>
    <w:rsid w:val="001E78DB"/>
    <w:rsid w:val="001E79B3"/>
    <w:rsid w:val="001E7B3E"/>
    <w:rsid w:val="001E7BB7"/>
    <w:rsid w:val="001E7BC3"/>
    <w:rsid w:val="001E7E62"/>
    <w:rsid w:val="001E7EB2"/>
    <w:rsid w:val="001F01FD"/>
    <w:rsid w:val="001F0266"/>
    <w:rsid w:val="001F031D"/>
    <w:rsid w:val="001F043D"/>
    <w:rsid w:val="001F05DB"/>
    <w:rsid w:val="001F065E"/>
    <w:rsid w:val="001F06AE"/>
    <w:rsid w:val="001F0742"/>
    <w:rsid w:val="001F07B2"/>
    <w:rsid w:val="001F084D"/>
    <w:rsid w:val="001F0913"/>
    <w:rsid w:val="001F0938"/>
    <w:rsid w:val="001F095D"/>
    <w:rsid w:val="001F09FC"/>
    <w:rsid w:val="001F0AAD"/>
    <w:rsid w:val="001F0AD4"/>
    <w:rsid w:val="001F0C98"/>
    <w:rsid w:val="001F0D04"/>
    <w:rsid w:val="001F0D19"/>
    <w:rsid w:val="001F0EED"/>
    <w:rsid w:val="001F0F28"/>
    <w:rsid w:val="001F11FC"/>
    <w:rsid w:val="001F1367"/>
    <w:rsid w:val="001F13C1"/>
    <w:rsid w:val="001F141B"/>
    <w:rsid w:val="001F1461"/>
    <w:rsid w:val="001F15E0"/>
    <w:rsid w:val="001F1711"/>
    <w:rsid w:val="001F1742"/>
    <w:rsid w:val="001F17C8"/>
    <w:rsid w:val="001F18F8"/>
    <w:rsid w:val="001F1A49"/>
    <w:rsid w:val="001F1ADD"/>
    <w:rsid w:val="001F1B3C"/>
    <w:rsid w:val="001F1B70"/>
    <w:rsid w:val="001F1C4A"/>
    <w:rsid w:val="001F1C74"/>
    <w:rsid w:val="001F1DB7"/>
    <w:rsid w:val="001F1E34"/>
    <w:rsid w:val="001F1E65"/>
    <w:rsid w:val="001F1E9A"/>
    <w:rsid w:val="001F1F28"/>
    <w:rsid w:val="001F1F83"/>
    <w:rsid w:val="001F2095"/>
    <w:rsid w:val="001F2312"/>
    <w:rsid w:val="001F2411"/>
    <w:rsid w:val="001F25B1"/>
    <w:rsid w:val="001F2C02"/>
    <w:rsid w:val="001F2D2F"/>
    <w:rsid w:val="001F2E3F"/>
    <w:rsid w:val="001F2E56"/>
    <w:rsid w:val="001F2EB7"/>
    <w:rsid w:val="001F2EFA"/>
    <w:rsid w:val="001F2FC7"/>
    <w:rsid w:val="001F2FE6"/>
    <w:rsid w:val="001F317A"/>
    <w:rsid w:val="001F3197"/>
    <w:rsid w:val="001F3592"/>
    <w:rsid w:val="001F36DD"/>
    <w:rsid w:val="001F37DC"/>
    <w:rsid w:val="001F3930"/>
    <w:rsid w:val="001F39A2"/>
    <w:rsid w:val="001F39D0"/>
    <w:rsid w:val="001F3A25"/>
    <w:rsid w:val="001F3BC6"/>
    <w:rsid w:val="001F3BD0"/>
    <w:rsid w:val="001F3E4A"/>
    <w:rsid w:val="001F4038"/>
    <w:rsid w:val="001F4047"/>
    <w:rsid w:val="001F4091"/>
    <w:rsid w:val="001F446D"/>
    <w:rsid w:val="001F4597"/>
    <w:rsid w:val="001F46E4"/>
    <w:rsid w:val="001F4766"/>
    <w:rsid w:val="001F47DA"/>
    <w:rsid w:val="001F482C"/>
    <w:rsid w:val="001F485F"/>
    <w:rsid w:val="001F48AA"/>
    <w:rsid w:val="001F48BE"/>
    <w:rsid w:val="001F4983"/>
    <w:rsid w:val="001F4C47"/>
    <w:rsid w:val="001F4E1C"/>
    <w:rsid w:val="001F4F55"/>
    <w:rsid w:val="001F505B"/>
    <w:rsid w:val="001F509A"/>
    <w:rsid w:val="001F534D"/>
    <w:rsid w:val="001F5402"/>
    <w:rsid w:val="001F545C"/>
    <w:rsid w:val="001F5637"/>
    <w:rsid w:val="001F57EE"/>
    <w:rsid w:val="001F5921"/>
    <w:rsid w:val="001F5A96"/>
    <w:rsid w:val="001F5A9D"/>
    <w:rsid w:val="001F5BD5"/>
    <w:rsid w:val="001F5C02"/>
    <w:rsid w:val="001F5C23"/>
    <w:rsid w:val="001F5D13"/>
    <w:rsid w:val="001F5E37"/>
    <w:rsid w:val="001F5E55"/>
    <w:rsid w:val="001F5FD1"/>
    <w:rsid w:val="001F5FE3"/>
    <w:rsid w:val="001F60B3"/>
    <w:rsid w:val="001F60C0"/>
    <w:rsid w:val="001F61A4"/>
    <w:rsid w:val="001F61C8"/>
    <w:rsid w:val="001F63B1"/>
    <w:rsid w:val="001F63C4"/>
    <w:rsid w:val="001F63E4"/>
    <w:rsid w:val="001F67A9"/>
    <w:rsid w:val="001F67F6"/>
    <w:rsid w:val="001F6865"/>
    <w:rsid w:val="001F68CA"/>
    <w:rsid w:val="001F6911"/>
    <w:rsid w:val="001F6939"/>
    <w:rsid w:val="001F69FD"/>
    <w:rsid w:val="001F6AE7"/>
    <w:rsid w:val="001F6B0A"/>
    <w:rsid w:val="001F6B18"/>
    <w:rsid w:val="001F6D7C"/>
    <w:rsid w:val="001F6D9C"/>
    <w:rsid w:val="001F6DDD"/>
    <w:rsid w:val="001F6E47"/>
    <w:rsid w:val="001F6E62"/>
    <w:rsid w:val="001F7376"/>
    <w:rsid w:val="001F73BA"/>
    <w:rsid w:val="001F742C"/>
    <w:rsid w:val="001F74E3"/>
    <w:rsid w:val="001F76B6"/>
    <w:rsid w:val="001F7756"/>
    <w:rsid w:val="001F77FF"/>
    <w:rsid w:val="001F7ABD"/>
    <w:rsid w:val="001F7EA8"/>
    <w:rsid w:val="001F7F06"/>
    <w:rsid w:val="001F7F26"/>
    <w:rsid w:val="001F7F5C"/>
    <w:rsid w:val="002002E1"/>
    <w:rsid w:val="0020045C"/>
    <w:rsid w:val="00200484"/>
    <w:rsid w:val="00200668"/>
    <w:rsid w:val="0020066E"/>
    <w:rsid w:val="0020083B"/>
    <w:rsid w:val="0020085A"/>
    <w:rsid w:val="00200C7F"/>
    <w:rsid w:val="00200C91"/>
    <w:rsid w:val="00200F1F"/>
    <w:rsid w:val="00200F39"/>
    <w:rsid w:val="00200F5E"/>
    <w:rsid w:val="00200FE2"/>
    <w:rsid w:val="002010A5"/>
    <w:rsid w:val="00201320"/>
    <w:rsid w:val="0020139E"/>
    <w:rsid w:val="002013E5"/>
    <w:rsid w:val="002013EE"/>
    <w:rsid w:val="002015A2"/>
    <w:rsid w:val="00201721"/>
    <w:rsid w:val="00201737"/>
    <w:rsid w:val="00201779"/>
    <w:rsid w:val="00201803"/>
    <w:rsid w:val="002018C2"/>
    <w:rsid w:val="00201B6A"/>
    <w:rsid w:val="00201BF3"/>
    <w:rsid w:val="00201DE2"/>
    <w:rsid w:val="00201E47"/>
    <w:rsid w:val="00201E4F"/>
    <w:rsid w:val="0020204A"/>
    <w:rsid w:val="0020207B"/>
    <w:rsid w:val="00202194"/>
    <w:rsid w:val="0020219C"/>
    <w:rsid w:val="002024C8"/>
    <w:rsid w:val="0020263F"/>
    <w:rsid w:val="002026CC"/>
    <w:rsid w:val="0020277F"/>
    <w:rsid w:val="0020279A"/>
    <w:rsid w:val="00202B88"/>
    <w:rsid w:val="00202C8A"/>
    <w:rsid w:val="00202F04"/>
    <w:rsid w:val="00203097"/>
    <w:rsid w:val="002031D9"/>
    <w:rsid w:val="002032A9"/>
    <w:rsid w:val="002033B7"/>
    <w:rsid w:val="002033BD"/>
    <w:rsid w:val="002034F3"/>
    <w:rsid w:val="0020387A"/>
    <w:rsid w:val="00203B23"/>
    <w:rsid w:val="00203C10"/>
    <w:rsid w:val="00203E43"/>
    <w:rsid w:val="00203E7B"/>
    <w:rsid w:val="0020401D"/>
    <w:rsid w:val="00204040"/>
    <w:rsid w:val="00204259"/>
    <w:rsid w:val="0020449B"/>
    <w:rsid w:val="002046A2"/>
    <w:rsid w:val="00204732"/>
    <w:rsid w:val="00204807"/>
    <w:rsid w:val="0020482B"/>
    <w:rsid w:val="002048FF"/>
    <w:rsid w:val="002049E1"/>
    <w:rsid w:val="00204A86"/>
    <w:rsid w:val="00204CA0"/>
    <w:rsid w:val="00204CAA"/>
    <w:rsid w:val="00204DCA"/>
    <w:rsid w:val="00204E8B"/>
    <w:rsid w:val="00204FE0"/>
    <w:rsid w:val="0020504B"/>
    <w:rsid w:val="00205201"/>
    <w:rsid w:val="0020531A"/>
    <w:rsid w:val="002055C4"/>
    <w:rsid w:val="0020563B"/>
    <w:rsid w:val="002057B3"/>
    <w:rsid w:val="002057E8"/>
    <w:rsid w:val="002057ED"/>
    <w:rsid w:val="002058E0"/>
    <w:rsid w:val="002059C1"/>
    <w:rsid w:val="002059DB"/>
    <w:rsid w:val="00205A1A"/>
    <w:rsid w:val="00205A1E"/>
    <w:rsid w:val="00205B4A"/>
    <w:rsid w:val="00205D4D"/>
    <w:rsid w:val="00205DD4"/>
    <w:rsid w:val="00205F24"/>
    <w:rsid w:val="002060E5"/>
    <w:rsid w:val="002061AC"/>
    <w:rsid w:val="0020633B"/>
    <w:rsid w:val="00206372"/>
    <w:rsid w:val="00206488"/>
    <w:rsid w:val="00206500"/>
    <w:rsid w:val="002066C9"/>
    <w:rsid w:val="0020678B"/>
    <w:rsid w:val="00206879"/>
    <w:rsid w:val="00206A30"/>
    <w:rsid w:val="00206A39"/>
    <w:rsid w:val="00206AAE"/>
    <w:rsid w:val="00206B94"/>
    <w:rsid w:val="00206C91"/>
    <w:rsid w:val="00206D50"/>
    <w:rsid w:val="00206FFB"/>
    <w:rsid w:val="002070A7"/>
    <w:rsid w:val="00207444"/>
    <w:rsid w:val="0020755F"/>
    <w:rsid w:val="0020761D"/>
    <w:rsid w:val="00207864"/>
    <w:rsid w:val="0020788A"/>
    <w:rsid w:val="00207AA5"/>
    <w:rsid w:val="00207FCD"/>
    <w:rsid w:val="00210025"/>
    <w:rsid w:val="002100AA"/>
    <w:rsid w:val="002101BA"/>
    <w:rsid w:val="002102BB"/>
    <w:rsid w:val="00210301"/>
    <w:rsid w:val="00210362"/>
    <w:rsid w:val="002103F4"/>
    <w:rsid w:val="00210629"/>
    <w:rsid w:val="00210883"/>
    <w:rsid w:val="00210985"/>
    <w:rsid w:val="00210B6F"/>
    <w:rsid w:val="00210DF2"/>
    <w:rsid w:val="00210F19"/>
    <w:rsid w:val="00210F7D"/>
    <w:rsid w:val="00210F97"/>
    <w:rsid w:val="002110CD"/>
    <w:rsid w:val="0021113B"/>
    <w:rsid w:val="00211141"/>
    <w:rsid w:val="002111D2"/>
    <w:rsid w:val="002112A8"/>
    <w:rsid w:val="002112EC"/>
    <w:rsid w:val="002114D0"/>
    <w:rsid w:val="00211574"/>
    <w:rsid w:val="00211642"/>
    <w:rsid w:val="0021174B"/>
    <w:rsid w:val="002117A9"/>
    <w:rsid w:val="002117D3"/>
    <w:rsid w:val="002118F0"/>
    <w:rsid w:val="00211937"/>
    <w:rsid w:val="00211AEE"/>
    <w:rsid w:val="00211D8D"/>
    <w:rsid w:val="00211F4D"/>
    <w:rsid w:val="00212023"/>
    <w:rsid w:val="0021202D"/>
    <w:rsid w:val="0021212E"/>
    <w:rsid w:val="002123D8"/>
    <w:rsid w:val="00212617"/>
    <w:rsid w:val="0021280B"/>
    <w:rsid w:val="0021296A"/>
    <w:rsid w:val="002129A8"/>
    <w:rsid w:val="002129F9"/>
    <w:rsid w:val="00212A8C"/>
    <w:rsid w:val="00212A8D"/>
    <w:rsid w:val="00212B7E"/>
    <w:rsid w:val="00212C0D"/>
    <w:rsid w:val="00212EF8"/>
    <w:rsid w:val="002130BA"/>
    <w:rsid w:val="0021322A"/>
    <w:rsid w:val="00213366"/>
    <w:rsid w:val="002133F6"/>
    <w:rsid w:val="002134FA"/>
    <w:rsid w:val="00213651"/>
    <w:rsid w:val="0021378C"/>
    <w:rsid w:val="002137A3"/>
    <w:rsid w:val="002137EB"/>
    <w:rsid w:val="00213825"/>
    <w:rsid w:val="00213878"/>
    <w:rsid w:val="0021388D"/>
    <w:rsid w:val="002138C6"/>
    <w:rsid w:val="002138D9"/>
    <w:rsid w:val="0021390B"/>
    <w:rsid w:val="00213B6A"/>
    <w:rsid w:val="00214046"/>
    <w:rsid w:val="00214050"/>
    <w:rsid w:val="0021408E"/>
    <w:rsid w:val="00214124"/>
    <w:rsid w:val="00214151"/>
    <w:rsid w:val="002141E3"/>
    <w:rsid w:val="0021426F"/>
    <w:rsid w:val="002142E4"/>
    <w:rsid w:val="00214340"/>
    <w:rsid w:val="00214344"/>
    <w:rsid w:val="0021444A"/>
    <w:rsid w:val="00214530"/>
    <w:rsid w:val="00214533"/>
    <w:rsid w:val="002145FF"/>
    <w:rsid w:val="00214806"/>
    <w:rsid w:val="0021491E"/>
    <w:rsid w:val="00214A7A"/>
    <w:rsid w:val="00214B5C"/>
    <w:rsid w:val="00214BE9"/>
    <w:rsid w:val="00214C22"/>
    <w:rsid w:val="00214C3C"/>
    <w:rsid w:val="00214D44"/>
    <w:rsid w:val="00214D71"/>
    <w:rsid w:val="00214EE9"/>
    <w:rsid w:val="00214EED"/>
    <w:rsid w:val="00214F10"/>
    <w:rsid w:val="0021505D"/>
    <w:rsid w:val="00215102"/>
    <w:rsid w:val="0021512C"/>
    <w:rsid w:val="0021529D"/>
    <w:rsid w:val="002152E2"/>
    <w:rsid w:val="002152FC"/>
    <w:rsid w:val="00215622"/>
    <w:rsid w:val="002158BA"/>
    <w:rsid w:val="00215A22"/>
    <w:rsid w:val="00215A44"/>
    <w:rsid w:val="00215A48"/>
    <w:rsid w:val="00215D2D"/>
    <w:rsid w:val="00215F9B"/>
    <w:rsid w:val="00215FB8"/>
    <w:rsid w:val="002162FE"/>
    <w:rsid w:val="00216339"/>
    <w:rsid w:val="002163C2"/>
    <w:rsid w:val="00216509"/>
    <w:rsid w:val="002166C2"/>
    <w:rsid w:val="002166E9"/>
    <w:rsid w:val="00216729"/>
    <w:rsid w:val="0021685C"/>
    <w:rsid w:val="00216A1F"/>
    <w:rsid w:val="00216AD8"/>
    <w:rsid w:val="00216BBA"/>
    <w:rsid w:val="00216CBF"/>
    <w:rsid w:val="00216D0B"/>
    <w:rsid w:val="00216F71"/>
    <w:rsid w:val="0021737E"/>
    <w:rsid w:val="002173B5"/>
    <w:rsid w:val="00217A00"/>
    <w:rsid w:val="00217EF5"/>
    <w:rsid w:val="00217F7B"/>
    <w:rsid w:val="0022007E"/>
    <w:rsid w:val="00220159"/>
    <w:rsid w:val="002201B8"/>
    <w:rsid w:val="0022027E"/>
    <w:rsid w:val="002203E1"/>
    <w:rsid w:val="002205E0"/>
    <w:rsid w:val="00220738"/>
    <w:rsid w:val="00220821"/>
    <w:rsid w:val="00220927"/>
    <w:rsid w:val="00220930"/>
    <w:rsid w:val="00220A03"/>
    <w:rsid w:val="00220AE9"/>
    <w:rsid w:val="00220BA2"/>
    <w:rsid w:val="00220BC7"/>
    <w:rsid w:val="00220D38"/>
    <w:rsid w:val="00220E0E"/>
    <w:rsid w:val="00220E13"/>
    <w:rsid w:val="00220EEE"/>
    <w:rsid w:val="0022118A"/>
    <w:rsid w:val="00221207"/>
    <w:rsid w:val="00221244"/>
    <w:rsid w:val="00221358"/>
    <w:rsid w:val="002213EF"/>
    <w:rsid w:val="002214EB"/>
    <w:rsid w:val="00221588"/>
    <w:rsid w:val="00221655"/>
    <w:rsid w:val="00221800"/>
    <w:rsid w:val="00221AB7"/>
    <w:rsid w:val="00221D32"/>
    <w:rsid w:val="00221D8E"/>
    <w:rsid w:val="00221DF1"/>
    <w:rsid w:val="00221F35"/>
    <w:rsid w:val="00221FA5"/>
    <w:rsid w:val="0022206E"/>
    <w:rsid w:val="002221F7"/>
    <w:rsid w:val="002224FB"/>
    <w:rsid w:val="002225C0"/>
    <w:rsid w:val="002226DA"/>
    <w:rsid w:val="00222822"/>
    <w:rsid w:val="00222948"/>
    <w:rsid w:val="00222C58"/>
    <w:rsid w:val="00222F3A"/>
    <w:rsid w:val="0022305D"/>
    <w:rsid w:val="00223077"/>
    <w:rsid w:val="002231C3"/>
    <w:rsid w:val="002231FD"/>
    <w:rsid w:val="00223317"/>
    <w:rsid w:val="0022337D"/>
    <w:rsid w:val="002233E7"/>
    <w:rsid w:val="002234D2"/>
    <w:rsid w:val="002234EF"/>
    <w:rsid w:val="00223536"/>
    <w:rsid w:val="0022359D"/>
    <w:rsid w:val="002235B7"/>
    <w:rsid w:val="002235F2"/>
    <w:rsid w:val="00223877"/>
    <w:rsid w:val="002239B2"/>
    <w:rsid w:val="00223AA8"/>
    <w:rsid w:val="00223B37"/>
    <w:rsid w:val="00223CDE"/>
    <w:rsid w:val="00223D1C"/>
    <w:rsid w:val="00223E9C"/>
    <w:rsid w:val="00223F37"/>
    <w:rsid w:val="00223F3E"/>
    <w:rsid w:val="00223FBC"/>
    <w:rsid w:val="00224070"/>
    <w:rsid w:val="002240BC"/>
    <w:rsid w:val="0022427C"/>
    <w:rsid w:val="002242ED"/>
    <w:rsid w:val="00224591"/>
    <w:rsid w:val="002245AE"/>
    <w:rsid w:val="002245CF"/>
    <w:rsid w:val="00224617"/>
    <w:rsid w:val="00224BE7"/>
    <w:rsid w:val="00224DF9"/>
    <w:rsid w:val="00224E00"/>
    <w:rsid w:val="00224F94"/>
    <w:rsid w:val="00225159"/>
    <w:rsid w:val="0022533A"/>
    <w:rsid w:val="002253F7"/>
    <w:rsid w:val="00225429"/>
    <w:rsid w:val="00225481"/>
    <w:rsid w:val="0022552A"/>
    <w:rsid w:val="0022556B"/>
    <w:rsid w:val="002255A4"/>
    <w:rsid w:val="002255E9"/>
    <w:rsid w:val="0022568F"/>
    <w:rsid w:val="002256FC"/>
    <w:rsid w:val="00225704"/>
    <w:rsid w:val="002257F3"/>
    <w:rsid w:val="002258A0"/>
    <w:rsid w:val="002258BA"/>
    <w:rsid w:val="002259A0"/>
    <w:rsid w:val="002259EF"/>
    <w:rsid w:val="00225A1D"/>
    <w:rsid w:val="00225ADB"/>
    <w:rsid w:val="00225BCE"/>
    <w:rsid w:val="00225BF1"/>
    <w:rsid w:val="00225E72"/>
    <w:rsid w:val="00225ED2"/>
    <w:rsid w:val="00225F81"/>
    <w:rsid w:val="00225FE9"/>
    <w:rsid w:val="002260D2"/>
    <w:rsid w:val="002261BE"/>
    <w:rsid w:val="00226269"/>
    <w:rsid w:val="002263AD"/>
    <w:rsid w:val="0022659E"/>
    <w:rsid w:val="00226618"/>
    <w:rsid w:val="0022662D"/>
    <w:rsid w:val="002267B5"/>
    <w:rsid w:val="00226886"/>
    <w:rsid w:val="002268F0"/>
    <w:rsid w:val="00226A65"/>
    <w:rsid w:val="00226A85"/>
    <w:rsid w:val="00226AE7"/>
    <w:rsid w:val="00226C0E"/>
    <w:rsid w:val="00226C12"/>
    <w:rsid w:val="00226D0D"/>
    <w:rsid w:val="00226D63"/>
    <w:rsid w:val="00226F38"/>
    <w:rsid w:val="002270A5"/>
    <w:rsid w:val="00227147"/>
    <w:rsid w:val="0022719C"/>
    <w:rsid w:val="002271CA"/>
    <w:rsid w:val="002274CD"/>
    <w:rsid w:val="002275DE"/>
    <w:rsid w:val="0022767F"/>
    <w:rsid w:val="002276CB"/>
    <w:rsid w:val="00227712"/>
    <w:rsid w:val="0022775D"/>
    <w:rsid w:val="00227839"/>
    <w:rsid w:val="00227883"/>
    <w:rsid w:val="00227951"/>
    <w:rsid w:val="002279AC"/>
    <w:rsid w:val="002279F1"/>
    <w:rsid w:val="00227A0B"/>
    <w:rsid w:val="00227A16"/>
    <w:rsid w:val="00227B89"/>
    <w:rsid w:val="00227BED"/>
    <w:rsid w:val="00227D4E"/>
    <w:rsid w:val="00227E17"/>
    <w:rsid w:val="00227FCD"/>
    <w:rsid w:val="00230003"/>
    <w:rsid w:val="002300F0"/>
    <w:rsid w:val="0023022A"/>
    <w:rsid w:val="002302F7"/>
    <w:rsid w:val="00230347"/>
    <w:rsid w:val="00230374"/>
    <w:rsid w:val="00230446"/>
    <w:rsid w:val="002305C0"/>
    <w:rsid w:val="00230615"/>
    <w:rsid w:val="0023062F"/>
    <w:rsid w:val="00230663"/>
    <w:rsid w:val="00230A1B"/>
    <w:rsid w:val="00230BB8"/>
    <w:rsid w:val="00230C13"/>
    <w:rsid w:val="00230C17"/>
    <w:rsid w:val="00230CC7"/>
    <w:rsid w:val="00230CEC"/>
    <w:rsid w:val="00230D54"/>
    <w:rsid w:val="00230EB4"/>
    <w:rsid w:val="002311C1"/>
    <w:rsid w:val="002313F9"/>
    <w:rsid w:val="00231407"/>
    <w:rsid w:val="00231491"/>
    <w:rsid w:val="002315D4"/>
    <w:rsid w:val="0023198C"/>
    <w:rsid w:val="002319D4"/>
    <w:rsid w:val="00231CCB"/>
    <w:rsid w:val="00231DA9"/>
    <w:rsid w:val="00231DC6"/>
    <w:rsid w:val="00231E49"/>
    <w:rsid w:val="00231E68"/>
    <w:rsid w:val="00231E6D"/>
    <w:rsid w:val="002324C5"/>
    <w:rsid w:val="002324EE"/>
    <w:rsid w:val="002327DE"/>
    <w:rsid w:val="00232820"/>
    <w:rsid w:val="0023287E"/>
    <w:rsid w:val="002328F9"/>
    <w:rsid w:val="002329EC"/>
    <w:rsid w:val="00232D4C"/>
    <w:rsid w:val="00232E42"/>
    <w:rsid w:val="00233160"/>
    <w:rsid w:val="00233175"/>
    <w:rsid w:val="002332A3"/>
    <w:rsid w:val="002332C6"/>
    <w:rsid w:val="0023334C"/>
    <w:rsid w:val="00233362"/>
    <w:rsid w:val="002333B8"/>
    <w:rsid w:val="00233652"/>
    <w:rsid w:val="00233709"/>
    <w:rsid w:val="0023377C"/>
    <w:rsid w:val="002337FE"/>
    <w:rsid w:val="00233861"/>
    <w:rsid w:val="00233884"/>
    <w:rsid w:val="0023395E"/>
    <w:rsid w:val="002339ED"/>
    <w:rsid w:val="00233C0A"/>
    <w:rsid w:val="00233D84"/>
    <w:rsid w:val="00233DBE"/>
    <w:rsid w:val="00233DC8"/>
    <w:rsid w:val="00233DDD"/>
    <w:rsid w:val="00233DFF"/>
    <w:rsid w:val="00233FA2"/>
    <w:rsid w:val="00233FE6"/>
    <w:rsid w:val="002340A7"/>
    <w:rsid w:val="00234286"/>
    <w:rsid w:val="002342DB"/>
    <w:rsid w:val="0023431B"/>
    <w:rsid w:val="002344D5"/>
    <w:rsid w:val="00234585"/>
    <w:rsid w:val="00234791"/>
    <w:rsid w:val="002347B6"/>
    <w:rsid w:val="00234808"/>
    <w:rsid w:val="002348B5"/>
    <w:rsid w:val="00234935"/>
    <w:rsid w:val="00234A40"/>
    <w:rsid w:val="00234BE9"/>
    <w:rsid w:val="00234BF1"/>
    <w:rsid w:val="00234E4D"/>
    <w:rsid w:val="00234F4D"/>
    <w:rsid w:val="002350C2"/>
    <w:rsid w:val="00235113"/>
    <w:rsid w:val="002351FC"/>
    <w:rsid w:val="00235290"/>
    <w:rsid w:val="002352A1"/>
    <w:rsid w:val="002352A4"/>
    <w:rsid w:val="002352DC"/>
    <w:rsid w:val="00235300"/>
    <w:rsid w:val="002353A0"/>
    <w:rsid w:val="002353BF"/>
    <w:rsid w:val="002354C5"/>
    <w:rsid w:val="00235539"/>
    <w:rsid w:val="00235560"/>
    <w:rsid w:val="00235681"/>
    <w:rsid w:val="002356EC"/>
    <w:rsid w:val="002357CA"/>
    <w:rsid w:val="00235B7F"/>
    <w:rsid w:val="00235B86"/>
    <w:rsid w:val="00235BCC"/>
    <w:rsid w:val="00235DE3"/>
    <w:rsid w:val="00235E5F"/>
    <w:rsid w:val="00235FF2"/>
    <w:rsid w:val="00236100"/>
    <w:rsid w:val="0023612C"/>
    <w:rsid w:val="00236380"/>
    <w:rsid w:val="0023647E"/>
    <w:rsid w:val="002364AC"/>
    <w:rsid w:val="002364F3"/>
    <w:rsid w:val="00236563"/>
    <w:rsid w:val="002365E2"/>
    <w:rsid w:val="002366F9"/>
    <w:rsid w:val="002368A4"/>
    <w:rsid w:val="002369F7"/>
    <w:rsid w:val="00236AE7"/>
    <w:rsid w:val="00236FE3"/>
    <w:rsid w:val="0023701C"/>
    <w:rsid w:val="00237445"/>
    <w:rsid w:val="00237455"/>
    <w:rsid w:val="00237515"/>
    <w:rsid w:val="0023790E"/>
    <w:rsid w:val="00237A5F"/>
    <w:rsid w:val="00237D06"/>
    <w:rsid w:val="00237D29"/>
    <w:rsid w:val="00237DE2"/>
    <w:rsid w:val="00237DFD"/>
    <w:rsid w:val="00237FD7"/>
    <w:rsid w:val="002402FE"/>
    <w:rsid w:val="00240328"/>
    <w:rsid w:val="0024055E"/>
    <w:rsid w:val="002405A8"/>
    <w:rsid w:val="002405F5"/>
    <w:rsid w:val="002406BE"/>
    <w:rsid w:val="002407B8"/>
    <w:rsid w:val="0024080E"/>
    <w:rsid w:val="00240827"/>
    <w:rsid w:val="00240A75"/>
    <w:rsid w:val="00240A7B"/>
    <w:rsid w:val="00240C9F"/>
    <w:rsid w:val="00240F65"/>
    <w:rsid w:val="00241088"/>
    <w:rsid w:val="002411EC"/>
    <w:rsid w:val="00241676"/>
    <w:rsid w:val="00241A39"/>
    <w:rsid w:val="00241AE4"/>
    <w:rsid w:val="00241E0D"/>
    <w:rsid w:val="00241FC0"/>
    <w:rsid w:val="002420B5"/>
    <w:rsid w:val="0024259F"/>
    <w:rsid w:val="00242736"/>
    <w:rsid w:val="00242896"/>
    <w:rsid w:val="002428E1"/>
    <w:rsid w:val="00242F4F"/>
    <w:rsid w:val="00243153"/>
    <w:rsid w:val="002434A1"/>
    <w:rsid w:val="00243512"/>
    <w:rsid w:val="00243548"/>
    <w:rsid w:val="00243673"/>
    <w:rsid w:val="002437B9"/>
    <w:rsid w:val="002437E1"/>
    <w:rsid w:val="00243A59"/>
    <w:rsid w:val="00243CF6"/>
    <w:rsid w:val="00243D04"/>
    <w:rsid w:val="00243D12"/>
    <w:rsid w:val="00243E84"/>
    <w:rsid w:val="002440AE"/>
    <w:rsid w:val="0024418C"/>
    <w:rsid w:val="00244206"/>
    <w:rsid w:val="00244270"/>
    <w:rsid w:val="002442CC"/>
    <w:rsid w:val="002442D4"/>
    <w:rsid w:val="002442EB"/>
    <w:rsid w:val="0024432B"/>
    <w:rsid w:val="002443DD"/>
    <w:rsid w:val="00244A45"/>
    <w:rsid w:val="00244AC5"/>
    <w:rsid w:val="00244D5A"/>
    <w:rsid w:val="00244F19"/>
    <w:rsid w:val="00244F32"/>
    <w:rsid w:val="00244F82"/>
    <w:rsid w:val="002450D4"/>
    <w:rsid w:val="00245305"/>
    <w:rsid w:val="00245407"/>
    <w:rsid w:val="002457DE"/>
    <w:rsid w:val="00245801"/>
    <w:rsid w:val="00245850"/>
    <w:rsid w:val="0024585A"/>
    <w:rsid w:val="00245972"/>
    <w:rsid w:val="00245AF0"/>
    <w:rsid w:val="00245CDA"/>
    <w:rsid w:val="00245DF2"/>
    <w:rsid w:val="00245EA6"/>
    <w:rsid w:val="00245F0F"/>
    <w:rsid w:val="00245F75"/>
    <w:rsid w:val="002461F2"/>
    <w:rsid w:val="00246435"/>
    <w:rsid w:val="002466FA"/>
    <w:rsid w:val="00246756"/>
    <w:rsid w:val="00246B13"/>
    <w:rsid w:val="00246B8B"/>
    <w:rsid w:val="00246BCF"/>
    <w:rsid w:val="00246C57"/>
    <w:rsid w:val="00246C82"/>
    <w:rsid w:val="00246D19"/>
    <w:rsid w:val="00246E9C"/>
    <w:rsid w:val="00247003"/>
    <w:rsid w:val="00247204"/>
    <w:rsid w:val="002472FC"/>
    <w:rsid w:val="002473C6"/>
    <w:rsid w:val="002474F4"/>
    <w:rsid w:val="00247501"/>
    <w:rsid w:val="00247686"/>
    <w:rsid w:val="00247688"/>
    <w:rsid w:val="0024790F"/>
    <w:rsid w:val="002479CF"/>
    <w:rsid w:val="00247A0B"/>
    <w:rsid w:val="00247A30"/>
    <w:rsid w:val="00247C75"/>
    <w:rsid w:val="00247DB0"/>
    <w:rsid w:val="00247DC4"/>
    <w:rsid w:val="00247F2F"/>
    <w:rsid w:val="00247F85"/>
    <w:rsid w:val="00250016"/>
    <w:rsid w:val="002500A1"/>
    <w:rsid w:val="00250292"/>
    <w:rsid w:val="00250493"/>
    <w:rsid w:val="00250605"/>
    <w:rsid w:val="0025079C"/>
    <w:rsid w:val="002508A0"/>
    <w:rsid w:val="002508F8"/>
    <w:rsid w:val="00250926"/>
    <w:rsid w:val="0025094A"/>
    <w:rsid w:val="00250A68"/>
    <w:rsid w:val="00250AC0"/>
    <w:rsid w:val="00250BD7"/>
    <w:rsid w:val="00250CE8"/>
    <w:rsid w:val="00250D56"/>
    <w:rsid w:val="00250E46"/>
    <w:rsid w:val="00250E9E"/>
    <w:rsid w:val="00250EBC"/>
    <w:rsid w:val="00250F13"/>
    <w:rsid w:val="00251116"/>
    <w:rsid w:val="00251199"/>
    <w:rsid w:val="00251212"/>
    <w:rsid w:val="00251245"/>
    <w:rsid w:val="002512BF"/>
    <w:rsid w:val="00251320"/>
    <w:rsid w:val="0025136B"/>
    <w:rsid w:val="00251469"/>
    <w:rsid w:val="00251534"/>
    <w:rsid w:val="002518E6"/>
    <w:rsid w:val="00251926"/>
    <w:rsid w:val="00251974"/>
    <w:rsid w:val="00251B1C"/>
    <w:rsid w:val="00251BC3"/>
    <w:rsid w:val="00251CA2"/>
    <w:rsid w:val="00251D4E"/>
    <w:rsid w:val="00251ED5"/>
    <w:rsid w:val="00251F22"/>
    <w:rsid w:val="00252057"/>
    <w:rsid w:val="00252075"/>
    <w:rsid w:val="0025214D"/>
    <w:rsid w:val="002523D0"/>
    <w:rsid w:val="002523F1"/>
    <w:rsid w:val="00252428"/>
    <w:rsid w:val="00252449"/>
    <w:rsid w:val="00252555"/>
    <w:rsid w:val="00252944"/>
    <w:rsid w:val="00252969"/>
    <w:rsid w:val="00252C15"/>
    <w:rsid w:val="00252D08"/>
    <w:rsid w:val="00252E81"/>
    <w:rsid w:val="00252FAB"/>
    <w:rsid w:val="002530A8"/>
    <w:rsid w:val="0025311C"/>
    <w:rsid w:val="00253183"/>
    <w:rsid w:val="002532C4"/>
    <w:rsid w:val="002535E8"/>
    <w:rsid w:val="0025366E"/>
    <w:rsid w:val="0025369B"/>
    <w:rsid w:val="002536C7"/>
    <w:rsid w:val="0025373D"/>
    <w:rsid w:val="00253CAE"/>
    <w:rsid w:val="00253D13"/>
    <w:rsid w:val="00253E08"/>
    <w:rsid w:val="00253E91"/>
    <w:rsid w:val="00253EFB"/>
    <w:rsid w:val="00253F7D"/>
    <w:rsid w:val="0025410C"/>
    <w:rsid w:val="0025412B"/>
    <w:rsid w:val="0025414A"/>
    <w:rsid w:val="0025420D"/>
    <w:rsid w:val="0025426D"/>
    <w:rsid w:val="00254549"/>
    <w:rsid w:val="00254563"/>
    <w:rsid w:val="002545AD"/>
    <w:rsid w:val="0025469E"/>
    <w:rsid w:val="0025481E"/>
    <w:rsid w:val="0025485C"/>
    <w:rsid w:val="002548D9"/>
    <w:rsid w:val="002548DE"/>
    <w:rsid w:val="00254938"/>
    <w:rsid w:val="00254BFF"/>
    <w:rsid w:val="00254D05"/>
    <w:rsid w:val="00254D75"/>
    <w:rsid w:val="00254EEA"/>
    <w:rsid w:val="00254EEE"/>
    <w:rsid w:val="002552A3"/>
    <w:rsid w:val="002552DB"/>
    <w:rsid w:val="00255422"/>
    <w:rsid w:val="0025542D"/>
    <w:rsid w:val="0025557D"/>
    <w:rsid w:val="0025565E"/>
    <w:rsid w:val="00255691"/>
    <w:rsid w:val="002556AE"/>
    <w:rsid w:val="0025570D"/>
    <w:rsid w:val="00255B89"/>
    <w:rsid w:val="00255BF1"/>
    <w:rsid w:val="00255C1B"/>
    <w:rsid w:val="00255D75"/>
    <w:rsid w:val="00255D9C"/>
    <w:rsid w:val="00255E1B"/>
    <w:rsid w:val="00255E89"/>
    <w:rsid w:val="00255F3F"/>
    <w:rsid w:val="002562B7"/>
    <w:rsid w:val="00256348"/>
    <w:rsid w:val="002564C0"/>
    <w:rsid w:val="002564D4"/>
    <w:rsid w:val="00256585"/>
    <w:rsid w:val="0025663D"/>
    <w:rsid w:val="00256698"/>
    <w:rsid w:val="002567E9"/>
    <w:rsid w:val="00256861"/>
    <w:rsid w:val="002569B9"/>
    <w:rsid w:val="002569E6"/>
    <w:rsid w:val="00256CB6"/>
    <w:rsid w:val="00256CDC"/>
    <w:rsid w:val="00256D25"/>
    <w:rsid w:val="00256D29"/>
    <w:rsid w:val="00257035"/>
    <w:rsid w:val="002570A2"/>
    <w:rsid w:val="00257125"/>
    <w:rsid w:val="00257309"/>
    <w:rsid w:val="002573E5"/>
    <w:rsid w:val="002573EC"/>
    <w:rsid w:val="0025745C"/>
    <w:rsid w:val="0025759B"/>
    <w:rsid w:val="0025785F"/>
    <w:rsid w:val="00257861"/>
    <w:rsid w:val="002578A4"/>
    <w:rsid w:val="0025798D"/>
    <w:rsid w:val="00257A71"/>
    <w:rsid w:val="00257B77"/>
    <w:rsid w:val="00257D58"/>
    <w:rsid w:val="00257D5B"/>
    <w:rsid w:val="00257E28"/>
    <w:rsid w:val="00257F57"/>
    <w:rsid w:val="00257FD2"/>
    <w:rsid w:val="00257FF2"/>
    <w:rsid w:val="002600FD"/>
    <w:rsid w:val="00260101"/>
    <w:rsid w:val="002601BB"/>
    <w:rsid w:val="00260390"/>
    <w:rsid w:val="002603C5"/>
    <w:rsid w:val="002604A2"/>
    <w:rsid w:val="002604B8"/>
    <w:rsid w:val="002608DA"/>
    <w:rsid w:val="00260940"/>
    <w:rsid w:val="002609FF"/>
    <w:rsid w:val="00260C3E"/>
    <w:rsid w:val="00260DB3"/>
    <w:rsid w:val="0026106D"/>
    <w:rsid w:val="00261071"/>
    <w:rsid w:val="00261144"/>
    <w:rsid w:val="00261315"/>
    <w:rsid w:val="002613DA"/>
    <w:rsid w:val="002613F8"/>
    <w:rsid w:val="002614B4"/>
    <w:rsid w:val="00261512"/>
    <w:rsid w:val="002615B8"/>
    <w:rsid w:val="0026169F"/>
    <w:rsid w:val="002618A0"/>
    <w:rsid w:val="002619C8"/>
    <w:rsid w:val="00261AD0"/>
    <w:rsid w:val="00261CD8"/>
    <w:rsid w:val="00261D93"/>
    <w:rsid w:val="00261DD0"/>
    <w:rsid w:val="00261E83"/>
    <w:rsid w:val="00261EED"/>
    <w:rsid w:val="00262007"/>
    <w:rsid w:val="0026210A"/>
    <w:rsid w:val="00262221"/>
    <w:rsid w:val="00262503"/>
    <w:rsid w:val="00262583"/>
    <w:rsid w:val="0026269C"/>
    <w:rsid w:val="00262752"/>
    <w:rsid w:val="00262762"/>
    <w:rsid w:val="00262904"/>
    <w:rsid w:val="0026291C"/>
    <w:rsid w:val="00262C08"/>
    <w:rsid w:val="00262C80"/>
    <w:rsid w:val="00262D1F"/>
    <w:rsid w:val="00262F2F"/>
    <w:rsid w:val="00262F95"/>
    <w:rsid w:val="002630A1"/>
    <w:rsid w:val="002631F1"/>
    <w:rsid w:val="00263323"/>
    <w:rsid w:val="0026333F"/>
    <w:rsid w:val="0026334C"/>
    <w:rsid w:val="00263352"/>
    <w:rsid w:val="00263372"/>
    <w:rsid w:val="002633F3"/>
    <w:rsid w:val="0026349B"/>
    <w:rsid w:val="002634B1"/>
    <w:rsid w:val="0026357E"/>
    <w:rsid w:val="00263635"/>
    <w:rsid w:val="0026365E"/>
    <w:rsid w:val="00263A36"/>
    <w:rsid w:val="00263B50"/>
    <w:rsid w:val="00263B9E"/>
    <w:rsid w:val="00263BC4"/>
    <w:rsid w:val="00263C3B"/>
    <w:rsid w:val="00263CEF"/>
    <w:rsid w:val="00264014"/>
    <w:rsid w:val="0026404A"/>
    <w:rsid w:val="0026417E"/>
    <w:rsid w:val="00264324"/>
    <w:rsid w:val="0026436F"/>
    <w:rsid w:val="0026458B"/>
    <w:rsid w:val="002645C4"/>
    <w:rsid w:val="002645CD"/>
    <w:rsid w:val="00264654"/>
    <w:rsid w:val="002646F1"/>
    <w:rsid w:val="00264951"/>
    <w:rsid w:val="00264959"/>
    <w:rsid w:val="00264962"/>
    <w:rsid w:val="00264969"/>
    <w:rsid w:val="002649C7"/>
    <w:rsid w:val="00264AC3"/>
    <w:rsid w:val="00264C7D"/>
    <w:rsid w:val="00264D56"/>
    <w:rsid w:val="00264DA6"/>
    <w:rsid w:val="00264DF6"/>
    <w:rsid w:val="00264E14"/>
    <w:rsid w:val="00264F73"/>
    <w:rsid w:val="0026501B"/>
    <w:rsid w:val="002650C6"/>
    <w:rsid w:val="0026516A"/>
    <w:rsid w:val="00265219"/>
    <w:rsid w:val="00265471"/>
    <w:rsid w:val="002655E1"/>
    <w:rsid w:val="00265918"/>
    <w:rsid w:val="00265998"/>
    <w:rsid w:val="00265DA8"/>
    <w:rsid w:val="00265DC4"/>
    <w:rsid w:val="00265E7B"/>
    <w:rsid w:val="00265FE9"/>
    <w:rsid w:val="0026637B"/>
    <w:rsid w:val="00266550"/>
    <w:rsid w:val="002668BE"/>
    <w:rsid w:val="00266934"/>
    <w:rsid w:val="00266AB8"/>
    <w:rsid w:val="00266ABB"/>
    <w:rsid w:val="00266AFD"/>
    <w:rsid w:val="00266CEA"/>
    <w:rsid w:val="00266D7D"/>
    <w:rsid w:val="00266DD2"/>
    <w:rsid w:val="00267087"/>
    <w:rsid w:val="00267287"/>
    <w:rsid w:val="0026744A"/>
    <w:rsid w:val="0026754E"/>
    <w:rsid w:val="00267877"/>
    <w:rsid w:val="00267976"/>
    <w:rsid w:val="00267A9D"/>
    <w:rsid w:val="00267B39"/>
    <w:rsid w:val="00267C84"/>
    <w:rsid w:val="00267D30"/>
    <w:rsid w:val="00267F4F"/>
    <w:rsid w:val="002700F7"/>
    <w:rsid w:val="0027028F"/>
    <w:rsid w:val="0027038C"/>
    <w:rsid w:val="00270441"/>
    <w:rsid w:val="002704AA"/>
    <w:rsid w:val="002705EE"/>
    <w:rsid w:val="00270732"/>
    <w:rsid w:val="00270834"/>
    <w:rsid w:val="002708DB"/>
    <w:rsid w:val="00270935"/>
    <w:rsid w:val="00270AB4"/>
    <w:rsid w:val="00270BAA"/>
    <w:rsid w:val="00270DBE"/>
    <w:rsid w:val="0027116F"/>
    <w:rsid w:val="00271195"/>
    <w:rsid w:val="002715B8"/>
    <w:rsid w:val="002716BB"/>
    <w:rsid w:val="002716D6"/>
    <w:rsid w:val="00271772"/>
    <w:rsid w:val="002718BF"/>
    <w:rsid w:val="002718DE"/>
    <w:rsid w:val="00271C1E"/>
    <w:rsid w:val="00271CAB"/>
    <w:rsid w:val="00271E38"/>
    <w:rsid w:val="00271E7A"/>
    <w:rsid w:val="00271EEA"/>
    <w:rsid w:val="00271FBE"/>
    <w:rsid w:val="00271FE0"/>
    <w:rsid w:val="002721B2"/>
    <w:rsid w:val="00272270"/>
    <w:rsid w:val="0027235A"/>
    <w:rsid w:val="00272597"/>
    <w:rsid w:val="002725C5"/>
    <w:rsid w:val="002725FA"/>
    <w:rsid w:val="00272615"/>
    <w:rsid w:val="00272637"/>
    <w:rsid w:val="0027269C"/>
    <w:rsid w:val="002728A9"/>
    <w:rsid w:val="0027295B"/>
    <w:rsid w:val="0027297A"/>
    <w:rsid w:val="00272A18"/>
    <w:rsid w:val="00272A83"/>
    <w:rsid w:val="00272B3C"/>
    <w:rsid w:val="00272BA7"/>
    <w:rsid w:val="00272BEE"/>
    <w:rsid w:val="00272CF5"/>
    <w:rsid w:val="00272EB3"/>
    <w:rsid w:val="00272F38"/>
    <w:rsid w:val="00272F8D"/>
    <w:rsid w:val="00272FF1"/>
    <w:rsid w:val="00273116"/>
    <w:rsid w:val="002733B7"/>
    <w:rsid w:val="002733CA"/>
    <w:rsid w:val="002733FA"/>
    <w:rsid w:val="00273416"/>
    <w:rsid w:val="0027351D"/>
    <w:rsid w:val="00273576"/>
    <w:rsid w:val="00273676"/>
    <w:rsid w:val="00273711"/>
    <w:rsid w:val="002737EF"/>
    <w:rsid w:val="002738A0"/>
    <w:rsid w:val="00273924"/>
    <w:rsid w:val="00273A15"/>
    <w:rsid w:val="00273A7B"/>
    <w:rsid w:val="00273E86"/>
    <w:rsid w:val="0027403E"/>
    <w:rsid w:val="00274364"/>
    <w:rsid w:val="0027436C"/>
    <w:rsid w:val="00274756"/>
    <w:rsid w:val="00274785"/>
    <w:rsid w:val="002747E6"/>
    <w:rsid w:val="0027485A"/>
    <w:rsid w:val="002748AD"/>
    <w:rsid w:val="00274BE9"/>
    <w:rsid w:val="00274C06"/>
    <w:rsid w:val="00274DB7"/>
    <w:rsid w:val="00274E38"/>
    <w:rsid w:val="00274F24"/>
    <w:rsid w:val="00274F48"/>
    <w:rsid w:val="002750F5"/>
    <w:rsid w:val="0027529A"/>
    <w:rsid w:val="0027541D"/>
    <w:rsid w:val="002755BA"/>
    <w:rsid w:val="002756CB"/>
    <w:rsid w:val="00275712"/>
    <w:rsid w:val="00275A7A"/>
    <w:rsid w:val="00275C59"/>
    <w:rsid w:val="00275DC9"/>
    <w:rsid w:val="00275E6F"/>
    <w:rsid w:val="00275FE9"/>
    <w:rsid w:val="0027605E"/>
    <w:rsid w:val="0027606E"/>
    <w:rsid w:val="00276103"/>
    <w:rsid w:val="002762DC"/>
    <w:rsid w:val="002765B8"/>
    <w:rsid w:val="002765D5"/>
    <w:rsid w:val="00276628"/>
    <w:rsid w:val="002766E8"/>
    <w:rsid w:val="00276703"/>
    <w:rsid w:val="00276738"/>
    <w:rsid w:val="002768A0"/>
    <w:rsid w:val="00276905"/>
    <w:rsid w:val="0027698B"/>
    <w:rsid w:val="00276A27"/>
    <w:rsid w:val="00276AAE"/>
    <w:rsid w:val="00276B43"/>
    <w:rsid w:val="00276BA7"/>
    <w:rsid w:val="00276CE9"/>
    <w:rsid w:val="0027700E"/>
    <w:rsid w:val="00277213"/>
    <w:rsid w:val="00277BD2"/>
    <w:rsid w:val="00277BF3"/>
    <w:rsid w:val="002802BE"/>
    <w:rsid w:val="00280308"/>
    <w:rsid w:val="00280363"/>
    <w:rsid w:val="002803E7"/>
    <w:rsid w:val="002804FB"/>
    <w:rsid w:val="0028068D"/>
    <w:rsid w:val="0028068E"/>
    <w:rsid w:val="00280738"/>
    <w:rsid w:val="00280969"/>
    <w:rsid w:val="00280AB1"/>
    <w:rsid w:val="00280C35"/>
    <w:rsid w:val="00280CAF"/>
    <w:rsid w:val="00280CF2"/>
    <w:rsid w:val="00280E97"/>
    <w:rsid w:val="00280F17"/>
    <w:rsid w:val="00280F5B"/>
    <w:rsid w:val="002810C7"/>
    <w:rsid w:val="0028138D"/>
    <w:rsid w:val="002814E6"/>
    <w:rsid w:val="00281513"/>
    <w:rsid w:val="002815B5"/>
    <w:rsid w:val="0028163C"/>
    <w:rsid w:val="002816FA"/>
    <w:rsid w:val="0028173C"/>
    <w:rsid w:val="002818B5"/>
    <w:rsid w:val="00281923"/>
    <w:rsid w:val="00281967"/>
    <w:rsid w:val="0028197E"/>
    <w:rsid w:val="00281A21"/>
    <w:rsid w:val="00281A54"/>
    <w:rsid w:val="00281A9E"/>
    <w:rsid w:val="00281AA0"/>
    <w:rsid w:val="00281ACE"/>
    <w:rsid w:val="00281C8A"/>
    <w:rsid w:val="00281D66"/>
    <w:rsid w:val="00281E4D"/>
    <w:rsid w:val="00281FFF"/>
    <w:rsid w:val="0028203F"/>
    <w:rsid w:val="00282044"/>
    <w:rsid w:val="00282052"/>
    <w:rsid w:val="00282128"/>
    <w:rsid w:val="00282177"/>
    <w:rsid w:val="00282235"/>
    <w:rsid w:val="0028233B"/>
    <w:rsid w:val="00282477"/>
    <w:rsid w:val="0028256A"/>
    <w:rsid w:val="00282A23"/>
    <w:rsid w:val="00282AE5"/>
    <w:rsid w:val="00282B74"/>
    <w:rsid w:val="00282BA5"/>
    <w:rsid w:val="00283041"/>
    <w:rsid w:val="00283392"/>
    <w:rsid w:val="00283665"/>
    <w:rsid w:val="00283765"/>
    <w:rsid w:val="00283852"/>
    <w:rsid w:val="00283879"/>
    <w:rsid w:val="00283940"/>
    <w:rsid w:val="002839A1"/>
    <w:rsid w:val="00283C94"/>
    <w:rsid w:val="00283ED8"/>
    <w:rsid w:val="002840FB"/>
    <w:rsid w:val="00284187"/>
    <w:rsid w:val="002841B6"/>
    <w:rsid w:val="002842C5"/>
    <w:rsid w:val="00284360"/>
    <w:rsid w:val="00284387"/>
    <w:rsid w:val="0028441E"/>
    <w:rsid w:val="002844FF"/>
    <w:rsid w:val="002845AC"/>
    <w:rsid w:val="002846E2"/>
    <w:rsid w:val="00284F81"/>
    <w:rsid w:val="002850CD"/>
    <w:rsid w:val="002853C5"/>
    <w:rsid w:val="00285434"/>
    <w:rsid w:val="0028578A"/>
    <w:rsid w:val="002858E2"/>
    <w:rsid w:val="00285BDA"/>
    <w:rsid w:val="00285CEB"/>
    <w:rsid w:val="00285F73"/>
    <w:rsid w:val="00285FB5"/>
    <w:rsid w:val="00286326"/>
    <w:rsid w:val="0028633B"/>
    <w:rsid w:val="002864AA"/>
    <w:rsid w:val="00286545"/>
    <w:rsid w:val="002867F8"/>
    <w:rsid w:val="00286889"/>
    <w:rsid w:val="002868BD"/>
    <w:rsid w:val="002868FC"/>
    <w:rsid w:val="00286912"/>
    <w:rsid w:val="00286A83"/>
    <w:rsid w:val="00286B6B"/>
    <w:rsid w:val="00286CB7"/>
    <w:rsid w:val="00286CDC"/>
    <w:rsid w:val="00286D2F"/>
    <w:rsid w:val="00286D6B"/>
    <w:rsid w:val="00286DC8"/>
    <w:rsid w:val="00286DE2"/>
    <w:rsid w:val="00286E31"/>
    <w:rsid w:val="00286E41"/>
    <w:rsid w:val="00286FF2"/>
    <w:rsid w:val="00287114"/>
    <w:rsid w:val="00287187"/>
    <w:rsid w:val="00287188"/>
    <w:rsid w:val="00287189"/>
    <w:rsid w:val="002871AB"/>
    <w:rsid w:val="002872DD"/>
    <w:rsid w:val="002872E7"/>
    <w:rsid w:val="00287436"/>
    <w:rsid w:val="0028747A"/>
    <w:rsid w:val="00287560"/>
    <w:rsid w:val="002877B6"/>
    <w:rsid w:val="002879E0"/>
    <w:rsid w:val="00287A77"/>
    <w:rsid w:val="00287B10"/>
    <w:rsid w:val="00287B38"/>
    <w:rsid w:val="00287BAF"/>
    <w:rsid w:val="00287C86"/>
    <w:rsid w:val="00287D81"/>
    <w:rsid w:val="00287F98"/>
    <w:rsid w:val="00287FC3"/>
    <w:rsid w:val="0029005C"/>
    <w:rsid w:val="002900F5"/>
    <w:rsid w:val="00290194"/>
    <w:rsid w:val="002902D8"/>
    <w:rsid w:val="00290364"/>
    <w:rsid w:val="00290546"/>
    <w:rsid w:val="00290586"/>
    <w:rsid w:val="00290616"/>
    <w:rsid w:val="002907CE"/>
    <w:rsid w:val="00290820"/>
    <w:rsid w:val="002909ED"/>
    <w:rsid w:val="00290B1D"/>
    <w:rsid w:val="00290C49"/>
    <w:rsid w:val="00290C75"/>
    <w:rsid w:val="00290D8F"/>
    <w:rsid w:val="00290E18"/>
    <w:rsid w:val="00291087"/>
    <w:rsid w:val="0029148D"/>
    <w:rsid w:val="002914C4"/>
    <w:rsid w:val="002915E7"/>
    <w:rsid w:val="002915EF"/>
    <w:rsid w:val="00291746"/>
    <w:rsid w:val="00291A3A"/>
    <w:rsid w:val="00291A74"/>
    <w:rsid w:val="00291A8E"/>
    <w:rsid w:val="00291B41"/>
    <w:rsid w:val="00291E73"/>
    <w:rsid w:val="00291E92"/>
    <w:rsid w:val="0029220B"/>
    <w:rsid w:val="0029228B"/>
    <w:rsid w:val="0029237B"/>
    <w:rsid w:val="00292422"/>
    <w:rsid w:val="002925DC"/>
    <w:rsid w:val="002926B3"/>
    <w:rsid w:val="00292799"/>
    <w:rsid w:val="002927ED"/>
    <w:rsid w:val="0029285F"/>
    <w:rsid w:val="00292883"/>
    <w:rsid w:val="0029299A"/>
    <w:rsid w:val="00292B0C"/>
    <w:rsid w:val="00292D46"/>
    <w:rsid w:val="00292E99"/>
    <w:rsid w:val="00293081"/>
    <w:rsid w:val="002931FC"/>
    <w:rsid w:val="00293421"/>
    <w:rsid w:val="00293522"/>
    <w:rsid w:val="002936B4"/>
    <w:rsid w:val="00293793"/>
    <w:rsid w:val="0029389F"/>
    <w:rsid w:val="00293949"/>
    <w:rsid w:val="002939D4"/>
    <w:rsid w:val="00293B19"/>
    <w:rsid w:val="00293BD6"/>
    <w:rsid w:val="00293E22"/>
    <w:rsid w:val="00293E2E"/>
    <w:rsid w:val="00293EAE"/>
    <w:rsid w:val="00294069"/>
    <w:rsid w:val="00294181"/>
    <w:rsid w:val="00294300"/>
    <w:rsid w:val="0029434E"/>
    <w:rsid w:val="002943A9"/>
    <w:rsid w:val="002943D9"/>
    <w:rsid w:val="002944C1"/>
    <w:rsid w:val="002944C7"/>
    <w:rsid w:val="00294589"/>
    <w:rsid w:val="002945A3"/>
    <w:rsid w:val="00294635"/>
    <w:rsid w:val="00294686"/>
    <w:rsid w:val="002946B4"/>
    <w:rsid w:val="002946FB"/>
    <w:rsid w:val="00294969"/>
    <w:rsid w:val="00294AC7"/>
    <w:rsid w:val="00294AF2"/>
    <w:rsid w:val="00294C04"/>
    <w:rsid w:val="00294C38"/>
    <w:rsid w:val="00294DE2"/>
    <w:rsid w:val="00294EB6"/>
    <w:rsid w:val="00294FB7"/>
    <w:rsid w:val="0029514D"/>
    <w:rsid w:val="002951E6"/>
    <w:rsid w:val="00295330"/>
    <w:rsid w:val="0029547C"/>
    <w:rsid w:val="00295659"/>
    <w:rsid w:val="0029573D"/>
    <w:rsid w:val="002957D0"/>
    <w:rsid w:val="0029582C"/>
    <w:rsid w:val="00295852"/>
    <w:rsid w:val="0029585E"/>
    <w:rsid w:val="00295874"/>
    <w:rsid w:val="002959F6"/>
    <w:rsid w:val="00295A09"/>
    <w:rsid w:val="00295BA5"/>
    <w:rsid w:val="00295CB2"/>
    <w:rsid w:val="00295CE6"/>
    <w:rsid w:val="00295DCB"/>
    <w:rsid w:val="00295E62"/>
    <w:rsid w:val="00295F42"/>
    <w:rsid w:val="00295FA6"/>
    <w:rsid w:val="00296109"/>
    <w:rsid w:val="00296164"/>
    <w:rsid w:val="0029616F"/>
    <w:rsid w:val="00296189"/>
    <w:rsid w:val="00296257"/>
    <w:rsid w:val="002962E4"/>
    <w:rsid w:val="0029647A"/>
    <w:rsid w:val="002964C3"/>
    <w:rsid w:val="00296685"/>
    <w:rsid w:val="00296807"/>
    <w:rsid w:val="0029697C"/>
    <w:rsid w:val="0029698E"/>
    <w:rsid w:val="00296A41"/>
    <w:rsid w:val="00296AEA"/>
    <w:rsid w:val="0029773C"/>
    <w:rsid w:val="002977FA"/>
    <w:rsid w:val="00297802"/>
    <w:rsid w:val="00297828"/>
    <w:rsid w:val="00297983"/>
    <w:rsid w:val="00297B46"/>
    <w:rsid w:val="00297BE4"/>
    <w:rsid w:val="00297D41"/>
    <w:rsid w:val="00297E54"/>
    <w:rsid w:val="00297F62"/>
    <w:rsid w:val="00297F87"/>
    <w:rsid w:val="002A0021"/>
    <w:rsid w:val="002A0165"/>
    <w:rsid w:val="002A01A3"/>
    <w:rsid w:val="002A01BB"/>
    <w:rsid w:val="002A068A"/>
    <w:rsid w:val="002A0699"/>
    <w:rsid w:val="002A06A0"/>
    <w:rsid w:val="002A0714"/>
    <w:rsid w:val="002A0715"/>
    <w:rsid w:val="002A08CC"/>
    <w:rsid w:val="002A09A0"/>
    <w:rsid w:val="002A0B9C"/>
    <w:rsid w:val="002A0BF5"/>
    <w:rsid w:val="002A0C08"/>
    <w:rsid w:val="002A0CBD"/>
    <w:rsid w:val="002A0CE4"/>
    <w:rsid w:val="002A0E8A"/>
    <w:rsid w:val="002A0F20"/>
    <w:rsid w:val="002A0F4B"/>
    <w:rsid w:val="002A107B"/>
    <w:rsid w:val="002A1113"/>
    <w:rsid w:val="002A125E"/>
    <w:rsid w:val="002A1351"/>
    <w:rsid w:val="002A1484"/>
    <w:rsid w:val="002A149F"/>
    <w:rsid w:val="002A14BF"/>
    <w:rsid w:val="002A156D"/>
    <w:rsid w:val="002A16A2"/>
    <w:rsid w:val="002A18A7"/>
    <w:rsid w:val="002A18D9"/>
    <w:rsid w:val="002A1BB6"/>
    <w:rsid w:val="002A1DA1"/>
    <w:rsid w:val="002A1DB7"/>
    <w:rsid w:val="002A1EC6"/>
    <w:rsid w:val="002A214B"/>
    <w:rsid w:val="002A225B"/>
    <w:rsid w:val="002A2315"/>
    <w:rsid w:val="002A2387"/>
    <w:rsid w:val="002A257F"/>
    <w:rsid w:val="002A2593"/>
    <w:rsid w:val="002A26F6"/>
    <w:rsid w:val="002A27D5"/>
    <w:rsid w:val="002A29F2"/>
    <w:rsid w:val="002A2B21"/>
    <w:rsid w:val="002A2F3C"/>
    <w:rsid w:val="002A3010"/>
    <w:rsid w:val="002A3029"/>
    <w:rsid w:val="002A3040"/>
    <w:rsid w:val="002A3082"/>
    <w:rsid w:val="002A3160"/>
    <w:rsid w:val="002A32A3"/>
    <w:rsid w:val="002A3340"/>
    <w:rsid w:val="002A334A"/>
    <w:rsid w:val="002A3558"/>
    <w:rsid w:val="002A357F"/>
    <w:rsid w:val="002A358E"/>
    <w:rsid w:val="002A3854"/>
    <w:rsid w:val="002A38DF"/>
    <w:rsid w:val="002A3906"/>
    <w:rsid w:val="002A3E54"/>
    <w:rsid w:val="002A4023"/>
    <w:rsid w:val="002A40DB"/>
    <w:rsid w:val="002A4349"/>
    <w:rsid w:val="002A442D"/>
    <w:rsid w:val="002A4585"/>
    <w:rsid w:val="002A4595"/>
    <w:rsid w:val="002A4640"/>
    <w:rsid w:val="002A47D2"/>
    <w:rsid w:val="002A4865"/>
    <w:rsid w:val="002A4990"/>
    <w:rsid w:val="002A4A05"/>
    <w:rsid w:val="002A4AEC"/>
    <w:rsid w:val="002A4B3B"/>
    <w:rsid w:val="002A4B47"/>
    <w:rsid w:val="002A4D4F"/>
    <w:rsid w:val="002A4E21"/>
    <w:rsid w:val="002A4E59"/>
    <w:rsid w:val="002A4F04"/>
    <w:rsid w:val="002A5008"/>
    <w:rsid w:val="002A50EB"/>
    <w:rsid w:val="002A526F"/>
    <w:rsid w:val="002A5275"/>
    <w:rsid w:val="002A52BA"/>
    <w:rsid w:val="002A52FA"/>
    <w:rsid w:val="002A53C3"/>
    <w:rsid w:val="002A5440"/>
    <w:rsid w:val="002A580C"/>
    <w:rsid w:val="002A598C"/>
    <w:rsid w:val="002A59C9"/>
    <w:rsid w:val="002A5D75"/>
    <w:rsid w:val="002A5E1E"/>
    <w:rsid w:val="002A5E3A"/>
    <w:rsid w:val="002A5E77"/>
    <w:rsid w:val="002A6131"/>
    <w:rsid w:val="002A61E5"/>
    <w:rsid w:val="002A620B"/>
    <w:rsid w:val="002A6463"/>
    <w:rsid w:val="002A65A5"/>
    <w:rsid w:val="002A65F3"/>
    <w:rsid w:val="002A68F2"/>
    <w:rsid w:val="002A6B2F"/>
    <w:rsid w:val="002A6B84"/>
    <w:rsid w:val="002A6DAD"/>
    <w:rsid w:val="002A6ED5"/>
    <w:rsid w:val="002A7126"/>
    <w:rsid w:val="002A71C9"/>
    <w:rsid w:val="002A74C8"/>
    <w:rsid w:val="002A7567"/>
    <w:rsid w:val="002A75B3"/>
    <w:rsid w:val="002A7793"/>
    <w:rsid w:val="002A77BC"/>
    <w:rsid w:val="002A7875"/>
    <w:rsid w:val="002A79A5"/>
    <w:rsid w:val="002A79F4"/>
    <w:rsid w:val="002A79F6"/>
    <w:rsid w:val="002A7AD7"/>
    <w:rsid w:val="002A7B40"/>
    <w:rsid w:val="002A7B57"/>
    <w:rsid w:val="002A7F37"/>
    <w:rsid w:val="002B00FF"/>
    <w:rsid w:val="002B0131"/>
    <w:rsid w:val="002B0241"/>
    <w:rsid w:val="002B03FE"/>
    <w:rsid w:val="002B0472"/>
    <w:rsid w:val="002B04FA"/>
    <w:rsid w:val="002B050B"/>
    <w:rsid w:val="002B0552"/>
    <w:rsid w:val="002B0577"/>
    <w:rsid w:val="002B05BC"/>
    <w:rsid w:val="002B05C5"/>
    <w:rsid w:val="002B0618"/>
    <w:rsid w:val="002B0725"/>
    <w:rsid w:val="002B0BCF"/>
    <w:rsid w:val="002B0C97"/>
    <w:rsid w:val="002B0CB6"/>
    <w:rsid w:val="002B0D7A"/>
    <w:rsid w:val="002B0E9A"/>
    <w:rsid w:val="002B1077"/>
    <w:rsid w:val="002B10ED"/>
    <w:rsid w:val="002B1270"/>
    <w:rsid w:val="002B13D9"/>
    <w:rsid w:val="002B140A"/>
    <w:rsid w:val="002B1428"/>
    <w:rsid w:val="002B156D"/>
    <w:rsid w:val="002B15A7"/>
    <w:rsid w:val="002B169A"/>
    <w:rsid w:val="002B16BB"/>
    <w:rsid w:val="002B16D8"/>
    <w:rsid w:val="002B16E4"/>
    <w:rsid w:val="002B1759"/>
    <w:rsid w:val="002B194D"/>
    <w:rsid w:val="002B19BD"/>
    <w:rsid w:val="002B1A98"/>
    <w:rsid w:val="002B1AD5"/>
    <w:rsid w:val="002B1AF0"/>
    <w:rsid w:val="002B1BDC"/>
    <w:rsid w:val="002B1D4C"/>
    <w:rsid w:val="002B1D94"/>
    <w:rsid w:val="002B1DFB"/>
    <w:rsid w:val="002B2275"/>
    <w:rsid w:val="002B2300"/>
    <w:rsid w:val="002B2529"/>
    <w:rsid w:val="002B25BE"/>
    <w:rsid w:val="002B269E"/>
    <w:rsid w:val="002B270D"/>
    <w:rsid w:val="002B27B0"/>
    <w:rsid w:val="002B2ACD"/>
    <w:rsid w:val="002B2D5D"/>
    <w:rsid w:val="002B2D7B"/>
    <w:rsid w:val="002B2E63"/>
    <w:rsid w:val="002B2EA1"/>
    <w:rsid w:val="002B2EFE"/>
    <w:rsid w:val="002B2F95"/>
    <w:rsid w:val="002B30FF"/>
    <w:rsid w:val="002B3132"/>
    <w:rsid w:val="002B31CD"/>
    <w:rsid w:val="002B334E"/>
    <w:rsid w:val="002B3367"/>
    <w:rsid w:val="002B33E9"/>
    <w:rsid w:val="002B3559"/>
    <w:rsid w:val="002B3690"/>
    <w:rsid w:val="002B37B8"/>
    <w:rsid w:val="002B3844"/>
    <w:rsid w:val="002B38E8"/>
    <w:rsid w:val="002B39A1"/>
    <w:rsid w:val="002B3A29"/>
    <w:rsid w:val="002B3B37"/>
    <w:rsid w:val="002B3B3A"/>
    <w:rsid w:val="002B3BD3"/>
    <w:rsid w:val="002B3C15"/>
    <w:rsid w:val="002B3DC2"/>
    <w:rsid w:val="002B3F17"/>
    <w:rsid w:val="002B40FD"/>
    <w:rsid w:val="002B427B"/>
    <w:rsid w:val="002B428C"/>
    <w:rsid w:val="002B4358"/>
    <w:rsid w:val="002B441C"/>
    <w:rsid w:val="002B4431"/>
    <w:rsid w:val="002B44A5"/>
    <w:rsid w:val="002B44C6"/>
    <w:rsid w:val="002B461A"/>
    <w:rsid w:val="002B47A0"/>
    <w:rsid w:val="002B47AF"/>
    <w:rsid w:val="002B47C1"/>
    <w:rsid w:val="002B47EB"/>
    <w:rsid w:val="002B49B4"/>
    <w:rsid w:val="002B4A8D"/>
    <w:rsid w:val="002B4A9A"/>
    <w:rsid w:val="002B4AA8"/>
    <w:rsid w:val="002B4AEF"/>
    <w:rsid w:val="002B4BB6"/>
    <w:rsid w:val="002B4DF9"/>
    <w:rsid w:val="002B4E0A"/>
    <w:rsid w:val="002B5003"/>
    <w:rsid w:val="002B50DC"/>
    <w:rsid w:val="002B510C"/>
    <w:rsid w:val="002B513B"/>
    <w:rsid w:val="002B5147"/>
    <w:rsid w:val="002B51A7"/>
    <w:rsid w:val="002B5246"/>
    <w:rsid w:val="002B54E3"/>
    <w:rsid w:val="002B5599"/>
    <w:rsid w:val="002B5628"/>
    <w:rsid w:val="002B5763"/>
    <w:rsid w:val="002B5887"/>
    <w:rsid w:val="002B5A38"/>
    <w:rsid w:val="002B5A57"/>
    <w:rsid w:val="002B5B5A"/>
    <w:rsid w:val="002B5CCA"/>
    <w:rsid w:val="002B5E0E"/>
    <w:rsid w:val="002B5E9E"/>
    <w:rsid w:val="002B5F3C"/>
    <w:rsid w:val="002B5F56"/>
    <w:rsid w:val="002B60A0"/>
    <w:rsid w:val="002B63C6"/>
    <w:rsid w:val="002B6463"/>
    <w:rsid w:val="002B64E2"/>
    <w:rsid w:val="002B6530"/>
    <w:rsid w:val="002B6590"/>
    <w:rsid w:val="002B6677"/>
    <w:rsid w:val="002B6741"/>
    <w:rsid w:val="002B6780"/>
    <w:rsid w:val="002B67CC"/>
    <w:rsid w:val="002B685C"/>
    <w:rsid w:val="002B6864"/>
    <w:rsid w:val="002B6915"/>
    <w:rsid w:val="002B6922"/>
    <w:rsid w:val="002B6971"/>
    <w:rsid w:val="002B698C"/>
    <w:rsid w:val="002B6AA4"/>
    <w:rsid w:val="002B6C22"/>
    <w:rsid w:val="002B6D8C"/>
    <w:rsid w:val="002B6F30"/>
    <w:rsid w:val="002B6FEB"/>
    <w:rsid w:val="002B72F5"/>
    <w:rsid w:val="002B733E"/>
    <w:rsid w:val="002B7456"/>
    <w:rsid w:val="002B74E7"/>
    <w:rsid w:val="002B7731"/>
    <w:rsid w:val="002B7896"/>
    <w:rsid w:val="002B7948"/>
    <w:rsid w:val="002B7960"/>
    <w:rsid w:val="002B7A09"/>
    <w:rsid w:val="002B7BD6"/>
    <w:rsid w:val="002B7CAA"/>
    <w:rsid w:val="002B7F36"/>
    <w:rsid w:val="002B7FFA"/>
    <w:rsid w:val="002C00CA"/>
    <w:rsid w:val="002C035F"/>
    <w:rsid w:val="002C0392"/>
    <w:rsid w:val="002C04BB"/>
    <w:rsid w:val="002C0514"/>
    <w:rsid w:val="002C05DA"/>
    <w:rsid w:val="002C05DD"/>
    <w:rsid w:val="002C06A7"/>
    <w:rsid w:val="002C06E7"/>
    <w:rsid w:val="002C06FB"/>
    <w:rsid w:val="002C07CE"/>
    <w:rsid w:val="002C086C"/>
    <w:rsid w:val="002C090B"/>
    <w:rsid w:val="002C0922"/>
    <w:rsid w:val="002C0966"/>
    <w:rsid w:val="002C096B"/>
    <w:rsid w:val="002C0A23"/>
    <w:rsid w:val="002C0A69"/>
    <w:rsid w:val="002C0B54"/>
    <w:rsid w:val="002C0BCF"/>
    <w:rsid w:val="002C0BD8"/>
    <w:rsid w:val="002C0C0F"/>
    <w:rsid w:val="002C0EC4"/>
    <w:rsid w:val="002C103B"/>
    <w:rsid w:val="002C1069"/>
    <w:rsid w:val="002C10A4"/>
    <w:rsid w:val="002C10FB"/>
    <w:rsid w:val="002C1100"/>
    <w:rsid w:val="002C1269"/>
    <w:rsid w:val="002C13C1"/>
    <w:rsid w:val="002C14EC"/>
    <w:rsid w:val="002C16F0"/>
    <w:rsid w:val="002C1C9A"/>
    <w:rsid w:val="002C1CA6"/>
    <w:rsid w:val="002C1D40"/>
    <w:rsid w:val="002C1DD5"/>
    <w:rsid w:val="002C1E15"/>
    <w:rsid w:val="002C1E61"/>
    <w:rsid w:val="002C1F12"/>
    <w:rsid w:val="002C1F13"/>
    <w:rsid w:val="002C2039"/>
    <w:rsid w:val="002C2109"/>
    <w:rsid w:val="002C210E"/>
    <w:rsid w:val="002C2114"/>
    <w:rsid w:val="002C21FD"/>
    <w:rsid w:val="002C22BA"/>
    <w:rsid w:val="002C23D3"/>
    <w:rsid w:val="002C25DB"/>
    <w:rsid w:val="002C2739"/>
    <w:rsid w:val="002C278C"/>
    <w:rsid w:val="002C283B"/>
    <w:rsid w:val="002C29CE"/>
    <w:rsid w:val="002C2B98"/>
    <w:rsid w:val="002C2CA0"/>
    <w:rsid w:val="002C2DCF"/>
    <w:rsid w:val="002C2E13"/>
    <w:rsid w:val="002C3047"/>
    <w:rsid w:val="002C31D5"/>
    <w:rsid w:val="002C323E"/>
    <w:rsid w:val="002C3297"/>
    <w:rsid w:val="002C350C"/>
    <w:rsid w:val="002C36C7"/>
    <w:rsid w:val="002C36E9"/>
    <w:rsid w:val="002C399A"/>
    <w:rsid w:val="002C3AB5"/>
    <w:rsid w:val="002C3B17"/>
    <w:rsid w:val="002C3DC4"/>
    <w:rsid w:val="002C3E1C"/>
    <w:rsid w:val="002C3EC5"/>
    <w:rsid w:val="002C4050"/>
    <w:rsid w:val="002C4154"/>
    <w:rsid w:val="002C41AB"/>
    <w:rsid w:val="002C4363"/>
    <w:rsid w:val="002C439F"/>
    <w:rsid w:val="002C46E4"/>
    <w:rsid w:val="002C4722"/>
    <w:rsid w:val="002C4839"/>
    <w:rsid w:val="002C4944"/>
    <w:rsid w:val="002C4A78"/>
    <w:rsid w:val="002C4AC1"/>
    <w:rsid w:val="002C4AE7"/>
    <w:rsid w:val="002C4B30"/>
    <w:rsid w:val="002C4E91"/>
    <w:rsid w:val="002C4EED"/>
    <w:rsid w:val="002C4F36"/>
    <w:rsid w:val="002C4F60"/>
    <w:rsid w:val="002C4FF1"/>
    <w:rsid w:val="002C5067"/>
    <w:rsid w:val="002C5083"/>
    <w:rsid w:val="002C50CE"/>
    <w:rsid w:val="002C519C"/>
    <w:rsid w:val="002C5371"/>
    <w:rsid w:val="002C5504"/>
    <w:rsid w:val="002C563C"/>
    <w:rsid w:val="002C56C4"/>
    <w:rsid w:val="002C57E0"/>
    <w:rsid w:val="002C58AA"/>
    <w:rsid w:val="002C59F7"/>
    <w:rsid w:val="002C5C03"/>
    <w:rsid w:val="002C5D1F"/>
    <w:rsid w:val="002C5DC9"/>
    <w:rsid w:val="002C5DE7"/>
    <w:rsid w:val="002C5EC3"/>
    <w:rsid w:val="002C5EFF"/>
    <w:rsid w:val="002C5F06"/>
    <w:rsid w:val="002C5F75"/>
    <w:rsid w:val="002C5FC1"/>
    <w:rsid w:val="002C5FCF"/>
    <w:rsid w:val="002C610E"/>
    <w:rsid w:val="002C637A"/>
    <w:rsid w:val="002C6383"/>
    <w:rsid w:val="002C63B0"/>
    <w:rsid w:val="002C641B"/>
    <w:rsid w:val="002C66ED"/>
    <w:rsid w:val="002C671B"/>
    <w:rsid w:val="002C67E0"/>
    <w:rsid w:val="002C697A"/>
    <w:rsid w:val="002C698A"/>
    <w:rsid w:val="002C69D8"/>
    <w:rsid w:val="002C6A62"/>
    <w:rsid w:val="002C6AC0"/>
    <w:rsid w:val="002C6AE1"/>
    <w:rsid w:val="002C6E9B"/>
    <w:rsid w:val="002C6EF5"/>
    <w:rsid w:val="002C6FF9"/>
    <w:rsid w:val="002C7033"/>
    <w:rsid w:val="002C7130"/>
    <w:rsid w:val="002C7146"/>
    <w:rsid w:val="002C71C7"/>
    <w:rsid w:val="002C720E"/>
    <w:rsid w:val="002C7270"/>
    <w:rsid w:val="002C7279"/>
    <w:rsid w:val="002C730B"/>
    <w:rsid w:val="002C73EA"/>
    <w:rsid w:val="002C7509"/>
    <w:rsid w:val="002C7658"/>
    <w:rsid w:val="002C779E"/>
    <w:rsid w:val="002C779F"/>
    <w:rsid w:val="002C77A5"/>
    <w:rsid w:val="002C77D2"/>
    <w:rsid w:val="002C78E0"/>
    <w:rsid w:val="002C794A"/>
    <w:rsid w:val="002C797E"/>
    <w:rsid w:val="002C79AA"/>
    <w:rsid w:val="002C7C90"/>
    <w:rsid w:val="002C7CA7"/>
    <w:rsid w:val="002C7D7B"/>
    <w:rsid w:val="002C7ECC"/>
    <w:rsid w:val="002C7F4E"/>
    <w:rsid w:val="002D004C"/>
    <w:rsid w:val="002D0217"/>
    <w:rsid w:val="002D04F3"/>
    <w:rsid w:val="002D055B"/>
    <w:rsid w:val="002D0583"/>
    <w:rsid w:val="002D05A1"/>
    <w:rsid w:val="002D05EE"/>
    <w:rsid w:val="002D0651"/>
    <w:rsid w:val="002D076A"/>
    <w:rsid w:val="002D07D1"/>
    <w:rsid w:val="002D0964"/>
    <w:rsid w:val="002D09E3"/>
    <w:rsid w:val="002D09E9"/>
    <w:rsid w:val="002D0CCC"/>
    <w:rsid w:val="002D0CCE"/>
    <w:rsid w:val="002D0DFD"/>
    <w:rsid w:val="002D0EA3"/>
    <w:rsid w:val="002D0FC8"/>
    <w:rsid w:val="002D1171"/>
    <w:rsid w:val="002D144C"/>
    <w:rsid w:val="002D158D"/>
    <w:rsid w:val="002D17D1"/>
    <w:rsid w:val="002D1825"/>
    <w:rsid w:val="002D18A2"/>
    <w:rsid w:val="002D1B24"/>
    <w:rsid w:val="002D1B78"/>
    <w:rsid w:val="002D1BAD"/>
    <w:rsid w:val="002D1C16"/>
    <w:rsid w:val="002D1C81"/>
    <w:rsid w:val="002D1F57"/>
    <w:rsid w:val="002D1FD0"/>
    <w:rsid w:val="002D2108"/>
    <w:rsid w:val="002D2169"/>
    <w:rsid w:val="002D21EA"/>
    <w:rsid w:val="002D2231"/>
    <w:rsid w:val="002D28A6"/>
    <w:rsid w:val="002D28BC"/>
    <w:rsid w:val="002D29EE"/>
    <w:rsid w:val="002D2B14"/>
    <w:rsid w:val="002D2DDA"/>
    <w:rsid w:val="002D2DEF"/>
    <w:rsid w:val="002D2ECE"/>
    <w:rsid w:val="002D2F52"/>
    <w:rsid w:val="002D2F74"/>
    <w:rsid w:val="002D2F7C"/>
    <w:rsid w:val="002D3032"/>
    <w:rsid w:val="002D30D7"/>
    <w:rsid w:val="002D3122"/>
    <w:rsid w:val="002D328C"/>
    <w:rsid w:val="002D35D9"/>
    <w:rsid w:val="002D376F"/>
    <w:rsid w:val="002D3984"/>
    <w:rsid w:val="002D3B8B"/>
    <w:rsid w:val="002D3BCC"/>
    <w:rsid w:val="002D3BEF"/>
    <w:rsid w:val="002D3CA7"/>
    <w:rsid w:val="002D3CED"/>
    <w:rsid w:val="002D3FE0"/>
    <w:rsid w:val="002D4195"/>
    <w:rsid w:val="002D43DF"/>
    <w:rsid w:val="002D45B4"/>
    <w:rsid w:val="002D464E"/>
    <w:rsid w:val="002D4686"/>
    <w:rsid w:val="002D46AA"/>
    <w:rsid w:val="002D46D9"/>
    <w:rsid w:val="002D4701"/>
    <w:rsid w:val="002D4825"/>
    <w:rsid w:val="002D48EA"/>
    <w:rsid w:val="002D4AE4"/>
    <w:rsid w:val="002D4B10"/>
    <w:rsid w:val="002D4B19"/>
    <w:rsid w:val="002D4BCF"/>
    <w:rsid w:val="002D4C22"/>
    <w:rsid w:val="002D4CCF"/>
    <w:rsid w:val="002D4F7A"/>
    <w:rsid w:val="002D4FAF"/>
    <w:rsid w:val="002D50BA"/>
    <w:rsid w:val="002D50CB"/>
    <w:rsid w:val="002D5452"/>
    <w:rsid w:val="002D5493"/>
    <w:rsid w:val="002D54D7"/>
    <w:rsid w:val="002D5501"/>
    <w:rsid w:val="002D55AA"/>
    <w:rsid w:val="002D562A"/>
    <w:rsid w:val="002D5912"/>
    <w:rsid w:val="002D59C4"/>
    <w:rsid w:val="002D5A95"/>
    <w:rsid w:val="002D5FBB"/>
    <w:rsid w:val="002D5FCF"/>
    <w:rsid w:val="002D608E"/>
    <w:rsid w:val="002D60B3"/>
    <w:rsid w:val="002D6128"/>
    <w:rsid w:val="002D61A5"/>
    <w:rsid w:val="002D643B"/>
    <w:rsid w:val="002D645D"/>
    <w:rsid w:val="002D64A2"/>
    <w:rsid w:val="002D6554"/>
    <w:rsid w:val="002D65EC"/>
    <w:rsid w:val="002D6675"/>
    <w:rsid w:val="002D667D"/>
    <w:rsid w:val="002D67A9"/>
    <w:rsid w:val="002D69F2"/>
    <w:rsid w:val="002D6AC3"/>
    <w:rsid w:val="002D6C39"/>
    <w:rsid w:val="002D6CEA"/>
    <w:rsid w:val="002D6D49"/>
    <w:rsid w:val="002D6D60"/>
    <w:rsid w:val="002D6FA4"/>
    <w:rsid w:val="002D6FD6"/>
    <w:rsid w:val="002D7089"/>
    <w:rsid w:val="002D715B"/>
    <w:rsid w:val="002D72D8"/>
    <w:rsid w:val="002D7474"/>
    <w:rsid w:val="002D74E9"/>
    <w:rsid w:val="002D77B5"/>
    <w:rsid w:val="002D77BE"/>
    <w:rsid w:val="002D77D6"/>
    <w:rsid w:val="002D7A07"/>
    <w:rsid w:val="002D7BDA"/>
    <w:rsid w:val="002D7CA6"/>
    <w:rsid w:val="002D7CEA"/>
    <w:rsid w:val="002D7CEC"/>
    <w:rsid w:val="002D7DFC"/>
    <w:rsid w:val="002D7EA2"/>
    <w:rsid w:val="002D7EE2"/>
    <w:rsid w:val="002D7F32"/>
    <w:rsid w:val="002E00FC"/>
    <w:rsid w:val="002E01B2"/>
    <w:rsid w:val="002E039C"/>
    <w:rsid w:val="002E0421"/>
    <w:rsid w:val="002E0721"/>
    <w:rsid w:val="002E0732"/>
    <w:rsid w:val="002E07BF"/>
    <w:rsid w:val="002E0A77"/>
    <w:rsid w:val="002E0ABD"/>
    <w:rsid w:val="002E0E65"/>
    <w:rsid w:val="002E0F22"/>
    <w:rsid w:val="002E1118"/>
    <w:rsid w:val="002E143F"/>
    <w:rsid w:val="002E14D3"/>
    <w:rsid w:val="002E1647"/>
    <w:rsid w:val="002E1753"/>
    <w:rsid w:val="002E18CC"/>
    <w:rsid w:val="002E1AB5"/>
    <w:rsid w:val="002E1EDA"/>
    <w:rsid w:val="002E1F43"/>
    <w:rsid w:val="002E1FE6"/>
    <w:rsid w:val="002E217F"/>
    <w:rsid w:val="002E248C"/>
    <w:rsid w:val="002E24A9"/>
    <w:rsid w:val="002E257A"/>
    <w:rsid w:val="002E257F"/>
    <w:rsid w:val="002E272D"/>
    <w:rsid w:val="002E285B"/>
    <w:rsid w:val="002E2AD5"/>
    <w:rsid w:val="002E2C4E"/>
    <w:rsid w:val="002E2D1D"/>
    <w:rsid w:val="002E2D4F"/>
    <w:rsid w:val="002E2E61"/>
    <w:rsid w:val="002E2F47"/>
    <w:rsid w:val="002E2F6E"/>
    <w:rsid w:val="002E2FCB"/>
    <w:rsid w:val="002E30F3"/>
    <w:rsid w:val="002E32A9"/>
    <w:rsid w:val="002E35F0"/>
    <w:rsid w:val="002E3646"/>
    <w:rsid w:val="002E364B"/>
    <w:rsid w:val="002E3863"/>
    <w:rsid w:val="002E38BB"/>
    <w:rsid w:val="002E38E9"/>
    <w:rsid w:val="002E3A07"/>
    <w:rsid w:val="002E3C97"/>
    <w:rsid w:val="002E3D04"/>
    <w:rsid w:val="002E3DC0"/>
    <w:rsid w:val="002E3DCC"/>
    <w:rsid w:val="002E3E4E"/>
    <w:rsid w:val="002E3E9D"/>
    <w:rsid w:val="002E3F19"/>
    <w:rsid w:val="002E415A"/>
    <w:rsid w:val="002E4165"/>
    <w:rsid w:val="002E41F9"/>
    <w:rsid w:val="002E421E"/>
    <w:rsid w:val="002E44BC"/>
    <w:rsid w:val="002E4587"/>
    <w:rsid w:val="002E476B"/>
    <w:rsid w:val="002E48AD"/>
    <w:rsid w:val="002E4902"/>
    <w:rsid w:val="002E4A32"/>
    <w:rsid w:val="002E4AC5"/>
    <w:rsid w:val="002E4C5F"/>
    <w:rsid w:val="002E4CBE"/>
    <w:rsid w:val="002E4E7A"/>
    <w:rsid w:val="002E51D2"/>
    <w:rsid w:val="002E52AF"/>
    <w:rsid w:val="002E52DB"/>
    <w:rsid w:val="002E53C0"/>
    <w:rsid w:val="002E55DA"/>
    <w:rsid w:val="002E573B"/>
    <w:rsid w:val="002E57EC"/>
    <w:rsid w:val="002E5923"/>
    <w:rsid w:val="002E5998"/>
    <w:rsid w:val="002E5BE3"/>
    <w:rsid w:val="002E5DC4"/>
    <w:rsid w:val="002E5E87"/>
    <w:rsid w:val="002E5F7B"/>
    <w:rsid w:val="002E6038"/>
    <w:rsid w:val="002E60DF"/>
    <w:rsid w:val="002E62DC"/>
    <w:rsid w:val="002E64C0"/>
    <w:rsid w:val="002E66B6"/>
    <w:rsid w:val="002E6882"/>
    <w:rsid w:val="002E68D2"/>
    <w:rsid w:val="002E6998"/>
    <w:rsid w:val="002E69DC"/>
    <w:rsid w:val="002E69EC"/>
    <w:rsid w:val="002E6C8B"/>
    <w:rsid w:val="002E6D4E"/>
    <w:rsid w:val="002E6DDB"/>
    <w:rsid w:val="002E6F2A"/>
    <w:rsid w:val="002E6FF2"/>
    <w:rsid w:val="002E7025"/>
    <w:rsid w:val="002E709C"/>
    <w:rsid w:val="002E718C"/>
    <w:rsid w:val="002E71B5"/>
    <w:rsid w:val="002E71C3"/>
    <w:rsid w:val="002E7290"/>
    <w:rsid w:val="002E72D3"/>
    <w:rsid w:val="002E7356"/>
    <w:rsid w:val="002E73BE"/>
    <w:rsid w:val="002E7631"/>
    <w:rsid w:val="002E7695"/>
    <w:rsid w:val="002E76AC"/>
    <w:rsid w:val="002E7827"/>
    <w:rsid w:val="002E7869"/>
    <w:rsid w:val="002E7A0E"/>
    <w:rsid w:val="002E7A2E"/>
    <w:rsid w:val="002E7AD8"/>
    <w:rsid w:val="002E7B0E"/>
    <w:rsid w:val="002E7DD1"/>
    <w:rsid w:val="002E7E56"/>
    <w:rsid w:val="002E7EA6"/>
    <w:rsid w:val="002E7EDF"/>
    <w:rsid w:val="002E7EFA"/>
    <w:rsid w:val="002F003D"/>
    <w:rsid w:val="002F00D7"/>
    <w:rsid w:val="002F00DA"/>
    <w:rsid w:val="002F014F"/>
    <w:rsid w:val="002F024E"/>
    <w:rsid w:val="002F02DE"/>
    <w:rsid w:val="002F04E5"/>
    <w:rsid w:val="002F06DE"/>
    <w:rsid w:val="002F0770"/>
    <w:rsid w:val="002F0839"/>
    <w:rsid w:val="002F0998"/>
    <w:rsid w:val="002F0C0A"/>
    <w:rsid w:val="002F0CB2"/>
    <w:rsid w:val="002F0CCB"/>
    <w:rsid w:val="002F0D2B"/>
    <w:rsid w:val="002F0DB9"/>
    <w:rsid w:val="002F0F72"/>
    <w:rsid w:val="002F1178"/>
    <w:rsid w:val="002F1692"/>
    <w:rsid w:val="002F18A2"/>
    <w:rsid w:val="002F18EA"/>
    <w:rsid w:val="002F1943"/>
    <w:rsid w:val="002F1A02"/>
    <w:rsid w:val="002F1AAB"/>
    <w:rsid w:val="002F1B02"/>
    <w:rsid w:val="002F1BAA"/>
    <w:rsid w:val="002F1BDB"/>
    <w:rsid w:val="002F1C27"/>
    <w:rsid w:val="002F1C9B"/>
    <w:rsid w:val="002F1CBC"/>
    <w:rsid w:val="002F1E7B"/>
    <w:rsid w:val="002F1EA5"/>
    <w:rsid w:val="002F222C"/>
    <w:rsid w:val="002F2291"/>
    <w:rsid w:val="002F2393"/>
    <w:rsid w:val="002F2531"/>
    <w:rsid w:val="002F259D"/>
    <w:rsid w:val="002F25F8"/>
    <w:rsid w:val="002F2605"/>
    <w:rsid w:val="002F26C0"/>
    <w:rsid w:val="002F2812"/>
    <w:rsid w:val="002F2821"/>
    <w:rsid w:val="002F28C2"/>
    <w:rsid w:val="002F28CF"/>
    <w:rsid w:val="002F2989"/>
    <w:rsid w:val="002F29B3"/>
    <w:rsid w:val="002F2DF3"/>
    <w:rsid w:val="002F2DF9"/>
    <w:rsid w:val="002F2FCF"/>
    <w:rsid w:val="002F2FF6"/>
    <w:rsid w:val="002F3095"/>
    <w:rsid w:val="002F32E7"/>
    <w:rsid w:val="002F331D"/>
    <w:rsid w:val="002F3323"/>
    <w:rsid w:val="002F33BE"/>
    <w:rsid w:val="002F3416"/>
    <w:rsid w:val="002F346F"/>
    <w:rsid w:val="002F3525"/>
    <w:rsid w:val="002F3536"/>
    <w:rsid w:val="002F35BB"/>
    <w:rsid w:val="002F364D"/>
    <w:rsid w:val="002F3782"/>
    <w:rsid w:val="002F3795"/>
    <w:rsid w:val="002F3896"/>
    <w:rsid w:val="002F3982"/>
    <w:rsid w:val="002F3A5B"/>
    <w:rsid w:val="002F3BD1"/>
    <w:rsid w:val="002F3BEC"/>
    <w:rsid w:val="002F3CF5"/>
    <w:rsid w:val="002F3DC1"/>
    <w:rsid w:val="002F3E27"/>
    <w:rsid w:val="002F3E95"/>
    <w:rsid w:val="002F3EF8"/>
    <w:rsid w:val="002F3F55"/>
    <w:rsid w:val="002F3FF5"/>
    <w:rsid w:val="002F439F"/>
    <w:rsid w:val="002F43C0"/>
    <w:rsid w:val="002F440B"/>
    <w:rsid w:val="002F45C9"/>
    <w:rsid w:val="002F465D"/>
    <w:rsid w:val="002F47EA"/>
    <w:rsid w:val="002F4849"/>
    <w:rsid w:val="002F49EA"/>
    <w:rsid w:val="002F4A2B"/>
    <w:rsid w:val="002F4A79"/>
    <w:rsid w:val="002F4AC2"/>
    <w:rsid w:val="002F4BDB"/>
    <w:rsid w:val="002F4C43"/>
    <w:rsid w:val="002F4C94"/>
    <w:rsid w:val="002F4DFD"/>
    <w:rsid w:val="002F4E23"/>
    <w:rsid w:val="002F5175"/>
    <w:rsid w:val="002F53E2"/>
    <w:rsid w:val="002F553E"/>
    <w:rsid w:val="002F562C"/>
    <w:rsid w:val="002F567E"/>
    <w:rsid w:val="002F569E"/>
    <w:rsid w:val="002F56BB"/>
    <w:rsid w:val="002F56FB"/>
    <w:rsid w:val="002F5862"/>
    <w:rsid w:val="002F5C1A"/>
    <w:rsid w:val="002F60D6"/>
    <w:rsid w:val="002F613A"/>
    <w:rsid w:val="002F6175"/>
    <w:rsid w:val="002F6349"/>
    <w:rsid w:val="002F635A"/>
    <w:rsid w:val="002F6386"/>
    <w:rsid w:val="002F642E"/>
    <w:rsid w:val="002F65B5"/>
    <w:rsid w:val="002F65F5"/>
    <w:rsid w:val="002F6623"/>
    <w:rsid w:val="002F6647"/>
    <w:rsid w:val="002F6743"/>
    <w:rsid w:val="002F6852"/>
    <w:rsid w:val="002F69D4"/>
    <w:rsid w:val="002F6ADD"/>
    <w:rsid w:val="002F6BC0"/>
    <w:rsid w:val="002F6CB8"/>
    <w:rsid w:val="002F6D1A"/>
    <w:rsid w:val="002F6EDD"/>
    <w:rsid w:val="002F6F5A"/>
    <w:rsid w:val="002F7048"/>
    <w:rsid w:val="002F70D4"/>
    <w:rsid w:val="002F7111"/>
    <w:rsid w:val="002F729C"/>
    <w:rsid w:val="002F7346"/>
    <w:rsid w:val="002F73C2"/>
    <w:rsid w:val="002F7560"/>
    <w:rsid w:val="002F767A"/>
    <w:rsid w:val="002F784E"/>
    <w:rsid w:val="002F78FF"/>
    <w:rsid w:val="002F79F8"/>
    <w:rsid w:val="002F7A39"/>
    <w:rsid w:val="002F7C99"/>
    <w:rsid w:val="002F7D03"/>
    <w:rsid w:val="002F7D84"/>
    <w:rsid w:val="002F7E44"/>
    <w:rsid w:val="002F7FB7"/>
    <w:rsid w:val="002F7FDB"/>
    <w:rsid w:val="0030018A"/>
    <w:rsid w:val="00300418"/>
    <w:rsid w:val="003005FA"/>
    <w:rsid w:val="00300667"/>
    <w:rsid w:val="00300899"/>
    <w:rsid w:val="003008CF"/>
    <w:rsid w:val="00300959"/>
    <w:rsid w:val="0030096B"/>
    <w:rsid w:val="00300B5A"/>
    <w:rsid w:val="003010E0"/>
    <w:rsid w:val="003011F3"/>
    <w:rsid w:val="00301570"/>
    <w:rsid w:val="00301583"/>
    <w:rsid w:val="003015A7"/>
    <w:rsid w:val="00301A42"/>
    <w:rsid w:val="00301BD9"/>
    <w:rsid w:val="00301C79"/>
    <w:rsid w:val="00301D4B"/>
    <w:rsid w:val="00301E73"/>
    <w:rsid w:val="0030211D"/>
    <w:rsid w:val="00302155"/>
    <w:rsid w:val="0030227E"/>
    <w:rsid w:val="003022A4"/>
    <w:rsid w:val="003023D2"/>
    <w:rsid w:val="003024EC"/>
    <w:rsid w:val="0030255C"/>
    <w:rsid w:val="00302566"/>
    <w:rsid w:val="003026FB"/>
    <w:rsid w:val="003027F4"/>
    <w:rsid w:val="00302808"/>
    <w:rsid w:val="0030280E"/>
    <w:rsid w:val="003028DD"/>
    <w:rsid w:val="003028F7"/>
    <w:rsid w:val="003029F7"/>
    <w:rsid w:val="00302D94"/>
    <w:rsid w:val="00303151"/>
    <w:rsid w:val="003032B5"/>
    <w:rsid w:val="0030332A"/>
    <w:rsid w:val="003033AA"/>
    <w:rsid w:val="003036E0"/>
    <w:rsid w:val="003036E3"/>
    <w:rsid w:val="00303704"/>
    <w:rsid w:val="0030382A"/>
    <w:rsid w:val="003038BD"/>
    <w:rsid w:val="00303941"/>
    <w:rsid w:val="00303BE2"/>
    <w:rsid w:val="00303CDD"/>
    <w:rsid w:val="00303E16"/>
    <w:rsid w:val="00303E45"/>
    <w:rsid w:val="00303E67"/>
    <w:rsid w:val="00303F0B"/>
    <w:rsid w:val="003040D5"/>
    <w:rsid w:val="0030416D"/>
    <w:rsid w:val="0030434C"/>
    <w:rsid w:val="00304469"/>
    <w:rsid w:val="0030447B"/>
    <w:rsid w:val="00304791"/>
    <w:rsid w:val="003047A1"/>
    <w:rsid w:val="00304848"/>
    <w:rsid w:val="00304864"/>
    <w:rsid w:val="00304894"/>
    <w:rsid w:val="00304945"/>
    <w:rsid w:val="00304A66"/>
    <w:rsid w:val="00304CC1"/>
    <w:rsid w:val="00304D20"/>
    <w:rsid w:val="00304D77"/>
    <w:rsid w:val="00304E3B"/>
    <w:rsid w:val="00304E6E"/>
    <w:rsid w:val="00304F7B"/>
    <w:rsid w:val="00305171"/>
    <w:rsid w:val="003052FD"/>
    <w:rsid w:val="00305554"/>
    <w:rsid w:val="003056E1"/>
    <w:rsid w:val="003057D0"/>
    <w:rsid w:val="00305A87"/>
    <w:rsid w:val="00305B90"/>
    <w:rsid w:val="00305C21"/>
    <w:rsid w:val="00305C35"/>
    <w:rsid w:val="00305C73"/>
    <w:rsid w:val="00305C90"/>
    <w:rsid w:val="00305DD6"/>
    <w:rsid w:val="00305E58"/>
    <w:rsid w:val="00305F0E"/>
    <w:rsid w:val="00305F21"/>
    <w:rsid w:val="00306156"/>
    <w:rsid w:val="00306195"/>
    <w:rsid w:val="00306211"/>
    <w:rsid w:val="0030631B"/>
    <w:rsid w:val="00306443"/>
    <w:rsid w:val="003064CB"/>
    <w:rsid w:val="00306561"/>
    <w:rsid w:val="003065DD"/>
    <w:rsid w:val="0030670D"/>
    <w:rsid w:val="00306738"/>
    <w:rsid w:val="00306769"/>
    <w:rsid w:val="003067D2"/>
    <w:rsid w:val="0030682B"/>
    <w:rsid w:val="0030697E"/>
    <w:rsid w:val="0030698F"/>
    <w:rsid w:val="00306A14"/>
    <w:rsid w:val="00306AAA"/>
    <w:rsid w:val="00306BDE"/>
    <w:rsid w:val="00306C70"/>
    <w:rsid w:val="00306D35"/>
    <w:rsid w:val="00306E76"/>
    <w:rsid w:val="003070E8"/>
    <w:rsid w:val="00307174"/>
    <w:rsid w:val="0030740F"/>
    <w:rsid w:val="00307450"/>
    <w:rsid w:val="00307638"/>
    <w:rsid w:val="003076CF"/>
    <w:rsid w:val="00307712"/>
    <w:rsid w:val="00307956"/>
    <w:rsid w:val="00307C76"/>
    <w:rsid w:val="00307CF2"/>
    <w:rsid w:val="00307D77"/>
    <w:rsid w:val="00307D89"/>
    <w:rsid w:val="00307E1C"/>
    <w:rsid w:val="00307EA9"/>
    <w:rsid w:val="00307F36"/>
    <w:rsid w:val="003100BB"/>
    <w:rsid w:val="00310341"/>
    <w:rsid w:val="00310375"/>
    <w:rsid w:val="003104EE"/>
    <w:rsid w:val="0031053F"/>
    <w:rsid w:val="003106E1"/>
    <w:rsid w:val="00310739"/>
    <w:rsid w:val="003108E2"/>
    <w:rsid w:val="003109C5"/>
    <w:rsid w:val="00310A14"/>
    <w:rsid w:val="00310A62"/>
    <w:rsid w:val="00310C59"/>
    <w:rsid w:val="00310DD1"/>
    <w:rsid w:val="00310E00"/>
    <w:rsid w:val="00311096"/>
    <w:rsid w:val="003112A1"/>
    <w:rsid w:val="003114F0"/>
    <w:rsid w:val="003114F1"/>
    <w:rsid w:val="003116C8"/>
    <w:rsid w:val="003117E7"/>
    <w:rsid w:val="003118D6"/>
    <w:rsid w:val="00311E2C"/>
    <w:rsid w:val="00311E6D"/>
    <w:rsid w:val="00311F21"/>
    <w:rsid w:val="00312185"/>
    <w:rsid w:val="003121EA"/>
    <w:rsid w:val="00312281"/>
    <w:rsid w:val="003122A7"/>
    <w:rsid w:val="00312316"/>
    <w:rsid w:val="0031239F"/>
    <w:rsid w:val="003123CB"/>
    <w:rsid w:val="00312429"/>
    <w:rsid w:val="00312453"/>
    <w:rsid w:val="00312C62"/>
    <w:rsid w:val="00312CBC"/>
    <w:rsid w:val="00312CF8"/>
    <w:rsid w:val="00312DE6"/>
    <w:rsid w:val="00312E87"/>
    <w:rsid w:val="00312ED8"/>
    <w:rsid w:val="0031334A"/>
    <w:rsid w:val="0031335A"/>
    <w:rsid w:val="003133C9"/>
    <w:rsid w:val="003135ED"/>
    <w:rsid w:val="003137AA"/>
    <w:rsid w:val="0031383B"/>
    <w:rsid w:val="003138D0"/>
    <w:rsid w:val="003138E2"/>
    <w:rsid w:val="003139CF"/>
    <w:rsid w:val="00313A7D"/>
    <w:rsid w:val="00313AC7"/>
    <w:rsid w:val="00313C38"/>
    <w:rsid w:val="00313D8A"/>
    <w:rsid w:val="00313DC8"/>
    <w:rsid w:val="00313DFD"/>
    <w:rsid w:val="0031402A"/>
    <w:rsid w:val="003140F5"/>
    <w:rsid w:val="003141AC"/>
    <w:rsid w:val="003142AA"/>
    <w:rsid w:val="003142B9"/>
    <w:rsid w:val="003144A8"/>
    <w:rsid w:val="00314512"/>
    <w:rsid w:val="00314520"/>
    <w:rsid w:val="00314569"/>
    <w:rsid w:val="003145AB"/>
    <w:rsid w:val="003145C1"/>
    <w:rsid w:val="0031475F"/>
    <w:rsid w:val="003148D1"/>
    <w:rsid w:val="003148F1"/>
    <w:rsid w:val="00314A7D"/>
    <w:rsid w:val="00314AD2"/>
    <w:rsid w:val="00314E2B"/>
    <w:rsid w:val="00314F08"/>
    <w:rsid w:val="00314F40"/>
    <w:rsid w:val="00315276"/>
    <w:rsid w:val="003152AA"/>
    <w:rsid w:val="003155AF"/>
    <w:rsid w:val="0031564E"/>
    <w:rsid w:val="0031568D"/>
    <w:rsid w:val="003156F4"/>
    <w:rsid w:val="0031570B"/>
    <w:rsid w:val="00315825"/>
    <w:rsid w:val="00315890"/>
    <w:rsid w:val="0031592A"/>
    <w:rsid w:val="003159F4"/>
    <w:rsid w:val="00315AC0"/>
    <w:rsid w:val="00315B73"/>
    <w:rsid w:val="00315B9D"/>
    <w:rsid w:val="00315C1A"/>
    <w:rsid w:val="003162E2"/>
    <w:rsid w:val="0031646F"/>
    <w:rsid w:val="00316575"/>
    <w:rsid w:val="0031672D"/>
    <w:rsid w:val="00316796"/>
    <w:rsid w:val="0031689F"/>
    <w:rsid w:val="003168B6"/>
    <w:rsid w:val="00316A24"/>
    <w:rsid w:val="00316C04"/>
    <w:rsid w:val="00316C56"/>
    <w:rsid w:val="00316CA2"/>
    <w:rsid w:val="00316CBA"/>
    <w:rsid w:val="00316CD1"/>
    <w:rsid w:val="00316D3A"/>
    <w:rsid w:val="00316D4E"/>
    <w:rsid w:val="00316F6F"/>
    <w:rsid w:val="003170DB"/>
    <w:rsid w:val="003170EF"/>
    <w:rsid w:val="003170FF"/>
    <w:rsid w:val="003171D0"/>
    <w:rsid w:val="003172AA"/>
    <w:rsid w:val="003172B7"/>
    <w:rsid w:val="0031736F"/>
    <w:rsid w:val="00317490"/>
    <w:rsid w:val="00317571"/>
    <w:rsid w:val="0031766F"/>
    <w:rsid w:val="00317735"/>
    <w:rsid w:val="00317B38"/>
    <w:rsid w:val="00317C25"/>
    <w:rsid w:val="00317C81"/>
    <w:rsid w:val="00317CB1"/>
    <w:rsid w:val="00317D33"/>
    <w:rsid w:val="00317DA1"/>
    <w:rsid w:val="00317E41"/>
    <w:rsid w:val="00317E4E"/>
    <w:rsid w:val="00317F1F"/>
    <w:rsid w:val="00317F23"/>
    <w:rsid w:val="003201DE"/>
    <w:rsid w:val="00320371"/>
    <w:rsid w:val="0032038C"/>
    <w:rsid w:val="00320428"/>
    <w:rsid w:val="00320440"/>
    <w:rsid w:val="003204C6"/>
    <w:rsid w:val="0032054F"/>
    <w:rsid w:val="003205AE"/>
    <w:rsid w:val="00320706"/>
    <w:rsid w:val="0032083C"/>
    <w:rsid w:val="0032091C"/>
    <w:rsid w:val="00320A22"/>
    <w:rsid w:val="00320A2A"/>
    <w:rsid w:val="00320C0B"/>
    <w:rsid w:val="00320C14"/>
    <w:rsid w:val="00320C2F"/>
    <w:rsid w:val="00320D04"/>
    <w:rsid w:val="00320E79"/>
    <w:rsid w:val="0032110D"/>
    <w:rsid w:val="00321293"/>
    <w:rsid w:val="0032134D"/>
    <w:rsid w:val="00321388"/>
    <w:rsid w:val="003213D4"/>
    <w:rsid w:val="003216E9"/>
    <w:rsid w:val="00321CA9"/>
    <w:rsid w:val="00321D2B"/>
    <w:rsid w:val="00321EDE"/>
    <w:rsid w:val="00321EE2"/>
    <w:rsid w:val="00321EFE"/>
    <w:rsid w:val="00321F75"/>
    <w:rsid w:val="00321F7D"/>
    <w:rsid w:val="003220AF"/>
    <w:rsid w:val="003220D0"/>
    <w:rsid w:val="003220D6"/>
    <w:rsid w:val="0032229B"/>
    <w:rsid w:val="00322433"/>
    <w:rsid w:val="00322479"/>
    <w:rsid w:val="00322567"/>
    <w:rsid w:val="003225F9"/>
    <w:rsid w:val="00322666"/>
    <w:rsid w:val="00322A50"/>
    <w:rsid w:val="00322AD1"/>
    <w:rsid w:val="00322B7E"/>
    <w:rsid w:val="00322B98"/>
    <w:rsid w:val="00322D21"/>
    <w:rsid w:val="00323002"/>
    <w:rsid w:val="0032335A"/>
    <w:rsid w:val="003233A7"/>
    <w:rsid w:val="00323400"/>
    <w:rsid w:val="0032346F"/>
    <w:rsid w:val="00323680"/>
    <w:rsid w:val="003238A1"/>
    <w:rsid w:val="00323AE6"/>
    <w:rsid w:val="00323B0D"/>
    <w:rsid w:val="00323BED"/>
    <w:rsid w:val="00323E3A"/>
    <w:rsid w:val="00323E68"/>
    <w:rsid w:val="00324146"/>
    <w:rsid w:val="003243F1"/>
    <w:rsid w:val="00324464"/>
    <w:rsid w:val="003244DE"/>
    <w:rsid w:val="003244ED"/>
    <w:rsid w:val="00324598"/>
    <w:rsid w:val="00324606"/>
    <w:rsid w:val="003248CA"/>
    <w:rsid w:val="00324B7C"/>
    <w:rsid w:val="00324DE3"/>
    <w:rsid w:val="00324DF1"/>
    <w:rsid w:val="00324E12"/>
    <w:rsid w:val="00324FE2"/>
    <w:rsid w:val="0032503A"/>
    <w:rsid w:val="0032514F"/>
    <w:rsid w:val="00325247"/>
    <w:rsid w:val="00325471"/>
    <w:rsid w:val="00325503"/>
    <w:rsid w:val="00325680"/>
    <w:rsid w:val="00325796"/>
    <w:rsid w:val="003257D7"/>
    <w:rsid w:val="00325804"/>
    <w:rsid w:val="00325965"/>
    <w:rsid w:val="00325A8D"/>
    <w:rsid w:val="00325B71"/>
    <w:rsid w:val="00325C74"/>
    <w:rsid w:val="00325E54"/>
    <w:rsid w:val="00325ECD"/>
    <w:rsid w:val="003261F9"/>
    <w:rsid w:val="00326317"/>
    <w:rsid w:val="0032653D"/>
    <w:rsid w:val="00326554"/>
    <w:rsid w:val="0032657C"/>
    <w:rsid w:val="003265FA"/>
    <w:rsid w:val="0032684D"/>
    <w:rsid w:val="003268CB"/>
    <w:rsid w:val="00326934"/>
    <w:rsid w:val="00326947"/>
    <w:rsid w:val="003269FF"/>
    <w:rsid w:val="00326A1C"/>
    <w:rsid w:val="00326A30"/>
    <w:rsid w:val="00326A36"/>
    <w:rsid w:val="00326A43"/>
    <w:rsid w:val="00326A45"/>
    <w:rsid w:val="00326B40"/>
    <w:rsid w:val="00326C25"/>
    <w:rsid w:val="00326C65"/>
    <w:rsid w:val="00326D38"/>
    <w:rsid w:val="00326DDB"/>
    <w:rsid w:val="00326FF2"/>
    <w:rsid w:val="00327358"/>
    <w:rsid w:val="00327640"/>
    <w:rsid w:val="003276BA"/>
    <w:rsid w:val="0032789C"/>
    <w:rsid w:val="003278A9"/>
    <w:rsid w:val="00327ACF"/>
    <w:rsid w:val="00327B9F"/>
    <w:rsid w:val="00327C3E"/>
    <w:rsid w:val="00327C5A"/>
    <w:rsid w:val="00327E04"/>
    <w:rsid w:val="00327E53"/>
    <w:rsid w:val="00327FF1"/>
    <w:rsid w:val="0033012E"/>
    <w:rsid w:val="003303F3"/>
    <w:rsid w:val="00330593"/>
    <w:rsid w:val="00330621"/>
    <w:rsid w:val="00330657"/>
    <w:rsid w:val="00330717"/>
    <w:rsid w:val="00330748"/>
    <w:rsid w:val="00330919"/>
    <w:rsid w:val="00330942"/>
    <w:rsid w:val="003309D5"/>
    <w:rsid w:val="00330AD3"/>
    <w:rsid w:val="00330BDA"/>
    <w:rsid w:val="00330BF4"/>
    <w:rsid w:val="00330C04"/>
    <w:rsid w:val="00330D3E"/>
    <w:rsid w:val="00330E40"/>
    <w:rsid w:val="00330E56"/>
    <w:rsid w:val="00330ED9"/>
    <w:rsid w:val="003311CD"/>
    <w:rsid w:val="0033137F"/>
    <w:rsid w:val="003314E7"/>
    <w:rsid w:val="003315A9"/>
    <w:rsid w:val="0033169C"/>
    <w:rsid w:val="0033172C"/>
    <w:rsid w:val="00331996"/>
    <w:rsid w:val="00331C40"/>
    <w:rsid w:val="00331C91"/>
    <w:rsid w:val="00331D69"/>
    <w:rsid w:val="00331FAE"/>
    <w:rsid w:val="003320B7"/>
    <w:rsid w:val="003321F9"/>
    <w:rsid w:val="00332319"/>
    <w:rsid w:val="003324FF"/>
    <w:rsid w:val="00332543"/>
    <w:rsid w:val="0033260F"/>
    <w:rsid w:val="00332B2A"/>
    <w:rsid w:val="00332BBD"/>
    <w:rsid w:val="00332CA5"/>
    <w:rsid w:val="00332CFB"/>
    <w:rsid w:val="00332D06"/>
    <w:rsid w:val="00332E46"/>
    <w:rsid w:val="00332E88"/>
    <w:rsid w:val="00332F72"/>
    <w:rsid w:val="00333056"/>
    <w:rsid w:val="00333492"/>
    <w:rsid w:val="003335BC"/>
    <w:rsid w:val="00333627"/>
    <w:rsid w:val="00333644"/>
    <w:rsid w:val="003337A2"/>
    <w:rsid w:val="003337A7"/>
    <w:rsid w:val="003337EA"/>
    <w:rsid w:val="00333901"/>
    <w:rsid w:val="00333943"/>
    <w:rsid w:val="00333A24"/>
    <w:rsid w:val="00333A93"/>
    <w:rsid w:val="00333C34"/>
    <w:rsid w:val="00333C51"/>
    <w:rsid w:val="00333C5C"/>
    <w:rsid w:val="00333D18"/>
    <w:rsid w:val="00333DDC"/>
    <w:rsid w:val="00333EBE"/>
    <w:rsid w:val="003340A7"/>
    <w:rsid w:val="003340D8"/>
    <w:rsid w:val="003341BC"/>
    <w:rsid w:val="003341EB"/>
    <w:rsid w:val="0033421C"/>
    <w:rsid w:val="00334376"/>
    <w:rsid w:val="003343F7"/>
    <w:rsid w:val="00334423"/>
    <w:rsid w:val="003346C9"/>
    <w:rsid w:val="00334740"/>
    <w:rsid w:val="003348D8"/>
    <w:rsid w:val="00334BC3"/>
    <w:rsid w:val="00334C22"/>
    <w:rsid w:val="00334D83"/>
    <w:rsid w:val="00334F85"/>
    <w:rsid w:val="00334FE4"/>
    <w:rsid w:val="00335050"/>
    <w:rsid w:val="003350BF"/>
    <w:rsid w:val="003350D7"/>
    <w:rsid w:val="0033523C"/>
    <w:rsid w:val="00335278"/>
    <w:rsid w:val="003354AB"/>
    <w:rsid w:val="00335659"/>
    <w:rsid w:val="003357AC"/>
    <w:rsid w:val="00335818"/>
    <w:rsid w:val="003358A5"/>
    <w:rsid w:val="00335A9D"/>
    <w:rsid w:val="00335CAD"/>
    <w:rsid w:val="00335EA6"/>
    <w:rsid w:val="00335EB1"/>
    <w:rsid w:val="00335EFB"/>
    <w:rsid w:val="003362E0"/>
    <w:rsid w:val="003363D4"/>
    <w:rsid w:val="003363D7"/>
    <w:rsid w:val="00336651"/>
    <w:rsid w:val="00336675"/>
    <w:rsid w:val="0033685F"/>
    <w:rsid w:val="003369CD"/>
    <w:rsid w:val="00336D04"/>
    <w:rsid w:val="00336D08"/>
    <w:rsid w:val="00336D69"/>
    <w:rsid w:val="00336E0C"/>
    <w:rsid w:val="00336E72"/>
    <w:rsid w:val="00336ECB"/>
    <w:rsid w:val="00336F0F"/>
    <w:rsid w:val="0033700C"/>
    <w:rsid w:val="003371AD"/>
    <w:rsid w:val="003371D8"/>
    <w:rsid w:val="0033748E"/>
    <w:rsid w:val="003378D1"/>
    <w:rsid w:val="00337939"/>
    <w:rsid w:val="00337A52"/>
    <w:rsid w:val="00337ADC"/>
    <w:rsid w:val="00337AFA"/>
    <w:rsid w:val="00337B72"/>
    <w:rsid w:val="00337D47"/>
    <w:rsid w:val="00337D6E"/>
    <w:rsid w:val="00337DEC"/>
    <w:rsid w:val="0034006C"/>
    <w:rsid w:val="0034012A"/>
    <w:rsid w:val="00340141"/>
    <w:rsid w:val="003401A7"/>
    <w:rsid w:val="00340336"/>
    <w:rsid w:val="003404EB"/>
    <w:rsid w:val="003405BC"/>
    <w:rsid w:val="003405DB"/>
    <w:rsid w:val="003405FD"/>
    <w:rsid w:val="0034066F"/>
    <w:rsid w:val="003406B3"/>
    <w:rsid w:val="003406F4"/>
    <w:rsid w:val="00340765"/>
    <w:rsid w:val="0034090B"/>
    <w:rsid w:val="00340AC6"/>
    <w:rsid w:val="00340AE6"/>
    <w:rsid w:val="00340CD8"/>
    <w:rsid w:val="00340E2C"/>
    <w:rsid w:val="00340FB1"/>
    <w:rsid w:val="003410B5"/>
    <w:rsid w:val="003411A0"/>
    <w:rsid w:val="003412C2"/>
    <w:rsid w:val="0034142C"/>
    <w:rsid w:val="003415C0"/>
    <w:rsid w:val="00341719"/>
    <w:rsid w:val="003417A6"/>
    <w:rsid w:val="003417FC"/>
    <w:rsid w:val="003418CD"/>
    <w:rsid w:val="0034191B"/>
    <w:rsid w:val="00341B13"/>
    <w:rsid w:val="00341C17"/>
    <w:rsid w:val="00341C3D"/>
    <w:rsid w:val="00341D26"/>
    <w:rsid w:val="00341E93"/>
    <w:rsid w:val="00341F41"/>
    <w:rsid w:val="00341FE9"/>
    <w:rsid w:val="003420B6"/>
    <w:rsid w:val="00342112"/>
    <w:rsid w:val="00342206"/>
    <w:rsid w:val="0034238C"/>
    <w:rsid w:val="00342399"/>
    <w:rsid w:val="003423D0"/>
    <w:rsid w:val="00342568"/>
    <w:rsid w:val="00342624"/>
    <w:rsid w:val="00342786"/>
    <w:rsid w:val="003427B4"/>
    <w:rsid w:val="003427F6"/>
    <w:rsid w:val="0034290D"/>
    <w:rsid w:val="003429BA"/>
    <w:rsid w:val="003429E1"/>
    <w:rsid w:val="00342C6C"/>
    <w:rsid w:val="00342DF9"/>
    <w:rsid w:val="00342EA6"/>
    <w:rsid w:val="003430A3"/>
    <w:rsid w:val="00343117"/>
    <w:rsid w:val="00343345"/>
    <w:rsid w:val="003434F3"/>
    <w:rsid w:val="0034350F"/>
    <w:rsid w:val="00343510"/>
    <w:rsid w:val="00343754"/>
    <w:rsid w:val="0034386B"/>
    <w:rsid w:val="0034387E"/>
    <w:rsid w:val="0034391D"/>
    <w:rsid w:val="00343BF9"/>
    <w:rsid w:val="00343C0E"/>
    <w:rsid w:val="00343D92"/>
    <w:rsid w:val="00343DAE"/>
    <w:rsid w:val="00343DF2"/>
    <w:rsid w:val="00343EE2"/>
    <w:rsid w:val="00344068"/>
    <w:rsid w:val="003440B7"/>
    <w:rsid w:val="003440FB"/>
    <w:rsid w:val="003441D0"/>
    <w:rsid w:val="0034439F"/>
    <w:rsid w:val="00344505"/>
    <w:rsid w:val="00344763"/>
    <w:rsid w:val="003447BF"/>
    <w:rsid w:val="0034486B"/>
    <w:rsid w:val="003448CD"/>
    <w:rsid w:val="0034498B"/>
    <w:rsid w:val="003449EA"/>
    <w:rsid w:val="00344A51"/>
    <w:rsid w:val="00344CB9"/>
    <w:rsid w:val="00344D90"/>
    <w:rsid w:val="00344DEA"/>
    <w:rsid w:val="00344F20"/>
    <w:rsid w:val="00344F93"/>
    <w:rsid w:val="0034553C"/>
    <w:rsid w:val="00345679"/>
    <w:rsid w:val="003456DB"/>
    <w:rsid w:val="00345783"/>
    <w:rsid w:val="003457D2"/>
    <w:rsid w:val="003459FB"/>
    <w:rsid w:val="00345C61"/>
    <w:rsid w:val="00345D95"/>
    <w:rsid w:val="00345E27"/>
    <w:rsid w:val="00346110"/>
    <w:rsid w:val="00346162"/>
    <w:rsid w:val="00346453"/>
    <w:rsid w:val="0034654A"/>
    <w:rsid w:val="0034656C"/>
    <w:rsid w:val="003465BC"/>
    <w:rsid w:val="00346644"/>
    <w:rsid w:val="003466C2"/>
    <w:rsid w:val="003467D6"/>
    <w:rsid w:val="0034680A"/>
    <w:rsid w:val="003468E9"/>
    <w:rsid w:val="00346914"/>
    <w:rsid w:val="0034692A"/>
    <w:rsid w:val="00346A06"/>
    <w:rsid w:val="00346C5E"/>
    <w:rsid w:val="00346D25"/>
    <w:rsid w:val="00346D44"/>
    <w:rsid w:val="00346E2A"/>
    <w:rsid w:val="00346E45"/>
    <w:rsid w:val="00346FF2"/>
    <w:rsid w:val="0034711D"/>
    <w:rsid w:val="00347149"/>
    <w:rsid w:val="003471D7"/>
    <w:rsid w:val="003473B8"/>
    <w:rsid w:val="0034747F"/>
    <w:rsid w:val="003475D8"/>
    <w:rsid w:val="0034792E"/>
    <w:rsid w:val="00347B39"/>
    <w:rsid w:val="00347C1E"/>
    <w:rsid w:val="00347DA4"/>
    <w:rsid w:val="00347E46"/>
    <w:rsid w:val="00347E5F"/>
    <w:rsid w:val="003500D7"/>
    <w:rsid w:val="0035013F"/>
    <w:rsid w:val="003502FB"/>
    <w:rsid w:val="00350343"/>
    <w:rsid w:val="00350370"/>
    <w:rsid w:val="00350576"/>
    <w:rsid w:val="003505C3"/>
    <w:rsid w:val="003505DA"/>
    <w:rsid w:val="003506BA"/>
    <w:rsid w:val="00350708"/>
    <w:rsid w:val="003507D5"/>
    <w:rsid w:val="00350993"/>
    <w:rsid w:val="00350A18"/>
    <w:rsid w:val="00350A3E"/>
    <w:rsid w:val="00350CBA"/>
    <w:rsid w:val="00350DDC"/>
    <w:rsid w:val="00350F22"/>
    <w:rsid w:val="0035111D"/>
    <w:rsid w:val="00351238"/>
    <w:rsid w:val="00351311"/>
    <w:rsid w:val="00351486"/>
    <w:rsid w:val="0035154B"/>
    <w:rsid w:val="003516FF"/>
    <w:rsid w:val="003517FE"/>
    <w:rsid w:val="00351A36"/>
    <w:rsid w:val="00351AC8"/>
    <w:rsid w:val="00351C1F"/>
    <w:rsid w:val="00351C97"/>
    <w:rsid w:val="00351E2A"/>
    <w:rsid w:val="00351E53"/>
    <w:rsid w:val="003521DB"/>
    <w:rsid w:val="00352405"/>
    <w:rsid w:val="00352781"/>
    <w:rsid w:val="00352A51"/>
    <w:rsid w:val="00352A8E"/>
    <w:rsid w:val="00352B3A"/>
    <w:rsid w:val="00352CDE"/>
    <w:rsid w:val="00352F80"/>
    <w:rsid w:val="00353025"/>
    <w:rsid w:val="0035323E"/>
    <w:rsid w:val="003533CC"/>
    <w:rsid w:val="003534B6"/>
    <w:rsid w:val="003534FF"/>
    <w:rsid w:val="00353606"/>
    <w:rsid w:val="00353671"/>
    <w:rsid w:val="00353779"/>
    <w:rsid w:val="00353792"/>
    <w:rsid w:val="003539CD"/>
    <w:rsid w:val="00353B2E"/>
    <w:rsid w:val="00353C2E"/>
    <w:rsid w:val="00353CE9"/>
    <w:rsid w:val="00353CEF"/>
    <w:rsid w:val="00353D14"/>
    <w:rsid w:val="00354042"/>
    <w:rsid w:val="00354166"/>
    <w:rsid w:val="0035416F"/>
    <w:rsid w:val="00354171"/>
    <w:rsid w:val="003541E9"/>
    <w:rsid w:val="003541F2"/>
    <w:rsid w:val="00354434"/>
    <w:rsid w:val="003545D5"/>
    <w:rsid w:val="0035463C"/>
    <w:rsid w:val="00354696"/>
    <w:rsid w:val="003546AF"/>
    <w:rsid w:val="00354706"/>
    <w:rsid w:val="00354737"/>
    <w:rsid w:val="003547BD"/>
    <w:rsid w:val="003547E6"/>
    <w:rsid w:val="00354BAF"/>
    <w:rsid w:val="00354C30"/>
    <w:rsid w:val="00354CC9"/>
    <w:rsid w:val="00354D80"/>
    <w:rsid w:val="00354DDF"/>
    <w:rsid w:val="00354E9E"/>
    <w:rsid w:val="00354F3A"/>
    <w:rsid w:val="00354F9A"/>
    <w:rsid w:val="00355080"/>
    <w:rsid w:val="00355135"/>
    <w:rsid w:val="0035519A"/>
    <w:rsid w:val="0035521A"/>
    <w:rsid w:val="003552B5"/>
    <w:rsid w:val="0035543B"/>
    <w:rsid w:val="0035564A"/>
    <w:rsid w:val="00355750"/>
    <w:rsid w:val="00355768"/>
    <w:rsid w:val="00355775"/>
    <w:rsid w:val="003557CF"/>
    <w:rsid w:val="00355812"/>
    <w:rsid w:val="00355817"/>
    <w:rsid w:val="00355865"/>
    <w:rsid w:val="00355B66"/>
    <w:rsid w:val="00355F25"/>
    <w:rsid w:val="00355FEB"/>
    <w:rsid w:val="0035601A"/>
    <w:rsid w:val="0035610A"/>
    <w:rsid w:val="00356231"/>
    <w:rsid w:val="003562CB"/>
    <w:rsid w:val="0035631E"/>
    <w:rsid w:val="00356492"/>
    <w:rsid w:val="003566C5"/>
    <w:rsid w:val="003566DE"/>
    <w:rsid w:val="003566F0"/>
    <w:rsid w:val="00356755"/>
    <w:rsid w:val="003569F5"/>
    <w:rsid w:val="00356C10"/>
    <w:rsid w:val="00356EB4"/>
    <w:rsid w:val="00356FE8"/>
    <w:rsid w:val="00357145"/>
    <w:rsid w:val="0035716B"/>
    <w:rsid w:val="00357286"/>
    <w:rsid w:val="00357457"/>
    <w:rsid w:val="003574FC"/>
    <w:rsid w:val="00357604"/>
    <w:rsid w:val="0035764D"/>
    <w:rsid w:val="0035768F"/>
    <w:rsid w:val="003576D2"/>
    <w:rsid w:val="0035777E"/>
    <w:rsid w:val="003577DE"/>
    <w:rsid w:val="00357894"/>
    <w:rsid w:val="0035795E"/>
    <w:rsid w:val="003579A3"/>
    <w:rsid w:val="00357E7A"/>
    <w:rsid w:val="003600A1"/>
    <w:rsid w:val="00360178"/>
    <w:rsid w:val="0036017C"/>
    <w:rsid w:val="00360326"/>
    <w:rsid w:val="00360414"/>
    <w:rsid w:val="00360539"/>
    <w:rsid w:val="0036059A"/>
    <w:rsid w:val="003605D9"/>
    <w:rsid w:val="00360626"/>
    <w:rsid w:val="00360A6A"/>
    <w:rsid w:val="00360A95"/>
    <w:rsid w:val="00360AC9"/>
    <w:rsid w:val="00360AF6"/>
    <w:rsid w:val="00360B27"/>
    <w:rsid w:val="00360D39"/>
    <w:rsid w:val="00360DCC"/>
    <w:rsid w:val="00360E8F"/>
    <w:rsid w:val="00361266"/>
    <w:rsid w:val="0036142C"/>
    <w:rsid w:val="003614B1"/>
    <w:rsid w:val="003615C2"/>
    <w:rsid w:val="003615D6"/>
    <w:rsid w:val="003617A0"/>
    <w:rsid w:val="00361872"/>
    <w:rsid w:val="003618AA"/>
    <w:rsid w:val="003619B8"/>
    <w:rsid w:val="00361C38"/>
    <w:rsid w:val="00361C95"/>
    <w:rsid w:val="00361D92"/>
    <w:rsid w:val="00361F09"/>
    <w:rsid w:val="00361F8B"/>
    <w:rsid w:val="00362259"/>
    <w:rsid w:val="003622EC"/>
    <w:rsid w:val="00362387"/>
    <w:rsid w:val="00362407"/>
    <w:rsid w:val="003624E3"/>
    <w:rsid w:val="003626BE"/>
    <w:rsid w:val="003626C1"/>
    <w:rsid w:val="00362914"/>
    <w:rsid w:val="00362A4A"/>
    <w:rsid w:val="00362BEC"/>
    <w:rsid w:val="00362BFD"/>
    <w:rsid w:val="00362D5A"/>
    <w:rsid w:val="00362ED6"/>
    <w:rsid w:val="00362F93"/>
    <w:rsid w:val="003630A6"/>
    <w:rsid w:val="00363434"/>
    <w:rsid w:val="003638C2"/>
    <w:rsid w:val="00363A30"/>
    <w:rsid w:val="00363A46"/>
    <w:rsid w:val="00363AB9"/>
    <w:rsid w:val="00363AC2"/>
    <w:rsid w:val="00363ADA"/>
    <w:rsid w:val="00363B54"/>
    <w:rsid w:val="00363B61"/>
    <w:rsid w:val="00363BB7"/>
    <w:rsid w:val="00363BFA"/>
    <w:rsid w:val="00363D3C"/>
    <w:rsid w:val="00363D63"/>
    <w:rsid w:val="00363DBD"/>
    <w:rsid w:val="00363E1C"/>
    <w:rsid w:val="00363E72"/>
    <w:rsid w:val="00363E7F"/>
    <w:rsid w:val="00363EF9"/>
    <w:rsid w:val="00363F29"/>
    <w:rsid w:val="00363FF8"/>
    <w:rsid w:val="00364044"/>
    <w:rsid w:val="003640E1"/>
    <w:rsid w:val="00364171"/>
    <w:rsid w:val="0036419A"/>
    <w:rsid w:val="00364432"/>
    <w:rsid w:val="0036464C"/>
    <w:rsid w:val="0036466F"/>
    <w:rsid w:val="0036477F"/>
    <w:rsid w:val="003647C8"/>
    <w:rsid w:val="0036488F"/>
    <w:rsid w:val="0036491E"/>
    <w:rsid w:val="00364C81"/>
    <w:rsid w:val="00364E64"/>
    <w:rsid w:val="00364F9C"/>
    <w:rsid w:val="00364FA3"/>
    <w:rsid w:val="003651B3"/>
    <w:rsid w:val="003651E2"/>
    <w:rsid w:val="003652AA"/>
    <w:rsid w:val="00365561"/>
    <w:rsid w:val="00365574"/>
    <w:rsid w:val="0036559F"/>
    <w:rsid w:val="0036570C"/>
    <w:rsid w:val="00365768"/>
    <w:rsid w:val="00365840"/>
    <w:rsid w:val="0036594C"/>
    <w:rsid w:val="00365B4F"/>
    <w:rsid w:val="00365BC7"/>
    <w:rsid w:val="00365C7A"/>
    <w:rsid w:val="00365CE3"/>
    <w:rsid w:val="00365D64"/>
    <w:rsid w:val="00365E64"/>
    <w:rsid w:val="00365EA9"/>
    <w:rsid w:val="00366136"/>
    <w:rsid w:val="00366184"/>
    <w:rsid w:val="00366188"/>
    <w:rsid w:val="0036622F"/>
    <w:rsid w:val="003664C4"/>
    <w:rsid w:val="00366647"/>
    <w:rsid w:val="00366773"/>
    <w:rsid w:val="003667A4"/>
    <w:rsid w:val="003668AD"/>
    <w:rsid w:val="00366AD9"/>
    <w:rsid w:val="00366AEC"/>
    <w:rsid w:val="00366C14"/>
    <w:rsid w:val="00366E21"/>
    <w:rsid w:val="00367061"/>
    <w:rsid w:val="00367189"/>
    <w:rsid w:val="00367667"/>
    <w:rsid w:val="003677C1"/>
    <w:rsid w:val="00367A8C"/>
    <w:rsid w:val="00367D7A"/>
    <w:rsid w:val="00367D82"/>
    <w:rsid w:val="00367E4A"/>
    <w:rsid w:val="00367E5B"/>
    <w:rsid w:val="00367FD1"/>
    <w:rsid w:val="00370037"/>
    <w:rsid w:val="003700B2"/>
    <w:rsid w:val="003700C1"/>
    <w:rsid w:val="003700F7"/>
    <w:rsid w:val="00370107"/>
    <w:rsid w:val="0037010E"/>
    <w:rsid w:val="00370176"/>
    <w:rsid w:val="00370182"/>
    <w:rsid w:val="003705CF"/>
    <w:rsid w:val="00370698"/>
    <w:rsid w:val="003706E2"/>
    <w:rsid w:val="003709D3"/>
    <w:rsid w:val="00370A69"/>
    <w:rsid w:val="00370AFF"/>
    <w:rsid w:val="00370B07"/>
    <w:rsid w:val="00370B9A"/>
    <w:rsid w:val="00370C4D"/>
    <w:rsid w:val="00370C8F"/>
    <w:rsid w:val="00370E60"/>
    <w:rsid w:val="00370E88"/>
    <w:rsid w:val="00370EC6"/>
    <w:rsid w:val="00370F65"/>
    <w:rsid w:val="003710CA"/>
    <w:rsid w:val="003710F2"/>
    <w:rsid w:val="0037114D"/>
    <w:rsid w:val="003711DD"/>
    <w:rsid w:val="0037121D"/>
    <w:rsid w:val="0037149C"/>
    <w:rsid w:val="00371756"/>
    <w:rsid w:val="003718C1"/>
    <w:rsid w:val="00371946"/>
    <w:rsid w:val="003719B3"/>
    <w:rsid w:val="00371A16"/>
    <w:rsid w:val="00371A84"/>
    <w:rsid w:val="00371AE4"/>
    <w:rsid w:val="00371AE5"/>
    <w:rsid w:val="00371BA3"/>
    <w:rsid w:val="00371C4C"/>
    <w:rsid w:val="00371CEB"/>
    <w:rsid w:val="00371DF3"/>
    <w:rsid w:val="00371E0C"/>
    <w:rsid w:val="00371E3D"/>
    <w:rsid w:val="00371EED"/>
    <w:rsid w:val="003722A5"/>
    <w:rsid w:val="003723F2"/>
    <w:rsid w:val="00372624"/>
    <w:rsid w:val="003726A7"/>
    <w:rsid w:val="00372744"/>
    <w:rsid w:val="00372775"/>
    <w:rsid w:val="00372778"/>
    <w:rsid w:val="003727BC"/>
    <w:rsid w:val="0037284F"/>
    <w:rsid w:val="00372A0E"/>
    <w:rsid w:val="00372A79"/>
    <w:rsid w:val="00372AB0"/>
    <w:rsid w:val="00372BD4"/>
    <w:rsid w:val="00372D74"/>
    <w:rsid w:val="00372ED6"/>
    <w:rsid w:val="00372F09"/>
    <w:rsid w:val="00372F5A"/>
    <w:rsid w:val="00373144"/>
    <w:rsid w:val="00373328"/>
    <w:rsid w:val="00373374"/>
    <w:rsid w:val="003733EE"/>
    <w:rsid w:val="00373474"/>
    <w:rsid w:val="00373516"/>
    <w:rsid w:val="0037354A"/>
    <w:rsid w:val="00373630"/>
    <w:rsid w:val="00373650"/>
    <w:rsid w:val="00373697"/>
    <w:rsid w:val="00373713"/>
    <w:rsid w:val="0037390A"/>
    <w:rsid w:val="003739A0"/>
    <w:rsid w:val="00373AE5"/>
    <w:rsid w:val="00373C30"/>
    <w:rsid w:val="00373F90"/>
    <w:rsid w:val="0037402A"/>
    <w:rsid w:val="003740C0"/>
    <w:rsid w:val="00374154"/>
    <w:rsid w:val="00374266"/>
    <w:rsid w:val="00374385"/>
    <w:rsid w:val="00374420"/>
    <w:rsid w:val="0037445D"/>
    <w:rsid w:val="00374573"/>
    <w:rsid w:val="003745AA"/>
    <w:rsid w:val="003745B8"/>
    <w:rsid w:val="00374749"/>
    <w:rsid w:val="003747BA"/>
    <w:rsid w:val="00374C73"/>
    <w:rsid w:val="00374C89"/>
    <w:rsid w:val="00374CC0"/>
    <w:rsid w:val="00374E21"/>
    <w:rsid w:val="00374FB5"/>
    <w:rsid w:val="00375020"/>
    <w:rsid w:val="0037506C"/>
    <w:rsid w:val="00375213"/>
    <w:rsid w:val="003752D3"/>
    <w:rsid w:val="00375628"/>
    <w:rsid w:val="003756EB"/>
    <w:rsid w:val="00375926"/>
    <w:rsid w:val="00375A5B"/>
    <w:rsid w:val="00375B20"/>
    <w:rsid w:val="00375B4A"/>
    <w:rsid w:val="00375F5A"/>
    <w:rsid w:val="00376184"/>
    <w:rsid w:val="003761A3"/>
    <w:rsid w:val="00376232"/>
    <w:rsid w:val="00376233"/>
    <w:rsid w:val="00376334"/>
    <w:rsid w:val="0037636A"/>
    <w:rsid w:val="0037637A"/>
    <w:rsid w:val="00376432"/>
    <w:rsid w:val="00376491"/>
    <w:rsid w:val="003765AB"/>
    <w:rsid w:val="00376723"/>
    <w:rsid w:val="003767AC"/>
    <w:rsid w:val="0037690F"/>
    <w:rsid w:val="00376947"/>
    <w:rsid w:val="00376A31"/>
    <w:rsid w:val="00376A4D"/>
    <w:rsid w:val="00376A7D"/>
    <w:rsid w:val="00376B26"/>
    <w:rsid w:val="00376BE0"/>
    <w:rsid w:val="00376C01"/>
    <w:rsid w:val="00376C57"/>
    <w:rsid w:val="00376D8B"/>
    <w:rsid w:val="00376EB9"/>
    <w:rsid w:val="00376FA8"/>
    <w:rsid w:val="0037709F"/>
    <w:rsid w:val="003770AB"/>
    <w:rsid w:val="003770E9"/>
    <w:rsid w:val="003771CA"/>
    <w:rsid w:val="0037721D"/>
    <w:rsid w:val="0037722A"/>
    <w:rsid w:val="00377240"/>
    <w:rsid w:val="0037753D"/>
    <w:rsid w:val="00377575"/>
    <w:rsid w:val="003775A0"/>
    <w:rsid w:val="0037770B"/>
    <w:rsid w:val="0037790E"/>
    <w:rsid w:val="00377955"/>
    <w:rsid w:val="00377B3D"/>
    <w:rsid w:val="00377CC8"/>
    <w:rsid w:val="00377E3F"/>
    <w:rsid w:val="00377F87"/>
    <w:rsid w:val="0038001C"/>
    <w:rsid w:val="0038007B"/>
    <w:rsid w:val="00380153"/>
    <w:rsid w:val="00380190"/>
    <w:rsid w:val="00380197"/>
    <w:rsid w:val="00380248"/>
    <w:rsid w:val="0038027A"/>
    <w:rsid w:val="003802B6"/>
    <w:rsid w:val="0038044B"/>
    <w:rsid w:val="00380574"/>
    <w:rsid w:val="003805C9"/>
    <w:rsid w:val="00380860"/>
    <w:rsid w:val="00380878"/>
    <w:rsid w:val="0038091C"/>
    <w:rsid w:val="00380979"/>
    <w:rsid w:val="00380AE0"/>
    <w:rsid w:val="00380BBD"/>
    <w:rsid w:val="00380FBA"/>
    <w:rsid w:val="0038102A"/>
    <w:rsid w:val="003810C6"/>
    <w:rsid w:val="003810F6"/>
    <w:rsid w:val="0038110A"/>
    <w:rsid w:val="0038119C"/>
    <w:rsid w:val="00381657"/>
    <w:rsid w:val="00381754"/>
    <w:rsid w:val="003817E6"/>
    <w:rsid w:val="00381887"/>
    <w:rsid w:val="00381941"/>
    <w:rsid w:val="00381A8E"/>
    <w:rsid w:val="00381ACB"/>
    <w:rsid w:val="00381B01"/>
    <w:rsid w:val="00381B1C"/>
    <w:rsid w:val="00381B2A"/>
    <w:rsid w:val="00381BFD"/>
    <w:rsid w:val="00381CA9"/>
    <w:rsid w:val="00381D66"/>
    <w:rsid w:val="00381D76"/>
    <w:rsid w:val="00381E8C"/>
    <w:rsid w:val="00381F7F"/>
    <w:rsid w:val="00382015"/>
    <w:rsid w:val="00382020"/>
    <w:rsid w:val="00382077"/>
    <w:rsid w:val="003822F6"/>
    <w:rsid w:val="003823B5"/>
    <w:rsid w:val="00382447"/>
    <w:rsid w:val="00382665"/>
    <w:rsid w:val="0038266E"/>
    <w:rsid w:val="0038270E"/>
    <w:rsid w:val="00382832"/>
    <w:rsid w:val="00382FA2"/>
    <w:rsid w:val="00383002"/>
    <w:rsid w:val="00383101"/>
    <w:rsid w:val="0038311D"/>
    <w:rsid w:val="0038319A"/>
    <w:rsid w:val="00383239"/>
    <w:rsid w:val="00383381"/>
    <w:rsid w:val="003833B4"/>
    <w:rsid w:val="00383688"/>
    <w:rsid w:val="00383735"/>
    <w:rsid w:val="003837F9"/>
    <w:rsid w:val="0038380B"/>
    <w:rsid w:val="00383AF9"/>
    <w:rsid w:val="00383C6B"/>
    <w:rsid w:val="00384027"/>
    <w:rsid w:val="0038420E"/>
    <w:rsid w:val="0038433C"/>
    <w:rsid w:val="003843ED"/>
    <w:rsid w:val="00384670"/>
    <w:rsid w:val="0038469B"/>
    <w:rsid w:val="00384921"/>
    <w:rsid w:val="0038499E"/>
    <w:rsid w:val="00384A91"/>
    <w:rsid w:val="00384AC9"/>
    <w:rsid w:val="00384B92"/>
    <w:rsid w:val="00384D69"/>
    <w:rsid w:val="00384EC9"/>
    <w:rsid w:val="00384FCF"/>
    <w:rsid w:val="003850CE"/>
    <w:rsid w:val="003851C0"/>
    <w:rsid w:val="003852E6"/>
    <w:rsid w:val="003852F4"/>
    <w:rsid w:val="00385399"/>
    <w:rsid w:val="003853F2"/>
    <w:rsid w:val="0038554E"/>
    <w:rsid w:val="0038558E"/>
    <w:rsid w:val="0038559A"/>
    <w:rsid w:val="00385670"/>
    <w:rsid w:val="0038571A"/>
    <w:rsid w:val="00385887"/>
    <w:rsid w:val="0038590D"/>
    <w:rsid w:val="00385AEC"/>
    <w:rsid w:val="00385F36"/>
    <w:rsid w:val="00385F4B"/>
    <w:rsid w:val="00385FC6"/>
    <w:rsid w:val="00386078"/>
    <w:rsid w:val="003860DB"/>
    <w:rsid w:val="00386191"/>
    <w:rsid w:val="00386301"/>
    <w:rsid w:val="0038632B"/>
    <w:rsid w:val="003864B8"/>
    <w:rsid w:val="0038652E"/>
    <w:rsid w:val="00386556"/>
    <w:rsid w:val="00386572"/>
    <w:rsid w:val="003865F6"/>
    <w:rsid w:val="00386636"/>
    <w:rsid w:val="003866BF"/>
    <w:rsid w:val="00386777"/>
    <w:rsid w:val="003868D7"/>
    <w:rsid w:val="00386960"/>
    <w:rsid w:val="003869E5"/>
    <w:rsid w:val="00386BB1"/>
    <w:rsid w:val="00386C23"/>
    <w:rsid w:val="00386CD6"/>
    <w:rsid w:val="00386E74"/>
    <w:rsid w:val="00386F56"/>
    <w:rsid w:val="00386FE7"/>
    <w:rsid w:val="00387353"/>
    <w:rsid w:val="003873F5"/>
    <w:rsid w:val="0038746B"/>
    <w:rsid w:val="00387603"/>
    <w:rsid w:val="00387774"/>
    <w:rsid w:val="00387DB3"/>
    <w:rsid w:val="00387E17"/>
    <w:rsid w:val="00387EA2"/>
    <w:rsid w:val="0039005C"/>
    <w:rsid w:val="00390080"/>
    <w:rsid w:val="00390411"/>
    <w:rsid w:val="003904D1"/>
    <w:rsid w:val="003904D4"/>
    <w:rsid w:val="003904E6"/>
    <w:rsid w:val="00390545"/>
    <w:rsid w:val="00390CB4"/>
    <w:rsid w:val="00390D2A"/>
    <w:rsid w:val="00390EF2"/>
    <w:rsid w:val="00390F8E"/>
    <w:rsid w:val="00391120"/>
    <w:rsid w:val="00391328"/>
    <w:rsid w:val="00391341"/>
    <w:rsid w:val="003913A3"/>
    <w:rsid w:val="003915C9"/>
    <w:rsid w:val="00391669"/>
    <w:rsid w:val="003916D0"/>
    <w:rsid w:val="00391737"/>
    <w:rsid w:val="003917AA"/>
    <w:rsid w:val="0039185D"/>
    <w:rsid w:val="00391C16"/>
    <w:rsid w:val="00391D07"/>
    <w:rsid w:val="00391D6A"/>
    <w:rsid w:val="00391EBA"/>
    <w:rsid w:val="00392055"/>
    <w:rsid w:val="00392088"/>
    <w:rsid w:val="0039219B"/>
    <w:rsid w:val="0039256C"/>
    <w:rsid w:val="0039257E"/>
    <w:rsid w:val="0039265B"/>
    <w:rsid w:val="003926C1"/>
    <w:rsid w:val="00392703"/>
    <w:rsid w:val="003927D1"/>
    <w:rsid w:val="00392870"/>
    <w:rsid w:val="00392B4F"/>
    <w:rsid w:val="00392C35"/>
    <w:rsid w:val="00392C61"/>
    <w:rsid w:val="00392C7F"/>
    <w:rsid w:val="00392DA1"/>
    <w:rsid w:val="00392E02"/>
    <w:rsid w:val="00393140"/>
    <w:rsid w:val="00393175"/>
    <w:rsid w:val="00393233"/>
    <w:rsid w:val="00393265"/>
    <w:rsid w:val="0039334A"/>
    <w:rsid w:val="00393420"/>
    <w:rsid w:val="0039351D"/>
    <w:rsid w:val="003935B5"/>
    <w:rsid w:val="00393605"/>
    <w:rsid w:val="00393810"/>
    <w:rsid w:val="0039383C"/>
    <w:rsid w:val="00393890"/>
    <w:rsid w:val="00393917"/>
    <w:rsid w:val="00393B25"/>
    <w:rsid w:val="00393F76"/>
    <w:rsid w:val="0039407E"/>
    <w:rsid w:val="00394370"/>
    <w:rsid w:val="0039438D"/>
    <w:rsid w:val="003943F8"/>
    <w:rsid w:val="00394521"/>
    <w:rsid w:val="003945E3"/>
    <w:rsid w:val="00394615"/>
    <w:rsid w:val="00394803"/>
    <w:rsid w:val="00394938"/>
    <w:rsid w:val="003949AC"/>
    <w:rsid w:val="00394AF0"/>
    <w:rsid w:val="00394B6A"/>
    <w:rsid w:val="00394C35"/>
    <w:rsid w:val="00394C60"/>
    <w:rsid w:val="00394DBE"/>
    <w:rsid w:val="00394ECA"/>
    <w:rsid w:val="00394F46"/>
    <w:rsid w:val="00394FAF"/>
    <w:rsid w:val="00394FE0"/>
    <w:rsid w:val="003950BA"/>
    <w:rsid w:val="00395162"/>
    <w:rsid w:val="0039545B"/>
    <w:rsid w:val="00395680"/>
    <w:rsid w:val="0039579F"/>
    <w:rsid w:val="003958DE"/>
    <w:rsid w:val="003958F0"/>
    <w:rsid w:val="00395BBF"/>
    <w:rsid w:val="00395C4F"/>
    <w:rsid w:val="00395D72"/>
    <w:rsid w:val="00395EB1"/>
    <w:rsid w:val="00395EC6"/>
    <w:rsid w:val="00395F9D"/>
    <w:rsid w:val="0039622A"/>
    <w:rsid w:val="0039626A"/>
    <w:rsid w:val="00396363"/>
    <w:rsid w:val="0039644D"/>
    <w:rsid w:val="00396487"/>
    <w:rsid w:val="00396764"/>
    <w:rsid w:val="00396774"/>
    <w:rsid w:val="0039680B"/>
    <w:rsid w:val="00396903"/>
    <w:rsid w:val="00396A6D"/>
    <w:rsid w:val="00396ABF"/>
    <w:rsid w:val="00396B0B"/>
    <w:rsid w:val="00396BCA"/>
    <w:rsid w:val="00396DC0"/>
    <w:rsid w:val="00396F62"/>
    <w:rsid w:val="00396F77"/>
    <w:rsid w:val="00396FF2"/>
    <w:rsid w:val="003970D6"/>
    <w:rsid w:val="0039714D"/>
    <w:rsid w:val="003971EF"/>
    <w:rsid w:val="00397236"/>
    <w:rsid w:val="003975C1"/>
    <w:rsid w:val="00397900"/>
    <w:rsid w:val="003979C0"/>
    <w:rsid w:val="00397A10"/>
    <w:rsid w:val="00397A4F"/>
    <w:rsid w:val="00397C8E"/>
    <w:rsid w:val="00397D90"/>
    <w:rsid w:val="00397F19"/>
    <w:rsid w:val="00397F21"/>
    <w:rsid w:val="003A00CF"/>
    <w:rsid w:val="003A0166"/>
    <w:rsid w:val="003A01F3"/>
    <w:rsid w:val="003A0229"/>
    <w:rsid w:val="003A02F5"/>
    <w:rsid w:val="003A0344"/>
    <w:rsid w:val="003A0354"/>
    <w:rsid w:val="003A03DD"/>
    <w:rsid w:val="003A05AA"/>
    <w:rsid w:val="003A0741"/>
    <w:rsid w:val="003A0749"/>
    <w:rsid w:val="003A0841"/>
    <w:rsid w:val="003A0848"/>
    <w:rsid w:val="003A08BF"/>
    <w:rsid w:val="003A099B"/>
    <w:rsid w:val="003A09C1"/>
    <w:rsid w:val="003A0A21"/>
    <w:rsid w:val="003A0AB9"/>
    <w:rsid w:val="003A0B9E"/>
    <w:rsid w:val="003A1123"/>
    <w:rsid w:val="003A11C1"/>
    <w:rsid w:val="003A1226"/>
    <w:rsid w:val="003A1666"/>
    <w:rsid w:val="003A1717"/>
    <w:rsid w:val="003A1773"/>
    <w:rsid w:val="003A17FA"/>
    <w:rsid w:val="003A1A43"/>
    <w:rsid w:val="003A1B27"/>
    <w:rsid w:val="003A2067"/>
    <w:rsid w:val="003A20E5"/>
    <w:rsid w:val="003A2184"/>
    <w:rsid w:val="003A21C8"/>
    <w:rsid w:val="003A21E7"/>
    <w:rsid w:val="003A2206"/>
    <w:rsid w:val="003A24E2"/>
    <w:rsid w:val="003A266F"/>
    <w:rsid w:val="003A26F3"/>
    <w:rsid w:val="003A2B6A"/>
    <w:rsid w:val="003A2BCD"/>
    <w:rsid w:val="003A2D96"/>
    <w:rsid w:val="003A2ED6"/>
    <w:rsid w:val="003A2FF6"/>
    <w:rsid w:val="003A2FFA"/>
    <w:rsid w:val="003A3064"/>
    <w:rsid w:val="003A312E"/>
    <w:rsid w:val="003A32F0"/>
    <w:rsid w:val="003A32FF"/>
    <w:rsid w:val="003A3311"/>
    <w:rsid w:val="003A331A"/>
    <w:rsid w:val="003A3617"/>
    <w:rsid w:val="003A3877"/>
    <w:rsid w:val="003A39C7"/>
    <w:rsid w:val="003A39D3"/>
    <w:rsid w:val="003A3ACF"/>
    <w:rsid w:val="003A3B32"/>
    <w:rsid w:val="003A3C5B"/>
    <w:rsid w:val="003A3CD0"/>
    <w:rsid w:val="003A3CDF"/>
    <w:rsid w:val="003A3CE5"/>
    <w:rsid w:val="003A3DCC"/>
    <w:rsid w:val="003A3E2D"/>
    <w:rsid w:val="003A3FB2"/>
    <w:rsid w:val="003A4067"/>
    <w:rsid w:val="003A4145"/>
    <w:rsid w:val="003A449B"/>
    <w:rsid w:val="003A456B"/>
    <w:rsid w:val="003A45D9"/>
    <w:rsid w:val="003A45EC"/>
    <w:rsid w:val="003A4703"/>
    <w:rsid w:val="003A47F7"/>
    <w:rsid w:val="003A4842"/>
    <w:rsid w:val="003A48B1"/>
    <w:rsid w:val="003A48D6"/>
    <w:rsid w:val="003A490A"/>
    <w:rsid w:val="003A4A01"/>
    <w:rsid w:val="003A4A34"/>
    <w:rsid w:val="003A4B1D"/>
    <w:rsid w:val="003A4B5A"/>
    <w:rsid w:val="003A4BA5"/>
    <w:rsid w:val="003A4CAD"/>
    <w:rsid w:val="003A4FDD"/>
    <w:rsid w:val="003A505B"/>
    <w:rsid w:val="003A5072"/>
    <w:rsid w:val="003A50C8"/>
    <w:rsid w:val="003A514A"/>
    <w:rsid w:val="003A51A8"/>
    <w:rsid w:val="003A527F"/>
    <w:rsid w:val="003A52C4"/>
    <w:rsid w:val="003A52C6"/>
    <w:rsid w:val="003A5458"/>
    <w:rsid w:val="003A54D6"/>
    <w:rsid w:val="003A54F3"/>
    <w:rsid w:val="003A5571"/>
    <w:rsid w:val="003A565D"/>
    <w:rsid w:val="003A566A"/>
    <w:rsid w:val="003A5A45"/>
    <w:rsid w:val="003A5B68"/>
    <w:rsid w:val="003A5C65"/>
    <w:rsid w:val="003A5DF3"/>
    <w:rsid w:val="003A5E82"/>
    <w:rsid w:val="003A5EEC"/>
    <w:rsid w:val="003A5F14"/>
    <w:rsid w:val="003A5F30"/>
    <w:rsid w:val="003A6059"/>
    <w:rsid w:val="003A608A"/>
    <w:rsid w:val="003A6135"/>
    <w:rsid w:val="003A6403"/>
    <w:rsid w:val="003A650D"/>
    <w:rsid w:val="003A6580"/>
    <w:rsid w:val="003A674B"/>
    <w:rsid w:val="003A6776"/>
    <w:rsid w:val="003A68AE"/>
    <w:rsid w:val="003A68DC"/>
    <w:rsid w:val="003A6A5A"/>
    <w:rsid w:val="003A6AB7"/>
    <w:rsid w:val="003A6B5C"/>
    <w:rsid w:val="003A6DC1"/>
    <w:rsid w:val="003A6DCB"/>
    <w:rsid w:val="003A6DF0"/>
    <w:rsid w:val="003A6EC8"/>
    <w:rsid w:val="003A6FE6"/>
    <w:rsid w:val="003A70AF"/>
    <w:rsid w:val="003A70C0"/>
    <w:rsid w:val="003A7108"/>
    <w:rsid w:val="003A734F"/>
    <w:rsid w:val="003A7367"/>
    <w:rsid w:val="003A743E"/>
    <w:rsid w:val="003A7488"/>
    <w:rsid w:val="003A74A3"/>
    <w:rsid w:val="003A7657"/>
    <w:rsid w:val="003A771F"/>
    <w:rsid w:val="003A781A"/>
    <w:rsid w:val="003A78FC"/>
    <w:rsid w:val="003A79C5"/>
    <w:rsid w:val="003A79E4"/>
    <w:rsid w:val="003A7ADE"/>
    <w:rsid w:val="003A7B6E"/>
    <w:rsid w:val="003A7DD3"/>
    <w:rsid w:val="003A7E8F"/>
    <w:rsid w:val="003A7E9A"/>
    <w:rsid w:val="003A7F5A"/>
    <w:rsid w:val="003A7FB6"/>
    <w:rsid w:val="003A7FBF"/>
    <w:rsid w:val="003B0122"/>
    <w:rsid w:val="003B01BF"/>
    <w:rsid w:val="003B03A9"/>
    <w:rsid w:val="003B0571"/>
    <w:rsid w:val="003B060B"/>
    <w:rsid w:val="003B0823"/>
    <w:rsid w:val="003B087E"/>
    <w:rsid w:val="003B08FC"/>
    <w:rsid w:val="003B0A30"/>
    <w:rsid w:val="003B0AF4"/>
    <w:rsid w:val="003B0E5E"/>
    <w:rsid w:val="003B0E96"/>
    <w:rsid w:val="003B0F38"/>
    <w:rsid w:val="003B0FC2"/>
    <w:rsid w:val="003B10DF"/>
    <w:rsid w:val="003B1127"/>
    <w:rsid w:val="003B128D"/>
    <w:rsid w:val="003B1516"/>
    <w:rsid w:val="003B1559"/>
    <w:rsid w:val="003B1574"/>
    <w:rsid w:val="003B1758"/>
    <w:rsid w:val="003B17F1"/>
    <w:rsid w:val="003B18F5"/>
    <w:rsid w:val="003B1904"/>
    <w:rsid w:val="003B1A53"/>
    <w:rsid w:val="003B1A76"/>
    <w:rsid w:val="003B1B13"/>
    <w:rsid w:val="003B1C30"/>
    <w:rsid w:val="003B1D6D"/>
    <w:rsid w:val="003B1DD0"/>
    <w:rsid w:val="003B1DF9"/>
    <w:rsid w:val="003B1E18"/>
    <w:rsid w:val="003B1EB6"/>
    <w:rsid w:val="003B1ED2"/>
    <w:rsid w:val="003B1EE8"/>
    <w:rsid w:val="003B1EEC"/>
    <w:rsid w:val="003B1FD0"/>
    <w:rsid w:val="003B205C"/>
    <w:rsid w:val="003B2329"/>
    <w:rsid w:val="003B2346"/>
    <w:rsid w:val="003B2561"/>
    <w:rsid w:val="003B25F6"/>
    <w:rsid w:val="003B26E7"/>
    <w:rsid w:val="003B271C"/>
    <w:rsid w:val="003B279D"/>
    <w:rsid w:val="003B297E"/>
    <w:rsid w:val="003B29FC"/>
    <w:rsid w:val="003B2A34"/>
    <w:rsid w:val="003B2B29"/>
    <w:rsid w:val="003B2D5E"/>
    <w:rsid w:val="003B2E5A"/>
    <w:rsid w:val="003B2E88"/>
    <w:rsid w:val="003B2EA9"/>
    <w:rsid w:val="003B2F71"/>
    <w:rsid w:val="003B2FF9"/>
    <w:rsid w:val="003B3130"/>
    <w:rsid w:val="003B3266"/>
    <w:rsid w:val="003B3292"/>
    <w:rsid w:val="003B32D6"/>
    <w:rsid w:val="003B344E"/>
    <w:rsid w:val="003B36A4"/>
    <w:rsid w:val="003B3743"/>
    <w:rsid w:val="003B3A9D"/>
    <w:rsid w:val="003B3AEF"/>
    <w:rsid w:val="003B3B0D"/>
    <w:rsid w:val="003B3D72"/>
    <w:rsid w:val="003B3E78"/>
    <w:rsid w:val="003B3F80"/>
    <w:rsid w:val="003B3FAF"/>
    <w:rsid w:val="003B41A4"/>
    <w:rsid w:val="003B4267"/>
    <w:rsid w:val="003B43F0"/>
    <w:rsid w:val="003B4571"/>
    <w:rsid w:val="003B457A"/>
    <w:rsid w:val="003B4884"/>
    <w:rsid w:val="003B4919"/>
    <w:rsid w:val="003B49D8"/>
    <w:rsid w:val="003B4B4A"/>
    <w:rsid w:val="003B4BB6"/>
    <w:rsid w:val="003B4BD9"/>
    <w:rsid w:val="003B4BEF"/>
    <w:rsid w:val="003B4C3E"/>
    <w:rsid w:val="003B4CF5"/>
    <w:rsid w:val="003B4D87"/>
    <w:rsid w:val="003B4DF4"/>
    <w:rsid w:val="003B4E02"/>
    <w:rsid w:val="003B4F3D"/>
    <w:rsid w:val="003B505E"/>
    <w:rsid w:val="003B5221"/>
    <w:rsid w:val="003B52C4"/>
    <w:rsid w:val="003B53E3"/>
    <w:rsid w:val="003B545F"/>
    <w:rsid w:val="003B5712"/>
    <w:rsid w:val="003B5730"/>
    <w:rsid w:val="003B5748"/>
    <w:rsid w:val="003B584A"/>
    <w:rsid w:val="003B5A74"/>
    <w:rsid w:val="003B5B6F"/>
    <w:rsid w:val="003B5BAE"/>
    <w:rsid w:val="003B5BEB"/>
    <w:rsid w:val="003B5D59"/>
    <w:rsid w:val="003B5EE5"/>
    <w:rsid w:val="003B60F6"/>
    <w:rsid w:val="003B6126"/>
    <w:rsid w:val="003B631F"/>
    <w:rsid w:val="003B6359"/>
    <w:rsid w:val="003B64E2"/>
    <w:rsid w:val="003B6707"/>
    <w:rsid w:val="003B6749"/>
    <w:rsid w:val="003B684F"/>
    <w:rsid w:val="003B68E5"/>
    <w:rsid w:val="003B6967"/>
    <w:rsid w:val="003B6A1D"/>
    <w:rsid w:val="003B6AB0"/>
    <w:rsid w:val="003B6E0A"/>
    <w:rsid w:val="003B6E2C"/>
    <w:rsid w:val="003B7147"/>
    <w:rsid w:val="003B7321"/>
    <w:rsid w:val="003B75D4"/>
    <w:rsid w:val="003B7654"/>
    <w:rsid w:val="003B778F"/>
    <w:rsid w:val="003B77AF"/>
    <w:rsid w:val="003B78D2"/>
    <w:rsid w:val="003B798E"/>
    <w:rsid w:val="003B799C"/>
    <w:rsid w:val="003B7B0F"/>
    <w:rsid w:val="003B7B93"/>
    <w:rsid w:val="003B7C7C"/>
    <w:rsid w:val="003B7DB1"/>
    <w:rsid w:val="003B7DBE"/>
    <w:rsid w:val="003C01D4"/>
    <w:rsid w:val="003C033D"/>
    <w:rsid w:val="003C04A1"/>
    <w:rsid w:val="003C04D3"/>
    <w:rsid w:val="003C059E"/>
    <w:rsid w:val="003C0919"/>
    <w:rsid w:val="003C0924"/>
    <w:rsid w:val="003C09BA"/>
    <w:rsid w:val="003C0A24"/>
    <w:rsid w:val="003C0A2A"/>
    <w:rsid w:val="003C0A59"/>
    <w:rsid w:val="003C0B8A"/>
    <w:rsid w:val="003C0BC4"/>
    <w:rsid w:val="003C0C53"/>
    <w:rsid w:val="003C0C8F"/>
    <w:rsid w:val="003C0DC0"/>
    <w:rsid w:val="003C0E78"/>
    <w:rsid w:val="003C0F0B"/>
    <w:rsid w:val="003C0FCD"/>
    <w:rsid w:val="003C114A"/>
    <w:rsid w:val="003C126A"/>
    <w:rsid w:val="003C12A8"/>
    <w:rsid w:val="003C1302"/>
    <w:rsid w:val="003C1353"/>
    <w:rsid w:val="003C13C5"/>
    <w:rsid w:val="003C14B5"/>
    <w:rsid w:val="003C17BD"/>
    <w:rsid w:val="003C17E2"/>
    <w:rsid w:val="003C1849"/>
    <w:rsid w:val="003C187F"/>
    <w:rsid w:val="003C1945"/>
    <w:rsid w:val="003C1A35"/>
    <w:rsid w:val="003C1AE5"/>
    <w:rsid w:val="003C1BAE"/>
    <w:rsid w:val="003C1C27"/>
    <w:rsid w:val="003C1DA6"/>
    <w:rsid w:val="003C1E0E"/>
    <w:rsid w:val="003C1FDC"/>
    <w:rsid w:val="003C21EE"/>
    <w:rsid w:val="003C26DF"/>
    <w:rsid w:val="003C26FC"/>
    <w:rsid w:val="003C27DC"/>
    <w:rsid w:val="003C287A"/>
    <w:rsid w:val="003C2A9C"/>
    <w:rsid w:val="003C2CC3"/>
    <w:rsid w:val="003C2D1D"/>
    <w:rsid w:val="003C2D3B"/>
    <w:rsid w:val="003C2D8C"/>
    <w:rsid w:val="003C2DA5"/>
    <w:rsid w:val="003C3039"/>
    <w:rsid w:val="003C30EC"/>
    <w:rsid w:val="003C33B4"/>
    <w:rsid w:val="003C33BB"/>
    <w:rsid w:val="003C35CE"/>
    <w:rsid w:val="003C3706"/>
    <w:rsid w:val="003C3756"/>
    <w:rsid w:val="003C3800"/>
    <w:rsid w:val="003C3806"/>
    <w:rsid w:val="003C3B8A"/>
    <w:rsid w:val="003C3BC7"/>
    <w:rsid w:val="003C3BF5"/>
    <w:rsid w:val="003C3C7A"/>
    <w:rsid w:val="003C3C7C"/>
    <w:rsid w:val="003C3E90"/>
    <w:rsid w:val="003C3EDA"/>
    <w:rsid w:val="003C3F0F"/>
    <w:rsid w:val="003C3FF4"/>
    <w:rsid w:val="003C4016"/>
    <w:rsid w:val="003C4137"/>
    <w:rsid w:val="003C41B5"/>
    <w:rsid w:val="003C4384"/>
    <w:rsid w:val="003C43CE"/>
    <w:rsid w:val="003C443F"/>
    <w:rsid w:val="003C444B"/>
    <w:rsid w:val="003C448F"/>
    <w:rsid w:val="003C4621"/>
    <w:rsid w:val="003C46D1"/>
    <w:rsid w:val="003C46D2"/>
    <w:rsid w:val="003C484A"/>
    <w:rsid w:val="003C494C"/>
    <w:rsid w:val="003C4960"/>
    <w:rsid w:val="003C4AAE"/>
    <w:rsid w:val="003C4B1C"/>
    <w:rsid w:val="003C4B86"/>
    <w:rsid w:val="003C4C2E"/>
    <w:rsid w:val="003C4C89"/>
    <w:rsid w:val="003C4CAC"/>
    <w:rsid w:val="003C4F79"/>
    <w:rsid w:val="003C4FA3"/>
    <w:rsid w:val="003C501E"/>
    <w:rsid w:val="003C5068"/>
    <w:rsid w:val="003C508F"/>
    <w:rsid w:val="003C50DC"/>
    <w:rsid w:val="003C513A"/>
    <w:rsid w:val="003C5189"/>
    <w:rsid w:val="003C5493"/>
    <w:rsid w:val="003C558E"/>
    <w:rsid w:val="003C5843"/>
    <w:rsid w:val="003C5947"/>
    <w:rsid w:val="003C5A3A"/>
    <w:rsid w:val="003C5A59"/>
    <w:rsid w:val="003C5A75"/>
    <w:rsid w:val="003C5A8C"/>
    <w:rsid w:val="003C5BCC"/>
    <w:rsid w:val="003C5DE8"/>
    <w:rsid w:val="003C5E70"/>
    <w:rsid w:val="003C5EC4"/>
    <w:rsid w:val="003C5ED8"/>
    <w:rsid w:val="003C608B"/>
    <w:rsid w:val="003C6476"/>
    <w:rsid w:val="003C652D"/>
    <w:rsid w:val="003C6680"/>
    <w:rsid w:val="003C66FD"/>
    <w:rsid w:val="003C69BF"/>
    <w:rsid w:val="003C6A40"/>
    <w:rsid w:val="003C6B32"/>
    <w:rsid w:val="003C6B99"/>
    <w:rsid w:val="003C6E9B"/>
    <w:rsid w:val="003C6EAC"/>
    <w:rsid w:val="003C6F52"/>
    <w:rsid w:val="003C7007"/>
    <w:rsid w:val="003C72A8"/>
    <w:rsid w:val="003C72EE"/>
    <w:rsid w:val="003C7363"/>
    <w:rsid w:val="003C73CE"/>
    <w:rsid w:val="003C73FE"/>
    <w:rsid w:val="003C7532"/>
    <w:rsid w:val="003C7569"/>
    <w:rsid w:val="003C7BDF"/>
    <w:rsid w:val="003C7D42"/>
    <w:rsid w:val="003C7F2B"/>
    <w:rsid w:val="003C7F93"/>
    <w:rsid w:val="003C7FB8"/>
    <w:rsid w:val="003C7FBA"/>
    <w:rsid w:val="003C7FCD"/>
    <w:rsid w:val="003C7FF0"/>
    <w:rsid w:val="003D01E7"/>
    <w:rsid w:val="003D027F"/>
    <w:rsid w:val="003D075F"/>
    <w:rsid w:val="003D0786"/>
    <w:rsid w:val="003D0798"/>
    <w:rsid w:val="003D08FE"/>
    <w:rsid w:val="003D091A"/>
    <w:rsid w:val="003D09EE"/>
    <w:rsid w:val="003D0B01"/>
    <w:rsid w:val="003D0CFA"/>
    <w:rsid w:val="003D0F33"/>
    <w:rsid w:val="003D0F81"/>
    <w:rsid w:val="003D10C6"/>
    <w:rsid w:val="003D139B"/>
    <w:rsid w:val="003D13E0"/>
    <w:rsid w:val="003D1451"/>
    <w:rsid w:val="003D175F"/>
    <w:rsid w:val="003D195B"/>
    <w:rsid w:val="003D1A58"/>
    <w:rsid w:val="003D1B73"/>
    <w:rsid w:val="003D1BEE"/>
    <w:rsid w:val="003D1C43"/>
    <w:rsid w:val="003D1D29"/>
    <w:rsid w:val="003D1D4B"/>
    <w:rsid w:val="003D1EB1"/>
    <w:rsid w:val="003D228E"/>
    <w:rsid w:val="003D2384"/>
    <w:rsid w:val="003D23A3"/>
    <w:rsid w:val="003D2486"/>
    <w:rsid w:val="003D268A"/>
    <w:rsid w:val="003D2719"/>
    <w:rsid w:val="003D2897"/>
    <w:rsid w:val="003D28F0"/>
    <w:rsid w:val="003D2C79"/>
    <w:rsid w:val="003D2E14"/>
    <w:rsid w:val="003D2E82"/>
    <w:rsid w:val="003D2E8B"/>
    <w:rsid w:val="003D2F3D"/>
    <w:rsid w:val="003D2F40"/>
    <w:rsid w:val="003D306F"/>
    <w:rsid w:val="003D31EA"/>
    <w:rsid w:val="003D32C8"/>
    <w:rsid w:val="003D3383"/>
    <w:rsid w:val="003D3480"/>
    <w:rsid w:val="003D34D1"/>
    <w:rsid w:val="003D352F"/>
    <w:rsid w:val="003D35A7"/>
    <w:rsid w:val="003D3606"/>
    <w:rsid w:val="003D367B"/>
    <w:rsid w:val="003D373F"/>
    <w:rsid w:val="003D3752"/>
    <w:rsid w:val="003D397A"/>
    <w:rsid w:val="003D3B71"/>
    <w:rsid w:val="003D3C5F"/>
    <w:rsid w:val="003D3DCD"/>
    <w:rsid w:val="003D3E4B"/>
    <w:rsid w:val="003D3F3C"/>
    <w:rsid w:val="003D3FDE"/>
    <w:rsid w:val="003D3FF9"/>
    <w:rsid w:val="003D40CA"/>
    <w:rsid w:val="003D40F5"/>
    <w:rsid w:val="003D4222"/>
    <w:rsid w:val="003D4550"/>
    <w:rsid w:val="003D455E"/>
    <w:rsid w:val="003D45AB"/>
    <w:rsid w:val="003D473F"/>
    <w:rsid w:val="003D4755"/>
    <w:rsid w:val="003D4973"/>
    <w:rsid w:val="003D4A14"/>
    <w:rsid w:val="003D4B1F"/>
    <w:rsid w:val="003D4BC9"/>
    <w:rsid w:val="003D4BF1"/>
    <w:rsid w:val="003D4CC4"/>
    <w:rsid w:val="003D4D32"/>
    <w:rsid w:val="003D4D4B"/>
    <w:rsid w:val="003D4ECA"/>
    <w:rsid w:val="003D5004"/>
    <w:rsid w:val="003D5073"/>
    <w:rsid w:val="003D54B5"/>
    <w:rsid w:val="003D55E7"/>
    <w:rsid w:val="003D5794"/>
    <w:rsid w:val="003D5838"/>
    <w:rsid w:val="003D5856"/>
    <w:rsid w:val="003D58AB"/>
    <w:rsid w:val="003D5A89"/>
    <w:rsid w:val="003D5CB4"/>
    <w:rsid w:val="003D5CF1"/>
    <w:rsid w:val="003D5D33"/>
    <w:rsid w:val="003D5EB1"/>
    <w:rsid w:val="003D5EEB"/>
    <w:rsid w:val="003D5EF3"/>
    <w:rsid w:val="003D6102"/>
    <w:rsid w:val="003D6164"/>
    <w:rsid w:val="003D61F0"/>
    <w:rsid w:val="003D62D9"/>
    <w:rsid w:val="003D62E8"/>
    <w:rsid w:val="003D632C"/>
    <w:rsid w:val="003D63BA"/>
    <w:rsid w:val="003D63F5"/>
    <w:rsid w:val="003D6408"/>
    <w:rsid w:val="003D6492"/>
    <w:rsid w:val="003D653E"/>
    <w:rsid w:val="003D6A20"/>
    <w:rsid w:val="003D6BD7"/>
    <w:rsid w:val="003D6BE4"/>
    <w:rsid w:val="003D7053"/>
    <w:rsid w:val="003D72AE"/>
    <w:rsid w:val="003D72DF"/>
    <w:rsid w:val="003D7333"/>
    <w:rsid w:val="003D743A"/>
    <w:rsid w:val="003D76F5"/>
    <w:rsid w:val="003D776B"/>
    <w:rsid w:val="003D77D4"/>
    <w:rsid w:val="003D78BA"/>
    <w:rsid w:val="003D7AB5"/>
    <w:rsid w:val="003D7BF2"/>
    <w:rsid w:val="003D7CA5"/>
    <w:rsid w:val="003D7D76"/>
    <w:rsid w:val="003D7D86"/>
    <w:rsid w:val="003D7DF4"/>
    <w:rsid w:val="003D7E53"/>
    <w:rsid w:val="003D7F3C"/>
    <w:rsid w:val="003E0057"/>
    <w:rsid w:val="003E0266"/>
    <w:rsid w:val="003E03A6"/>
    <w:rsid w:val="003E04A7"/>
    <w:rsid w:val="003E0755"/>
    <w:rsid w:val="003E086C"/>
    <w:rsid w:val="003E09C5"/>
    <w:rsid w:val="003E09DF"/>
    <w:rsid w:val="003E0B6B"/>
    <w:rsid w:val="003E0DE7"/>
    <w:rsid w:val="003E0E78"/>
    <w:rsid w:val="003E107B"/>
    <w:rsid w:val="003E131B"/>
    <w:rsid w:val="003E1347"/>
    <w:rsid w:val="003E16FD"/>
    <w:rsid w:val="003E1825"/>
    <w:rsid w:val="003E190E"/>
    <w:rsid w:val="003E1985"/>
    <w:rsid w:val="003E19E0"/>
    <w:rsid w:val="003E1A07"/>
    <w:rsid w:val="003E1A71"/>
    <w:rsid w:val="003E1D23"/>
    <w:rsid w:val="003E1E48"/>
    <w:rsid w:val="003E1FE3"/>
    <w:rsid w:val="003E1FE7"/>
    <w:rsid w:val="003E20D2"/>
    <w:rsid w:val="003E2182"/>
    <w:rsid w:val="003E21A0"/>
    <w:rsid w:val="003E232F"/>
    <w:rsid w:val="003E2486"/>
    <w:rsid w:val="003E25BE"/>
    <w:rsid w:val="003E2601"/>
    <w:rsid w:val="003E261B"/>
    <w:rsid w:val="003E264A"/>
    <w:rsid w:val="003E273D"/>
    <w:rsid w:val="003E2762"/>
    <w:rsid w:val="003E2766"/>
    <w:rsid w:val="003E2811"/>
    <w:rsid w:val="003E28FA"/>
    <w:rsid w:val="003E29A2"/>
    <w:rsid w:val="003E2A11"/>
    <w:rsid w:val="003E2A78"/>
    <w:rsid w:val="003E2BF1"/>
    <w:rsid w:val="003E2C1B"/>
    <w:rsid w:val="003E2CCD"/>
    <w:rsid w:val="003E310A"/>
    <w:rsid w:val="003E314D"/>
    <w:rsid w:val="003E3389"/>
    <w:rsid w:val="003E33B3"/>
    <w:rsid w:val="003E3422"/>
    <w:rsid w:val="003E3544"/>
    <w:rsid w:val="003E35BE"/>
    <w:rsid w:val="003E35E2"/>
    <w:rsid w:val="003E36DE"/>
    <w:rsid w:val="003E3ABE"/>
    <w:rsid w:val="003E3B83"/>
    <w:rsid w:val="003E3B8E"/>
    <w:rsid w:val="003E3E03"/>
    <w:rsid w:val="003E3E62"/>
    <w:rsid w:val="003E3EBF"/>
    <w:rsid w:val="003E3F95"/>
    <w:rsid w:val="003E4332"/>
    <w:rsid w:val="003E4401"/>
    <w:rsid w:val="003E446D"/>
    <w:rsid w:val="003E4530"/>
    <w:rsid w:val="003E46C7"/>
    <w:rsid w:val="003E4904"/>
    <w:rsid w:val="003E49E3"/>
    <w:rsid w:val="003E4A01"/>
    <w:rsid w:val="003E4A50"/>
    <w:rsid w:val="003E4AB4"/>
    <w:rsid w:val="003E4CB2"/>
    <w:rsid w:val="003E4E42"/>
    <w:rsid w:val="003E4F53"/>
    <w:rsid w:val="003E4FF5"/>
    <w:rsid w:val="003E50D8"/>
    <w:rsid w:val="003E51A9"/>
    <w:rsid w:val="003E5243"/>
    <w:rsid w:val="003E52CD"/>
    <w:rsid w:val="003E552B"/>
    <w:rsid w:val="003E5697"/>
    <w:rsid w:val="003E570D"/>
    <w:rsid w:val="003E57C4"/>
    <w:rsid w:val="003E5B3F"/>
    <w:rsid w:val="003E5B8B"/>
    <w:rsid w:val="003E5B9F"/>
    <w:rsid w:val="003E5C38"/>
    <w:rsid w:val="003E5D84"/>
    <w:rsid w:val="003E6055"/>
    <w:rsid w:val="003E60F9"/>
    <w:rsid w:val="003E6402"/>
    <w:rsid w:val="003E6444"/>
    <w:rsid w:val="003E6523"/>
    <w:rsid w:val="003E65D4"/>
    <w:rsid w:val="003E6609"/>
    <w:rsid w:val="003E660A"/>
    <w:rsid w:val="003E66AA"/>
    <w:rsid w:val="003E6775"/>
    <w:rsid w:val="003E6887"/>
    <w:rsid w:val="003E690B"/>
    <w:rsid w:val="003E6910"/>
    <w:rsid w:val="003E69AD"/>
    <w:rsid w:val="003E6AE4"/>
    <w:rsid w:val="003E6C04"/>
    <w:rsid w:val="003E6C3B"/>
    <w:rsid w:val="003E6CC9"/>
    <w:rsid w:val="003E6DAE"/>
    <w:rsid w:val="003E6DEA"/>
    <w:rsid w:val="003E6E6A"/>
    <w:rsid w:val="003E6EC0"/>
    <w:rsid w:val="003E7130"/>
    <w:rsid w:val="003E71BA"/>
    <w:rsid w:val="003E72F4"/>
    <w:rsid w:val="003E73E5"/>
    <w:rsid w:val="003E7415"/>
    <w:rsid w:val="003E7472"/>
    <w:rsid w:val="003E7498"/>
    <w:rsid w:val="003E74A1"/>
    <w:rsid w:val="003E756F"/>
    <w:rsid w:val="003E75E4"/>
    <w:rsid w:val="003E75EE"/>
    <w:rsid w:val="003E77CA"/>
    <w:rsid w:val="003E7A8A"/>
    <w:rsid w:val="003E7C29"/>
    <w:rsid w:val="003E7C7D"/>
    <w:rsid w:val="003E7E8C"/>
    <w:rsid w:val="003E7F99"/>
    <w:rsid w:val="003E7FC8"/>
    <w:rsid w:val="003F001D"/>
    <w:rsid w:val="003F0172"/>
    <w:rsid w:val="003F0599"/>
    <w:rsid w:val="003F059F"/>
    <w:rsid w:val="003F066C"/>
    <w:rsid w:val="003F06AD"/>
    <w:rsid w:val="003F0792"/>
    <w:rsid w:val="003F07ED"/>
    <w:rsid w:val="003F085A"/>
    <w:rsid w:val="003F091B"/>
    <w:rsid w:val="003F0966"/>
    <w:rsid w:val="003F09A9"/>
    <w:rsid w:val="003F0ADD"/>
    <w:rsid w:val="003F0B58"/>
    <w:rsid w:val="003F0BAF"/>
    <w:rsid w:val="003F0BE7"/>
    <w:rsid w:val="003F0D65"/>
    <w:rsid w:val="003F0EC7"/>
    <w:rsid w:val="003F1049"/>
    <w:rsid w:val="003F121B"/>
    <w:rsid w:val="003F122B"/>
    <w:rsid w:val="003F125A"/>
    <w:rsid w:val="003F13B7"/>
    <w:rsid w:val="003F1459"/>
    <w:rsid w:val="003F149A"/>
    <w:rsid w:val="003F155E"/>
    <w:rsid w:val="003F1688"/>
    <w:rsid w:val="003F16CF"/>
    <w:rsid w:val="003F1862"/>
    <w:rsid w:val="003F18EE"/>
    <w:rsid w:val="003F1AA4"/>
    <w:rsid w:val="003F1B75"/>
    <w:rsid w:val="003F1BEF"/>
    <w:rsid w:val="003F1C13"/>
    <w:rsid w:val="003F1C47"/>
    <w:rsid w:val="003F1E53"/>
    <w:rsid w:val="003F1E8B"/>
    <w:rsid w:val="003F1FC5"/>
    <w:rsid w:val="003F21FD"/>
    <w:rsid w:val="003F25AC"/>
    <w:rsid w:val="003F25F7"/>
    <w:rsid w:val="003F2878"/>
    <w:rsid w:val="003F2943"/>
    <w:rsid w:val="003F2A0A"/>
    <w:rsid w:val="003F2A10"/>
    <w:rsid w:val="003F2A4F"/>
    <w:rsid w:val="003F2C03"/>
    <w:rsid w:val="003F2C14"/>
    <w:rsid w:val="003F2C89"/>
    <w:rsid w:val="003F2DC4"/>
    <w:rsid w:val="003F2E09"/>
    <w:rsid w:val="003F2E6C"/>
    <w:rsid w:val="003F2F3F"/>
    <w:rsid w:val="003F3163"/>
    <w:rsid w:val="003F31CA"/>
    <w:rsid w:val="003F31EE"/>
    <w:rsid w:val="003F3277"/>
    <w:rsid w:val="003F3339"/>
    <w:rsid w:val="003F348E"/>
    <w:rsid w:val="003F36AB"/>
    <w:rsid w:val="003F3756"/>
    <w:rsid w:val="003F3894"/>
    <w:rsid w:val="003F3954"/>
    <w:rsid w:val="003F3A0D"/>
    <w:rsid w:val="003F3CCA"/>
    <w:rsid w:val="003F3E16"/>
    <w:rsid w:val="003F3EA6"/>
    <w:rsid w:val="003F3EED"/>
    <w:rsid w:val="003F3F32"/>
    <w:rsid w:val="003F41CB"/>
    <w:rsid w:val="003F4363"/>
    <w:rsid w:val="003F4484"/>
    <w:rsid w:val="003F451F"/>
    <w:rsid w:val="003F45C1"/>
    <w:rsid w:val="003F4609"/>
    <w:rsid w:val="003F47BD"/>
    <w:rsid w:val="003F4A22"/>
    <w:rsid w:val="003F4A57"/>
    <w:rsid w:val="003F4AEA"/>
    <w:rsid w:val="003F4B58"/>
    <w:rsid w:val="003F4DB6"/>
    <w:rsid w:val="003F4E94"/>
    <w:rsid w:val="003F5044"/>
    <w:rsid w:val="003F508A"/>
    <w:rsid w:val="003F524F"/>
    <w:rsid w:val="003F52AE"/>
    <w:rsid w:val="003F52D7"/>
    <w:rsid w:val="003F5319"/>
    <w:rsid w:val="003F53D6"/>
    <w:rsid w:val="003F5409"/>
    <w:rsid w:val="003F5498"/>
    <w:rsid w:val="003F549C"/>
    <w:rsid w:val="003F5533"/>
    <w:rsid w:val="003F559E"/>
    <w:rsid w:val="003F561F"/>
    <w:rsid w:val="003F5662"/>
    <w:rsid w:val="003F5746"/>
    <w:rsid w:val="003F5755"/>
    <w:rsid w:val="003F576D"/>
    <w:rsid w:val="003F5B84"/>
    <w:rsid w:val="003F5C00"/>
    <w:rsid w:val="003F5DC4"/>
    <w:rsid w:val="003F5FC1"/>
    <w:rsid w:val="003F602A"/>
    <w:rsid w:val="003F6081"/>
    <w:rsid w:val="003F61EA"/>
    <w:rsid w:val="003F646B"/>
    <w:rsid w:val="003F6491"/>
    <w:rsid w:val="003F6A1A"/>
    <w:rsid w:val="003F6A4F"/>
    <w:rsid w:val="003F6B93"/>
    <w:rsid w:val="003F6D39"/>
    <w:rsid w:val="003F6DAE"/>
    <w:rsid w:val="003F6F1A"/>
    <w:rsid w:val="003F7071"/>
    <w:rsid w:val="003F70FC"/>
    <w:rsid w:val="003F73B5"/>
    <w:rsid w:val="003F7788"/>
    <w:rsid w:val="003F77AC"/>
    <w:rsid w:val="003F7851"/>
    <w:rsid w:val="003F7914"/>
    <w:rsid w:val="003F7A16"/>
    <w:rsid w:val="003F7B9C"/>
    <w:rsid w:val="003F7BA0"/>
    <w:rsid w:val="003F7CD6"/>
    <w:rsid w:val="003F7DF8"/>
    <w:rsid w:val="003F7E08"/>
    <w:rsid w:val="0040003B"/>
    <w:rsid w:val="00400113"/>
    <w:rsid w:val="0040013A"/>
    <w:rsid w:val="00400285"/>
    <w:rsid w:val="004003AE"/>
    <w:rsid w:val="0040050E"/>
    <w:rsid w:val="0040060F"/>
    <w:rsid w:val="0040070F"/>
    <w:rsid w:val="0040077F"/>
    <w:rsid w:val="00400896"/>
    <w:rsid w:val="00400947"/>
    <w:rsid w:val="00400977"/>
    <w:rsid w:val="0040098F"/>
    <w:rsid w:val="004009FD"/>
    <w:rsid w:val="00400A49"/>
    <w:rsid w:val="00400C46"/>
    <w:rsid w:val="00400C6A"/>
    <w:rsid w:val="00400E6A"/>
    <w:rsid w:val="00400EDE"/>
    <w:rsid w:val="00400FE4"/>
    <w:rsid w:val="00401098"/>
    <w:rsid w:val="0040111C"/>
    <w:rsid w:val="00401253"/>
    <w:rsid w:val="00401288"/>
    <w:rsid w:val="00401377"/>
    <w:rsid w:val="00401468"/>
    <w:rsid w:val="004014AC"/>
    <w:rsid w:val="004015BA"/>
    <w:rsid w:val="00401669"/>
    <w:rsid w:val="00401699"/>
    <w:rsid w:val="004017AE"/>
    <w:rsid w:val="00401887"/>
    <w:rsid w:val="004019BC"/>
    <w:rsid w:val="00401B00"/>
    <w:rsid w:val="00401CCF"/>
    <w:rsid w:val="00401D16"/>
    <w:rsid w:val="00401ED7"/>
    <w:rsid w:val="00401F9C"/>
    <w:rsid w:val="00401FC5"/>
    <w:rsid w:val="004025B7"/>
    <w:rsid w:val="0040270B"/>
    <w:rsid w:val="0040275A"/>
    <w:rsid w:val="00402760"/>
    <w:rsid w:val="004029B6"/>
    <w:rsid w:val="00402A6C"/>
    <w:rsid w:val="00402CEB"/>
    <w:rsid w:val="00402E16"/>
    <w:rsid w:val="00402F01"/>
    <w:rsid w:val="004031AC"/>
    <w:rsid w:val="00403215"/>
    <w:rsid w:val="0040326B"/>
    <w:rsid w:val="004033AC"/>
    <w:rsid w:val="004036FC"/>
    <w:rsid w:val="004036FE"/>
    <w:rsid w:val="004037FB"/>
    <w:rsid w:val="00403D0F"/>
    <w:rsid w:val="00403E52"/>
    <w:rsid w:val="00403E6C"/>
    <w:rsid w:val="00404219"/>
    <w:rsid w:val="0040421A"/>
    <w:rsid w:val="0040423B"/>
    <w:rsid w:val="004042F4"/>
    <w:rsid w:val="00404853"/>
    <w:rsid w:val="004049ED"/>
    <w:rsid w:val="00404ACF"/>
    <w:rsid w:val="00404B24"/>
    <w:rsid w:val="00404C05"/>
    <w:rsid w:val="00404E4F"/>
    <w:rsid w:val="00404E52"/>
    <w:rsid w:val="00404F33"/>
    <w:rsid w:val="00404F91"/>
    <w:rsid w:val="00405058"/>
    <w:rsid w:val="00405286"/>
    <w:rsid w:val="004052EA"/>
    <w:rsid w:val="0040534E"/>
    <w:rsid w:val="0040543F"/>
    <w:rsid w:val="004054EA"/>
    <w:rsid w:val="004055F6"/>
    <w:rsid w:val="004056F3"/>
    <w:rsid w:val="00405804"/>
    <w:rsid w:val="004058D0"/>
    <w:rsid w:val="004059F8"/>
    <w:rsid w:val="00405AE8"/>
    <w:rsid w:val="00405C39"/>
    <w:rsid w:val="00405E78"/>
    <w:rsid w:val="00405ECA"/>
    <w:rsid w:val="00405ED0"/>
    <w:rsid w:val="00405F4F"/>
    <w:rsid w:val="00405FFF"/>
    <w:rsid w:val="00406022"/>
    <w:rsid w:val="0040607F"/>
    <w:rsid w:val="00406142"/>
    <w:rsid w:val="004061B3"/>
    <w:rsid w:val="00406267"/>
    <w:rsid w:val="0040627F"/>
    <w:rsid w:val="00406460"/>
    <w:rsid w:val="004064E8"/>
    <w:rsid w:val="004064F7"/>
    <w:rsid w:val="0040667F"/>
    <w:rsid w:val="0040669D"/>
    <w:rsid w:val="004066FD"/>
    <w:rsid w:val="004069AE"/>
    <w:rsid w:val="00406A28"/>
    <w:rsid w:val="00406A53"/>
    <w:rsid w:val="00406B2B"/>
    <w:rsid w:val="0040720E"/>
    <w:rsid w:val="0040723D"/>
    <w:rsid w:val="00407330"/>
    <w:rsid w:val="0040771C"/>
    <w:rsid w:val="00407814"/>
    <w:rsid w:val="00407AD7"/>
    <w:rsid w:val="00407D90"/>
    <w:rsid w:val="00407F0F"/>
    <w:rsid w:val="00407F1A"/>
    <w:rsid w:val="00407F96"/>
    <w:rsid w:val="00410217"/>
    <w:rsid w:val="00410489"/>
    <w:rsid w:val="004105C1"/>
    <w:rsid w:val="0041069B"/>
    <w:rsid w:val="004106A5"/>
    <w:rsid w:val="0041082D"/>
    <w:rsid w:val="00410867"/>
    <w:rsid w:val="00410C80"/>
    <w:rsid w:val="00410D3E"/>
    <w:rsid w:val="00410F42"/>
    <w:rsid w:val="00411084"/>
    <w:rsid w:val="004110B0"/>
    <w:rsid w:val="004111BB"/>
    <w:rsid w:val="004111D2"/>
    <w:rsid w:val="0041121B"/>
    <w:rsid w:val="0041133C"/>
    <w:rsid w:val="00411783"/>
    <w:rsid w:val="004117A5"/>
    <w:rsid w:val="00411B34"/>
    <w:rsid w:val="00411B43"/>
    <w:rsid w:val="00411C03"/>
    <w:rsid w:val="00411C42"/>
    <w:rsid w:val="00411E32"/>
    <w:rsid w:val="00411F57"/>
    <w:rsid w:val="00412085"/>
    <w:rsid w:val="004120CE"/>
    <w:rsid w:val="00412115"/>
    <w:rsid w:val="00412124"/>
    <w:rsid w:val="004121A3"/>
    <w:rsid w:val="00412289"/>
    <w:rsid w:val="004122E1"/>
    <w:rsid w:val="004122F1"/>
    <w:rsid w:val="00412411"/>
    <w:rsid w:val="00412667"/>
    <w:rsid w:val="0041274C"/>
    <w:rsid w:val="004127FC"/>
    <w:rsid w:val="004128DD"/>
    <w:rsid w:val="0041297D"/>
    <w:rsid w:val="00412B96"/>
    <w:rsid w:val="00412C94"/>
    <w:rsid w:val="00412CC7"/>
    <w:rsid w:val="00412DB0"/>
    <w:rsid w:val="00412E11"/>
    <w:rsid w:val="00412EDC"/>
    <w:rsid w:val="00412FEB"/>
    <w:rsid w:val="00412FF5"/>
    <w:rsid w:val="00413025"/>
    <w:rsid w:val="00413085"/>
    <w:rsid w:val="004132CC"/>
    <w:rsid w:val="00413359"/>
    <w:rsid w:val="00413667"/>
    <w:rsid w:val="004137C0"/>
    <w:rsid w:val="004138FF"/>
    <w:rsid w:val="00413A3E"/>
    <w:rsid w:val="00413C65"/>
    <w:rsid w:val="00413C7D"/>
    <w:rsid w:val="00413C9A"/>
    <w:rsid w:val="00413CA8"/>
    <w:rsid w:val="00413D4C"/>
    <w:rsid w:val="00413DFB"/>
    <w:rsid w:val="00413FCF"/>
    <w:rsid w:val="00414064"/>
    <w:rsid w:val="004141BF"/>
    <w:rsid w:val="004141FC"/>
    <w:rsid w:val="00414269"/>
    <w:rsid w:val="004142CB"/>
    <w:rsid w:val="0041440A"/>
    <w:rsid w:val="00414567"/>
    <w:rsid w:val="00414583"/>
    <w:rsid w:val="004146E3"/>
    <w:rsid w:val="0041476D"/>
    <w:rsid w:val="00414988"/>
    <w:rsid w:val="004149B5"/>
    <w:rsid w:val="00414BAA"/>
    <w:rsid w:val="00414DA3"/>
    <w:rsid w:val="00414DEA"/>
    <w:rsid w:val="00414E9E"/>
    <w:rsid w:val="00414ECF"/>
    <w:rsid w:val="00415007"/>
    <w:rsid w:val="00415024"/>
    <w:rsid w:val="004151D8"/>
    <w:rsid w:val="00415248"/>
    <w:rsid w:val="00415699"/>
    <w:rsid w:val="004156B2"/>
    <w:rsid w:val="00415844"/>
    <w:rsid w:val="004159CE"/>
    <w:rsid w:val="00415A0E"/>
    <w:rsid w:val="00415AEF"/>
    <w:rsid w:val="00415B49"/>
    <w:rsid w:val="00415C96"/>
    <w:rsid w:val="0041606E"/>
    <w:rsid w:val="004160AC"/>
    <w:rsid w:val="00416248"/>
    <w:rsid w:val="0041638B"/>
    <w:rsid w:val="0041648D"/>
    <w:rsid w:val="0041651D"/>
    <w:rsid w:val="00416758"/>
    <w:rsid w:val="004167B5"/>
    <w:rsid w:val="00416909"/>
    <w:rsid w:val="00416B15"/>
    <w:rsid w:val="00416BC6"/>
    <w:rsid w:val="00416C6C"/>
    <w:rsid w:val="00416CD8"/>
    <w:rsid w:val="00416DC4"/>
    <w:rsid w:val="00416DD5"/>
    <w:rsid w:val="00416FC4"/>
    <w:rsid w:val="0041701A"/>
    <w:rsid w:val="00417109"/>
    <w:rsid w:val="00417167"/>
    <w:rsid w:val="0041723B"/>
    <w:rsid w:val="004172FF"/>
    <w:rsid w:val="00417615"/>
    <w:rsid w:val="0041769F"/>
    <w:rsid w:val="004177E3"/>
    <w:rsid w:val="00417961"/>
    <w:rsid w:val="00417A28"/>
    <w:rsid w:val="00417A7C"/>
    <w:rsid w:val="00417AF1"/>
    <w:rsid w:val="00417B13"/>
    <w:rsid w:val="00417D88"/>
    <w:rsid w:val="00417ED2"/>
    <w:rsid w:val="004200E2"/>
    <w:rsid w:val="00420187"/>
    <w:rsid w:val="0042018E"/>
    <w:rsid w:val="00420212"/>
    <w:rsid w:val="00420341"/>
    <w:rsid w:val="004203C3"/>
    <w:rsid w:val="00420591"/>
    <w:rsid w:val="0042059E"/>
    <w:rsid w:val="004206DC"/>
    <w:rsid w:val="0042086C"/>
    <w:rsid w:val="004208E9"/>
    <w:rsid w:val="00420B95"/>
    <w:rsid w:val="00420BEA"/>
    <w:rsid w:val="00420C98"/>
    <w:rsid w:val="00420CF9"/>
    <w:rsid w:val="00420D5F"/>
    <w:rsid w:val="00420E09"/>
    <w:rsid w:val="00420F0E"/>
    <w:rsid w:val="00420F24"/>
    <w:rsid w:val="00420FE9"/>
    <w:rsid w:val="004210CB"/>
    <w:rsid w:val="004210F4"/>
    <w:rsid w:val="004211CD"/>
    <w:rsid w:val="00421330"/>
    <w:rsid w:val="0042134E"/>
    <w:rsid w:val="0042148A"/>
    <w:rsid w:val="0042148F"/>
    <w:rsid w:val="004214A6"/>
    <w:rsid w:val="00421611"/>
    <w:rsid w:val="004216B4"/>
    <w:rsid w:val="00421824"/>
    <w:rsid w:val="004218DE"/>
    <w:rsid w:val="00421978"/>
    <w:rsid w:val="00421DBB"/>
    <w:rsid w:val="0042214D"/>
    <w:rsid w:val="00422153"/>
    <w:rsid w:val="004224A6"/>
    <w:rsid w:val="004225AE"/>
    <w:rsid w:val="0042275A"/>
    <w:rsid w:val="00422761"/>
    <w:rsid w:val="00422A83"/>
    <w:rsid w:val="00422E2D"/>
    <w:rsid w:val="00422E73"/>
    <w:rsid w:val="0042336F"/>
    <w:rsid w:val="0042339A"/>
    <w:rsid w:val="004234C0"/>
    <w:rsid w:val="00423566"/>
    <w:rsid w:val="00423578"/>
    <w:rsid w:val="004235CC"/>
    <w:rsid w:val="00423766"/>
    <w:rsid w:val="004237B4"/>
    <w:rsid w:val="00423824"/>
    <w:rsid w:val="00423862"/>
    <w:rsid w:val="004238D8"/>
    <w:rsid w:val="00423B15"/>
    <w:rsid w:val="00423BA8"/>
    <w:rsid w:val="00423BBC"/>
    <w:rsid w:val="00423C80"/>
    <w:rsid w:val="00423CC4"/>
    <w:rsid w:val="00423D55"/>
    <w:rsid w:val="004242F9"/>
    <w:rsid w:val="0042442F"/>
    <w:rsid w:val="0042453B"/>
    <w:rsid w:val="0042456C"/>
    <w:rsid w:val="004248DE"/>
    <w:rsid w:val="00424C1E"/>
    <w:rsid w:val="00424C77"/>
    <w:rsid w:val="00424CB8"/>
    <w:rsid w:val="00424D47"/>
    <w:rsid w:val="0042506E"/>
    <w:rsid w:val="00425078"/>
    <w:rsid w:val="0042508F"/>
    <w:rsid w:val="004250B3"/>
    <w:rsid w:val="00425246"/>
    <w:rsid w:val="00425371"/>
    <w:rsid w:val="004256E8"/>
    <w:rsid w:val="004256F1"/>
    <w:rsid w:val="004256FA"/>
    <w:rsid w:val="004257CE"/>
    <w:rsid w:val="00425859"/>
    <w:rsid w:val="00425992"/>
    <w:rsid w:val="004259DE"/>
    <w:rsid w:val="00425B21"/>
    <w:rsid w:val="00425B80"/>
    <w:rsid w:val="00425BC1"/>
    <w:rsid w:val="00425E94"/>
    <w:rsid w:val="00425F46"/>
    <w:rsid w:val="004261A9"/>
    <w:rsid w:val="00426271"/>
    <w:rsid w:val="00426334"/>
    <w:rsid w:val="0042634C"/>
    <w:rsid w:val="00426358"/>
    <w:rsid w:val="004263BF"/>
    <w:rsid w:val="004265BA"/>
    <w:rsid w:val="004265D2"/>
    <w:rsid w:val="004266CA"/>
    <w:rsid w:val="00426711"/>
    <w:rsid w:val="004268B2"/>
    <w:rsid w:val="00426C4E"/>
    <w:rsid w:val="00426CCA"/>
    <w:rsid w:val="00426F22"/>
    <w:rsid w:val="00426FAC"/>
    <w:rsid w:val="00427150"/>
    <w:rsid w:val="00427165"/>
    <w:rsid w:val="004271C6"/>
    <w:rsid w:val="00427274"/>
    <w:rsid w:val="00427328"/>
    <w:rsid w:val="00427345"/>
    <w:rsid w:val="00427414"/>
    <w:rsid w:val="00427686"/>
    <w:rsid w:val="00427D04"/>
    <w:rsid w:val="00427D11"/>
    <w:rsid w:val="00427FB3"/>
    <w:rsid w:val="00427FBF"/>
    <w:rsid w:val="00427FE8"/>
    <w:rsid w:val="00430073"/>
    <w:rsid w:val="00430432"/>
    <w:rsid w:val="0043045B"/>
    <w:rsid w:val="004305CF"/>
    <w:rsid w:val="00430680"/>
    <w:rsid w:val="004307FB"/>
    <w:rsid w:val="00430A6D"/>
    <w:rsid w:val="00430AB1"/>
    <w:rsid w:val="00430B95"/>
    <w:rsid w:val="00430DF9"/>
    <w:rsid w:val="00431076"/>
    <w:rsid w:val="004310A6"/>
    <w:rsid w:val="0043135F"/>
    <w:rsid w:val="00431573"/>
    <w:rsid w:val="0043166B"/>
    <w:rsid w:val="004316B5"/>
    <w:rsid w:val="004316F7"/>
    <w:rsid w:val="004317D1"/>
    <w:rsid w:val="004318E0"/>
    <w:rsid w:val="00431956"/>
    <w:rsid w:val="0043199F"/>
    <w:rsid w:val="00431A43"/>
    <w:rsid w:val="00431C03"/>
    <w:rsid w:val="00431C74"/>
    <w:rsid w:val="00431D2B"/>
    <w:rsid w:val="00431E1C"/>
    <w:rsid w:val="00431F28"/>
    <w:rsid w:val="00431F3C"/>
    <w:rsid w:val="00431F93"/>
    <w:rsid w:val="00432025"/>
    <w:rsid w:val="004322A5"/>
    <w:rsid w:val="004324D9"/>
    <w:rsid w:val="004326B0"/>
    <w:rsid w:val="00432713"/>
    <w:rsid w:val="0043272F"/>
    <w:rsid w:val="0043285A"/>
    <w:rsid w:val="004329D5"/>
    <w:rsid w:val="00432B17"/>
    <w:rsid w:val="00432C4F"/>
    <w:rsid w:val="00432F2F"/>
    <w:rsid w:val="0043326D"/>
    <w:rsid w:val="004332C3"/>
    <w:rsid w:val="004332CC"/>
    <w:rsid w:val="00433355"/>
    <w:rsid w:val="00433388"/>
    <w:rsid w:val="00433448"/>
    <w:rsid w:val="004334E2"/>
    <w:rsid w:val="004338F8"/>
    <w:rsid w:val="004339A0"/>
    <w:rsid w:val="00433A62"/>
    <w:rsid w:val="00433A83"/>
    <w:rsid w:val="00433AFA"/>
    <w:rsid w:val="00433BB4"/>
    <w:rsid w:val="00433C06"/>
    <w:rsid w:val="00433CEC"/>
    <w:rsid w:val="00433D59"/>
    <w:rsid w:val="00433EC0"/>
    <w:rsid w:val="00433F93"/>
    <w:rsid w:val="004341DC"/>
    <w:rsid w:val="00434307"/>
    <w:rsid w:val="00434395"/>
    <w:rsid w:val="0043444F"/>
    <w:rsid w:val="00434509"/>
    <w:rsid w:val="004346B3"/>
    <w:rsid w:val="004347C4"/>
    <w:rsid w:val="00434843"/>
    <w:rsid w:val="00434918"/>
    <w:rsid w:val="004349AC"/>
    <w:rsid w:val="00434AFA"/>
    <w:rsid w:val="00434BDF"/>
    <w:rsid w:val="00434F4B"/>
    <w:rsid w:val="004350FB"/>
    <w:rsid w:val="00435335"/>
    <w:rsid w:val="0043534E"/>
    <w:rsid w:val="00435364"/>
    <w:rsid w:val="004354C0"/>
    <w:rsid w:val="004357D8"/>
    <w:rsid w:val="004359FE"/>
    <w:rsid w:val="00435A5C"/>
    <w:rsid w:val="00435B08"/>
    <w:rsid w:val="00435B91"/>
    <w:rsid w:val="00435BCA"/>
    <w:rsid w:val="00435E7D"/>
    <w:rsid w:val="00435EA3"/>
    <w:rsid w:val="00435FFE"/>
    <w:rsid w:val="004360C3"/>
    <w:rsid w:val="004360FD"/>
    <w:rsid w:val="00436200"/>
    <w:rsid w:val="004362C5"/>
    <w:rsid w:val="00436316"/>
    <w:rsid w:val="004363BA"/>
    <w:rsid w:val="004363D8"/>
    <w:rsid w:val="00436435"/>
    <w:rsid w:val="00436492"/>
    <w:rsid w:val="00436642"/>
    <w:rsid w:val="0043664E"/>
    <w:rsid w:val="004366FD"/>
    <w:rsid w:val="0043676B"/>
    <w:rsid w:val="004367F4"/>
    <w:rsid w:val="0043692F"/>
    <w:rsid w:val="0043694A"/>
    <w:rsid w:val="00436AF7"/>
    <w:rsid w:val="00436BDD"/>
    <w:rsid w:val="00436C92"/>
    <w:rsid w:val="00436C99"/>
    <w:rsid w:val="00436CE9"/>
    <w:rsid w:val="00436D02"/>
    <w:rsid w:val="00436FCF"/>
    <w:rsid w:val="0043704A"/>
    <w:rsid w:val="0043726A"/>
    <w:rsid w:val="004373A5"/>
    <w:rsid w:val="004374ED"/>
    <w:rsid w:val="00437557"/>
    <w:rsid w:val="00437677"/>
    <w:rsid w:val="00437768"/>
    <w:rsid w:val="004377DD"/>
    <w:rsid w:val="004378E8"/>
    <w:rsid w:val="00437921"/>
    <w:rsid w:val="004379C2"/>
    <w:rsid w:val="004379F4"/>
    <w:rsid w:val="004379FB"/>
    <w:rsid w:val="00437AB4"/>
    <w:rsid w:val="00437B11"/>
    <w:rsid w:val="00437CFE"/>
    <w:rsid w:val="00437D64"/>
    <w:rsid w:val="00437D9E"/>
    <w:rsid w:val="00437F12"/>
    <w:rsid w:val="00437FDD"/>
    <w:rsid w:val="00437FE2"/>
    <w:rsid w:val="00440003"/>
    <w:rsid w:val="0044008B"/>
    <w:rsid w:val="00440092"/>
    <w:rsid w:val="004400E8"/>
    <w:rsid w:val="0044022C"/>
    <w:rsid w:val="00440277"/>
    <w:rsid w:val="004402E6"/>
    <w:rsid w:val="004402F0"/>
    <w:rsid w:val="00440378"/>
    <w:rsid w:val="004404E5"/>
    <w:rsid w:val="004406AB"/>
    <w:rsid w:val="00440838"/>
    <w:rsid w:val="00440848"/>
    <w:rsid w:val="004408A9"/>
    <w:rsid w:val="0044097D"/>
    <w:rsid w:val="00440AB9"/>
    <w:rsid w:val="00440D27"/>
    <w:rsid w:val="00440FFE"/>
    <w:rsid w:val="004412F0"/>
    <w:rsid w:val="004413B5"/>
    <w:rsid w:val="004413C9"/>
    <w:rsid w:val="004413CD"/>
    <w:rsid w:val="00441582"/>
    <w:rsid w:val="0044169A"/>
    <w:rsid w:val="00441B85"/>
    <w:rsid w:val="00441C3D"/>
    <w:rsid w:val="00441CE0"/>
    <w:rsid w:val="00441D92"/>
    <w:rsid w:val="00441DD2"/>
    <w:rsid w:val="00441F80"/>
    <w:rsid w:val="00441F9A"/>
    <w:rsid w:val="004422F4"/>
    <w:rsid w:val="00442396"/>
    <w:rsid w:val="00442464"/>
    <w:rsid w:val="0044283F"/>
    <w:rsid w:val="00442844"/>
    <w:rsid w:val="0044285B"/>
    <w:rsid w:val="0044287D"/>
    <w:rsid w:val="00442ACB"/>
    <w:rsid w:val="00442DDA"/>
    <w:rsid w:val="00442DF3"/>
    <w:rsid w:val="00442EC7"/>
    <w:rsid w:val="00442F46"/>
    <w:rsid w:val="0044303F"/>
    <w:rsid w:val="00443148"/>
    <w:rsid w:val="00443288"/>
    <w:rsid w:val="0044328E"/>
    <w:rsid w:val="004432D8"/>
    <w:rsid w:val="0044342D"/>
    <w:rsid w:val="004434E1"/>
    <w:rsid w:val="00443544"/>
    <w:rsid w:val="004435C7"/>
    <w:rsid w:val="004435EB"/>
    <w:rsid w:val="00443827"/>
    <w:rsid w:val="0044388C"/>
    <w:rsid w:val="004438B9"/>
    <w:rsid w:val="0044392E"/>
    <w:rsid w:val="004439DC"/>
    <w:rsid w:val="00443A45"/>
    <w:rsid w:val="00443C1C"/>
    <w:rsid w:val="00443C94"/>
    <w:rsid w:val="00443E53"/>
    <w:rsid w:val="00443E7B"/>
    <w:rsid w:val="00443EAF"/>
    <w:rsid w:val="00443ED6"/>
    <w:rsid w:val="00444072"/>
    <w:rsid w:val="00444088"/>
    <w:rsid w:val="004441A0"/>
    <w:rsid w:val="00444226"/>
    <w:rsid w:val="004442C8"/>
    <w:rsid w:val="00444308"/>
    <w:rsid w:val="004444C1"/>
    <w:rsid w:val="00444600"/>
    <w:rsid w:val="0044464E"/>
    <w:rsid w:val="0044465D"/>
    <w:rsid w:val="004447D7"/>
    <w:rsid w:val="00444A02"/>
    <w:rsid w:val="00444A08"/>
    <w:rsid w:val="00444A92"/>
    <w:rsid w:val="00444A9E"/>
    <w:rsid w:val="00444B01"/>
    <w:rsid w:val="00444BA2"/>
    <w:rsid w:val="00444BCE"/>
    <w:rsid w:val="00444C6B"/>
    <w:rsid w:val="00444CC4"/>
    <w:rsid w:val="00444E7B"/>
    <w:rsid w:val="00444ECC"/>
    <w:rsid w:val="00444F01"/>
    <w:rsid w:val="00444F5E"/>
    <w:rsid w:val="00444F94"/>
    <w:rsid w:val="00444FB7"/>
    <w:rsid w:val="00444FEE"/>
    <w:rsid w:val="00445141"/>
    <w:rsid w:val="00445227"/>
    <w:rsid w:val="004452F1"/>
    <w:rsid w:val="0044531E"/>
    <w:rsid w:val="004453C4"/>
    <w:rsid w:val="00445449"/>
    <w:rsid w:val="004454D3"/>
    <w:rsid w:val="00445670"/>
    <w:rsid w:val="004456D3"/>
    <w:rsid w:val="00445771"/>
    <w:rsid w:val="00445BAD"/>
    <w:rsid w:val="00445C65"/>
    <w:rsid w:val="00445E1D"/>
    <w:rsid w:val="00445FB7"/>
    <w:rsid w:val="00446328"/>
    <w:rsid w:val="00446457"/>
    <w:rsid w:val="004465B0"/>
    <w:rsid w:val="00446860"/>
    <w:rsid w:val="00446895"/>
    <w:rsid w:val="004469B3"/>
    <w:rsid w:val="00446C0A"/>
    <w:rsid w:val="00446D96"/>
    <w:rsid w:val="00446E3B"/>
    <w:rsid w:val="00446E4E"/>
    <w:rsid w:val="00446F80"/>
    <w:rsid w:val="0044717D"/>
    <w:rsid w:val="00447266"/>
    <w:rsid w:val="004473B3"/>
    <w:rsid w:val="00447608"/>
    <w:rsid w:val="00447944"/>
    <w:rsid w:val="004479F2"/>
    <w:rsid w:val="00447B0F"/>
    <w:rsid w:val="00447BB0"/>
    <w:rsid w:val="00447BBD"/>
    <w:rsid w:val="00447C0E"/>
    <w:rsid w:val="00447C3E"/>
    <w:rsid w:val="00447CAC"/>
    <w:rsid w:val="00447CED"/>
    <w:rsid w:val="00447CF0"/>
    <w:rsid w:val="00447EF3"/>
    <w:rsid w:val="00447FEE"/>
    <w:rsid w:val="004500B3"/>
    <w:rsid w:val="004500E4"/>
    <w:rsid w:val="004502A0"/>
    <w:rsid w:val="004504CC"/>
    <w:rsid w:val="004505C8"/>
    <w:rsid w:val="004506C7"/>
    <w:rsid w:val="004508F8"/>
    <w:rsid w:val="00450979"/>
    <w:rsid w:val="004509B0"/>
    <w:rsid w:val="00450B83"/>
    <w:rsid w:val="00450BC6"/>
    <w:rsid w:val="00450C80"/>
    <w:rsid w:val="00450C8F"/>
    <w:rsid w:val="00450E5A"/>
    <w:rsid w:val="00450F5C"/>
    <w:rsid w:val="004510E5"/>
    <w:rsid w:val="004513C5"/>
    <w:rsid w:val="00451573"/>
    <w:rsid w:val="004515B1"/>
    <w:rsid w:val="0045160D"/>
    <w:rsid w:val="004516CC"/>
    <w:rsid w:val="00451783"/>
    <w:rsid w:val="004518A9"/>
    <w:rsid w:val="00451933"/>
    <w:rsid w:val="00451BB4"/>
    <w:rsid w:val="00451BEE"/>
    <w:rsid w:val="00451C7D"/>
    <w:rsid w:val="00451D94"/>
    <w:rsid w:val="00451E55"/>
    <w:rsid w:val="004520E6"/>
    <w:rsid w:val="00452120"/>
    <w:rsid w:val="00452285"/>
    <w:rsid w:val="0045239A"/>
    <w:rsid w:val="004523B1"/>
    <w:rsid w:val="004523EE"/>
    <w:rsid w:val="00452560"/>
    <w:rsid w:val="00452622"/>
    <w:rsid w:val="004529A3"/>
    <w:rsid w:val="00452A32"/>
    <w:rsid w:val="00452C2D"/>
    <w:rsid w:val="00452D80"/>
    <w:rsid w:val="00452E5C"/>
    <w:rsid w:val="00452F67"/>
    <w:rsid w:val="00452FC6"/>
    <w:rsid w:val="00452FE3"/>
    <w:rsid w:val="00453021"/>
    <w:rsid w:val="00453165"/>
    <w:rsid w:val="0045318C"/>
    <w:rsid w:val="00453278"/>
    <w:rsid w:val="00453510"/>
    <w:rsid w:val="0045354B"/>
    <w:rsid w:val="00453777"/>
    <w:rsid w:val="00453801"/>
    <w:rsid w:val="0045390C"/>
    <w:rsid w:val="0045393F"/>
    <w:rsid w:val="00453A53"/>
    <w:rsid w:val="00453B60"/>
    <w:rsid w:val="00453C06"/>
    <w:rsid w:val="00453C5E"/>
    <w:rsid w:val="00453DE0"/>
    <w:rsid w:val="00453EAE"/>
    <w:rsid w:val="00453F84"/>
    <w:rsid w:val="00454198"/>
    <w:rsid w:val="0045424D"/>
    <w:rsid w:val="00454259"/>
    <w:rsid w:val="004543C5"/>
    <w:rsid w:val="004544D6"/>
    <w:rsid w:val="00454806"/>
    <w:rsid w:val="00454829"/>
    <w:rsid w:val="0045492C"/>
    <w:rsid w:val="00454B9A"/>
    <w:rsid w:val="00454BB4"/>
    <w:rsid w:val="00454C1F"/>
    <w:rsid w:val="00454CEC"/>
    <w:rsid w:val="00454D0B"/>
    <w:rsid w:val="00454D50"/>
    <w:rsid w:val="00454D78"/>
    <w:rsid w:val="00454DA1"/>
    <w:rsid w:val="00454F11"/>
    <w:rsid w:val="00454FD3"/>
    <w:rsid w:val="00454FF8"/>
    <w:rsid w:val="00455055"/>
    <w:rsid w:val="004552CA"/>
    <w:rsid w:val="0045550D"/>
    <w:rsid w:val="004556EF"/>
    <w:rsid w:val="0045577B"/>
    <w:rsid w:val="0045591D"/>
    <w:rsid w:val="00455A5F"/>
    <w:rsid w:val="00455A93"/>
    <w:rsid w:val="00455C88"/>
    <w:rsid w:val="00455D8D"/>
    <w:rsid w:val="00455E20"/>
    <w:rsid w:val="00455E80"/>
    <w:rsid w:val="00455F22"/>
    <w:rsid w:val="004563C5"/>
    <w:rsid w:val="004565BD"/>
    <w:rsid w:val="0045665C"/>
    <w:rsid w:val="0045671E"/>
    <w:rsid w:val="0045676E"/>
    <w:rsid w:val="00456D5C"/>
    <w:rsid w:val="00456EF7"/>
    <w:rsid w:val="00456F04"/>
    <w:rsid w:val="00456F71"/>
    <w:rsid w:val="00457022"/>
    <w:rsid w:val="004571B6"/>
    <w:rsid w:val="00457313"/>
    <w:rsid w:val="00457334"/>
    <w:rsid w:val="004575D1"/>
    <w:rsid w:val="004575F7"/>
    <w:rsid w:val="004576CB"/>
    <w:rsid w:val="00457781"/>
    <w:rsid w:val="004577F7"/>
    <w:rsid w:val="004578E1"/>
    <w:rsid w:val="0045794E"/>
    <w:rsid w:val="00457A9E"/>
    <w:rsid w:val="00457BDE"/>
    <w:rsid w:val="00457E05"/>
    <w:rsid w:val="004600DB"/>
    <w:rsid w:val="004603D7"/>
    <w:rsid w:val="0046046F"/>
    <w:rsid w:val="004607EF"/>
    <w:rsid w:val="004608D8"/>
    <w:rsid w:val="00460A36"/>
    <w:rsid w:val="00460A9F"/>
    <w:rsid w:val="00460AFF"/>
    <w:rsid w:val="00460DD9"/>
    <w:rsid w:val="00460E00"/>
    <w:rsid w:val="00460E1D"/>
    <w:rsid w:val="00460EBE"/>
    <w:rsid w:val="00460EEA"/>
    <w:rsid w:val="00461181"/>
    <w:rsid w:val="00461499"/>
    <w:rsid w:val="004614CF"/>
    <w:rsid w:val="004614E9"/>
    <w:rsid w:val="004615E3"/>
    <w:rsid w:val="004616AE"/>
    <w:rsid w:val="0046180C"/>
    <w:rsid w:val="00461AE6"/>
    <w:rsid w:val="00461CE9"/>
    <w:rsid w:val="00461DA8"/>
    <w:rsid w:val="00461DEC"/>
    <w:rsid w:val="00461DF4"/>
    <w:rsid w:val="00461FC4"/>
    <w:rsid w:val="00462048"/>
    <w:rsid w:val="00462085"/>
    <w:rsid w:val="004620F8"/>
    <w:rsid w:val="0046210A"/>
    <w:rsid w:val="004622DD"/>
    <w:rsid w:val="004623A9"/>
    <w:rsid w:val="00462407"/>
    <w:rsid w:val="0046248B"/>
    <w:rsid w:val="004626F7"/>
    <w:rsid w:val="0046275B"/>
    <w:rsid w:val="00462A12"/>
    <w:rsid w:val="00462B6F"/>
    <w:rsid w:val="00462EAC"/>
    <w:rsid w:val="00463014"/>
    <w:rsid w:val="004631DD"/>
    <w:rsid w:val="0046349B"/>
    <w:rsid w:val="0046351F"/>
    <w:rsid w:val="004635FD"/>
    <w:rsid w:val="00463656"/>
    <w:rsid w:val="004637C2"/>
    <w:rsid w:val="00463838"/>
    <w:rsid w:val="00463953"/>
    <w:rsid w:val="004639BC"/>
    <w:rsid w:val="004639F4"/>
    <w:rsid w:val="00463B17"/>
    <w:rsid w:val="00463B84"/>
    <w:rsid w:val="00463B92"/>
    <w:rsid w:val="00463C12"/>
    <w:rsid w:val="00463C79"/>
    <w:rsid w:val="00463C7C"/>
    <w:rsid w:val="00463CFB"/>
    <w:rsid w:val="00463E48"/>
    <w:rsid w:val="00463EF7"/>
    <w:rsid w:val="0046417B"/>
    <w:rsid w:val="0046420A"/>
    <w:rsid w:val="00464268"/>
    <w:rsid w:val="004642F2"/>
    <w:rsid w:val="00464306"/>
    <w:rsid w:val="0046437C"/>
    <w:rsid w:val="00464660"/>
    <w:rsid w:val="00464746"/>
    <w:rsid w:val="00464765"/>
    <w:rsid w:val="004648AC"/>
    <w:rsid w:val="00464A34"/>
    <w:rsid w:val="00464AC3"/>
    <w:rsid w:val="00464B74"/>
    <w:rsid w:val="00464CEB"/>
    <w:rsid w:val="00464D80"/>
    <w:rsid w:val="00464EDB"/>
    <w:rsid w:val="00464F56"/>
    <w:rsid w:val="00464F9E"/>
    <w:rsid w:val="0046516B"/>
    <w:rsid w:val="004651A4"/>
    <w:rsid w:val="0046526F"/>
    <w:rsid w:val="004653D9"/>
    <w:rsid w:val="00465418"/>
    <w:rsid w:val="0046542C"/>
    <w:rsid w:val="0046555F"/>
    <w:rsid w:val="004655A2"/>
    <w:rsid w:val="004655D1"/>
    <w:rsid w:val="004656A0"/>
    <w:rsid w:val="0046590F"/>
    <w:rsid w:val="0046598F"/>
    <w:rsid w:val="00465998"/>
    <w:rsid w:val="00465BEA"/>
    <w:rsid w:val="00465C78"/>
    <w:rsid w:val="00465C92"/>
    <w:rsid w:val="00465D56"/>
    <w:rsid w:val="00465DCA"/>
    <w:rsid w:val="00465DD7"/>
    <w:rsid w:val="00465E17"/>
    <w:rsid w:val="00465ED8"/>
    <w:rsid w:val="00465F38"/>
    <w:rsid w:val="004660AC"/>
    <w:rsid w:val="0046613A"/>
    <w:rsid w:val="00466195"/>
    <w:rsid w:val="0046626D"/>
    <w:rsid w:val="00466308"/>
    <w:rsid w:val="00466376"/>
    <w:rsid w:val="004663E4"/>
    <w:rsid w:val="0046642D"/>
    <w:rsid w:val="00466478"/>
    <w:rsid w:val="004664DB"/>
    <w:rsid w:val="00466552"/>
    <w:rsid w:val="00466748"/>
    <w:rsid w:val="00466D65"/>
    <w:rsid w:val="00466EB3"/>
    <w:rsid w:val="00466FD3"/>
    <w:rsid w:val="00467104"/>
    <w:rsid w:val="00467127"/>
    <w:rsid w:val="004671D0"/>
    <w:rsid w:val="004672CE"/>
    <w:rsid w:val="00467331"/>
    <w:rsid w:val="0046737C"/>
    <w:rsid w:val="00467436"/>
    <w:rsid w:val="00467763"/>
    <w:rsid w:val="00467788"/>
    <w:rsid w:val="00467796"/>
    <w:rsid w:val="00467C34"/>
    <w:rsid w:val="00467CB5"/>
    <w:rsid w:val="00467E18"/>
    <w:rsid w:val="00467FDF"/>
    <w:rsid w:val="00470129"/>
    <w:rsid w:val="0047013D"/>
    <w:rsid w:val="0047031A"/>
    <w:rsid w:val="0047032F"/>
    <w:rsid w:val="00470409"/>
    <w:rsid w:val="00470482"/>
    <w:rsid w:val="00470542"/>
    <w:rsid w:val="00470577"/>
    <w:rsid w:val="00470618"/>
    <w:rsid w:val="004708E3"/>
    <w:rsid w:val="00470944"/>
    <w:rsid w:val="00470976"/>
    <w:rsid w:val="00470AC6"/>
    <w:rsid w:val="00470B96"/>
    <w:rsid w:val="00470BD4"/>
    <w:rsid w:val="00470C72"/>
    <w:rsid w:val="00470CDC"/>
    <w:rsid w:val="00470CDD"/>
    <w:rsid w:val="00470FF1"/>
    <w:rsid w:val="0047108B"/>
    <w:rsid w:val="004711C8"/>
    <w:rsid w:val="00471216"/>
    <w:rsid w:val="00471287"/>
    <w:rsid w:val="00471474"/>
    <w:rsid w:val="0047150C"/>
    <w:rsid w:val="0047163E"/>
    <w:rsid w:val="00471831"/>
    <w:rsid w:val="00471901"/>
    <w:rsid w:val="00471AD3"/>
    <w:rsid w:val="00471B9D"/>
    <w:rsid w:val="00471D17"/>
    <w:rsid w:val="00471FB4"/>
    <w:rsid w:val="00471FC3"/>
    <w:rsid w:val="00471FC4"/>
    <w:rsid w:val="00472139"/>
    <w:rsid w:val="004721A6"/>
    <w:rsid w:val="004723F2"/>
    <w:rsid w:val="004726D3"/>
    <w:rsid w:val="004727A9"/>
    <w:rsid w:val="0047286B"/>
    <w:rsid w:val="004728A0"/>
    <w:rsid w:val="0047293A"/>
    <w:rsid w:val="00472ACD"/>
    <w:rsid w:val="00472BC1"/>
    <w:rsid w:val="00472EC6"/>
    <w:rsid w:val="00472F2D"/>
    <w:rsid w:val="0047333F"/>
    <w:rsid w:val="0047336B"/>
    <w:rsid w:val="004733AE"/>
    <w:rsid w:val="004735A2"/>
    <w:rsid w:val="00473618"/>
    <w:rsid w:val="00473721"/>
    <w:rsid w:val="004737AD"/>
    <w:rsid w:val="004738B0"/>
    <w:rsid w:val="0047394E"/>
    <w:rsid w:val="00473B0C"/>
    <w:rsid w:val="00473DE3"/>
    <w:rsid w:val="00473DF6"/>
    <w:rsid w:val="00473E0F"/>
    <w:rsid w:val="0047406E"/>
    <w:rsid w:val="0047425A"/>
    <w:rsid w:val="004742C8"/>
    <w:rsid w:val="004742DD"/>
    <w:rsid w:val="0047430D"/>
    <w:rsid w:val="0047434B"/>
    <w:rsid w:val="004746D0"/>
    <w:rsid w:val="004746E7"/>
    <w:rsid w:val="004747E3"/>
    <w:rsid w:val="00474865"/>
    <w:rsid w:val="00474A58"/>
    <w:rsid w:val="00474D01"/>
    <w:rsid w:val="00474E5D"/>
    <w:rsid w:val="00474EC3"/>
    <w:rsid w:val="00475149"/>
    <w:rsid w:val="00475164"/>
    <w:rsid w:val="00475231"/>
    <w:rsid w:val="00475241"/>
    <w:rsid w:val="0047524F"/>
    <w:rsid w:val="00475407"/>
    <w:rsid w:val="004754FB"/>
    <w:rsid w:val="0047580D"/>
    <w:rsid w:val="00475A04"/>
    <w:rsid w:val="00475AE6"/>
    <w:rsid w:val="00475B9A"/>
    <w:rsid w:val="00475DC3"/>
    <w:rsid w:val="00475EEA"/>
    <w:rsid w:val="0047607E"/>
    <w:rsid w:val="00476208"/>
    <w:rsid w:val="004763D2"/>
    <w:rsid w:val="0047644D"/>
    <w:rsid w:val="004764AF"/>
    <w:rsid w:val="004767CD"/>
    <w:rsid w:val="004767E5"/>
    <w:rsid w:val="004768D6"/>
    <w:rsid w:val="0047692F"/>
    <w:rsid w:val="00476988"/>
    <w:rsid w:val="004769B1"/>
    <w:rsid w:val="004769D4"/>
    <w:rsid w:val="00476B08"/>
    <w:rsid w:val="00476B36"/>
    <w:rsid w:val="00476BA4"/>
    <w:rsid w:val="00476CD2"/>
    <w:rsid w:val="00476CDE"/>
    <w:rsid w:val="00476D29"/>
    <w:rsid w:val="00476E08"/>
    <w:rsid w:val="00476EB0"/>
    <w:rsid w:val="00476ED5"/>
    <w:rsid w:val="00477118"/>
    <w:rsid w:val="00477156"/>
    <w:rsid w:val="004771CD"/>
    <w:rsid w:val="0047721B"/>
    <w:rsid w:val="00477251"/>
    <w:rsid w:val="004772FD"/>
    <w:rsid w:val="00477317"/>
    <w:rsid w:val="0047754E"/>
    <w:rsid w:val="00477737"/>
    <w:rsid w:val="00477851"/>
    <w:rsid w:val="00477961"/>
    <w:rsid w:val="004779D3"/>
    <w:rsid w:val="00477B0A"/>
    <w:rsid w:val="00477CE0"/>
    <w:rsid w:val="00477D01"/>
    <w:rsid w:val="00477D3C"/>
    <w:rsid w:val="00477E09"/>
    <w:rsid w:val="00480053"/>
    <w:rsid w:val="00480066"/>
    <w:rsid w:val="0048017B"/>
    <w:rsid w:val="0048028F"/>
    <w:rsid w:val="00480498"/>
    <w:rsid w:val="004804B4"/>
    <w:rsid w:val="00480506"/>
    <w:rsid w:val="0048064D"/>
    <w:rsid w:val="004807A6"/>
    <w:rsid w:val="004807C7"/>
    <w:rsid w:val="00480804"/>
    <w:rsid w:val="004809C2"/>
    <w:rsid w:val="00480A1A"/>
    <w:rsid w:val="00480C10"/>
    <w:rsid w:val="00480DFF"/>
    <w:rsid w:val="00480E14"/>
    <w:rsid w:val="00480F5E"/>
    <w:rsid w:val="00480F95"/>
    <w:rsid w:val="0048147E"/>
    <w:rsid w:val="004815ED"/>
    <w:rsid w:val="00481629"/>
    <w:rsid w:val="0048166B"/>
    <w:rsid w:val="004817CE"/>
    <w:rsid w:val="004817D5"/>
    <w:rsid w:val="00481801"/>
    <w:rsid w:val="004818BB"/>
    <w:rsid w:val="00481949"/>
    <w:rsid w:val="00481AF5"/>
    <w:rsid w:val="00481B4D"/>
    <w:rsid w:val="00481B9B"/>
    <w:rsid w:val="00481C85"/>
    <w:rsid w:val="00481D7A"/>
    <w:rsid w:val="00481EFC"/>
    <w:rsid w:val="00481F47"/>
    <w:rsid w:val="004820FC"/>
    <w:rsid w:val="0048229D"/>
    <w:rsid w:val="0048238D"/>
    <w:rsid w:val="00482406"/>
    <w:rsid w:val="00482416"/>
    <w:rsid w:val="00482460"/>
    <w:rsid w:val="004824FF"/>
    <w:rsid w:val="00482533"/>
    <w:rsid w:val="00482602"/>
    <w:rsid w:val="00482639"/>
    <w:rsid w:val="00482A6E"/>
    <w:rsid w:val="00482E07"/>
    <w:rsid w:val="00482E4C"/>
    <w:rsid w:val="00482E90"/>
    <w:rsid w:val="004830BD"/>
    <w:rsid w:val="0048312D"/>
    <w:rsid w:val="00483733"/>
    <w:rsid w:val="00483764"/>
    <w:rsid w:val="0048386D"/>
    <w:rsid w:val="004839B3"/>
    <w:rsid w:val="00483A31"/>
    <w:rsid w:val="00483C4C"/>
    <w:rsid w:val="00483CAB"/>
    <w:rsid w:val="00483E95"/>
    <w:rsid w:val="00483EF1"/>
    <w:rsid w:val="00484100"/>
    <w:rsid w:val="00484229"/>
    <w:rsid w:val="00484245"/>
    <w:rsid w:val="004843B8"/>
    <w:rsid w:val="0048442D"/>
    <w:rsid w:val="004844F0"/>
    <w:rsid w:val="00484516"/>
    <w:rsid w:val="00484720"/>
    <w:rsid w:val="004847C0"/>
    <w:rsid w:val="004848BA"/>
    <w:rsid w:val="004848C6"/>
    <w:rsid w:val="00484919"/>
    <w:rsid w:val="00484AA4"/>
    <w:rsid w:val="00484B83"/>
    <w:rsid w:val="00484B9A"/>
    <w:rsid w:val="00484D71"/>
    <w:rsid w:val="00484E13"/>
    <w:rsid w:val="00484E86"/>
    <w:rsid w:val="00484E96"/>
    <w:rsid w:val="00484FB7"/>
    <w:rsid w:val="00484FC2"/>
    <w:rsid w:val="00485041"/>
    <w:rsid w:val="004850FB"/>
    <w:rsid w:val="00485284"/>
    <w:rsid w:val="004852D3"/>
    <w:rsid w:val="00485493"/>
    <w:rsid w:val="00485668"/>
    <w:rsid w:val="00485673"/>
    <w:rsid w:val="00485705"/>
    <w:rsid w:val="004858B0"/>
    <w:rsid w:val="00485B8C"/>
    <w:rsid w:val="00485C77"/>
    <w:rsid w:val="00485E3B"/>
    <w:rsid w:val="00485E9D"/>
    <w:rsid w:val="00485EF5"/>
    <w:rsid w:val="00486019"/>
    <w:rsid w:val="00486115"/>
    <w:rsid w:val="004861E6"/>
    <w:rsid w:val="0048638C"/>
    <w:rsid w:val="004863B5"/>
    <w:rsid w:val="0048649A"/>
    <w:rsid w:val="00486543"/>
    <w:rsid w:val="0048655D"/>
    <w:rsid w:val="00486749"/>
    <w:rsid w:val="004867FA"/>
    <w:rsid w:val="0048683C"/>
    <w:rsid w:val="0048688B"/>
    <w:rsid w:val="00486A87"/>
    <w:rsid w:val="00486BBB"/>
    <w:rsid w:val="00486E7E"/>
    <w:rsid w:val="00486EBE"/>
    <w:rsid w:val="0048701E"/>
    <w:rsid w:val="0048704D"/>
    <w:rsid w:val="0048707B"/>
    <w:rsid w:val="004870F7"/>
    <w:rsid w:val="00487259"/>
    <w:rsid w:val="00487260"/>
    <w:rsid w:val="0048740F"/>
    <w:rsid w:val="004874AB"/>
    <w:rsid w:val="004874AD"/>
    <w:rsid w:val="00487786"/>
    <w:rsid w:val="00487D25"/>
    <w:rsid w:val="00487D6D"/>
    <w:rsid w:val="00487F82"/>
    <w:rsid w:val="00487FDA"/>
    <w:rsid w:val="004900B0"/>
    <w:rsid w:val="00490157"/>
    <w:rsid w:val="004902F2"/>
    <w:rsid w:val="004904CD"/>
    <w:rsid w:val="00490572"/>
    <w:rsid w:val="00490598"/>
    <w:rsid w:val="00490926"/>
    <w:rsid w:val="004909CA"/>
    <w:rsid w:val="00490A81"/>
    <w:rsid w:val="00490A9A"/>
    <w:rsid w:val="00490B2D"/>
    <w:rsid w:val="00490C1E"/>
    <w:rsid w:val="00490CEE"/>
    <w:rsid w:val="00490E2C"/>
    <w:rsid w:val="0049113C"/>
    <w:rsid w:val="00491248"/>
    <w:rsid w:val="004913E4"/>
    <w:rsid w:val="0049146A"/>
    <w:rsid w:val="00491511"/>
    <w:rsid w:val="00491606"/>
    <w:rsid w:val="0049182E"/>
    <w:rsid w:val="004918C8"/>
    <w:rsid w:val="004919FF"/>
    <w:rsid w:val="00491A5F"/>
    <w:rsid w:val="00491BA1"/>
    <w:rsid w:val="00491D50"/>
    <w:rsid w:val="00491DBC"/>
    <w:rsid w:val="00491DDF"/>
    <w:rsid w:val="00491EAB"/>
    <w:rsid w:val="00491FB6"/>
    <w:rsid w:val="004921DB"/>
    <w:rsid w:val="0049223F"/>
    <w:rsid w:val="0049226A"/>
    <w:rsid w:val="00492506"/>
    <w:rsid w:val="00492688"/>
    <w:rsid w:val="00492735"/>
    <w:rsid w:val="004927BA"/>
    <w:rsid w:val="004927DD"/>
    <w:rsid w:val="0049285A"/>
    <w:rsid w:val="00492860"/>
    <w:rsid w:val="00492977"/>
    <w:rsid w:val="00492AA5"/>
    <w:rsid w:val="00492AAF"/>
    <w:rsid w:val="00492B3E"/>
    <w:rsid w:val="00492E1F"/>
    <w:rsid w:val="00492E58"/>
    <w:rsid w:val="00492EC7"/>
    <w:rsid w:val="00492ECF"/>
    <w:rsid w:val="00492F1D"/>
    <w:rsid w:val="00493056"/>
    <w:rsid w:val="004931A5"/>
    <w:rsid w:val="0049323B"/>
    <w:rsid w:val="004933AF"/>
    <w:rsid w:val="0049349D"/>
    <w:rsid w:val="004934C1"/>
    <w:rsid w:val="004934E2"/>
    <w:rsid w:val="004934E6"/>
    <w:rsid w:val="0049350A"/>
    <w:rsid w:val="0049354A"/>
    <w:rsid w:val="00493610"/>
    <w:rsid w:val="00493636"/>
    <w:rsid w:val="004938BE"/>
    <w:rsid w:val="00493943"/>
    <w:rsid w:val="00493CD3"/>
    <w:rsid w:val="00493D6F"/>
    <w:rsid w:val="00493F29"/>
    <w:rsid w:val="00493F55"/>
    <w:rsid w:val="00494087"/>
    <w:rsid w:val="004941E8"/>
    <w:rsid w:val="004941EE"/>
    <w:rsid w:val="00494327"/>
    <w:rsid w:val="0049432B"/>
    <w:rsid w:val="00494346"/>
    <w:rsid w:val="00494353"/>
    <w:rsid w:val="004944AE"/>
    <w:rsid w:val="00494724"/>
    <w:rsid w:val="004947C7"/>
    <w:rsid w:val="0049488B"/>
    <w:rsid w:val="00494930"/>
    <w:rsid w:val="00494D97"/>
    <w:rsid w:val="00494E32"/>
    <w:rsid w:val="0049504C"/>
    <w:rsid w:val="00495116"/>
    <w:rsid w:val="00495219"/>
    <w:rsid w:val="0049523E"/>
    <w:rsid w:val="00495244"/>
    <w:rsid w:val="004952BC"/>
    <w:rsid w:val="004955CD"/>
    <w:rsid w:val="00495671"/>
    <w:rsid w:val="0049573F"/>
    <w:rsid w:val="00495B0C"/>
    <w:rsid w:val="00495B10"/>
    <w:rsid w:val="00495C4B"/>
    <w:rsid w:val="00495C56"/>
    <w:rsid w:val="00495C9E"/>
    <w:rsid w:val="00495CC6"/>
    <w:rsid w:val="00495CDC"/>
    <w:rsid w:val="00495CE9"/>
    <w:rsid w:val="00495F2E"/>
    <w:rsid w:val="00495F45"/>
    <w:rsid w:val="00495F70"/>
    <w:rsid w:val="0049609C"/>
    <w:rsid w:val="00496193"/>
    <w:rsid w:val="004961A2"/>
    <w:rsid w:val="004961A9"/>
    <w:rsid w:val="004961B1"/>
    <w:rsid w:val="0049621F"/>
    <w:rsid w:val="0049645A"/>
    <w:rsid w:val="00496700"/>
    <w:rsid w:val="00496774"/>
    <w:rsid w:val="0049695B"/>
    <w:rsid w:val="00496A2F"/>
    <w:rsid w:val="00496A33"/>
    <w:rsid w:val="00496BFB"/>
    <w:rsid w:val="00496C29"/>
    <w:rsid w:val="00496C2F"/>
    <w:rsid w:val="00496C3D"/>
    <w:rsid w:val="00496C4E"/>
    <w:rsid w:val="00496C55"/>
    <w:rsid w:val="00496DDD"/>
    <w:rsid w:val="00496E32"/>
    <w:rsid w:val="00496E36"/>
    <w:rsid w:val="00496E62"/>
    <w:rsid w:val="00496EB4"/>
    <w:rsid w:val="00496F9B"/>
    <w:rsid w:val="00497070"/>
    <w:rsid w:val="0049710D"/>
    <w:rsid w:val="0049713C"/>
    <w:rsid w:val="004972AF"/>
    <w:rsid w:val="004972D2"/>
    <w:rsid w:val="00497367"/>
    <w:rsid w:val="004973EB"/>
    <w:rsid w:val="00497460"/>
    <w:rsid w:val="00497495"/>
    <w:rsid w:val="004974DC"/>
    <w:rsid w:val="004975AE"/>
    <w:rsid w:val="00497646"/>
    <w:rsid w:val="004977CA"/>
    <w:rsid w:val="004978B4"/>
    <w:rsid w:val="00497A36"/>
    <w:rsid w:val="00497A76"/>
    <w:rsid w:val="00497DCB"/>
    <w:rsid w:val="00497E06"/>
    <w:rsid w:val="004A00B8"/>
    <w:rsid w:val="004A00F5"/>
    <w:rsid w:val="004A0150"/>
    <w:rsid w:val="004A021C"/>
    <w:rsid w:val="004A0243"/>
    <w:rsid w:val="004A027C"/>
    <w:rsid w:val="004A031F"/>
    <w:rsid w:val="004A062D"/>
    <w:rsid w:val="004A0736"/>
    <w:rsid w:val="004A0930"/>
    <w:rsid w:val="004A0A09"/>
    <w:rsid w:val="004A0AAD"/>
    <w:rsid w:val="004A0CCC"/>
    <w:rsid w:val="004A0DFF"/>
    <w:rsid w:val="004A1140"/>
    <w:rsid w:val="004A1289"/>
    <w:rsid w:val="004A1328"/>
    <w:rsid w:val="004A1346"/>
    <w:rsid w:val="004A14F0"/>
    <w:rsid w:val="004A161A"/>
    <w:rsid w:val="004A1BC5"/>
    <w:rsid w:val="004A1BE8"/>
    <w:rsid w:val="004A1C5C"/>
    <w:rsid w:val="004A1C81"/>
    <w:rsid w:val="004A1D75"/>
    <w:rsid w:val="004A1E75"/>
    <w:rsid w:val="004A1F88"/>
    <w:rsid w:val="004A20A4"/>
    <w:rsid w:val="004A2329"/>
    <w:rsid w:val="004A2358"/>
    <w:rsid w:val="004A236B"/>
    <w:rsid w:val="004A256C"/>
    <w:rsid w:val="004A258F"/>
    <w:rsid w:val="004A27D1"/>
    <w:rsid w:val="004A28B8"/>
    <w:rsid w:val="004A28D2"/>
    <w:rsid w:val="004A2992"/>
    <w:rsid w:val="004A2B2E"/>
    <w:rsid w:val="004A2B65"/>
    <w:rsid w:val="004A2BB4"/>
    <w:rsid w:val="004A2C80"/>
    <w:rsid w:val="004A2DA6"/>
    <w:rsid w:val="004A2EC4"/>
    <w:rsid w:val="004A2FB8"/>
    <w:rsid w:val="004A30DB"/>
    <w:rsid w:val="004A33C0"/>
    <w:rsid w:val="004A3582"/>
    <w:rsid w:val="004A364B"/>
    <w:rsid w:val="004A370C"/>
    <w:rsid w:val="004A396A"/>
    <w:rsid w:val="004A3A21"/>
    <w:rsid w:val="004A3B26"/>
    <w:rsid w:val="004A3B76"/>
    <w:rsid w:val="004A3BE3"/>
    <w:rsid w:val="004A3C6E"/>
    <w:rsid w:val="004A3D79"/>
    <w:rsid w:val="004A3EFC"/>
    <w:rsid w:val="004A4050"/>
    <w:rsid w:val="004A42AF"/>
    <w:rsid w:val="004A4362"/>
    <w:rsid w:val="004A43A8"/>
    <w:rsid w:val="004A4616"/>
    <w:rsid w:val="004A4639"/>
    <w:rsid w:val="004A4670"/>
    <w:rsid w:val="004A4698"/>
    <w:rsid w:val="004A47BC"/>
    <w:rsid w:val="004A4828"/>
    <w:rsid w:val="004A498B"/>
    <w:rsid w:val="004A499F"/>
    <w:rsid w:val="004A4A7B"/>
    <w:rsid w:val="004A4B20"/>
    <w:rsid w:val="004A4B6E"/>
    <w:rsid w:val="004A4BB7"/>
    <w:rsid w:val="004A4E97"/>
    <w:rsid w:val="004A4F74"/>
    <w:rsid w:val="004A527F"/>
    <w:rsid w:val="004A5586"/>
    <w:rsid w:val="004A5613"/>
    <w:rsid w:val="004A5634"/>
    <w:rsid w:val="004A58DB"/>
    <w:rsid w:val="004A5BF4"/>
    <w:rsid w:val="004A5C2C"/>
    <w:rsid w:val="004A5D6E"/>
    <w:rsid w:val="004A5D84"/>
    <w:rsid w:val="004A5E4F"/>
    <w:rsid w:val="004A5F2B"/>
    <w:rsid w:val="004A5F64"/>
    <w:rsid w:val="004A6116"/>
    <w:rsid w:val="004A615C"/>
    <w:rsid w:val="004A6474"/>
    <w:rsid w:val="004A670D"/>
    <w:rsid w:val="004A67FF"/>
    <w:rsid w:val="004A685F"/>
    <w:rsid w:val="004A6948"/>
    <w:rsid w:val="004A69A6"/>
    <w:rsid w:val="004A6AD9"/>
    <w:rsid w:val="004A6BA5"/>
    <w:rsid w:val="004A6C6B"/>
    <w:rsid w:val="004A6E3B"/>
    <w:rsid w:val="004A6F69"/>
    <w:rsid w:val="004A70BA"/>
    <w:rsid w:val="004A715B"/>
    <w:rsid w:val="004A725C"/>
    <w:rsid w:val="004A73E6"/>
    <w:rsid w:val="004A7440"/>
    <w:rsid w:val="004A765F"/>
    <w:rsid w:val="004A78B8"/>
    <w:rsid w:val="004A792C"/>
    <w:rsid w:val="004A7BB3"/>
    <w:rsid w:val="004A7C1F"/>
    <w:rsid w:val="004A7C5F"/>
    <w:rsid w:val="004A7CD0"/>
    <w:rsid w:val="004A7DFB"/>
    <w:rsid w:val="004A7FFD"/>
    <w:rsid w:val="004B01CD"/>
    <w:rsid w:val="004B01EC"/>
    <w:rsid w:val="004B02DC"/>
    <w:rsid w:val="004B038F"/>
    <w:rsid w:val="004B04AA"/>
    <w:rsid w:val="004B060A"/>
    <w:rsid w:val="004B0636"/>
    <w:rsid w:val="004B06D0"/>
    <w:rsid w:val="004B0746"/>
    <w:rsid w:val="004B0879"/>
    <w:rsid w:val="004B0A76"/>
    <w:rsid w:val="004B0AE7"/>
    <w:rsid w:val="004B0CCD"/>
    <w:rsid w:val="004B0D1D"/>
    <w:rsid w:val="004B0D7C"/>
    <w:rsid w:val="004B0DB8"/>
    <w:rsid w:val="004B0EA5"/>
    <w:rsid w:val="004B0FC6"/>
    <w:rsid w:val="004B0FEF"/>
    <w:rsid w:val="004B102E"/>
    <w:rsid w:val="004B1101"/>
    <w:rsid w:val="004B121B"/>
    <w:rsid w:val="004B14A1"/>
    <w:rsid w:val="004B14F8"/>
    <w:rsid w:val="004B1531"/>
    <w:rsid w:val="004B15FF"/>
    <w:rsid w:val="004B17E2"/>
    <w:rsid w:val="004B1823"/>
    <w:rsid w:val="004B18CE"/>
    <w:rsid w:val="004B194A"/>
    <w:rsid w:val="004B1A35"/>
    <w:rsid w:val="004B1A87"/>
    <w:rsid w:val="004B1B57"/>
    <w:rsid w:val="004B1BE2"/>
    <w:rsid w:val="004B1CBB"/>
    <w:rsid w:val="004B1E3E"/>
    <w:rsid w:val="004B1EE6"/>
    <w:rsid w:val="004B1FE5"/>
    <w:rsid w:val="004B212A"/>
    <w:rsid w:val="004B2156"/>
    <w:rsid w:val="004B21C1"/>
    <w:rsid w:val="004B2661"/>
    <w:rsid w:val="004B26C4"/>
    <w:rsid w:val="004B27B7"/>
    <w:rsid w:val="004B284F"/>
    <w:rsid w:val="004B29FD"/>
    <w:rsid w:val="004B2A1C"/>
    <w:rsid w:val="004B2A27"/>
    <w:rsid w:val="004B2B24"/>
    <w:rsid w:val="004B2C9E"/>
    <w:rsid w:val="004B2D5E"/>
    <w:rsid w:val="004B2DF1"/>
    <w:rsid w:val="004B2FF8"/>
    <w:rsid w:val="004B301F"/>
    <w:rsid w:val="004B3085"/>
    <w:rsid w:val="004B3187"/>
    <w:rsid w:val="004B3233"/>
    <w:rsid w:val="004B37AC"/>
    <w:rsid w:val="004B394D"/>
    <w:rsid w:val="004B39BE"/>
    <w:rsid w:val="004B3A67"/>
    <w:rsid w:val="004B3A75"/>
    <w:rsid w:val="004B3C0F"/>
    <w:rsid w:val="004B3CB8"/>
    <w:rsid w:val="004B3EBC"/>
    <w:rsid w:val="004B3F40"/>
    <w:rsid w:val="004B400D"/>
    <w:rsid w:val="004B402F"/>
    <w:rsid w:val="004B4191"/>
    <w:rsid w:val="004B43ED"/>
    <w:rsid w:val="004B4409"/>
    <w:rsid w:val="004B452C"/>
    <w:rsid w:val="004B46B4"/>
    <w:rsid w:val="004B4723"/>
    <w:rsid w:val="004B4843"/>
    <w:rsid w:val="004B489F"/>
    <w:rsid w:val="004B48CD"/>
    <w:rsid w:val="004B4A11"/>
    <w:rsid w:val="004B4B58"/>
    <w:rsid w:val="004B4B9D"/>
    <w:rsid w:val="004B4EB6"/>
    <w:rsid w:val="004B504C"/>
    <w:rsid w:val="004B511F"/>
    <w:rsid w:val="004B51B7"/>
    <w:rsid w:val="004B51BB"/>
    <w:rsid w:val="004B5264"/>
    <w:rsid w:val="004B537C"/>
    <w:rsid w:val="004B542E"/>
    <w:rsid w:val="004B548F"/>
    <w:rsid w:val="004B550B"/>
    <w:rsid w:val="004B562B"/>
    <w:rsid w:val="004B5675"/>
    <w:rsid w:val="004B5B80"/>
    <w:rsid w:val="004B5CCC"/>
    <w:rsid w:val="004B5D4F"/>
    <w:rsid w:val="004B601F"/>
    <w:rsid w:val="004B609E"/>
    <w:rsid w:val="004B61F4"/>
    <w:rsid w:val="004B6277"/>
    <w:rsid w:val="004B62EB"/>
    <w:rsid w:val="004B64C5"/>
    <w:rsid w:val="004B673D"/>
    <w:rsid w:val="004B6825"/>
    <w:rsid w:val="004B68E5"/>
    <w:rsid w:val="004B6910"/>
    <w:rsid w:val="004B6A7E"/>
    <w:rsid w:val="004B6AE6"/>
    <w:rsid w:val="004B6C9F"/>
    <w:rsid w:val="004B6CC1"/>
    <w:rsid w:val="004B6DC2"/>
    <w:rsid w:val="004B7117"/>
    <w:rsid w:val="004B72A1"/>
    <w:rsid w:val="004B72CB"/>
    <w:rsid w:val="004B734D"/>
    <w:rsid w:val="004B745A"/>
    <w:rsid w:val="004B7619"/>
    <w:rsid w:val="004B7782"/>
    <w:rsid w:val="004B7847"/>
    <w:rsid w:val="004B786D"/>
    <w:rsid w:val="004B7931"/>
    <w:rsid w:val="004B79AB"/>
    <w:rsid w:val="004B7A96"/>
    <w:rsid w:val="004B7BE8"/>
    <w:rsid w:val="004B7BF4"/>
    <w:rsid w:val="004B7DB3"/>
    <w:rsid w:val="004B7E63"/>
    <w:rsid w:val="004C0071"/>
    <w:rsid w:val="004C0230"/>
    <w:rsid w:val="004C0345"/>
    <w:rsid w:val="004C0630"/>
    <w:rsid w:val="004C06DF"/>
    <w:rsid w:val="004C081A"/>
    <w:rsid w:val="004C089A"/>
    <w:rsid w:val="004C08D2"/>
    <w:rsid w:val="004C0E22"/>
    <w:rsid w:val="004C1111"/>
    <w:rsid w:val="004C117E"/>
    <w:rsid w:val="004C1424"/>
    <w:rsid w:val="004C148C"/>
    <w:rsid w:val="004C1B5B"/>
    <w:rsid w:val="004C1BA7"/>
    <w:rsid w:val="004C1CAA"/>
    <w:rsid w:val="004C1D3A"/>
    <w:rsid w:val="004C2026"/>
    <w:rsid w:val="004C204B"/>
    <w:rsid w:val="004C2072"/>
    <w:rsid w:val="004C214C"/>
    <w:rsid w:val="004C21CC"/>
    <w:rsid w:val="004C22A5"/>
    <w:rsid w:val="004C23C8"/>
    <w:rsid w:val="004C266A"/>
    <w:rsid w:val="004C29C8"/>
    <w:rsid w:val="004C2A98"/>
    <w:rsid w:val="004C2B35"/>
    <w:rsid w:val="004C2EE3"/>
    <w:rsid w:val="004C2EE6"/>
    <w:rsid w:val="004C2FEA"/>
    <w:rsid w:val="004C303F"/>
    <w:rsid w:val="004C3178"/>
    <w:rsid w:val="004C32B7"/>
    <w:rsid w:val="004C336C"/>
    <w:rsid w:val="004C338C"/>
    <w:rsid w:val="004C3474"/>
    <w:rsid w:val="004C34D2"/>
    <w:rsid w:val="004C359E"/>
    <w:rsid w:val="004C37E0"/>
    <w:rsid w:val="004C382F"/>
    <w:rsid w:val="004C3872"/>
    <w:rsid w:val="004C38C2"/>
    <w:rsid w:val="004C3A43"/>
    <w:rsid w:val="004C3A44"/>
    <w:rsid w:val="004C3E9D"/>
    <w:rsid w:val="004C3F7A"/>
    <w:rsid w:val="004C4043"/>
    <w:rsid w:val="004C4050"/>
    <w:rsid w:val="004C41C2"/>
    <w:rsid w:val="004C4355"/>
    <w:rsid w:val="004C43B9"/>
    <w:rsid w:val="004C44B1"/>
    <w:rsid w:val="004C44FF"/>
    <w:rsid w:val="004C4585"/>
    <w:rsid w:val="004C45C5"/>
    <w:rsid w:val="004C466A"/>
    <w:rsid w:val="004C4823"/>
    <w:rsid w:val="004C4A05"/>
    <w:rsid w:val="004C4A34"/>
    <w:rsid w:val="004C4A38"/>
    <w:rsid w:val="004C4A7C"/>
    <w:rsid w:val="004C4AD6"/>
    <w:rsid w:val="004C4B81"/>
    <w:rsid w:val="004C4BB5"/>
    <w:rsid w:val="004C4C8A"/>
    <w:rsid w:val="004C4CE9"/>
    <w:rsid w:val="004C4FB2"/>
    <w:rsid w:val="004C5083"/>
    <w:rsid w:val="004C508C"/>
    <w:rsid w:val="004C5149"/>
    <w:rsid w:val="004C554C"/>
    <w:rsid w:val="004C5979"/>
    <w:rsid w:val="004C5A78"/>
    <w:rsid w:val="004C5B08"/>
    <w:rsid w:val="004C5C46"/>
    <w:rsid w:val="004C5D63"/>
    <w:rsid w:val="004C5E16"/>
    <w:rsid w:val="004C5EDC"/>
    <w:rsid w:val="004C6098"/>
    <w:rsid w:val="004C61B3"/>
    <w:rsid w:val="004C61E6"/>
    <w:rsid w:val="004C626F"/>
    <w:rsid w:val="004C62CB"/>
    <w:rsid w:val="004C6411"/>
    <w:rsid w:val="004C649D"/>
    <w:rsid w:val="004C64E4"/>
    <w:rsid w:val="004C6505"/>
    <w:rsid w:val="004C668E"/>
    <w:rsid w:val="004C66B2"/>
    <w:rsid w:val="004C67C7"/>
    <w:rsid w:val="004C69A3"/>
    <w:rsid w:val="004C6A16"/>
    <w:rsid w:val="004C6A1C"/>
    <w:rsid w:val="004C6A5F"/>
    <w:rsid w:val="004C6B2B"/>
    <w:rsid w:val="004C6B94"/>
    <w:rsid w:val="004C6BA5"/>
    <w:rsid w:val="004C6C27"/>
    <w:rsid w:val="004C6C33"/>
    <w:rsid w:val="004C6ED4"/>
    <w:rsid w:val="004C71E4"/>
    <w:rsid w:val="004C72A3"/>
    <w:rsid w:val="004C74ED"/>
    <w:rsid w:val="004C758E"/>
    <w:rsid w:val="004C7599"/>
    <w:rsid w:val="004C75F1"/>
    <w:rsid w:val="004C77C3"/>
    <w:rsid w:val="004C7938"/>
    <w:rsid w:val="004C7A34"/>
    <w:rsid w:val="004C7A66"/>
    <w:rsid w:val="004C7A75"/>
    <w:rsid w:val="004C7AE2"/>
    <w:rsid w:val="004C7B8E"/>
    <w:rsid w:val="004C7BB9"/>
    <w:rsid w:val="004C7DE8"/>
    <w:rsid w:val="004D00A6"/>
    <w:rsid w:val="004D011F"/>
    <w:rsid w:val="004D0129"/>
    <w:rsid w:val="004D01BD"/>
    <w:rsid w:val="004D0355"/>
    <w:rsid w:val="004D0482"/>
    <w:rsid w:val="004D04FD"/>
    <w:rsid w:val="004D0638"/>
    <w:rsid w:val="004D080E"/>
    <w:rsid w:val="004D081B"/>
    <w:rsid w:val="004D0A74"/>
    <w:rsid w:val="004D0A90"/>
    <w:rsid w:val="004D0D8D"/>
    <w:rsid w:val="004D0ED7"/>
    <w:rsid w:val="004D0F3C"/>
    <w:rsid w:val="004D0FB3"/>
    <w:rsid w:val="004D1053"/>
    <w:rsid w:val="004D10FF"/>
    <w:rsid w:val="004D1136"/>
    <w:rsid w:val="004D11B5"/>
    <w:rsid w:val="004D12C3"/>
    <w:rsid w:val="004D12CF"/>
    <w:rsid w:val="004D12E8"/>
    <w:rsid w:val="004D13B4"/>
    <w:rsid w:val="004D148A"/>
    <w:rsid w:val="004D151D"/>
    <w:rsid w:val="004D15C5"/>
    <w:rsid w:val="004D15D9"/>
    <w:rsid w:val="004D164C"/>
    <w:rsid w:val="004D16F6"/>
    <w:rsid w:val="004D1791"/>
    <w:rsid w:val="004D1D0C"/>
    <w:rsid w:val="004D1D1D"/>
    <w:rsid w:val="004D1EF4"/>
    <w:rsid w:val="004D21F4"/>
    <w:rsid w:val="004D2202"/>
    <w:rsid w:val="004D24B6"/>
    <w:rsid w:val="004D263F"/>
    <w:rsid w:val="004D282B"/>
    <w:rsid w:val="004D2872"/>
    <w:rsid w:val="004D299A"/>
    <w:rsid w:val="004D29A5"/>
    <w:rsid w:val="004D2BE7"/>
    <w:rsid w:val="004D2CFC"/>
    <w:rsid w:val="004D2DB1"/>
    <w:rsid w:val="004D2DC2"/>
    <w:rsid w:val="004D2E3F"/>
    <w:rsid w:val="004D2EC1"/>
    <w:rsid w:val="004D316D"/>
    <w:rsid w:val="004D3175"/>
    <w:rsid w:val="004D336C"/>
    <w:rsid w:val="004D33B3"/>
    <w:rsid w:val="004D346B"/>
    <w:rsid w:val="004D36C3"/>
    <w:rsid w:val="004D378A"/>
    <w:rsid w:val="004D3969"/>
    <w:rsid w:val="004D3A1A"/>
    <w:rsid w:val="004D3FA3"/>
    <w:rsid w:val="004D3FB1"/>
    <w:rsid w:val="004D3FCA"/>
    <w:rsid w:val="004D4031"/>
    <w:rsid w:val="004D407F"/>
    <w:rsid w:val="004D40ED"/>
    <w:rsid w:val="004D4196"/>
    <w:rsid w:val="004D4473"/>
    <w:rsid w:val="004D451A"/>
    <w:rsid w:val="004D45D1"/>
    <w:rsid w:val="004D463E"/>
    <w:rsid w:val="004D4653"/>
    <w:rsid w:val="004D4700"/>
    <w:rsid w:val="004D48D4"/>
    <w:rsid w:val="004D49C7"/>
    <w:rsid w:val="004D4B09"/>
    <w:rsid w:val="004D4C30"/>
    <w:rsid w:val="004D4D6E"/>
    <w:rsid w:val="004D4DDE"/>
    <w:rsid w:val="004D4E25"/>
    <w:rsid w:val="004D51CE"/>
    <w:rsid w:val="004D52C2"/>
    <w:rsid w:val="004D531D"/>
    <w:rsid w:val="004D5326"/>
    <w:rsid w:val="004D533F"/>
    <w:rsid w:val="004D544C"/>
    <w:rsid w:val="004D5456"/>
    <w:rsid w:val="004D5463"/>
    <w:rsid w:val="004D549B"/>
    <w:rsid w:val="004D550A"/>
    <w:rsid w:val="004D56C6"/>
    <w:rsid w:val="004D5720"/>
    <w:rsid w:val="004D5A17"/>
    <w:rsid w:val="004D5B81"/>
    <w:rsid w:val="004D5DD2"/>
    <w:rsid w:val="004D5E40"/>
    <w:rsid w:val="004D5F78"/>
    <w:rsid w:val="004D6100"/>
    <w:rsid w:val="004D614E"/>
    <w:rsid w:val="004D6187"/>
    <w:rsid w:val="004D622B"/>
    <w:rsid w:val="004D6370"/>
    <w:rsid w:val="004D64CE"/>
    <w:rsid w:val="004D6692"/>
    <w:rsid w:val="004D67B2"/>
    <w:rsid w:val="004D6834"/>
    <w:rsid w:val="004D696E"/>
    <w:rsid w:val="004D6A03"/>
    <w:rsid w:val="004D6A4E"/>
    <w:rsid w:val="004D6B57"/>
    <w:rsid w:val="004D6D5B"/>
    <w:rsid w:val="004D6DD0"/>
    <w:rsid w:val="004D6E62"/>
    <w:rsid w:val="004D6EA7"/>
    <w:rsid w:val="004D7387"/>
    <w:rsid w:val="004D73D0"/>
    <w:rsid w:val="004D73D6"/>
    <w:rsid w:val="004D7416"/>
    <w:rsid w:val="004D7584"/>
    <w:rsid w:val="004D75FE"/>
    <w:rsid w:val="004D77C3"/>
    <w:rsid w:val="004D78F4"/>
    <w:rsid w:val="004D7940"/>
    <w:rsid w:val="004D7A05"/>
    <w:rsid w:val="004D7A92"/>
    <w:rsid w:val="004D7A98"/>
    <w:rsid w:val="004D7B9B"/>
    <w:rsid w:val="004D7C53"/>
    <w:rsid w:val="004D7C9E"/>
    <w:rsid w:val="004D7CA1"/>
    <w:rsid w:val="004D7FA5"/>
    <w:rsid w:val="004E0269"/>
    <w:rsid w:val="004E046E"/>
    <w:rsid w:val="004E0573"/>
    <w:rsid w:val="004E061C"/>
    <w:rsid w:val="004E07BA"/>
    <w:rsid w:val="004E07FB"/>
    <w:rsid w:val="004E0884"/>
    <w:rsid w:val="004E08D5"/>
    <w:rsid w:val="004E09BE"/>
    <w:rsid w:val="004E0A9A"/>
    <w:rsid w:val="004E0AF4"/>
    <w:rsid w:val="004E0BA2"/>
    <w:rsid w:val="004E11E5"/>
    <w:rsid w:val="004E1233"/>
    <w:rsid w:val="004E1245"/>
    <w:rsid w:val="004E1316"/>
    <w:rsid w:val="004E1394"/>
    <w:rsid w:val="004E1474"/>
    <w:rsid w:val="004E17BF"/>
    <w:rsid w:val="004E17ED"/>
    <w:rsid w:val="004E18B5"/>
    <w:rsid w:val="004E197A"/>
    <w:rsid w:val="004E1BA4"/>
    <w:rsid w:val="004E1CB6"/>
    <w:rsid w:val="004E1D23"/>
    <w:rsid w:val="004E1D75"/>
    <w:rsid w:val="004E1D7D"/>
    <w:rsid w:val="004E1DBB"/>
    <w:rsid w:val="004E1F07"/>
    <w:rsid w:val="004E209B"/>
    <w:rsid w:val="004E20A6"/>
    <w:rsid w:val="004E20F5"/>
    <w:rsid w:val="004E224B"/>
    <w:rsid w:val="004E2312"/>
    <w:rsid w:val="004E2403"/>
    <w:rsid w:val="004E2405"/>
    <w:rsid w:val="004E2493"/>
    <w:rsid w:val="004E2498"/>
    <w:rsid w:val="004E24CD"/>
    <w:rsid w:val="004E24DB"/>
    <w:rsid w:val="004E259C"/>
    <w:rsid w:val="004E2623"/>
    <w:rsid w:val="004E2744"/>
    <w:rsid w:val="004E2777"/>
    <w:rsid w:val="004E2809"/>
    <w:rsid w:val="004E28C6"/>
    <w:rsid w:val="004E28FC"/>
    <w:rsid w:val="004E2923"/>
    <w:rsid w:val="004E2B13"/>
    <w:rsid w:val="004E2DAF"/>
    <w:rsid w:val="004E3039"/>
    <w:rsid w:val="004E30A1"/>
    <w:rsid w:val="004E3199"/>
    <w:rsid w:val="004E32E9"/>
    <w:rsid w:val="004E3368"/>
    <w:rsid w:val="004E3372"/>
    <w:rsid w:val="004E34FA"/>
    <w:rsid w:val="004E354A"/>
    <w:rsid w:val="004E361E"/>
    <w:rsid w:val="004E374C"/>
    <w:rsid w:val="004E398C"/>
    <w:rsid w:val="004E39B9"/>
    <w:rsid w:val="004E3A90"/>
    <w:rsid w:val="004E3B0A"/>
    <w:rsid w:val="004E3CF8"/>
    <w:rsid w:val="004E41AD"/>
    <w:rsid w:val="004E4210"/>
    <w:rsid w:val="004E4287"/>
    <w:rsid w:val="004E42AB"/>
    <w:rsid w:val="004E42E9"/>
    <w:rsid w:val="004E4443"/>
    <w:rsid w:val="004E45F8"/>
    <w:rsid w:val="004E471E"/>
    <w:rsid w:val="004E480D"/>
    <w:rsid w:val="004E4833"/>
    <w:rsid w:val="004E48E3"/>
    <w:rsid w:val="004E4913"/>
    <w:rsid w:val="004E494F"/>
    <w:rsid w:val="004E49B4"/>
    <w:rsid w:val="004E4AAB"/>
    <w:rsid w:val="004E4ADB"/>
    <w:rsid w:val="004E4F7B"/>
    <w:rsid w:val="004E4F7C"/>
    <w:rsid w:val="004E4FA1"/>
    <w:rsid w:val="004E5118"/>
    <w:rsid w:val="004E518E"/>
    <w:rsid w:val="004E51C7"/>
    <w:rsid w:val="004E51D1"/>
    <w:rsid w:val="004E5227"/>
    <w:rsid w:val="004E54A9"/>
    <w:rsid w:val="004E5503"/>
    <w:rsid w:val="004E5746"/>
    <w:rsid w:val="004E5759"/>
    <w:rsid w:val="004E5771"/>
    <w:rsid w:val="004E5775"/>
    <w:rsid w:val="004E5906"/>
    <w:rsid w:val="004E597A"/>
    <w:rsid w:val="004E5B73"/>
    <w:rsid w:val="004E5BDF"/>
    <w:rsid w:val="004E5EC1"/>
    <w:rsid w:val="004E5F22"/>
    <w:rsid w:val="004E6099"/>
    <w:rsid w:val="004E60BC"/>
    <w:rsid w:val="004E60CD"/>
    <w:rsid w:val="004E611D"/>
    <w:rsid w:val="004E63DE"/>
    <w:rsid w:val="004E655B"/>
    <w:rsid w:val="004E6716"/>
    <w:rsid w:val="004E6848"/>
    <w:rsid w:val="004E6A29"/>
    <w:rsid w:val="004E6B66"/>
    <w:rsid w:val="004E6BC9"/>
    <w:rsid w:val="004E6DE1"/>
    <w:rsid w:val="004E6EEC"/>
    <w:rsid w:val="004E6FB1"/>
    <w:rsid w:val="004E708C"/>
    <w:rsid w:val="004E70CB"/>
    <w:rsid w:val="004E72FB"/>
    <w:rsid w:val="004E73BA"/>
    <w:rsid w:val="004E7412"/>
    <w:rsid w:val="004E7455"/>
    <w:rsid w:val="004E7470"/>
    <w:rsid w:val="004E7648"/>
    <w:rsid w:val="004E768E"/>
    <w:rsid w:val="004E76CA"/>
    <w:rsid w:val="004E77A2"/>
    <w:rsid w:val="004E7B87"/>
    <w:rsid w:val="004E7E1D"/>
    <w:rsid w:val="004E7E93"/>
    <w:rsid w:val="004E7F80"/>
    <w:rsid w:val="004F01AF"/>
    <w:rsid w:val="004F056C"/>
    <w:rsid w:val="004F05D7"/>
    <w:rsid w:val="004F0680"/>
    <w:rsid w:val="004F0920"/>
    <w:rsid w:val="004F0AAE"/>
    <w:rsid w:val="004F0B14"/>
    <w:rsid w:val="004F0E44"/>
    <w:rsid w:val="004F0EAF"/>
    <w:rsid w:val="004F0F05"/>
    <w:rsid w:val="004F10E0"/>
    <w:rsid w:val="004F1231"/>
    <w:rsid w:val="004F12AE"/>
    <w:rsid w:val="004F138F"/>
    <w:rsid w:val="004F142B"/>
    <w:rsid w:val="004F15A4"/>
    <w:rsid w:val="004F178C"/>
    <w:rsid w:val="004F1C01"/>
    <w:rsid w:val="004F1C76"/>
    <w:rsid w:val="004F1D77"/>
    <w:rsid w:val="004F1E0D"/>
    <w:rsid w:val="004F1F17"/>
    <w:rsid w:val="004F2284"/>
    <w:rsid w:val="004F22C0"/>
    <w:rsid w:val="004F2367"/>
    <w:rsid w:val="004F23F1"/>
    <w:rsid w:val="004F2482"/>
    <w:rsid w:val="004F24A2"/>
    <w:rsid w:val="004F2556"/>
    <w:rsid w:val="004F256B"/>
    <w:rsid w:val="004F2688"/>
    <w:rsid w:val="004F2976"/>
    <w:rsid w:val="004F2AB8"/>
    <w:rsid w:val="004F2D0A"/>
    <w:rsid w:val="004F2EED"/>
    <w:rsid w:val="004F3048"/>
    <w:rsid w:val="004F31E9"/>
    <w:rsid w:val="004F32CB"/>
    <w:rsid w:val="004F343C"/>
    <w:rsid w:val="004F3552"/>
    <w:rsid w:val="004F35D1"/>
    <w:rsid w:val="004F372A"/>
    <w:rsid w:val="004F37D6"/>
    <w:rsid w:val="004F380E"/>
    <w:rsid w:val="004F38D5"/>
    <w:rsid w:val="004F3940"/>
    <w:rsid w:val="004F39A2"/>
    <w:rsid w:val="004F3B7B"/>
    <w:rsid w:val="004F3B85"/>
    <w:rsid w:val="004F3B90"/>
    <w:rsid w:val="004F3BCC"/>
    <w:rsid w:val="004F3C7A"/>
    <w:rsid w:val="004F3D30"/>
    <w:rsid w:val="004F3E3E"/>
    <w:rsid w:val="004F3E85"/>
    <w:rsid w:val="004F4037"/>
    <w:rsid w:val="004F40D4"/>
    <w:rsid w:val="004F414F"/>
    <w:rsid w:val="004F41D5"/>
    <w:rsid w:val="004F420C"/>
    <w:rsid w:val="004F4260"/>
    <w:rsid w:val="004F427F"/>
    <w:rsid w:val="004F440D"/>
    <w:rsid w:val="004F457F"/>
    <w:rsid w:val="004F468D"/>
    <w:rsid w:val="004F479C"/>
    <w:rsid w:val="004F47F7"/>
    <w:rsid w:val="004F49EF"/>
    <w:rsid w:val="004F4AF1"/>
    <w:rsid w:val="004F4C41"/>
    <w:rsid w:val="004F4DFD"/>
    <w:rsid w:val="004F4F9A"/>
    <w:rsid w:val="004F50A2"/>
    <w:rsid w:val="004F5273"/>
    <w:rsid w:val="004F54A5"/>
    <w:rsid w:val="004F5637"/>
    <w:rsid w:val="004F5862"/>
    <w:rsid w:val="004F5896"/>
    <w:rsid w:val="004F591F"/>
    <w:rsid w:val="004F5C66"/>
    <w:rsid w:val="004F5CB6"/>
    <w:rsid w:val="004F5D3E"/>
    <w:rsid w:val="004F5D98"/>
    <w:rsid w:val="004F5DC1"/>
    <w:rsid w:val="004F5DC5"/>
    <w:rsid w:val="004F5EA0"/>
    <w:rsid w:val="004F5F36"/>
    <w:rsid w:val="004F6065"/>
    <w:rsid w:val="004F6333"/>
    <w:rsid w:val="004F63E0"/>
    <w:rsid w:val="004F643A"/>
    <w:rsid w:val="004F6633"/>
    <w:rsid w:val="004F6697"/>
    <w:rsid w:val="004F681B"/>
    <w:rsid w:val="004F6856"/>
    <w:rsid w:val="004F69A6"/>
    <w:rsid w:val="004F69CB"/>
    <w:rsid w:val="004F69E7"/>
    <w:rsid w:val="004F69F7"/>
    <w:rsid w:val="004F6B02"/>
    <w:rsid w:val="004F6B17"/>
    <w:rsid w:val="004F6BA4"/>
    <w:rsid w:val="004F6D98"/>
    <w:rsid w:val="004F6EAA"/>
    <w:rsid w:val="004F6F4B"/>
    <w:rsid w:val="004F6F5B"/>
    <w:rsid w:val="004F6FA7"/>
    <w:rsid w:val="004F7037"/>
    <w:rsid w:val="004F717C"/>
    <w:rsid w:val="004F7180"/>
    <w:rsid w:val="004F72E8"/>
    <w:rsid w:val="004F7325"/>
    <w:rsid w:val="004F73BD"/>
    <w:rsid w:val="004F7439"/>
    <w:rsid w:val="004F7485"/>
    <w:rsid w:val="004F759C"/>
    <w:rsid w:val="004F7672"/>
    <w:rsid w:val="004F76CC"/>
    <w:rsid w:val="004F7717"/>
    <w:rsid w:val="004F7832"/>
    <w:rsid w:val="004F79A0"/>
    <w:rsid w:val="004F7C6B"/>
    <w:rsid w:val="0050004C"/>
    <w:rsid w:val="005000C7"/>
    <w:rsid w:val="00500123"/>
    <w:rsid w:val="0050012C"/>
    <w:rsid w:val="00500177"/>
    <w:rsid w:val="00500322"/>
    <w:rsid w:val="00500470"/>
    <w:rsid w:val="0050064C"/>
    <w:rsid w:val="00500669"/>
    <w:rsid w:val="0050079C"/>
    <w:rsid w:val="005008A0"/>
    <w:rsid w:val="0050099A"/>
    <w:rsid w:val="00500AE5"/>
    <w:rsid w:val="00500B3E"/>
    <w:rsid w:val="00500B4B"/>
    <w:rsid w:val="00500B59"/>
    <w:rsid w:val="00500BC4"/>
    <w:rsid w:val="00500E44"/>
    <w:rsid w:val="00500ED9"/>
    <w:rsid w:val="00501094"/>
    <w:rsid w:val="0050123A"/>
    <w:rsid w:val="00501456"/>
    <w:rsid w:val="0050146B"/>
    <w:rsid w:val="005015AB"/>
    <w:rsid w:val="005015EB"/>
    <w:rsid w:val="0050169D"/>
    <w:rsid w:val="005016AC"/>
    <w:rsid w:val="005016BC"/>
    <w:rsid w:val="005016F1"/>
    <w:rsid w:val="005017C8"/>
    <w:rsid w:val="00501B3D"/>
    <w:rsid w:val="00501C61"/>
    <w:rsid w:val="00501CDE"/>
    <w:rsid w:val="00501E5C"/>
    <w:rsid w:val="00501E5D"/>
    <w:rsid w:val="005020CA"/>
    <w:rsid w:val="00502194"/>
    <w:rsid w:val="00502222"/>
    <w:rsid w:val="0050222F"/>
    <w:rsid w:val="00502358"/>
    <w:rsid w:val="00502767"/>
    <w:rsid w:val="005027B2"/>
    <w:rsid w:val="0050299E"/>
    <w:rsid w:val="00502A4D"/>
    <w:rsid w:val="00502B36"/>
    <w:rsid w:val="00502FA6"/>
    <w:rsid w:val="0050318A"/>
    <w:rsid w:val="0050324E"/>
    <w:rsid w:val="0050328C"/>
    <w:rsid w:val="00503450"/>
    <w:rsid w:val="005035FC"/>
    <w:rsid w:val="005037FA"/>
    <w:rsid w:val="005039AF"/>
    <w:rsid w:val="00503B46"/>
    <w:rsid w:val="00503D73"/>
    <w:rsid w:val="00503FC3"/>
    <w:rsid w:val="00504089"/>
    <w:rsid w:val="005041F2"/>
    <w:rsid w:val="00504355"/>
    <w:rsid w:val="00504406"/>
    <w:rsid w:val="00504425"/>
    <w:rsid w:val="0050452A"/>
    <w:rsid w:val="005047B7"/>
    <w:rsid w:val="00504863"/>
    <w:rsid w:val="005049C0"/>
    <w:rsid w:val="00504C28"/>
    <w:rsid w:val="00504C43"/>
    <w:rsid w:val="00504C87"/>
    <w:rsid w:val="00504D63"/>
    <w:rsid w:val="00504FB2"/>
    <w:rsid w:val="00504FBE"/>
    <w:rsid w:val="00505271"/>
    <w:rsid w:val="00505401"/>
    <w:rsid w:val="00505604"/>
    <w:rsid w:val="005056B9"/>
    <w:rsid w:val="00505C16"/>
    <w:rsid w:val="00505C55"/>
    <w:rsid w:val="00505FC6"/>
    <w:rsid w:val="005060ED"/>
    <w:rsid w:val="0050632A"/>
    <w:rsid w:val="00506506"/>
    <w:rsid w:val="0050663D"/>
    <w:rsid w:val="00506665"/>
    <w:rsid w:val="0050670B"/>
    <w:rsid w:val="00506791"/>
    <w:rsid w:val="00506850"/>
    <w:rsid w:val="005069C4"/>
    <w:rsid w:val="00506A53"/>
    <w:rsid w:val="00506A7B"/>
    <w:rsid w:val="00506AB2"/>
    <w:rsid w:val="00506B69"/>
    <w:rsid w:val="00506B9F"/>
    <w:rsid w:val="00506EE0"/>
    <w:rsid w:val="00506F53"/>
    <w:rsid w:val="0050702F"/>
    <w:rsid w:val="0050717A"/>
    <w:rsid w:val="005073A4"/>
    <w:rsid w:val="00507478"/>
    <w:rsid w:val="005075CA"/>
    <w:rsid w:val="0050772B"/>
    <w:rsid w:val="00507735"/>
    <w:rsid w:val="00507745"/>
    <w:rsid w:val="0050794E"/>
    <w:rsid w:val="005079B6"/>
    <w:rsid w:val="00507A93"/>
    <w:rsid w:val="00507ABC"/>
    <w:rsid w:val="00507C60"/>
    <w:rsid w:val="00507CE9"/>
    <w:rsid w:val="00507DD6"/>
    <w:rsid w:val="00507E86"/>
    <w:rsid w:val="00510089"/>
    <w:rsid w:val="005102F3"/>
    <w:rsid w:val="00510469"/>
    <w:rsid w:val="005104AA"/>
    <w:rsid w:val="005105EF"/>
    <w:rsid w:val="0051078F"/>
    <w:rsid w:val="0051081D"/>
    <w:rsid w:val="005109A5"/>
    <w:rsid w:val="005109D7"/>
    <w:rsid w:val="00510B66"/>
    <w:rsid w:val="00510BDA"/>
    <w:rsid w:val="00510C6B"/>
    <w:rsid w:val="00510DB9"/>
    <w:rsid w:val="00510EE9"/>
    <w:rsid w:val="00510FC6"/>
    <w:rsid w:val="005115EC"/>
    <w:rsid w:val="005117A5"/>
    <w:rsid w:val="00511AF6"/>
    <w:rsid w:val="00511B29"/>
    <w:rsid w:val="00511B51"/>
    <w:rsid w:val="00511B54"/>
    <w:rsid w:val="00511B72"/>
    <w:rsid w:val="00511D12"/>
    <w:rsid w:val="00511DFF"/>
    <w:rsid w:val="00511F20"/>
    <w:rsid w:val="00512012"/>
    <w:rsid w:val="00512024"/>
    <w:rsid w:val="005124ED"/>
    <w:rsid w:val="005125F0"/>
    <w:rsid w:val="00512634"/>
    <w:rsid w:val="0051275B"/>
    <w:rsid w:val="005128AA"/>
    <w:rsid w:val="00512A9F"/>
    <w:rsid w:val="00512B60"/>
    <w:rsid w:val="00512C9B"/>
    <w:rsid w:val="00512ED2"/>
    <w:rsid w:val="005130CA"/>
    <w:rsid w:val="005133DB"/>
    <w:rsid w:val="005134EC"/>
    <w:rsid w:val="005136D3"/>
    <w:rsid w:val="005136E0"/>
    <w:rsid w:val="0051376A"/>
    <w:rsid w:val="00513797"/>
    <w:rsid w:val="005138AA"/>
    <w:rsid w:val="00513957"/>
    <w:rsid w:val="00513A68"/>
    <w:rsid w:val="00513B90"/>
    <w:rsid w:val="00513BE0"/>
    <w:rsid w:val="00513CE8"/>
    <w:rsid w:val="00513D23"/>
    <w:rsid w:val="00513D4D"/>
    <w:rsid w:val="00513E84"/>
    <w:rsid w:val="00513F8F"/>
    <w:rsid w:val="00513FD5"/>
    <w:rsid w:val="00514069"/>
    <w:rsid w:val="0051407A"/>
    <w:rsid w:val="0051411E"/>
    <w:rsid w:val="00514148"/>
    <w:rsid w:val="005141E8"/>
    <w:rsid w:val="005142D9"/>
    <w:rsid w:val="0051437D"/>
    <w:rsid w:val="005146B3"/>
    <w:rsid w:val="00514AB2"/>
    <w:rsid w:val="00514C4D"/>
    <w:rsid w:val="00514D04"/>
    <w:rsid w:val="00514DA8"/>
    <w:rsid w:val="00514E1C"/>
    <w:rsid w:val="00514E8E"/>
    <w:rsid w:val="00514EB8"/>
    <w:rsid w:val="00514F15"/>
    <w:rsid w:val="00514F2E"/>
    <w:rsid w:val="00514F43"/>
    <w:rsid w:val="00514F87"/>
    <w:rsid w:val="00514FD6"/>
    <w:rsid w:val="0051522B"/>
    <w:rsid w:val="005152B6"/>
    <w:rsid w:val="005152D2"/>
    <w:rsid w:val="0051566A"/>
    <w:rsid w:val="00515797"/>
    <w:rsid w:val="00515911"/>
    <w:rsid w:val="005159DB"/>
    <w:rsid w:val="00515B43"/>
    <w:rsid w:val="00515B56"/>
    <w:rsid w:val="00515C0B"/>
    <w:rsid w:val="00515CA3"/>
    <w:rsid w:val="00515E5B"/>
    <w:rsid w:val="00515F05"/>
    <w:rsid w:val="00516054"/>
    <w:rsid w:val="00516142"/>
    <w:rsid w:val="0051622B"/>
    <w:rsid w:val="005162EE"/>
    <w:rsid w:val="00516360"/>
    <w:rsid w:val="0051645A"/>
    <w:rsid w:val="0051668A"/>
    <w:rsid w:val="0051681F"/>
    <w:rsid w:val="00516933"/>
    <w:rsid w:val="00516A89"/>
    <w:rsid w:val="00516EBD"/>
    <w:rsid w:val="00516F4E"/>
    <w:rsid w:val="00517257"/>
    <w:rsid w:val="005173B4"/>
    <w:rsid w:val="00517432"/>
    <w:rsid w:val="00517475"/>
    <w:rsid w:val="005174C1"/>
    <w:rsid w:val="0051754F"/>
    <w:rsid w:val="00517650"/>
    <w:rsid w:val="0051768B"/>
    <w:rsid w:val="0051770B"/>
    <w:rsid w:val="00517776"/>
    <w:rsid w:val="005177B4"/>
    <w:rsid w:val="0051787D"/>
    <w:rsid w:val="00517ADC"/>
    <w:rsid w:val="00517B98"/>
    <w:rsid w:val="00517BEB"/>
    <w:rsid w:val="00517D88"/>
    <w:rsid w:val="00517EC1"/>
    <w:rsid w:val="00517F4D"/>
    <w:rsid w:val="00517F79"/>
    <w:rsid w:val="0052004E"/>
    <w:rsid w:val="005200B1"/>
    <w:rsid w:val="00520122"/>
    <w:rsid w:val="00520149"/>
    <w:rsid w:val="005201C4"/>
    <w:rsid w:val="005201FA"/>
    <w:rsid w:val="00520256"/>
    <w:rsid w:val="0052028D"/>
    <w:rsid w:val="0052029F"/>
    <w:rsid w:val="005202E0"/>
    <w:rsid w:val="005203EC"/>
    <w:rsid w:val="005204DB"/>
    <w:rsid w:val="00520519"/>
    <w:rsid w:val="005205BB"/>
    <w:rsid w:val="005205BE"/>
    <w:rsid w:val="005206AB"/>
    <w:rsid w:val="0052077B"/>
    <w:rsid w:val="00520803"/>
    <w:rsid w:val="005209FC"/>
    <w:rsid w:val="00520A80"/>
    <w:rsid w:val="00520ACA"/>
    <w:rsid w:val="00520B02"/>
    <w:rsid w:val="00520E22"/>
    <w:rsid w:val="00521050"/>
    <w:rsid w:val="00521166"/>
    <w:rsid w:val="005215A8"/>
    <w:rsid w:val="00521608"/>
    <w:rsid w:val="0052181B"/>
    <w:rsid w:val="0052187B"/>
    <w:rsid w:val="00521956"/>
    <w:rsid w:val="0052198D"/>
    <w:rsid w:val="00521A1D"/>
    <w:rsid w:val="00521C0D"/>
    <w:rsid w:val="00521D60"/>
    <w:rsid w:val="00521E17"/>
    <w:rsid w:val="00521E79"/>
    <w:rsid w:val="00522063"/>
    <w:rsid w:val="005220B4"/>
    <w:rsid w:val="005221A6"/>
    <w:rsid w:val="005222C8"/>
    <w:rsid w:val="0052245E"/>
    <w:rsid w:val="005224AB"/>
    <w:rsid w:val="005225DC"/>
    <w:rsid w:val="00522603"/>
    <w:rsid w:val="005227C0"/>
    <w:rsid w:val="0052285B"/>
    <w:rsid w:val="0052299C"/>
    <w:rsid w:val="00522B01"/>
    <w:rsid w:val="00522C4B"/>
    <w:rsid w:val="00522CAE"/>
    <w:rsid w:val="00522CEB"/>
    <w:rsid w:val="00522F85"/>
    <w:rsid w:val="00523141"/>
    <w:rsid w:val="00523251"/>
    <w:rsid w:val="00523480"/>
    <w:rsid w:val="0052375F"/>
    <w:rsid w:val="005237F1"/>
    <w:rsid w:val="0052381C"/>
    <w:rsid w:val="005238D1"/>
    <w:rsid w:val="00523A25"/>
    <w:rsid w:val="00523C66"/>
    <w:rsid w:val="00523E70"/>
    <w:rsid w:val="00523EB4"/>
    <w:rsid w:val="00523EB7"/>
    <w:rsid w:val="00523F93"/>
    <w:rsid w:val="00523FA0"/>
    <w:rsid w:val="00523FEC"/>
    <w:rsid w:val="005240D0"/>
    <w:rsid w:val="0052416E"/>
    <w:rsid w:val="0052432F"/>
    <w:rsid w:val="0052435E"/>
    <w:rsid w:val="005243F0"/>
    <w:rsid w:val="005244EB"/>
    <w:rsid w:val="005245E5"/>
    <w:rsid w:val="0052482F"/>
    <w:rsid w:val="005249C8"/>
    <w:rsid w:val="005249E0"/>
    <w:rsid w:val="00524A5C"/>
    <w:rsid w:val="00524A66"/>
    <w:rsid w:val="00524AA2"/>
    <w:rsid w:val="00524AAA"/>
    <w:rsid w:val="00524CBA"/>
    <w:rsid w:val="00524CDA"/>
    <w:rsid w:val="00524FD9"/>
    <w:rsid w:val="0052512C"/>
    <w:rsid w:val="005252E6"/>
    <w:rsid w:val="005253B3"/>
    <w:rsid w:val="00525432"/>
    <w:rsid w:val="005254E7"/>
    <w:rsid w:val="0052565C"/>
    <w:rsid w:val="005256E2"/>
    <w:rsid w:val="0052578C"/>
    <w:rsid w:val="00525940"/>
    <w:rsid w:val="00525994"/>
    <w:rsid w:val="005259FF"/>
    <w:rsid w:val="00525A50"/>
    <w:rsid w:val="00525C61"/>
    <w:rsid w:val="00525CA1"/>
    <w:rsid w:val="00525CB2"/>
    <w:rsid w:val="00525DB2"/>
    <w:rsid w:val="00525F87"/>
    <w:rsid w:val="005261DD"/>
    <w:rsid w:val="00526258"/>
    <w:rsid w:val="005262BA"/>
    <w:rsid w:val="005262E0"/>
    <w:rsid w:val="005264C0"/>
    <w:rsid w:val="0052650C"/>
    <w:rsid w:val="005266DC"/>
    <w:rsid w:val="00526733"/>
    <w:rsid w:val="00526878"/>
    <w:rsid w:val="00526A2F"/>
    <w:rsid w:val="00526BE4"/>
    <w:rsid w:val="00526C02"/>
    <w:rsid w:val="00526D4E"/>
    <w:rsid w:val="00526D52"/>
    <w:rsid w:val="00526E59"/>
    <w:rsid w:val="00526F8D"/>
    <w:rsid w:val="0052704C"/>
    <w:rsid w:val="0052713C"/>
    <w:rsid w:val="0052713D"/>
    <w:rsid w:val="00527247"/>
    <w:rsid w:val="005274C9"/>
    <w:rsid w:val="00527690"/>
    <w:rsid w:val="005276B6"/>
    <w:rsid w:val="005276CE"/>
    <w:rsid w:val="0052778F"/>
    <w:rsid w:val="00527895"/>
    <w:rsid w:val="00527897"/>
    <w:rsid w:val="005278FA"/>
    <w:rsid w:val="00527965"/>
    <w:rsid w:val="005279A9"/>
    <w:rsid w:val="00527A18"/>
    <w:rsid w:val="00527B6C"/>
    <w:rsid w:val="00527C47"/>
    <w:rsid w:val="00527D4F"/>
    <w:rsid w:val="00527E54"/>
    <w:rsid w:val="00527FCF"/>
    <w:rsid w:val="00530052"/>
    <w:rsid w:val="005300DB"/>
    <w:rsid w:val="005301EE"/>
    <w:rsid w:val="00530370"/>
    <w:rsid w:val="00530430"/>
    <w:rsid w:val="005304D8"/>
    <w:rsid w:val="005305E5"/>
    <w:rsid w:val="005308A5"/>
    <w:rsid w:val="0053097E"/>
    <w:rsid w:val="00530AE2"/>
    <w:rsid w:val="00530B1B"/>
    <w:rsid w:val="00530B7F"/>
    <w:rsid w:val="00530C6D"/>
    <w:rsid w:val="00530D00"/>
    <w:rsid w:val="00530D17"/>
    <w:rsid w:val="00530F30"/>
    <w:rsid w:val="00530F41"/>
    <w:rsid w:val="005311BE"/>
    <w:rsid w:val="00531202"/>
    <w:rsid w:val="0053128D"/>
    <w:rsid w:val="00531688"/>
    <w:rsid w:val="0053184F"/>
    <w:rsid w:val="0053190C"/>
    <w:rsid w:val="00531AAA"/>
    <w:rsid w:val="00531AF0"/>
    <w:rsid w:val="00531DEE"/>
    <w:rsid w:val="00531E06"/>
    <w:rsid w:val="00531F6B"/>
    <w:rsid w:val="0053204E"/>
    <w:rsid w:val="0053208A"/>
    <w:rsid w:val="00532126"/>
    <w:rsid w:val="00532253"/>
    <w:rsid w:val="005323B0"/>
    <w:rsid w:val="005324FA"/>
    <w:rsid w:val="00532580"/>
    <w:rsid w:val="005326D6"/>
    <w:rsid w:val="005327BF"/>
    <w:rsid w:val="005328EC"/>
    <w:rsid w:val="0053295E"/>
    <w:rsid w:val="00532A76"/>
    <w:rsid w:val="00532CFA"/>
    <w:rsid w:val="00532D72"/>
    <w:rsid w:val="00532F24"/>
    <w:rsid w:val="005330DE"/>
    <w:rsid w:val="005331EA"/>
    <w:rsid w:val="005331F2"/>
    <w:rsid w:val="00533266"/>
    <w:rsid w:val="0053326C"/>
    <w:rsid w:val="0053331B"/>
    <w:rsid w:val="005333CE"/>
    <w:rsid w:val="005336E2"/>
    <w:rsid w:val="0053371D"/>
    <w:rsid w:val="0053379E"/>
    <w:rsid w:val="00533927"/>
    <w:rsid w:val="005339A6"/>
    <w:rsid w:val="00533B75"/>
    <w:rsid w:val="00533DA4"/>
    <w:rsid w:val="00533DA6"/>
    <w:rsid w:val="00533DBC"/>
    <w:rsid w:val="00533ED0"/>
    <w:rsid w:val="00533EDF"/>
    <w:rsid w:val="005342B5"/>
    <w:rsid w:val="005342D9"/>
    <w:rsid w:val="005343BD"/>
    <w:rsid w:val="005345F3"/>
    <w:rsid w:val="005348E0"/>
    <w:rsid w:val="00534955"/>
    <w:rsid w:val="00534980"/>
    <w:rsid w:val="00534C81"/>
    <w:rsid w:val="00534E4A"/>
    <w:rsid w:val="0053503C"/>
    <w:rsid w:val="00535087"/>
    <w:rsid w:val="005350C1"/>
    <w:rsid w:val="00535178"/>
    <w:rsid w:val="005351DD"/>
    <w:rsid w:val="005352EA"/>
    <w:rsid w:val="0053533E"/>
    <w:rsid w:val="00535385"/>
    <w:rsid w:val="005355D5"/>
    <w:rsid w:val="0053562D"/>
    <w:rsid w:val="00535630"/>
    <w:rsid w:val="00535670"/>
    <w:rsid w:val="00535983"/>
    <w:rsid w:val="005359D3"/>
    <w:rsid w:val="00535B25"/>
    <w:rsid w:val="00535BC1"/>
    <w:rsid w:val="00535C3B"/>
    <w:rsid w:val="00535F5B"/>
    <w:rsid w:val="00535F75"/>
    <w:rsid w:val="00536023"/>
    <w:rsid w:val="0053612C"/>
    <w:rsid w:val="00536137"/>
    <w:rsid w:val="00536207"/>
    <w:rsid w:val="00536257"/>
    <w:rsid w:val="005362BE"/>
    <w:rsid w:val="005362C5"/>
    <w:rsid w:val="0053661B"/>
    <w:rsid w:val="005366EA"/>
    <w:rsid w:val="00536740"/>
    <w:rsid w:val="005367B4"/>
    <w:rsid w:val="00536966"/>
    <w:rsid w:val="005369FB"/>
    <w:rsid w:val="00536A57"/>
    <w:rsid w:val="00536C54"/>
    <w:rsid w:val="00536CA5"/>
    <w:rsid w:val="0053703E"/>
    <w:rsid w:val="00537060"/>
    <w:rsid w:val="0053728A"/>
    <w:rsid w:val="005372E9"/>
    <w:rsid w:val="005373D7"/>
    <w:rsid w:val="005374A6"/>
    <w:rsid w:val="005374FC"/>
    <w:rsid w:val="00537516"/>
    <w:rsid w:val="005375FA"/>
    <w:rsid w:val="00537641"/>
    <w:rsid w:val="00537655"/>
    <w:rsid w:val="0053767D"/>
    <w:rsid w:val="00537738"/>
    <w:rsid w:val="0053791B"/>
    <w:rsid w:val="0053795B"/>
    <w:rsid w:val="00537973"/>
    <w:rsid w:val="00537A0F"/>
    <w:rsid w:val="00537A68"/>
    <w:rsid w:val="00537ACB"/>
    <w:rsid w:val="00537B82"/>
    <w:rsid w:val="00537C1C"/>
    <w:rsid w:val="00537D0B"/>
    <w:rsid w:val="00537D6D"/>
    <w:rsid w:val="00537E9C"/>
    <w:rsid w:val="00537F7C"/>
    <w:rsid w:val="005400D5"/>
    <w:rsid w:val="00540153"/>
    <w:rsid w:val="00540377"/>
    <w:rsid w:val="005403AC"/>
    <w:rsid w:val="005406D9"/>
    <w:rsid w:val="005406DC"/>
    <w:rsid w:val="00540A09"/>
    <w:rsid w:val="00540A83"/>
    <w:rsid w:val="00540B27"/>
    <w:rsid w:val="00540B32"/>
    <w:rsid w:val="00540B70"/>
    <w:rsid w:val="00540BD7"/>
    <w:rsid w:val="00540CE2"/>
    <w:rsid w:val="00540DDE"/>
    <w:rsid w:val="00540E64"/>
    <w:rsid w:val="00541084"/>
    <w:rsid w:val="00541232"/>
    <w:rsid w:val="005412F7"/>
    <w:rsid w:val="00541374"/>
    <w:rsid w:val="005413AB"/>
    <w:rsid w:val="005418AE"/>
    <w:rsid w:val="005419F8"/>
    <w:rsid w:val="00541ADF"/>
    <w:rsid w:val="00541AE3"/>
    <w:rsid w:val="00541B87"/>
    <w:rsid w:val="00541B9C"/>
    <w:rsid w:val="00541C27"/>
    <w:rsid w:val="00541EB7"/>
    <w:rsid w:val="00541EC0"/>
    <w:rsid w:val="00541EF6"/>
    <w:rsid w:val="00542187"/>
    <w:rsid w:val="0054223F"/>
    <w:rsid w:val="0054229D"/>
    <w:rsid w:val="00542336"/>
    <w:rsid w:val="005425A2"/>
    <w:rsid w:val="005425D6"/>
    <w:rsid w:val="005428F2"/>
    <w:rsid w:val="00542946"/>
    <w:rsid w:val="005429BE"/>
    <w:rsid w:val="00542B46"/>
    <w:rsid w:val="00542B73"/>
    <w:rsid w:val="00542C0B"/>
    <w:rsid w:val="00542C31"/>
    <w:rsid w:val="00542D82"/>
    <w:rsid w:val="00542FD5"/>
    <w:rsid w:val="0054307B"/>
    <w:rsid w:val="0054307D"/>
    <w:rsid w:val="0054342D"/>
    <w:rsid w:val="0054350F"/>
    <w:rsid w:val="005436C2"/>
    <w:rsid w:val="005437B2"/>
    <w:rsid w:val="00543976"/>
    <w:rsid w:val="00543978"/>
    <w:rsid w:val="00543998"/>
    <w:rsid w:val="00543A2B"/>
    <w:rsid w:val="00543C13"/>
    <w:rsid w:val="00543C7E"/>
    <w:rsid w:val="00543E36"/>
    <w:rsid w:val="00544113"/>
    <w:rsid w:val="00544623"/>
    <w:rsid w:val="005446FE"/>
    <w:rsid w:val="00544860"/>
    <w:rsid w:val="005448F6"/>
    <w:rsid w:val="00544956"/>
    <w:rsid w:val="00544997"/>
    <w:rsid w:val="00544A23"/>
    <w:rsid w:val="00544B98"/>
    <w:rsid w:val="00544C25"/>
    <w:rsid w:val="00544C3A"/>
    <w:rsid w:val="00544CF1"/>
    <w:rsid w:val="00544FBA"/>
    <w:rsid w:val="00544FC8"/>
    <w:rsid w:val="00545020"/>
    <w:rsid w:val="005450B5"/>
    <w:rsid w:val="00545472"/>
    <w:rsid w:val="005454DB"/>
    <w:rsid w:val="005455AA"/>
    <w:rsid w:val="005455B2"/>
    <w:rsid w:val="005455E1"/>
    <w:rsid w:val="0054565A"/>
    <w:rsid w:val="0054567C"/>
    <w:rsid w:val="005456FA"/>
    <w:rsid w:val="00545D15"/>
    <w:rsid w:val="00545D20"/>
    <w:rsid w:val="00545DB2"/>
    <w:rsid w:val="00545DF4"/>
    <w:rsid w:val="005460B7"/>
    <w:rsid w:val="0054628B"/>
    <w:rsid w:val="0054632B"/>
    <w:rsid w:val="00546459"/>
    <w:rsid w:val="00546493"/>
    <w:rsid w:val="00546518"/>
    <w:rsid w:val="0054664C"/>
    <w:rsid w:val="005467CC"/>
    <w:rsid w:val="005467DA"/>
    <w:rsid w:val="005467EE"/>
    <w:rsid w:val="00546822"/>
    <w:rsid w:val="00546B6F"/>
    <w:rsid w:val="00546BA3"/>
    <w:rsid w:val="00546CD0"/>
    <w:rsid w:val="00546DFE"/>
    <w:rsid w:val="0054702A"/>
    <w:rsid w:val="00547220"/>
    <w:rsid w:val="005473D8"/>
    <w:rsid w:val="0054749F"/>
    <w:rsid w:val="0054765D"/>
    <w:rsid w:val="0054777F"/>
    <w:rsid w:val="00547B27"/>
    <w:rsid w:val="00547BD5"/>
    <w:rsid w:val="00547ED6"/>
    <w:rsid w:val="00547FCC"/>
    <w:rsid w:val="005501EC"/>
    <w:rsid w:val="00550227"/>
    <w:rsid w:val="00550258"/>
    <w:rsid w:val="00550313"/>
    <w:rsid w:val="0055042B"/>
    <w:rsid w:val="00550653"/>
    <w:rsid w:val="005506A6"/>
    <w:rsid w:val="005506C8"/>
    <w:rsid w:val="005506EC"/>
    <w:rsid w:val="005506F8"/>
    <w:rsid w:val="0055071F"/>
    <w:rsid w:val="005507C5"/>
    <w:rsid w:val="00550995"/>
    <w:rsid w:val="005509E7"/>
    <w:rsid w:val="00550A5E"/>
    <w:rsid w:val="00550B9A"/>
    <w:rsid w:val="00550C99"/>
    <w:rsid w:val="00550CB4"/>
    <w:rsid w:val="00550E19"/>
    <w:rsid w:val="00550FE2"/>
    <w:rsid w:val="005511F9"/>
    <w:rsid w:val="00551332"/>
    <w:rsid w:val="005513DD"/>
    <w:rsid w:val="00551435"/>
    <w:rsid w:val="00551482"/>
    <w:rsid w:val="00551499"/>
    <w:rsid w:val="00551581"/>
    <w:rsid w:val="005517EE"/>
    <w:rsid w:val="00551956"/>
    <w:rsid w:val="0055195F"/>
    <w:rsid w:val="00551988"/>
    <w:rsid w:val="00551991"/>
    <w:rsid w:val="00551A7F"/>
    <w:rsid w:val="00551B54"/>
    <w:rsid w:val="00551B6D"/>
    <w:rsid w:val="00551BB0"/>
    <w:rsid w:val="00551BEA"/>
    <w:rsid w:val="00551DC4"/>
    <w:rsid w:val="005520A8"/>
    <w:rsid w:val="0055213C"/>
    <w:rsid w:val="005522BA"/>
    <w:rsid w:val="0055231B"/>
    <w:rsid w:val="0055239B"/>
    <w:rsid w:val="005525E3"/>
    <w:rsid w:val="00552632"/>
    <w:rsid w:val="00552829"/>
    <w:rsid w:val="0055284C"/>
    <w:rsid w:val="005528EC"/>
    <w:rsid w:val="00552911"/>
    <w:rsid w:val="00552A44"/>
    <w:rsid w:val="00552B8D"/>
    <w:rsid w:val="00552EAB"/>
    <w:rsid w:val="00552FDB"/>
    <w:rsid w:val="00553019"/>
    <w:rsid w:val="0055334F"/>
    <w:rsid w:val="00553413"/>
    <w:rsid w:val="00553472"/>
    <w:rsid w:val="0055350A"/>
    <w:rsid w:val="00553552"/>
    <w:rsid w:val="00553562"/>
    <w:rsid w:val="00553722"/>
    <w:rsid w:val="00553729"/>
    <w:rsid w:val="00553758"/>
    <w:rsid w:val="00553861"/>
    <w:rsid w:val="00553889"/>
    <w:rsid w:val="00553944"/>
    <w:rsid w:val="00553981"/>
    <w:rsid w:val="00553A9F"/>
    <w:rsid w:val="00553C09"/>
    <w:rsid w:val="00553C72"/>
    <w:rsid w:val="00553D93"/>
    <w:rsid w:val="00553E22"/>
    <w:rsid w:val="0055400D"/>
    <w:rsid w:val="00554024"/>
    <w:rsid w:val="0055412B"/>
    <w:rsid w:val="005542DC"/>
    <w:rsid w:val="00554365"/>
    <w:rsid w:val="005543AE"/>
    <w:rsid w:val="005543EE"/>
    <w:rsid w:val="0055445F"/>
    <w:rsid w:val="00554492"/>
    <w:rsid w:val="00554513"/>
    <w:rsid w:val="0055451B"/>
    <w:rsid w:val="00554537"/>
    <w:rsid w:val="00554568"/>
    <w:rsid w:val="005546B0"/>
    <w:rsid w:val="0055491E"/>
    <w:rsid w:val="00554C15"/>
    <w:rsid w:val="00554DCC"/>
    <w:rsid w:val="00554F24"/>
    <w:rsid w:val="00554F2E"/>
    <w:rsid w:val="0055501D"/>
    <w:rsid w:val="005550E3"/>
    <w:rsid w:val="005554AA"/>
    <w:rsid w:val="005554D3"/>
    <w:rsid w:val="005556AC"/>
    <w:rsid w:val="0055577F"/>
    <w:rsid w:val="005558B9"/>
    <w:rsid w:val="00555915"/>
    <w:rsid w:val="005559BF"/>
    <w:rsid w:val="00555A18"/>
    <w:rsid w:val="00555A22"/>
    <w:rsid w:val="00555A7A"/>
    <w:rsid w:val="00555AB2"/>
    <w:rsid w:val="00555D15"/>
    <w:rsid w:val="00555EBE"/>
    <w:rsid w:val="00555F4B"/>
    <w:rsid w:val="00555FAC"/>
    <w:rsid w:val="0055606C"/>
    <w:rsid w:val="005560FD"/>
    <w:rsid w:val="00556276"/>
    <w:rsid w:val="0055631C"/>
    <w:rsid w:val="005563F2"/>
    <w:rsid w:val="00556462"/>
    <w:rsid w:val="00556577"/>
    <w:rsid w:val="005565EB"/>
    <w:rsid w:val="0055663D"/>
    <w:rsid w:val="00556861"/>
    <w:rsid w:val="00556919"/>
    <w:rsid w:val="00556B37"/>
    <w:rsid w:val="00556F38"/>
    <w:rsid w:val="00556FE0"/>
    <w:rsid w:val="00556FF8"/>
    <w:rsid w:val="00557010"/>
    <w:rsid w:val="00557043"/>
    <w:rsid w:val="005573B3"/>
    <w:rsid w:val="005573EF"/>
    <w:rsid w:val="00557426"/>
    <w:rsid w:val="0055769E"/>
    <w:rsid w:val="005578E2"/>
    <w:rsid w:val="00557A2E"/>
    <w:rsid w:val="00557CA3"/>
    <w:rsid w:val="00557F1B"/>
    <w:rsid w:val="0056008A"/>
    <w:rsid w:val="005600B1"/>
    <w:rsid w:val="00560241"/>
    <w:rsid w:val="0056068B"/>
    <w:rsid w:val="005606AB"/>
    <w:rsid w:val="00560730"/>
    <w:rsid w:val="0056086A"/>
    <w:rsid w:val="0056092A"/>
    <w:rsid w:val="00560A78"/>
    <w:rsid w:val="00560BF8"/>
    <w:rsid w:val="00560F01"/>
    <w:rsid w:val="00560F55"/>
    <w:rsid w:val="00561129"/>
    <w:rsid w:val="00561163"/>
    <w:rsid w:val="005611C7"/>
    <w:rsid w:val="00561259"/>
    <w:rsid w:val="00561468"/>
    <w:rsid w:val="0056154A"/>
    <w:rsid w:val="005616EC"/>
    <w:rsid w:val="00561768"/>
    <w:rsid w:val="00561BAF"/>
    <w:rsid w:val="00561D22"/>
    <w:rsid w:val="00561D4A"/>
    <w:rsid w:val="00561D93"/>
    <w:rsid w:val="00561E5E"/>
    <w:rsid w:val="00561ECD"/>
    <w:rsid w:val="005622B4"/>
    <w:rsid w:val="005622D1"/>
    <w:rsid w:val="00562410"/>
    <w:rsid w:val="00562451"/>
    <w:rsid w:val="0056269D"/>
    <w:rsid w:val="00562831"/>
    <w:rsid w:val="005628A4"/>
    <w:rsid w:val="00562A2A"/>
    <w:rsid w:val="00562A6D"/>
    <w:rsid w:val="00562A71"/>
    <w:rsid w:val="00562C8C"/>
    <w:rsid w:val="00562F10"/>
    <w:rsid w:val="00562F5A"/>
    <w:rsid w:val="00562F6D"/>
    <w:rsid w:val="005630EB"/>
    <w:rsid w:val="0056316F"/>
    <w:rsid w:val="0056319A"/>
    <w:rsid w:val="005632DE"/>
    <w:rsid w:val="005633F8"/>
    <w:rsid w:val="005634C2"/>
    <w:rsid w:val="00563581"/>
    <w:rsid w:val="005637C0"/>
    <w:rsid w:val="00563862"/>
    <w:rsid w:val="00563971"/>
    <w:rsid w:val="00563B16"/>
    <w:rsid w:val="00563C72"/>
    <w:rsid w:val="00563D32"/>
    <w:rsid w:val="00563DCF"/>
    <w:rsid w:val="00563E29"/>
    <w:rsid w:val="00563EB3"/>
    <w:rsid w:val="00563F79"/>
    <w:rsid w:val="00563FBA"/>
    <w:rsid w:val="00563FE8"/>
    <w:rsid w:val="005640CD"/>
    <w:rsid w:val="0056456C"/>
    <w:rsid w:val="005646F3"/>
    <w:rsid w:val="0056484E"/>
    <w:rsid w:val="005648FE"/>
    <w:rsid w:val="00564C45"/>
    <w:rsid w:val="00564D38"/>
    <w:rsid w:val="00564E79"/>
    <w:rsid w:val="00564E98"/>
    <w:rsid w:val="00564F26"/>
    <w:rsid w:val="005651FA"/>
    <w:rsid w:val="00565305"/>
    <w:rsid w:val="0056532D"/>
    <w:rsid w:val="00565334"/>
    <w:rsid w:val="00565411"/>
    <w:rsid w:val="00565610"/>
    <w:rsid w:val="0056562B"/>
    <w:rsid w:val="00565674"/>
    <w:rsid w:val="005657F0"/>
    <w:rsid w:val="0056591B"/>
    <w:rsid w:val="00565932"/>
    <w:rsid w:val="00565A83"/>
    <w:rsid w:val="00565AD6"/>
    <w:rsid w:val="00565C31"/>
    <w:rsid w:val="00565C5F"/>
    <w:rsid w:val="00565EB9"/>
    <w:rsid w:val="0056604E"/>
    <w:rsid w:val="005660A4"/>
    <w:rsid w:val="00566115"/>
    <w:rsid w:val="005662EC"/>
    <w:rsid w:val="00566456"/>
    <w:rsid w:val="00566496"/>
    <w:rsid w:val="00566518"/>
    <w:rsid w:val="005665E3"/>
    <w:rsid w:val="005665E8"/>
    <w:rsid w:val="005666C9"/>
    <w:rsid w:val="0056676B"/>
    <w:rsid w:val="0056696E"/>
    <w:rsid w:val="00566979"/>
    <w:rsid w:val="005669B8"/>
    <w:rsid w:val="00566AF8"/>
    <w:rsid w:val="00566E70"/>
    <w:rsid w:val="00566E71"/>
    <w:rsid w:val="00566F7C"/>
    <w:rsid w:val="00566FCC"/>
    <w:rsid w:val="00567092"/>
    <w:rsid w:val="005670BC"/>
    <w:rsid w:val="0056721C"/>
    <w:rsid w:val="0056741C"/>
    <w:rsid w:val="0056743D"/>
    <w:rsid w:val="0056750F"/>
    <w:rsid w:val="0056753E"/>
    <w:rsid w:val="0056756A"/>
    <w:rsid w:val="00567581"/>
    <w:rsid w:val="0056766F"/>
    <w:rsid w:val="005676F7"/>
    <w:rsid w:val="005676FE"/>
    <w:rsid w:val="005677B8"/>
    <w:rsid w:val="005678C6"/>
    <w:rsid w:val="005678F1"/>
    <w:rsid w:val="00567A32"/>
    <w:rsid w:val="00567A67"/>
    <w:rsid w:val="00567C09"/>
    <w:rsid w:val="00567C2E"/>
    <w:rsid w:val="00567C4C"/>
    <w:rsid w:val="00567CB9"/>
    <w:rsid w:val="00567FF6"/>
    <w:rsid w:val="005700F0"/>
    <w:rsid w:val="00570191"/>
    <w:rsid w:val="005701B8"/>
    <w:rsid w:val="005701BC"/>
    <w:rsid w:val="005701D2"/>
    <w:rsid w:val="005701EF"/>
    <w:rsid w:val="0057024B"/>
    <w:rsid w:val="0057028F"/>
    <w:rsid w:val="0057078B"/>
    <w:rsid w:val="00570B8F"/>
    <w:rsid w:val="00570C5D"/>
    <w:rsid w:val="00570C66"/>
    <w:rsid w:val="00570D9A"/>
    <w:rsid w:val="00570DF7"/>
    <w:rsid w:val="0057109A"/>
    <w:rsid w:val="00571129"/>
    <w:rsid w:val="00571147"/>
    <w:rsid w:val="005711EE"/>
    <w:rsid w:val="00571271"/>
    <w:rsid w:val="00571371"/>
    <w:rsid w:val="00571457"/>
    <w:rsid w:val="005715CF"/>
    <w:rsid w:val="00571654"/>
    <w:rsid w:val="005716D8"/>
    <w:rsid w:val="00571781"/>
    <w:rsid w:val="005717F3"/>
    <w:rsid w:val="0057184D"/>
    <w:rsid w:val="00571BEE"/>
    <w:rsid w:val="00571C54"/>
    <w:rsid w:val="00572005"/>
    <w:rsid w:val="00572275"/>
    <w:rsid w:val="005722BC"/>
    <w:rsid w:val="00572357"/>
    <w:rsid w:val="00572428"/>
    <w:rsid w:val="0057259C"/>
    <w:rsid w:val="005725F8"/>
    <w:rsid w:val="00572600"/>
    <w:rsid w:val="0057262D"/>
    <w:rsid w:val="0057270C"/>
    <w:rsid w:val="00572731"/>
    <w:rsid w:val="005727DA"/>
    <w:rsid w:val="005728B4"/>
    <w:rsid w:val="00572923"/>
    <w:rsid w:val="00572A76"/>
    <w:rsid w:val="00572B3F"/>
    <w:rsid w:val="00572DC6"/>
    <w:rsid w:val="00572E4C"/>
    <w:rsid w:val="00572FA2"/>
    <w:rsid w:val="00573042"/>
    <w:rsid w:val="0057316B"/>
    <w:rsid w:val="00573339"/>
    <w:rsid w:val="0057343C"/>
    <w:rsid w:val="00573509"/>
    <w:rsid w:val="00573545"/>
    <w:rsid w:val="005735F5"/>
    <w:rsid w:val="0057360F"/>
    <w:rsid w:val="00573733"/>
    <w:rsid w:val="0057388E"/>
    <w:rsid w:val="00573AD3"/>
    <w:rsid w:val="00573B84"/>
    <w:rsid w:val="00573E5C"/>
    <w:rsid w:val="00574009"/>
    <w:rsid w:val="0057411C"/>
    <w:rsid w:val="00574158"/>
    <w:rsid w:val="005741E6"/>
    <w:rsid w:val="0057420B"/>
    <w:rsid w:val="0057422A"/>
    <w:rsid w:val="005742B3"/>
    <w:rsid w:val="005744BF"/>
    <w:rsid w:val="005744E0"/>
    <w:rsid w:val="0057450F"/>
    <w:rsid w:val="00574571"/>
    <w:rsid w:val="005748BF"/>
    <w:rsid w:val="005749FB"/>
    <w:rsid w:val="00574AAB"/>
    <w:rsid w:val="00574CD1"/>
    <w:rsid w:val="00574D30"/>
    <w:rsid w:val="00574E9F"/>
    <w:rsid w:val="00574EA0"/>
    <w:rsid w:val="00574F1F"/>
    <w:rsid w:val="005750F9"/>
    <w:rsid w:val="005751FD"/>
    <w:rsid w:val="005753D9"/>
    <w:rsid w:val="005754AB"/>
    <w:rsid w:val="005756D1"/>
    <w:rsid w:val="005758BF"/>
    <w:rsid w:val="005758FC"/>
    <w:rsid w:val="00575946"/>
    <w:rsid w:val="00575A3D"/>
    <w:rsid w:val="00575BBE"/>
    <w:rsid w:val="00575ED5"/>
    <w:rsid w:val="00576114"/>
    <w:rsid w:val="00576200"/>
    <w:rsid w:val="0057635E"/>
    <w:rsid w:val="00576495"/>
    <w:rsid w:val="00576498"/>
    <w:rsid w:val="005764CD"/>
    <w:rsid w:val="0057661B"/>
    <w:rsid w:val="005766D6"/>
    <w:rsid w:val="00576705"/>
    <w:rsid w:val="005769C6"/>
    <w:rsid w:val="00576A1A"/>
    <w:rsid w:val="00576C2A"/>
    <w:rsid w:val="00576E38"/>
    <w:rsid w:val="005771A9"/>
    <w:rsid w:val="005772EE"/>
    <w:rsid w:val="00577546"/>
    <w:rsid w:val="005775F7"/>
    <w:rsid w:val="00577614"/>
    <w:rsid w:val="00577683"/>
    <w:rsid w:val="00577B0D"/>
    <w:rsid w:val="00577CB3"/>
    <w:rsid w:val="00577DF2"/>
    <w:rsid w:val="00577F15"/>
    <w:rsid w:val="00577F8C"/>
    <w:rsid w:val="00577FE3"/>
    <w:rsid w:val="0058012F"/>
    <w:rsid w:val="00580137"/>
    <w:rsid w:val="005801A2"/>
    <w:rsid w:val="00580214"/>
    <w:rsid w:val="0058021E"/>
    <w:rsid w:val="0058025C"/>
    <w:rsid w:val="0058027E"/>
    <w:rsid w:val="0058032D"/>
    <w:rsid w:val="00580601"/>
    <w:rsid w:val="00580820"/>
    <w:rsid w:val="00580A82"/>
    <w:rsid w:val="00580C09"/>
    <w:rsid w:val="00580C58"/>
    <w:rsid w:val="00580CF7"/>
    <w:rsid w:val="00580E61"/>
    <w:rsid w:val="00580EB9"/>
    <w:rsid w:val="005814E4"/>
    <w:rsid w:val="005816A7"/>
    <w:rsid w:val="005816CC"/>
    <w:rsid w:val="005816DD"/>
    <w:rsid w:val="00581710"/>
    <w:rsid w:val="005818EB"/>
    <w:rsid w:val="00581921"/>
    <w:rsid w:val="00581973"/>
    <w:rsid w:val="00581B0A"/>
    <w:rsid w:val="00581B62"/>
    <w:rsid w:val="00581C2F"/>
    <w:rsid w:val="00581C96"/>
    <w:rsid w:val="00581CE8"/>
    <w:rsid w:val="00581D20"/>
    <w:rsid w:val="00581D7B"/>
    <w:rsid w:val="00581DEE"/>
    <w:rsid w:val="00581E35"/>
    <w:rsid w:val="00582088"/>
    <w:rsid w:val="0058208A"/>
    <w:rsid w:val="005821F8"/>
    <w:rsid w:val="0058223E"/>
    <w:rsid w:val="00582384"/>
    <w:rsid w:val="00582385"/>
    <w:rsid w:val="0058239D"/>
    <w:rsid w:val="0058263C"/>
    <w:rsid w:val="005826F4"/>
    <w:rsid w:val="00582709"/>
    <w:rsid w:val="0058272C"/>
    <w:rsid w:val="00582951"/>
    <w:rsid w:val="0058297B"/>
    <w:rsid w:val="00582BF0"/>
    <w:rsid w:val="00582C0A"/>
    <w:rsid w:val="00582CE4"/>
    <w:rsid w:val="00582D1D"/>
    <w:rsid w:val="00582D32"/>
    <w:rsid w:val="005833E9"/>
    <w:rsid w:val="00583507"/>
    <w:rsid w:val="0058368B"/>
    <w:rsid w:val="0058369E"/>
    <w:rsid w:val="0058372F"/>
    <w:rsid w:val="005837A1"/>
    <w:rsid w:val="005837E2"/>
    <w:rsid w:val="005838B6"/>
    <w:rsid w:val="005839FC"/>
    <w:rsid w:val="00583A44"/>
    <w:rsid w:val="00583B3F"/>
    <w:rsid w:val="00583BE2"/>
    <w:rsid w:val="00583C10"/>
    <w:rsid w:val="00583C33"/>
    <w:rsid w:val="005840E4"/>
    <w:rsid w:val="00584257"/>
    <w:rsid w:val="00584338"/>
    <w:rsid w:val="005844FA"/>
    <w:rsid w:val="005845D1"/>
    <w:rsid w:val="00584640"/>
    <w:rsid w:val="0058466E"/>
    <w:rsid w:val="00584823"/>
    <w:rsid w:val="00584859"/>
    <w:rsid w:val="00584868"/>
    <w:rsid w:val="00584D67"/>
    <w:rsid w:val="00585064"/>
    <w:rsid w:val="005851EE"/>
    <w:rsid w:val="00585201"/>
    <w:rsid w:val="0058538B"/>
    <w:rsid w:val="00585395"/>
    <w:rsid w:val="005856CE"/>
    <w:rsid w:val="005858FF"/>
    <w:rsid w:val="005859B3"/>
    <w:rsid w:val="005859FF"/>
    <w:rsid w:val="00585A26"/>
    <w:rsid w:val="00585A6D"/>
    <w:rsid w:val="00585DC8"/>
    <w:rsid w:val="00586025"/>
    <w:rsid w:val="0058609B"/>
    <w:rsid w:val="005861DF"/>
    <w:rsid w:val="005861F2"/>
    <w:rsid w:val="00586477"/>
    <w:rsid w:val="00586488"/>
    <w:rsid w:val="00586612"/>
    <w:rsid w:val="005866F2"/>
    <w:rsid w:val="0058683E"/>
    <w:rsid w:val="00586876"/>
    <w:rsid w:val="005868D3"/>
    <w:rsid w:val="005869D5"/>
    <w:rsid w:val="00586BF1"/>
    <w:rsid w:val="00586C5B"/>
    <w:rsid w:val="00586DB6"/>
    <w:rsid w:val="00586FB5"/>
    <w:rsid w:val="00586FB9"/>
    <w:rsid w:val="00586FDF"/>
    <w:rsid w:val="005871C3"/>
    <w:rsid w:val="00587404"/>
    <w:rsid w:val="005874B3"/>
    <w:rsid w:val="005875AE"/>
    <w:rsid w:val="00587611"/>
    <w:rsid w:val="0058769B"/>
    <w:rsid w:val="005877C3"/>
    <w:rsid w:val="00587A9C"/>
    <w:rsid w:val="00587C62"/>
    <w:rsid w:val="00587CB7"/>
    <w:rsid w:val="00587E1A"/>
    <w:rsid w:val="0059009A"/>
    <w:rsid w:val="00590137"/>
    <w:rsid w:val="0059053A"/>
    <w:rsid w:val="005908B9"/>
    <w:rsid w:val="005909A2"/>
    <w:rsid w:val="005909B6"/>
    <w:rsid w:val="005909B7"/>
    <w:rsid w:val="005909D1"/>
    <w:rsid w:val="00590B9B"/>
    <w:rsid w:val="00590D09"/>
    <w:rsid w:val="00590E9E"/>
    <w:rsid w:val="00591185"/>
    <w:rsid w:val="005911B0"/>
    <w:rsid w:val="0059134F"/>
    <w:rsid w:val="00591427"/>
    <w:rsid w:val="00591558"/>
    <w:rsid w:val="0059156A"/>
    <w:rsid w:val="005918D4"/>
    <w:rsid w:val="00591A68"/>
    <w:rsid w:val="00591BFB"/>
    <w:rsid w:val="00591D6F"/>
    <w:rsid w:val="00591DED"/>
    <w:rsid w:val="00591E32"/>
    <w:rsid w:val="00591ECD"/>
    <w:rsid w:val="005920A7"/>
    <w:rsid w:val="0059213A"/>
    <w:rsid w:val="005921DA"/>
    <w:rsid w:val="005922EA"/>
    <w:rsid w:val="005922FD"/>
    <w:rsid w:val="005926E5"/>
    <w:rsid w:val="0059289D"/>
    <w:rsid w:val="005928BB"/>
    <w:rsid w:val="0059294B"/>
    <w:rsid w:val="005929C7"/>
    <w:rsid w:val="00592C71"/>
    <w:rsid w:val="00592CAB"/>
    <w:rsid w:val="00592CF5"/>
    <w:rsid w:val="00592DFA"/>
    <w:rsid w:val="005930B4"/>
    <w:rsid w:val="00593280"/>
    <w:rsid w:val="00593314"/>
    <w:rsid w:val="005933B3"/>
    <w:rsid w:val="0059368E"/>
    <w:rsid w:val="005936BA"/>
    <w:rsid w:val="00593A67"/>
    <w:rsid w:val="00593B74"/>
    <w:rsid w:val="00593BF5"/>
    <w:rsid w:val="00593C13"/>
    <w:rsid w:val="00593CE1"/>
    <w:rsid w:val="00593DC9"/>
    <w:rsid w:val="00593EB3"/>
    <w:rsid w:val="00593F67"/>
    <w:rsid w:val="00593FD2"/>
    <w:rsid w:val="00593FEB"/>
    <w:rsid w:val="005941E8"/>
    <w:rsid w:val="00594496"/>
    <w:rsid w:val="005944C5"/>
    <w:rsid w:val="00594842"/>
    <w:rsid w:val="005948BA"/>
    <w:rsid w:val="00594980"/>
    <w:rsid w:val="005949CE"/>
    <w:rsid w:val="00594A0B"/>
    <w:rsid w:val="00594B48"/>
    <w:rsid w:val="00594CF5"/>
    <w:rsid w:val="00594D44"/>
    <w:rsid w:val="00594DF0"/>
    <w:rsid w:val="00594F87"/>
    <w:rsid w:val="00595053"/>
    <w:rsid w:val="005951D0"/>
    <w:rsid w:val="005956A3"/>
    <w:rsid w:val="005956D3"/>
    <w:rsid w:val="005956D5"/>
    <w:rsid w:val="00595882"/>
    <w:rsid w:val="00595971"/>
    <w:rsid w:val="00595997"/>
    <w:rsid w:val="00595B12"/>
    <w:rsid w:val="00595B50"/>
    <w:rsid w:val="00595B5F"/>
    <w:rsid w:val="00595B74"/>
    <w:rsid w:val="00595F40"/>
    <w:rsid w:val="00596007"/>
    <w:rsid w:val="005960C4"/>
    <w:rsid w:val="005960C6"/>
    <w:rsid w:val="005962BF"/>
    <w:rsid w:val="00596365"/>
    <w:rsid w:val="005964C5"/>
    <w:rsid w:val="00596507"/>
    <w:rsid w:val="0059657A"/>
    <w:rsid w:val="005965A6"/>
    <w:rsid w:val="005965BC"/>
    <w:rsid w:val="005966F2"/>
    <w:rsid w:val="00596AD5"/>
    <w:rsid w:val="00596BAC"/>
    <w:rsid w:val="00596C2F"/>
    <w:rsid w:val="00596DD8"/>
    <w:rsid w:val="00596E3F"/>
    <w:rsid w:val="00596F04"/>
    <w:rsid w:val="00596F90"/>
    <w:rsid w:val="00596F9C"/>
    <w:rsid w:val="00597042"/>
    <w:rsid w:val="005970BE"/>
    <w:rsid w:val="00597125"/>
    <w:rsid w:val="00597550"/>
    <w:rsid w:val="005975C8"/>
    <w:rsid w:val="005976AB"/>
    <w:rsid w:val="005978A4"/>
    <w:rsid w:val="005978CC"/>
    <w:rsid w:val="00597A32"/>
    <w:rsid w:val="00597A66"/>
    <w:rsid w:val="00597B22"/>
    <w:rsid w:val="00597CED"/>
    <w:rsid w:val="00597E42"/>
    <w:rsid w:val="005A0042"/>
    <w:rsid w:val="005A00B9"/>
    <w:rsid w:val="005A00CE"/>
    <w:rsid w:val="005A01D2"/>
    <w:rsid w:val="005A0222"/>
    <w:rsid w:val="005A055B"/>
    <w:rsid w:val="005A064D"/>
    <w:rsid w:val="005A08FF"/>
    <w:rsid w:val="005A0A1E"/>
    <w:rsid w:val="005A0A4E"/>
    <w:rsid w:val="005A0B01"/>
    <w:rsid w:val="005A0BE6"/>
    <w:rsid w:val="005A0D31"/>
    <w:rsid w:val="005A107D"/>
    <w:rsid w:val="005A10BE"/>
    <w:rsid w:val="005A1134"/>
    <w:rsid w:val="005A131C"/>
    <w:rsid w:val="005A1321"/>
    <w:rsid w:val="005A13DA"/>
    <w:rsid w:val="005A151D"/>
    <w:rsid w:val="005A16C7"/>
    <w:rsid w:val="005A1790"/>
    <w:rsid w:val="005A17AC"/>
    <w:rsid w:val="005A18C4"/>
    <w:rsid w:val="005A1947"/>
    <w:rsid w:val="005A1A40"/>
    <w:rsid w:val="005A1A79"/>
    <w:rsid w:val="005A1B45"/>
    <w:rsid w:val="005A1C23"/>
    <w:rsid w:val="005A1C52"/>
    <w:rsid w:val="005A1C69"/>
    <w:rsid w:val="005A1D82"/>
    <w:rsid w:val="005A1E38"/>
    <w:rsid w:val="005A20AB"/>
    <w:rsid w:val="005A20CB"/>
    <w:rsid w:val="005A20CE"/>
    <w:rsid w:val="005A237A"/>
    <w:rsid w:val="005A2398"/>
    <w:rsid w:val="005A23A3"/>
    <w:rsid w:val="005A246F"/>
    <w:rsid w:val="005A24FF"/>
    <w:rsid w:val="005A2513"/>
    <w:rsid w:val="005A2532"/>
    <w:rsid w:val="005A25BF"/>
    <w:rsid w:val="005A262D"/>
    <w:rsid w:val="005A264D"/>
    <w:rsid w:val="005A26FE"/>
    <w:rsid w:val="005A2AF8"/>
    <w:rsid w:val="005A2B12"/>
    <w:rsid w:val="005A2B15"/>
    <w:rsid w:val="005A2BC8"/>
    <w:rsid w:val="005A2F45"/>
    <w:rsid w:val="005A2F7B"/>
    <w:rsid w:val="005A30C6"/>
    <w:rsid w:val="005A3117"/>
    <w:rsid w:val="005A321A"/>
    <w:rsid w:val="005A3394"/>
    <w:rsid w:val="005A33D1"/>
    <w:rsid w:val="005A3597"/>
    <w:rsid w:val="005A3599"/>
    <w:rsid w:val="005A35B2"/>
    <w:rsid w:val="005A35F6"/>
    <w:rsid w:val="005A3631"/>
    <w:rsid w:val="005A3659"/>
    <w:rsid w:val="005A3672"/>
    <w:rsid w:val="005A384A"/>
    <w:rsid w:val="005A3AB7"/>
    <w:rsid w:val="005A3B29"/>
    <w:rsid w:val="005A3B7C"/>
    <w:rsid w:val="005A3BC7"/>
    <w:rsid w:val="005A3D22"/>
    <w:rsid w:val="005A3D8C"/>
    <w:rsid w:val="005A3E0B"/>
    <w:rsid w:val="005A3F74"/>
    <w:rsid w:val="005A3F9E"/>
    <w:rsid w:val="005A4073"/>
    <w:rsid w:val="005A4203"/>
    <w:rsid w:val="005A436B"/>
    <w:rsid w:val="005A447B"/>
    <w:rsid w:val="005A449D"/>
    <w:rsid w:val="005A44D8"/>
    <w:rsid w:val="005A44E6"/>
    <w:rsid w:val="005A4534"/>
    <w:rsid w:val="005A4630"/>
    <w:rsid w:val="005A472E"/>
    <w:rsid w:val="005A4750"/>
    <w:rsid w:val="005A49CD"/>
    <w:rsid w:val="005A49F3"/>
    <w:rsid w:val="005A4A5E"/>
    <w:rsid w:val="005A4B56"/>
    <w:rsid w:val="005A4BF8"/>
    <w:rsid w:val="005A4D21"/>
    <w:rsid w:val="005A4F5D"/>
    <w:rsid w:val="005A4F98"/>
    <w:rsid w:val="005A4FC7"/>
    <w:rsid w:val="005A5113"/>
    <w:rsid w:val="005A51A6"/>
    <w:rsid w:val="005A5229"/>
    <w:rsid w:val="005A53B0"/>
    <w:rsid w:val="005A53E6"/>
    <w:rsid w:val="005A53F7"/>
    <w:rsid w:val="005A53FB"/>
    <w:rsid w:val="005A5409"/>
    <w:rsid w:val="005A555B"/>
    <w:rsid w:val="005A576B"/>
    <w:rsid w:val="005A581B"/>
    <w:rsid w:val="005A5883"/>
    <w:rsid w:val="005A596A"/>
    <w:rsid w:val="005A59C8"/>
    <w:rsid w:val="005A5A76"/>
    <w:rsid w:val="005A5AE9"/>
    <w:rsid w:val="005A5B97"/>
    <w:rsid w:val="005A5EE4"/>
    <w:rsid w:val="005A6076"/>
    <w:rsid w:val="005A63F5"/>
    <w:rsid w:val="005A643E"/>
    <w:rsid w:val="005A64E2"/>
    <w:rsid w:val="005A6548"/>
    <w:rsid w:val="005A65F9"/>
    <w:rsid w:val="005A667C"/>
    <w:rsid w:val="005A66EC"/>
    <w:rsid w:val="005A67F9"/>
    <w:rsid w:val="005A69B8"/>
    <w:rsid w:val="005A6B05"/>
    <w:rsid w:val="005A6C1D"/>
    <w:rsid w:val="005A6D2C"/>
    <w:rsid w:val="005A6E02"/>
    <w:rsid w:val="005A6F6E"/>
    <w:rsid w:val="005A7030"/>
    <w:rsid w:val="005A730A"/>
    <w:rsid w:val="005A737C"/>
    <w:rsid w:val="005A738C"/>
    <w:rsid w:val="005A73CB"/>
    <w:rsid w:val="005A73F8"/>
    <w:rsid w:val="005A744D"/>
    <w:rsid w:val="005A753A"/>
    <w:rsid w:val="005A77AF"/>
    <w:rsid w:val="005A7815"/>
    <w:rsid w:val="005A7987"/>
    <w:rsid w:val="005A79CA"/>
    <w:rsid w:val="005A7A6C"/>
    <w:rsid w:val="005A7D8F"/>
    <w:rsid w:val="005A7E78"/>
    <w:rsid w:val="005A7ECB"/>
    <w:rsid w:val="005B00B9"/>
    <w:rsid w:val="005B0221"/>
    <w:rsid w:val="005B03ED"/>
    <w:rsid w:val="005B0671"/>
    <w:rsid w:val="005B073F"/>
    <w:rsid w:val="005B077C"/>
    <w:rsid w:val="005B08D4"/>
    <w:rsid w:val="005B0977"/>
    <w:rsid w:val="005B0AA3"/>
    <w:rsid w:val="005B0AB2"/>
    <w:rsid w:val="005B0B3E"/>
    <w:rsid w:val="005B0B5C"/>
    <w:rsid w:val="005B0C46"/>
    <w:rsid w:val="005B0C4F"/>
    <w:rsid w:val="005B0CBD"/>
    <w:rsid w:val="005B0D0A"/>
    <w:rsid w:val="005B0D8A"/>
    <w:rsid w:val="005B0FDD"/>
    <w:rsid w:val="005B0FE6"/>
    <w:rsid w:val="005B1071"/>
    <w:rsid w:val="005B111B"/>
    <w:rsid w:val="005B115C"/>
    <w:rsid w:val="005B11C0"/>
    <w:rsid w:val="005B12E6"/>
    <w:rsid w:val="005B130E"/>
    <w:rsid w:val="005B136F"/>
    <w:rsid w:val="005B1373"/>
    <w:rsid w:val="005B138A"/>
    <w:rsid w:val="005B13B7"/>
    <w:rsid w:val="005B13BB"/>
    <w:rsid w:val="005B1776"/>
    <w:rsid w:val="005B1785"/>
    <w:rsid w:val="005B18D8"/>
    <w:rsid w:val="005B194C"/>
    <w:rsid w:val="005B1A15"/>
    <w:rsid w:val="005B1AF7"/>
    <w:rsid w:val="005B1B47"/>
    <w:rsid w:val="005B1BA3"/>
    <w:rsid w:val="005B1C92"/>
    <w:rsid w:val="005B1CBF"/>
    <w:rsid w:val="005B1D21"/>
    <w:rsid w:val="005B1DBA"/>
    <w:rsid w:val="005B1EE5"/>
    <w:rsid w:val="005B20E0"/>
    <w:rsid w:val="005B2213"/>
    <w:rsid w:val="005B2353"/>
    <w:rsid w:val="005B2390"/>
    <w:rsid w:val="005B23AE"/>
    <w:rsid w:val="005B240B"/>
    <w:rsid w:val="005B2434"/>
    <w:rsid w:val="005B2521"/>
    <w:rsid w:val="005B2560"/>
    <w:rsid w:val="005B29B2"/>
    <w:rsid w:val="005B2A5D"/>
    <w:rsid w:val="005B2B1D"/>
    <w:rsid w:val="005B2D50"/>
    <w:rsid w:val="005B2D6E"/>
    <w:rsid w:val="005B2F98"/>
    <w:rsid w:val="005B30CB"/>
    <w:rsid w:val="005B32FB"/>
    <w:rsid w:val="005B337B"/>
    <w:rsid w:val="005B33D0"/>
    <w:rsid w:val="005B34B5"/>
    <w:rsid w:val="005B36B4"/>
    <w:rsid w:val="005B36CD"/>
    <w:rsid w:val="005B3747"/>
    <w:rsid w:val="005B37DA"/>
    <w:rsid w:val="005B38B5"/>
    <w:rsid w:val="005B3B60"/>
    <w:rsid w:val="005B3D8D"/>
    <w:rsid w:val="005B404D"/>
    <w:rsid w:val="005B4238"/>
    <w:rsid w:val="005B43BF"/>
    <w:rsid w:val="005B4676"/>
    <w:rsid w:val="005B46F3"/>
    <w:rsid w:val="005B4720"/>
    <w:rsid w:val="005B4819"/>
    <w:rsid w:val="005B48B4"/>
    <w:rsid w:val="005B4943"/>
    <w:rsid w:val="005B4A8D"/>
    <w:rsid w:val="005B4B10"/>
    <w:rsid w:val="005B4DD9"/>
    <w:rsid w:val="005B516E"/>
    <w:rsid w:val="005B5280"/>
    <w:rsid w:val="005B5298"/>
    <w:rsid w:val="005B529D"/>
    <w:rsid w:val="005B52A5"/>
    <w:rsid w:val="005B52FD"/>
    <w:rsid w:val="005B547F"/>
    <w:rsid w:val="005B54DC"/>
    <w:rsid w:val="005B55C8"/>
    <w:rsid w:val="005B5618"/>
    <w:rsid w:val="005B56D1"/>
    <w:rsid w:val="005B59BC"/>
    <w:rsid w:val="005B5B57"/>
    <w:rsid w:val="005B5BB1"/>
    <w:rsid w:val="005B5BE4"/>
    <w:rsid w:val="005B5CB4"/>
    <w:rsid w:val="005B5D3C"/>
    <w:rsid w:val="005B5F49"/>
    <w:rsid w:val="005B5F79"/>
    <w:rsid w:val="005B6079"/>
    <w:rsid w:val="005B607A"/>
    <w:rsid w:val="005B6165"/>
    <w:rsid w:val="005B62AE"/>
    <w:rsid w:val="005B64B6"/>
    <w:rsid w:val="005B66FE"/>
    <w:rsid w:val="005B672C"/>
    <w:rsid w:val="005B6787"/>
    <w:rsid w:val="005B68D6"/>
    <w:rsid w:val="005B6957"/>
    <w:rsid w:val="005B69A2"/>
    <w:rsid w:val="005B69E7"/>
    <w:rsid w:val="005B6A3A"/>
    <w:rsid w:val="005B6C44"/>
    <w:rsid w:val="005B6D59"/>
    <w:rsid w:val="005B6DE5"/>
    <w:rsid w:val="005B6EBB"/>
    <w:rsid w:val="005B70B7"/>
    <w:rsid w:val="005B726C"/>
    <w:rsid w:val="005B74DF"/>
    <w:rsid w:val="005B7520"/>
    <w:rsid w:val="005B7542"/>
    <w:rsid w:val="005B7621"/>
    <w:rsid w:val="005B765B"/>
    <w:rsid w:val="005B769F"/>
    <w:rsid w:val="005B76C1"/>
    <w:rsid w:val="005B76CA"/>
    <w:rsid w:val="005B7724"/>
    <w:rsid w:val="005B7988"/>
    <w:rsid w:val="005B79A4"/>
    <w:rsid w:val="005B7BCE"/>
    <w:rsid w:val="005B7BEF"/>
    <w:rsid w:val="005B7C20"/>
    <w:rsid w:val="005B7D61"/>
    <w:rsid w:val="005B7FE4"/>
    <w:rsid w:val="005C0035"/>
    <w:rsid w:val="005C0089"/>
    <w:rsid w:val="005C01AC"/>
    <w:rsid w:val="005C03A9"/>
    <w:rsid w:val="005C04E2"/>
    <w:rsid w:val="005C05E0"/>
    <w:rsid w:val="005C05E4"/>
    <w:rsid w:val="005C05F7"/>
    <w:rsid w:val="005C071E"/>
    <w:rsid w:val="005C0A59"/>
    <w:rsid w:val="005C0D00"/>
    <w:rsid w:val="005C0ECA"/>
    <w:rsid w:val="005C0F06"/>
    <w:rsid w:val="005C0F82"/>
    <w:rsid w:val="005C0FEC"/>
    <w:rsid w:val="005C10A9"/>
    <w:rsid w:val="005C1202"/>
    <w:rsid w:val="005C127D"/>
    <w:rsid w:val="005C13EE"/>
    <w:rsid w:val="005C1439"/>
    <w:rsid w:val="005C1627"/>
    <w:rsid w:val="005C16AA"/>
    <w:rsid w:val="005C176C"/>
    <w:rsid w:val="005C1843"/>
    <w:rsid w:val="005C195B"/>
    <w:rsid w:val="005C196A"/>
    <w:rsid w:val="005C1BA1"/>
    <w:rsid w:val="005C1CB7"/>
    <w:rsid w:val="005C1DC6"/>
    <w:rsid w:val="005C1EF3"/>
    <w:rsid w:val="005C2043"/>
    <w:rsid w:val="005C2135"/>
    <w:rsid w:val="005C222A"/>
    <w:rsid w:val="005C2234"/>
    <w:rsid w:val="005C225A"/>
    <w:rsid w:val="005C2277"/>
    <w:rsid w:val="005C242D"/>
    <w:rsid w:val="005C2458"/>
    <w:rsid w:val="005C246E"/>
    <w:rsid w:val="005C24FB"/>
    <w:rsid w:val="005C25A0"/>
    <w:rsid w:val="005C271C"/>
    <w:rsid w:val="005C2938"/>
    <w:rsid w:val="005C2956"/>
    <w:rsid w:val="005C295B"/>
    <w:rsid w:val="005C2E13"/>
    <w:rsid w:val="005C2E3D"/>
    <w:rsid w:val="005C3065"/>
    <w:rsid w:val="005C3160"/>
    <w:rsid w:val="005C31B3"/>
    <w:rsid w:val="005C341E"/>
    <w:rsid w:val="005C362F"/>
    <w:rsid w:val="005C3638"/>
    <w:rsid w:val="005C36BD"/>
    <w:rsid w:val="005C36F0"/>
    <w:rsid w:val="005C37E0"/>
    <w:rsid w:val="005C3853"/>
    <w:rsid w:val="005C3897"/>
    <w:rsid w:val="005C3A09"/>
    <w:rsid w:val="005C3A14"/>
    <w:rsid w:val="005C3AAA"/>
    <w:rsid w:val="005C3B22"/>
    <w:rsid w:val="005C3CB1"/>
    <w:rsid w:val="005C3D9A"/>
    <w:rsid w:val="005C3E12"/>
    <w:rsid w:val="005C3EB4"/>
    <w:rsid w:val="005C3F5B"/>
    <w:rsid w:val="005C41E7"/>
    <w:rsid w:val="005C427C"/>
    <w:rsid w:val="005C44C9"/>
    <w:rsid w:val="005C47DF"/>
    <w:rsid w:val="005C4853"/>
    <w:rsid w:val="005C48BA"/>
    <w:rsid w:val="005C49B4"/>
    <w:rsid w:val="005C49F4"/>
    <w:rsid w:val="005C4BF3"/>
    <w:rsid w:val="005C4C7B"/>
    <w:rsid w:val="005C4E4D"/>
    <w:rsid w:val="005C5144"/>
    <w:rsid w:val="005C520B"/>
    <w:rsid w:val="005C5219"/>
    <w:rsid w:val="005C548C"/>
    <w:rsid w:val="005C5490"/>
    <w:rsid w:val="005C54B9"/>
    <w:rsid w:val="005C54D6"/>
    <w:rsid w:val="005C56E8"/>
    <w:rsid w:val="005C5970"/>
    <w:rsid w:val="005C5A1C"/>
    <w:rsid w:val="005C5A8E"/>
    <w:rsid w:val="005C5B93"/>
    <w:rsid w:val="005C5D66"/>
    <w:rsid w:val="005C5D70"/>
    <w:rsid w:val="005C5E6B"/>
    <w:rsid w:val="005C61AE"/>
    <w:rsid w:val="005C6205"/>
    <w:rsid w:val="005C62A4"/>
    <w:rsid w:val="005C62DB"/>
    <w:rsid w:val="005C62DD"/>
    <w:rsid w:val="005C6300"/>
    <w:rsid w:val="005C6347"/>
    <w:rsid w:val="005C65A1"/>
    <w:rsid w:val="005C65B5"/>
    <w:rsid w:val="005C6618"/>
    <w:rsid w:val="005C6841"/>
    <w:rsid w:val="005C68D1"/>
    <w:rsid w:val="005C6CBB"/>
    <w:rsid w:val="005C6DED"/>
    <w:rsid w:val="005C6E7A"/>
    <w:rsid w:val="005C7022"/>
    <w:rsid w:val="005C733A"/>
    <w:rsid w:val="005C741D"/>
    <w:rsid w:val="005C7463"/>
    <w:rsid w:val="005C756F"/>
    <w:rsid w:val="005C7791"/>
    <w:rsid w:val="005C7A71"/>
    <w:rsid w:val="005C7BA5"/>
    <w:rsid w:val="005C7D1A"/>
    <w:rsid w:val="005C7D45"/>
    <w:rsid w:val="005C7DC8"/>
    <w:rsid w:val="005C7E34"/>
    <w:rsid w:val="005D009E"/>
    <w:rsid w:val="005D0150"/>
    <w:rsid w:val="005D0189"/>
    <w:rsid w:val="005D0190"/>
    <w:rsid w:val="005D0237"/>
    <w:rsid w:val="005D0341"/>
    <w:rsid w:val="005D045E"/>
    <w:rsid w:val="005D0658"/>
    <w:rsid w:val="005D07A7"/>
    <w:rsid w:val="005D108D"/>
    <w:rsid w:val="005D1189"/>
    <w:rsid w:val="005D1317"/>
    <w:rsid w:val="005D1329"/>
    <w:rsid w:val="005D1502"/>
    <w:rsid w:val="005D1553"/>
    <w:rsid w:val="005D1630"/>
    <w:rsid w:val="005D1B17"/>
    <w:rsid w:val="005D1B9A"/>
    <w:rsid w:val="005D1C45"/>
    <w:rsid w:val="005D1CA3"/>
    <w:rsid w:val="005D1CBB"/>
    <w:rsid w:val="005D1DDE"/>
    <w:rsid w:val="005D1E4D"/>
    <w:rsid w:val="005D1EF1"/>
    <w:rsid w:val="005D1F55"/>
    <w:rsid w:val="005D1FE1"/>
    <w:rsid w:val="005D20E7"/>
    <w:rsid w:val="005D21F4"/>
    <w:rsid w:val="005D221E"/>
    <w:rsid w:val="005D230D"/>
    <w:rsid w:val="005D2339"/>
    <w:rsid w:val="005D238E"/>
    <w:rsid w:val="005D245D"/>
    <w:rsid w:val="005D2507"/>
    <w:rsid w:val="005D252A"/>
    <w:rsid w:val="005D257B"/>
    <w:rsid w:val="005D265E"/>
    <w:rsid w:val="005D29C6"/>
    <w:rsid w:val="005D2BE9"/>
    <w:rsid w:val="005D2DC3"/>
    <w:rsid w:val="005D3030"/>
    <w:rsid w:val="005D30A8"/>
    <w:rsid w:val="005D30CB"/>
    <w:rsid w:val="005D310C"/>
    <w:rsid w:val="005D3157"/>
    <w:rsid w:val="005D338B"/>
    <w:rsid w:val="005D3475"/>
    <w:rsid w:val="005D353B"/>
    <w:rsid w:val="005D396A"/>
    <w:rsid w:val="005D3D2C"/>
    <w:rsid w:val="005D3E7F"/>
    <w:rsid w:val="005D4024"/>
    <w:rsid w:val="005D4091"/>
    <w:rsid w:val="005D40A1"/>
    <w:rsid w:val="005D4292"/>
    <w:rsid w:val="005D42DA"/>
    <w:rsid w:val="005D432F"/>
    <w:rsid w:val="005D434D"/>
    <w:rsid w:val="005D4411"/>
    <w:rsid w:val="005D486A"/>
    <w:rsid w:val="005D4AA0"/>
    <w:rsid w:val="005D4AFD"/>
    <w:rsid w:val="005D4C76"/>
    <w:rsid w:val="005D4D79"/>
    <w:rsid w:val="005D504C"/>
    <w:rsid w:val="005D50CF"/>
    <w:rsid w:val="005D518C"/>
    <w:rsid w:val="005D522E"/>
    <w:rsid w:val="005D5309"/>
    <w:rsid w:val="005D54C9"/>
    <w:rsid w:val="005D5629"/>
    <w:rsid w:val="005D5A1B"/>
    <w:rsid w:val="005D5D70"/>
    <w:rsid w:val="005D5D85"/>
    <w:rsid w:val="005D5F09"/>
    <w:rsid w:val="005D6039"/>
    <w:rsid w:val="005D6111"/>
    <w:rsid w:val="005D617A"/>
    <w:rsid w:val="005D628D"/>
    <w:rsid w:val="005D63FF"/>
    <w:rsid w:val="005D64AD"/>
    <w:rsid w:val="005D6662"/>
    <w:rsid w:val="005D6726"/>
    <w:rsid w:val="005D67E5"/>
    <w:rsid w:val="005D683F"/>
    <w:rsid w:val="005D6881"/>
    <w:rsid w:val="005D68AE"/>
    <w:rsid w:val="005D6B66"/>
    <w:rsid w:val="005D6BB2"/>
    <w:rsid w:val="005D6C74"/>
    <w:rsid w:val="005D6D68"/>
    <w:rsid w:val="005D6E07"/>
    <w:rsid w:val="005D70F0"/>
    <w:rsid w:val="005D726F"/>
    <w:rsid w:val="005D72BA"/>
    <w:rsid w:val="005D741D"/>
    <w:rsid w:val="005D7459"/>
    <w:rsid w:val="005D7596"/>
    <w:rsid w:val="005D7600"/>
    <w:rsid w:val="005D7791"/>
    <w:rsid w:val="005D77BB"/>
    <w:rsid w:val="005D7A26"/>
    <w:rsid w:val="005D7ABA"/>
    <w:rsid w:val="005D7CCC"/>
    <w:rsid w:val="005D7EDE"/>
    <w:rsid w:val="005D7F79"/>
    <w:rsid w:val="005E01E1"/>
    <w:rsid w:val="005E03D8"/>
    <w:rsid w:val="005E0615"/>
    <w:rsid w:val="005E09AD"/>
    <w:rsid w:val="005E09D9"/>
    <w:rsid w:val="005E09F7"/>
    <w:rsid w:val="005E0A6F"/>
    <w:rsid w:val="005E0BB7"/>
    <w:rsid w:val="005E0C1A"/>
    <w:rsid w:val="005E0CA1"/>
    <w:rsid w:val="005E0CC3"/>
    <w:rsid w:val="005E0D64"/>
    <w:rsid w:val="005E0F00"/>
    <w:rsid w:val="005E1047"/>
    <w:rsid w:val="005E105C"/>
    <w:rsid w:val="005E11A1"/>
    <w:rsid w:val="005E11A6"/>
    <w:rsid w:val="005E1269"/>
    <w:rsid w:val="005E12AD"/>
    <w:rsid w:val="005E12B4"/>
    <w:rsid w:val="005E13D0"/>
    <w:rsid w:val="005E1444"/>
    <w:rsid w:val="005E14BC"/>
    <w:rsid w:val="005E14F1"/>
    <w:rsid w:val="005E150B"/>
    <w:rsid w:val="005E159D"/>
    <w:rsid w:val="005E1628"/>
    <w:rsid w:val="005E17D1"/>
    <w:rsid w:val="005E1BEE"/>
    <w:rsid w:val="005E1C51"/>
    <w:rsid w:val="005E1D32"/>
    <w:rsid w:val="005E1EC5"/>
    <w:rsid w:val="005E1EF5"/>
    <w:rsid w:val="005E1F4D"/>
    <w:rsid w:val="005E1F76"/>
    <w:rsid w:val="005E219C"/>
    <w:rsid w:val="005E2206"/>
    <w:rsid w:val="005E2219"/>
    <w:rsid w:val="005E2255"/>
    <w:rsid w:val="005E2292"/>
    <w:rsid w:val="005E22E9"/>
    <w:rsid w:val="005E2439"/>
    <w:rsid w:val="005E254D"/>
    <w:rsid w:val="005E25BF"/>
    <w:rsid w:val="005E26EF"/>
    <w:rsid w:val="005E2779"/>
    <w:rsid w:val="005E278F"/>
    <w:rsid w:val="005E27E0"/>
    <w:rsid w:val="005E2976"/>
    <w:rsid w:val="005E2AE6"/>
    <w:rsid w:val="005E2FAE"/>
    <w:rsid w:val="005E3124"/>
    <w:rsid w:val="005E314D"/>
    <w:rsid w:val="005E317A"/>
    <w:rsid w:val="005E32AF"/>
    <w:rsid w:val="005E32D9"/>
    <w:rsid w:val="005E33D2"/>
    <w:rsid w:val="005E351F"/>
    <w:rsid w:val="005E3541"/>
    <w:rsid w:val="005E358E"/>
    <w:rsid w:val="005E38B3"/>
    <w:rsid w:val="005E393F"/>
    <w:rsid w:val="005E39A5"/>
    <w:rsid w:val="005E3C83"/>
    <w:rsid w:val="005E3CFF"/>
    <w:rsid w:val="005E40F8"/>
    <w:rsid w:val="005E41D4"/>
    <w:rsid w:val="005E4378"/>
    <w:rsid w:val="005E4470"/>
    <w:rsid w:val="005E453B"/>
    <w:rsid w:val="005E4636"/>
    <w:rsid w:val="005E46E0"/>
    <w:rsid w:val="005E47D5"/>
    <w:rsid w:val="005E48BA"/>
    <w:rsid w:val="005E4A37"/>
    <w:rsid w:val="005E4B24"/>
    <w:rsid w:val="005E4CD0"/>
    <w:rsid w:val="005E4E1C"/>
    <w:rsid w:val="005E5083"/>
    <w:rsid w:val="005E50AC"/>
    <w:rsid w:val="005E518F"/>
    <w:rsid w:val="005E5199"/>
    <w:rsid w:val="005E51AA"/>
    <w:rsid w:val="005E52BD"/>
    <w:rsid w:val="005E52CC"/>
    <w:rsid w:val="005E52CF"/>
    <w:rsid w:val="005E5305"/>
    <w:rsid w:val="005E55B4"/>
    <w:rsid w:val="005E571B"/>
    <w:rsid w:val="005E5794"/>
    <w:rsid w:val="005E5845"/>
    <w:rsid w:val="005E5897"/>
    <w:rsid w:val="005E5926"/>
    <w:rsid w:val="005E59FE"/>
    <w:rsid w:val="005E5A00"/>
    <w:rsid w:val="005E5AB2"/>
    <w:rsid w:val="005E5AEA"/>
    <w:rsid w:val="005E5B1A"/>
    <w:rsid w:val="005E5F91"/>
    <w:rsid w:val="005E5FE6"/>
    <w:rsid w:val="005E615A"/>
    <w:rsid w:val="005E6414"/>
    <w:rsid w:val="005E6454"/>
    <w:rsid w:val="005E66A9"/>
    <w:rsid w:val="005E66F5"/>
    <w:rsid w:val="005E6970"/>
    <w:rsid w:val="005E698C"/>
    <w:rsid w:val="005E6C4D"/>
    <w:rsid w:val="005E6C7E"/>
    <w:rsid w:val="005E6CDA"/>
    <w:rsid w:val="005E6D5D"/>
    <w:rsid w:val="005E6DC5"/>
    <w:rsid w:val="005E6E24"/>
    <w:rsid w:val="005E6E6C"/>
    <w:rsid w:val="005E6EF3"/>
    <w:rsid w:val="005E7042"/>
    <w:rsid w:val="005E70EB"/>
    <w:rsid w:val="005E728D"/>
    <w:rsid w:val="005E73E9"/>
    <w:rsid w:val="005E746C"/>
    <w:rsid w:val="005E7483"/>
    <w:rsid w:val="005E74B6"/>
    <w:rsid w:val="005E75E4"/>
    <w:rsid w:val="005E784D"/>
    <w:rsid w:val="005E785F"/>
    <w:rsid w:val="005E795C"/>
    <w:rsid w:val="005E7979"/>
    <w:rsid w:val="005E79C7"/>
    <w:rsid w:val="005E7A2B"/>
    <w:rsid w:val="005E7AD2"/>
    <w:rsid w:val="005E7E67"/>
    <w:rsid w:val="005F009A"/>
    <w:rsid w:val="005F00C6"/>
    <w:rsid w:val="005F0139"/>
    <w:rsid w:val="005F0183"/>
    <w:rsid w:val="005F02EF"/>
    <w:rsid w:val="005F039D"/>
    <w:rsid w:val="005F03F0"/>
    <w:rsid w:val="005F0477"/>
    <w:rsid w:val="005F0661"/>
    <w:rsid w:val="005F06FB"/>
    <w:rsid w:val="005F0810"/>
    <w:rsid w:val="005F08D7"/>
    <w:rsid w:val="005F0933"/>
    <w:rsid w:val="005F0937"/>
    <w:rsid w:val="005F093C"/>
    <w:rsid w:val="005F097F"/>
    <w:rsid w:val="005F0A38"/>
    <w:rsid w:val="005F0BAE"/>
    <w:rsid w:val="005F0C93"/>
    <w:rsid w:val="005F0E8D"/>
    <w:rsid w:val="005F0EA8"/>
    <w:rsid w:val="005F1073"/>
    <w:rsid w:val="005F10EB"/>
    <w:rsid w:val="005F1121"/>
    <w:rsid w:val="005F12CA"/>
    <w:rsid w:val="005F1360"/>
    <w:rsid w:val="005F16C2"/>
    <w:rsid w:val="005F18CC"/>
    <w:rsid w:val="005F1967"/>
    <w:rsid w:val="005F19B1"/>
    <w:rsid w:val="005F1CB8"/>
    <w:rsid w:val="005F1D50"/>
    <w:rsid w:val="005F1ED0"/>
    <w:rsid w:val="005F2072"/>
    <w:rsid w:val="005F20FA"/>
    <w:rsid w:val="005F2237"/>
    <w:rsid w:val="005F22CD"/>
    <w:rsid w:val="005F235C"/>
    <w:rsid w:val="005F238E"/>
    <w:rsid w:val="005F25BE"/>
    <w:rsid w:val="005F265F"/>
    <w:rsid w:val="005F26E1"/>
    <w:rsid w:val="005F2724"/>
    <w:rsid w:val="005F27A7"/>
    <w:rsid w:val="005F2855"/>
    <w:rsid w:val="005F292D"/>
    <w:rsid w:val="005F2A04"/>
    <w:rsid w:val="005F2BEC"/>
    <w:rsid w:val="005F2D47"/>
    <w:rsid w:val="005F2D8C"/>
    <w:rsid w:val="005F2FD3"/>
    <w:rsid w:val="005F3155"/>
    <w:rsid w:val="005F319E"/>
    <w:rsid w:val="005F3219"/>
    <w:rsid w:val="005F3295"/>
    <w:rsid w:val="005F3398"/>
    <w:rsid w:val="005F33E5"/>
    <w:rsid w:val="005F37BB"/>
    <w:rsid w:val="005F37FD"/>
    <w:rsid w:val="005F3839"/>
    <w:rsid w:val="005F3883"/>
    <w:rsid w:val="005F3960"/>
    <w:rsid w:val="005F3A9B"/>
    <w:rsid w:val="005F3B41"/>
    <w:rsid w:val="005F3CD9"/>
    <w:rsid w:val="005F3E46"/>
    <w:rsid w:val="005F3F02"/>
    <w:rsid w:val="005F3F65"/>
    <w:rsid w:val="005F3FA7"/>
    <w:rsid w:val="005F40FE"/>
    <w:rsid w:val="005F4175"/>
    <w:rsid w:val="005F4213"/>
    <w:rsid w:val="005F4293"/>
    <w:rsid w:val="005F42A3"/>
    <w:rsid w:val="005F439F"/>
    <w:rsid w:val="005F447B"/>
    <w:rsid w:val="005F44FD"/>
    <w:rsid w:val="005F4670"/>
    <w:rsid w:val="005F46B6"/>
    <w:rsid w:val="005F479E"/>
    <w:rsid w:val="005F4825"/>
    <w:rsid w:val="005F48B1"/>
    <w:rsid w:val="005F4996"/>
    <w:rsid w:val="005F4ABF"/>
    <w:rsid w:val="005F4B0E"/>
    <w:rsid w:val="005F4D6B"/>
    <w:rsid w:val="005F4DFE"/>
    <w:rsid w:val="005F4EED"/>
    <w:rsid w:val="005F4F4E"/>
    <w:rsid w:val="005F4FCC"/>
    <w:rsid w:val="005F5097"/>
    <w:rsid w:val="005F515B"/>
    <w:rsid w:val="005F51D6"/>
    <w:rsid w:val="005F5395"/>
    <w:rsid w:val="005F54C5"/>
    <w:rsid w:val="005F55D0"/>
    <w:rsid w:val="005F5626"/>
    <w:rsid w:val="005F5AC1"/>
    <w:rsid w:val="005F5B8B"/>
    <w:rsid w:val="005F5CE9"/>
    <w:rsid w:val="005F5F70"/>
    <w:rsid w:val="005F602B"/>
    <w:rsid w:val="005F60E3"/>
    <w:rsid w:val="005F62E7"/>
    <w:rsid w:val="005F6389"/>
    <w:rsid w:val="005F6425"/>
    <w:rsid w:val="005F644A"/>
    <w:rsid w:val="005F64C2"/>
    <w:rsid w:val="005F658D"/>
    <w:rsid w:val="005F6831"/>
    <w:rsid w:val="005F6915"/>
    <w:rsid w:val="005F695D"/>
    <w:rsid w:val="005F6A29"/>
    <w:rsid w:val="005F6C43"/>
    <w:rsid w:val="005F6C87"/>
    <w:rsid w:val="005F6DDE"/>
    <w:rsid w:val="005F6E16"/>
    <w:rsid w:val="005F6FE7"/>
    <w:rsid w:val="005F7079"/>
    <w:rsid w:val="005F7224"/>
    <w:rsid w:val="005F7238"/>
    <w:rsid w:val="005F7394"/>
    <w:rsid w:val="005F73C6"/>
    <w:rsid w:val="005F7486"/>
    <w:rsid w:val="005F7572"/>
    <w:rsid w:val="005F77B5"/>
    <w:rsid w:val="005F77DA"/>
    <w:rsid w:val="005F786D"/>
    <w:rsid w:val="005F79E9"/>
    <w:rsid w:val="005F7B74"/>
    <w:rsid w:val="005F7B76"/>
    <w:rsid w:val="005F7BD5"/>
    <w:rsid w:val="005F7C78"/>
    <w:rsid w:val="005F7F9E"/>
    <w:rsid w:val="00600000"/>
    <w:rsid w:val="006000FC"/>
    <w:rsid w:val="00600214"/>
    <w:rsid w:val="00600460"/>
    <w:rsid w:val="00600516"/>
    <w:rsid w:val="006006FD"/>
    <w:rsid w:val="0060098C"/>
    <w:rsid w:val="00600BBE"/>
    <w:rsid w:val="00600C7D"/>
    <w:rsid w:val="00600CCC"/>
    <w:rsid w:val="00600CCE"/>
    <w:rsid w:val="00600D57"/>
    <w:rsid w:val="00600D74"/>
    <w:rsid w:val="00600F8D"/>
    <w:rsid w:val="0060135E"/>
    <w:rsid w:val="0060172C"/>
    <w:rsid w:val="00601868"/>
    <w:rsid w:val="0060186F"/>
    <w:rsid w:val="00601881"/>
    <w:rsid w:val="00601D6A"/>
    <w:rsid w:val="00601EEA"/>
    <w:rsid w:val="0060222B"/>
    <w:rsid w:val="00602365"/>
    <w:rsid w:val="006023F2"/>
    <w:rsid w:val="00602558"/>
    <w:rsid w:val="00602641"/>
    <w:rsid w:val="006026DD"/>
    <w:rsid w:val="00602807"/>
    <w:rsid w:val="00602A5F"/>
    <w:rsid w:val="00602B47"/>
    <w:rsid w:val="00602B62"/>
    <w:rsid w:val="00602D97"/>
    <w:rsid w:val="00602EB0"/>
    <w:rsid w:val="00603223"/>
    <w:rsid w:val="006032DA"/>
    <w:rsid w:val="00603640"/>
    <w:rsid w:val="0060366A"/>
    <w:rsid w:val="006036A8"/>
    <w:rsid w:val="00603BF8"/>
    <w:rsid w:val="00603BFF"/>
    <w:rsid w:val="00603E33"/>
    <w:rsid w:val="00603FD5"/>
    <w:rsid w:val="00603FD7"/>
    <w:rsid w:val="006042A9"/>
    <w:rsid w:val="006043C9"/>
    <w:rsid w:val="00604611"/>
    <w:rsid w:val="0060467C"/>
    <w:rsid w:val="00604770"/>
    <w:rsid w:val="006047E3"/>
    <w:rsid w:val="006048E1"/>
    <w:rsid w:val="006049ED"/>
    <w:rsid w:val="00604CF3"/>
    <w:rsid w:val="00604FAC"/>
    <w:rsid w:val="00605066"/>
    <w:rsid w:val="00605082"/>
    <w:rsid w:val="006050E7"/>
    <w:rsid w:val="0060533C"/>
    <w:rsid w:val="006054AE"/>
    <w:rsid w:val="006057C1"/>
    <w:rsid w:val="006058D3"/>
    <w:rsid w:val="00605BA2"/>
    <w:rsid w:val="00605C96"/>
    <w:rsid w:val="00605CAE"/>
    <w:rsid w:val="00605D18"/>
    <w:rsid w:val="00605D23"/>
    <w:rsid w:val="00606037"/>
    <w:rsid w:val="006060FF"/>
    <w:rsid w:val="00606112"/>
    <w:rsid w:val="0060627B"/>
    <w:rsid w:val="006064FB"/>
    <w:rsid w:val="0060683A"/>
    <w:rsid w:val="0060698D"/>
    <w:rsid w:val="00606B49"/>
    <w:rsid w:val="00606BC3"/>
    <w:rsid w:val="00606C21"/>
    <w:rsid w:val="00606C9C"/>
    <w:rsid w:val="00606CEA"/>
    <w:rsid w:val="00606DDA"/>
    <w:rsid w:val="00606E26"/>
    <w:rsid w:val="00606E66"/>
    <w:rsid w:val="00606E8C"/>
    <w:rsid w:val="00606EC2"/>
    <w:rsid w:val="00606FC9"/>
    <w:rsid w:val="006070D9"/>
    <w:rsid w:val="00607181"/>
    <w:rsid w:val="0060725F"/>
    <w:rsid w:val="00607343"/>
    <w:rsid w:val="0060740A"/>
    <w:rsid w:val="006075A3"/>
    <w:rsid w:val="0060777C"/>
    <w:rsid w:val="006078B2"/>
    <w:rsid w:val="0060792B"/>
    <w:rsid w:val="0060798A"/>
    <w:rsid w:val="006079FC"/>
    <w:rsid w:val="00607B4A"/>
    <w:rsid w:val="00607C9A"/>
    <w:rsid w:val="00607CB8"/>
    <w:rsid w:val="00607E0D"/>
    <w:rsid w:val="00607F03"/>
    <w:rsid w:val="00607F85"/>
    <w:rsid w:val="00610027"/>
    <w:rsid w:val="00610072"/>
    <w:rsid w:val="006100C0"/>
    <w:rsid w:val="006101A7"/>
    <w:rsid w:val="006102DC"/>
    <w:rsid w:val="00610324"/>
    <w:rsid w:val="00610336"/>
    <w:rsid w:val="0061050F"/>
    <w:rsid w:val="00610627"/>
    <w:rsid w:val="0061097A"/>
    <w:rsid w:val="00610A40"/>
    <w:rsid w:val="00610B0B"/>
    <w:rsid w:val="00610B29"/>
    <w:rsid w:val="00610C4B"/>
    <w:rsid w:val="00610C73"/>
    <w:rsid w:val="00610C9F"/>
    <w:rsid w:val="00610CBC"/>
    <w:rsid w:val="00610E3C"/>
    <w:rsid w:val="00610EC0"/>
    <w:rsid w:val="00610F6C"/>
    <w:rsid w:val="0061110D"/>
    <w:rsid w:val="006112DC"/>
    <w:rsid w:val="00611355"/>
    <w:rsid w:val="006113E0"/>
    <w:rsid w:val="006114F8"/>
    <w:rsid w:val="00611557"/>
    <w:rsid w:val="0061159B"/>
    <w:rsid w:val="006116DF"/>
    <w:rsid w:val="006118C4"/>
    <w:rsid w:val="00611A12"/>
    <w:rsid w:val="00611A97"/>
    <w:rsid w:val="00611C05"/>
    <w:rsid w:val="00611F36"/>
    <w:rsid w:val="006120BF"/>
    <w:rsid w:val="006122A1"/>
    <w:rsid w:val="006123C8"/>
    <w:rsid w:val="00612547"/>
    <w:rsid w:val="0061256D"/>
    <w:rsid w:val="00612596"/>
    <w:rsid w:val="00612744"/>
    <w:rsid w:val="00612824"/>
    <w:rsid w:val="00612884"/>
    <w:rsid w:val="006128E7"/>
    <w:rsid w:val="00612A80"/>
    <w:rsid w:val="00612AB5"/>
    <w:rsid w:val="00612C18"/>
    <w:rsid w:val="00612C1A"/>
    <w:rsid w:val="00612D37"/>
    <w:rsid w:val="00612D5D"/>
    <w:rsid w:val="00612E1A"/>
    <w:rsid w:val="00612F78"/>
    <w:rsid w:val="00612F9B"/>
    <w:rsid w:val="00613068"/>
    <w:rsid w:val="00613300"/>
    <w:rsid w:val="006133ED"/>
    <w:rsid w:val="00613482"/>
    <w:rsid w:val="00613566"/>
    <w:rsid w:val="006135E2"/>
    <w:rsid w:val="00613802"/>
    <w:rsid w:val="006138C8"/>
    <w:rsid w:val="006139C3"/>
    <w:rsid w:val="00613AAB"/>
    <w:rsid w:val="00613D01"/>
    <w:rsid w:val="00613FB2"/>
    <w:rsid w:val="00614393"/>
    <w:rsid w:val="006143E7"/>
    <w:rsid w:val="00614677"/>
    <w:rsid w:val="0061472F"/>
    <w:rsid w:val="0061476C"/>
    <w:rsid w:val="006149CB"/>
    <w:rsid w:val="006149CF"/>
    <w:rsid w:val="00614B4A"/>
    <w:rsid w:val="00614CC4"/>
    <w:rsid w:val="00614CCB"/>
    <w:rsid w:val="00614F07"/>
    <w:rsid w:val="00614F2F"/>
    <w:rsid w:val="00615128"/>
    <w:rsid w:val="0061514E"/>
    <w:rsid w:val="00615198"/>
    <w:rsid w:val="00615278"/>
    <w:rsid w:val="006152FA"/>
    <w:rsid w:val="00615346"/>
    <w:rsid w:val="00615365"/>
    <w:rsid w:val="006156FD"/>
    <w:rsid w:val="0061570A"/>
    <w:rsid w:val="00615752"/>
    <w:rsid w:val="0061584F"/>
    <w:rsid w:val="00615BC6"/>
    <w:rsid w:val="00615BF4"/>
    <w:rsid w:val="00615D05"/>
    <w:rsid w:val="00615D18"/>
    <w:rsid w:val="00615D95"/>
    <w:rsid w:val="00615E0D"/>
    <w:rsid w:val="00615E97"/>
    <w:rsid w:val="00615EB4"/>
    <w:rsid w:val="006160A2"/>
    <w:rsid w:val="00616128"/>
    <w:rsid w:val="0061621F"/>
    <w:rsid w:val="006162BC"/>
    <w:rsid w:val="006164C9"/>
    <w:rsid w:val="006166D8"/>
    <w:rsid w:val="0061673D"/>
    <w:rsid w:val="0061698F"/>
    <w:rsid w:val="00616A2E"/>
    <w:rsid w:val="00616B57"/>
    <w:rsid w:val="00616DC8"/>
    <w:rsid w:val="00616DD3"/>
    <w:rsid w:val="00616EC8"/>
    <w:rsid w:val="00616EFA"/>
    <w:rsid w:val="00616F8B"/>
    <w:rsid w:val="00616FA1"/>
    <w:rsid w:val="006170DE"/>
    <w:rsid w:val="00617435"/>
    <w:rsid w:val="006175A6"/>
    <w:rsid w:val="006176DB"/>
    <w:rsid w:val="0061773E"/>
    <w:rsid w:val="006177E4"/>
    <w:rsid w:val="006178AF"/>
    <w:rsid w:val="00617BB5"/>
    <w:rsid w:val="00617BC9"/>
    <w:rsid w:val="00617BF0"/>
    <w:rsid w:val="00617CCD"/>
    <w:rsid w:val="00617CEA"/>
    <w:rsid w:val="00617FF3"/>
    <w:rsid w:val="00620050"/>
    <w:rsid w:val="006200D3"/>
    <w:rsid w:val="0062014D"/>
    <w:rsid w:val="006201D4"/>
    <w:rsid w:val="006201F5"/>
    <w:rsid w:val="00620282"/>
    <w:rsid w:val="0062033B"/>
    <w:rsid w:val="00620354"/>
    <w:rsid w:val="0062049A"/>
    <w:rsid w:val="00620548"/>
    <w:rsid w:val="00620572"/>
    <w:rsid w:val="006205C4"/>
    <w:rsid w:val="006205FD"/>
    <w:rsid w:val="00620641"/>
    <w:rsid w:val="00620687"/>
    <w:rsid w:val="0062072D"/>
    <w:rsid w:val="00620751"/>
    <w:rsid w:val="006208D5"/>
    <w:rsid w:val="006209A9"/>
    <w:rsid w:val="00620C24"/>
    <w:rsid w:val="00620C5C"/>
    <w:rsid w:val="00620CEA"/>
    <w:rsid w:val="00620E2E"/>
    <w:rsid w:val="00620E62"/>
    <w:rsid w:val="00620E96"/>
    <w:rsid w:val="00620EC4"/>
    <w:rsid w:val="00620FB7"/>
    <w:rsid w:val="00620FEA"/>
    <w:rsid w:val="006210A8"/>
    <w:rsid w:val="006210B3"/>
    <w:rsid w:val="006212EE"/>
    <w:rsid w:val="00621550"/>
    <w:rsid w:val="00621594"/>
    <w:rsid w:val="006215A7"/>
    <w:rsid w:val="006216D3"/>
    <w:rsid w:val="006217C4"/>
    <w:rsid w:val="0062186C"/>
    <w:rsid w:val="006218F4"/>
    <w:rsid w:val="00621BDB"/>
    <w:rsid w:val="00621C7F"/>
    <w:rsid w:val="00621E00"/>
    <w:rsid w:val="00621FF6"/>
    <w:rsid w:val="0062205C"/>
    <w:rsid w:val="006220AE"/>
    <w:rsid w:val="006221E6"/>
    <w:rsid w:val="00622206"/>
    <w:rsid w:val="00622313"/>
    <w:rsid w:val="00622504"/>
    <w:rsid w:val="00622519"/>
    <w:rsid w:val="0062266E"/>
    <w:rsid w:val="006226BB"/>
    <w:rsid w:val="006226FE"/>
    <w:rsid w:val="006228CF"/>
    <w:rsid w:val="0062295F"/>
    <w:rsid w:val="00622CA6"/>
    <w:rsid w:val="00622D86"/>
    <w:rsid w:val="00622E96"/>
    <w:rsid w:val="00622EAC"/>
    <w:rsid w:val="00623143"/>
    <w:rsid w:val="0062327C"/>
    <w:rsid w:val="006232E4"/>
    <w:rsid w:val="0062335E"/>
    <w:rsid w:val="00623576"/>
    <w:rsid w:val="00623603"/>
    <w:rsid w:val="0062361B"/>
    <w:rsid w:val="006236E3"/>
    <w:rsid w:val="006236F8"/>
    <w:rsid w:val="006237C0"/>
    <w:rsid w:val="00623847"/>
    <w:rsid w:val="006238EA"/>
    <w:rsid w:val="00623A7B"/>
    <w:rsid w:val="006240A4"/>
    <w:rsid w:val="006245C6"/>
    <w:rsid w:val="006245D5"/>
    <w:rsid w:val="00624635"/>
    <w:rsid w:val="00624868"/>
    <w:rsid w:val="00624975"/>
    <w:rsid w:val="006249B8"/>
    <w:rsid w:val="00624A8B"/>
    <w:rsid w:val="00624B90"/>
    <w:rsid w:val="00624B95"/>
    <w:rsid w:val="00624DEB"/>
    <w:rsid w:val="00624E05"/>
    <w:rsid w:val="00625256"/>
    <w:rsid w:val="0062532C"/>
    <w:rsid w:val="0062547C"/>
    <w:rsid w:val="006255E3"/>
    <w:rsid w:val="00625630"/>
    <w:rsid w:val="00625982"/>
    <w:rsid w:val="00625AE7"/>
    <w:rsid w:val="00625C95"/>
    <w:rsid w:val="00625E36"/>
    <w:rsid w:val="0062608C"/>
    <w:rsid w:val="006260DF"/>
    <w:rsid w:val="0062665E"/>
    <w:rsid w:val="006267D1"/>
    <w:rsid w:val="0062686D"/>
    <w:rsid w:val="006269BC"/>
    <w:rsid w:val="00626AA9"/>
    <w:rsid w:val="00626AFD"/>
    <w:rsid w:val="00626BBA"/>
    <w:rsid w:val="00626C3F"/>
    <w:rsid w:val="00626C4D"/>
    <w:rsid w:val="00626CB4"/>
    <w:rsid w:val="00626CCF"/>
    <w:rsid w:val="00626CDF"/>
    <w:rsid w:val="00626DA2"/>
    <w:rsid w:val="00626DD0"/>
    <w:rsid w:val="00626E7E"/>
    <w:rsid w:val="00626EC7"/>
    <w:rsid w:val="00626EE0"/>
    <w:rsid w:val="00627220"/>
    <w:rsid w:val="00627594"/>
    <w:rsid w:val="00627619"/>
    <w:rsid w:val="0062764B"/>
    <w:rsid w:val="00627842"/>
    <w:rsid w:val="00627909"/>
    <w:rsid w:val="00627936"/>
    <w:rsid w:val="00627939"/>
    <w:rsid w:val="0062795C"/>
    <w:rsid w:val="00627967"/>
    <w:rsid w:val="006279AA"/>
    <w:rsid w:val="00627A15"/>
    <w:rsid w:val="00627FA8"/>
    <w:rsid w:val="0063046C"/>
    <w:rsid w:val="0063050D"/>
    <w:rsid w:val="0063060F"/>
    <w:rsid w:val="00630673"/>
    <w:rsid w:val="006306AD"/>
    <w:rsid w:val="00630811"/>
    <w:rsid w:val="006308D3"/>
    <w:rsid w:val="006308FB"/>
    <w:rsid w:val="0063098C"/>
    <w:rsid w:val="006309B6"/>
    <w:rsid w:val="00630A1C"/>
    <w:rsid w:val="00630ADE"/>
    <w:rsid w:val="00630AE7"/>
    <w:rsid w:val="00630B3A"/>
    <w:rsid w:val="00630BB2"/>
    <w:rsid w:val="00630BF6"/>
    <w:rsid w:val="00630D7C"/>
    <w:rsid w:val="00630F02"/>
    <w:rsid w:val="006310D5"/>
    <w:rsid w:val="006310F6"/>
    <w:rsid w:val="0063135C"/>
    <w:rsid w:val="0063152F"/>
    <w:rsid w:val="006317B7"/>
    <w:rsid w:val="00631845"/>
    <w:rsid w:val="00631926"/>
    <w:rsid w:val="00631B46"/>
    <w:rsid w:val="00631C3A"/>
    <w:rsid w:val="00631CBE"/>
    <w:rsid w:val="00631CDA"/>
    <w:rsid w:val="00631DCB"/>
    <w:rsid w:val="00631DF6"/>
    <w:rsid w:val="00631E78"/>
    <w:rsid w:val="00631F22"/>
    <w:rsid w:val="00632170"/>
    <w:rsid w:val="006324E1"/>
    <w:rsid w:val="006325BE"/>
    <w:rsid w:val="006325D4"/>
    <w:rsid w:val="00632696"/>
    <w:rsid w:val="0063271F"/>
    <w:rsid w:val="00632736"/>
    <w:rsid w:val="006327CC"/>
    <w:rsid w:val="006328C5"/>
    <w:rsid w:val="00632A48"/>
    <w:rsid w:val="00632BCF"/>
    <w:rsid w:val="00632C61"/>
    <w:rsid w:val="00632EEF"/>
    <w:rsid w:val="00632F10"/>
    <w:rsid w:val="00632FC7"/>
    <w:rsid w:val="006331CF"/>
    <w:rsid w:val="0063328F"/>
    <w:rsid w:val="006332A9"/>
    <w:rsid w:val="00633409"/>
    <w:rsid w:val="006334B7"/>
    <w:rsid w:val="006334E9"/>
    <w:rsid w:val="0063353B"/>
    <w:rsid w:val="0063387D"/>
    <w:rsid w:val="00633995"/>
    <w:rsid w:val="00633C63"/>
    <w:rsid w:val="00633D46"/>
    <w:rsid w:val="00633D59"/>
    <w:rsid w:val="00633D83"/>
    <w:rsid w:val="00633EF1"/>
    <w:rsid w:val="006340C4"/>
    <w:rsid w:val="0063415D"/>
    <w:rsid w:val="00634230"/>
    <w:rsid w:val="00634356"/>
    <w:rsid w:val="00634395"/>
    <w:rsid w:val="006343E7"/>
    <w:rsid w:val="0063458B"/>
    <w:rsid w:val="00634643"/>
    <w:rsid w:val="006346C7"/>
    <w:rsid w:val="006346E7"/>
    <w:rsid w:val="00634715"/>
    <w:rsid w:val="006347AB"/>
    <w:rsid w:val="006347E5"/>
    <w:rsid w:val="00634850"/>
    <w:rsid w:val="00634A07"/>
    <w:rsid w:val="00634A70"/>
    <w:rsid w:val="00634B63"/>
    <w:rsid w:val="00634E3D"/>
    <w:rsid w:val="00634E59"/>
    <w:rsid w:val="00634F0D"/>
    <w:rsid w:val="00635023"/>
    <w:rsid w:val="006352A1"/>
    <w:rsid w:val="006352F1"/>
    <w:rsid w:val="00635304"/>
    <w:rsid w:val="0063537A"/>
    <w:rsid w:val="00635413"/>
    <w:rsid w:val="006354A5"/>
    <w:rsid w:val="00635611"/>
    <w:rsid w:val="006357A6"/>
    <w:rsid w:val="006358A4"/>
    <w:rsid w:val="00635906"/>
    <w:rsid w:val="00635937"/>
    <w:rsid w:val="00635B56"/>
    <w:rsid w:val="00635B5E"/>
    <w:rsid w:val="00635BCB"/>
    <w:rsid w:val="00635C3F"/>
    <w:rsid w:val="00635C65"/>
    <w:rsid w:val="00635C8F"/>
    <w:rsid w:val="006360AF"/>
    <w:rsid w:val="006365CE"/>
    <w:rsid w:val="006366FD"/>
    <w:rsid w:val="00636823"/>
    <w:rsid w:val="00636892"/>
    <w:rsid w:val="006368E7"/>
    <w:rsid w:val="00636958"/>
    <w:rsid w:val="00636C82"/>
    <w:rsid w:val="00636D16"/>
    <w:rsid w:val="00636DCD"/>
    <w:rsid w:val="00636E47"/>
    <w:rsid w:val="00637093"/>
    <w:rsid w:val="006371E5"/>
    <w:rsid w:val="006372A0"/>
    <w:rsid w:val="0063736A"/>
    <w:rsid w:val="0063738D"/>
    <w:rsid w:val="006374B1"/>
    <w:rsid w:val="0063782E"/>
    <w:rsid w:val="00637885"/>
    <w:rsid w:val="0063793A"/>
    <w:rsid w:val="00637A0D"/>
    <w:rsid w:val="00637AFE"/>
    <w:rsid w:val="00637BE9"/>
    <w:rsid w:val="00637C5E"/>
    <w:rsid w:val="00637D08"/>
    <w:rsid w:val="00637D2F"/>
    <w:rsid w:val="00637E24"/>
    <w:rsid w:val="00637E3C"/>
    <w:rsid w:val="006400F8"/>
    <w:rsid w:val="00640117"/>
    <w:rsid w:val="00640190"/>
    <w:rsid w:val="006402A6"/>
    <w:rsid w:val="00640301"/>
    <w:rsid w:val="006403BD"/>
    <w:rsid w:val="00640577"/>
    <w:rsid w:val="0064068D"/>
    <w:rsid w:val="006406B4"/>
    <w:rsid w:val="006406DF"/>
    <w:rsid w:val="006409C4"/>
    <w:rsid w:val="00640A68"/>
    <w:rsid w:val="00640BC7"/>
    <w:rsid w:val="00640D67"/>
    <w:rsid w:val="00640D6B"/>
    <w:rsid w:val="00640EBB"/>
    <w:rsid w:val="00640F02"/>
    <w:rsid w:val="00640F20"/>
    <w:rsid w:val="0064109F"/>
    <w:rsid w:val="00641232"/>
    <w:rsid w:val="00641570"/>
    <w:rsid w:val="006415A8"/>
    <w:rsid w:val="00641700"/>
    <w:rsid w:val="00641734"/>
    <w:rsid w:val="00641839"/>
    <w:rsid w:val="0064188B"/>
    <w:rsid w:val="00641B41"/>
    <w:rsid w:val="00641C0A"/>
    <w:rsid w:val="00641C44"/>
    <w:rsid w:val="00641D7F"/>
    <w:rsid w:val="00642014"/>
    <w:rsid w:val="00642018"/>
    <w:rsid w:val="00642297"/>
    <w:rsid w:val="0064255C"/>
    <w:rsid w:val="0064266D"/>
    <w:rsid w:val="00642842"/>
    <w:rsid w:val="00642944"/>
    <w:rsid w:val="00642A27"/>
    <w:rsid w:val="00642B8F"/>
    <w:rsid w:val="00642CC2"/>
    <w:rsid w:val="00642FC8"/>
    <w:rsid w:val="00643130"/>
    <w:rsid w:val="00643139"/>
    <w:rsid w:val="006432F3"/>
    <w:rsid w:val="00643450"/>
    <w:rsid w:val="0064351F"/>
    <w:rsid w:val="00643548"/>
    <w:rsid w:val="006435A1"/>
    <w:rsid w:val="006435E7"/>
    <w:rsid w:val="00643726"/>
    <w:rsid w:val="006439ED"/>
    <w:rsid w:val="006439F1"/>
    <w:rsid w:val="00643A28"/>
    <w:rsid w:val="00643A50"/>
    <w:rsid w:val="00643B07"/>
    <w:rsid w:val="00643B1D"/>
    <w:rsid w:val="00643C71"/>
    <w:rsid w:val="00643E7A"/>
    <w:rsid w:val="00643E93"/>
    <w:rsid w:val="00643FC4"/>
    <w:rsid w:val="0064416B"/>
    <w:rsid w:val="00644197"/>
    <w:rsid w:val="006441B3"/>
    <w:rsid w:val="00644328"/>
    <w:rsid w:val="006443DB"/>
    <w:rsid w:val="00644432"/>
    <w:rsid w:val="00644485"/>
    <w:rsid w:val="006444D5"/>
    <w:rsid w:val="00644504"/>
    <w:rsid w:val="0064488E"/>
    <w:rsid w:val="00644902"/>
    <w:rsid w:val="00644919"/>
    <w:rsid w:val="00644BCC"/>
    <w:rsid w:val="00644C8D"/>
    <w:rsid w:val="00644E2C"/>
    <w:rsid w:val="00644FC4"/>
    <w:rsid w:val="00645234"/>
    <w:rsid w:val="00645572"/>
    <w:rsid w:val="006456A9"/>
    <w:rsid w:val="0064580C"/>
    <w:rsid w:val="006459B0"/>
    <w:rsid w:val="00645A01"/>
    <w:rsid w:val="00645B30"/>
    <w:rsid w:val="00645D03"/>
    <w:rsid w:val="00645DDD"/>
    <w:rsid w:val="00645DF7"/>
    <w:rsid w:val="00645E01"/>
    <w:rsid w:val="00645F1F"/>
    <w:rsid w:val="00646222"/>
    <w:rsid w:val="00646234"/>
    <w:rsid w:val="00646318"/>
    <w:rsid w:val="006463D3"/>
    <w:rsid w:val="006464BA"/>
    <w:rsid w:val="006465AF"/>
    <w:rsid w:val="006465F9"/>
    <w:rsid w:val="006466B7"/>
    <w:rsid w:val="00646728"/>
    <w:rsid w:val="00646753"/>
    <w:rsid w:val="00646888"/>
    <w:rsid w:val="00646901"/>
    <w:rsid w:val="00646927"/>
    <w:rsid w:val="00646936"/>
    <w:rsid w:val="00646A20"/>
    <w:rsid w:val="00646B6F"/>
    <w:rsid w:val="00646CDE"/>
    <w:rsid w:val="00646D68"/>
    <w:rsid w:val="00646F45"/>
    <w:rsid w:val="00646F48"/>
    <w:rsid w:val="00647000"/>
    <w:rsid w:val="006472F7"/>
    <w:rsid w:val="0064739B"/>
    <w:rsid w:val="0064744A"/>
    <w:rsid w:val="0064747F"/>
    <w:rsid w:val="0064749F"/>
    <w:rsid w:val="006475BD"/>
    <w:rsid w:val="00647622"/>
    <w:rsid w:val="00647773"/>
    <w:rsid w:val="00647794"/>
    <w:rsid w:val="006477F2"/>
    <w:rsid w:val="0064786C"/>
    <w:rsid w:val="0064796E"/>
    <w:rsid w:val="00647971"/>
    <w:rsid w:val="00647A8F"/>
    <w:rsid w:val="00647CA8"/>
    <w:rsid w:val="00647DBF"/>
    <w:rsid w:val="00647E0D"/>
    <w:rsid w:val="00647F4E"/>
    <w:rsid w:val="00650050"/>
    <w:rsid w:val="0065028D"/>
    <w:rsid w:val="006502A8"/>
    <w:rsid w:val="00650311"/>
    <w:rsid w:val="006503C0"/>
    <w:rsid w:val="006506E6"/>
    <w:rsid w:val="006506F7"/>
    <w:rsid w:val="006508C0"/>
    <w:rsid w:val="0065098D"/>
    <w:rsid w:val="00650AA4"/>
    <w:rsid w:val="00650B47"/>
    <w:rsid w:val="00650BF5"/>
    <w:rsid w:val="00650D2A"/>
    <w:rsid w:val="00650D9A"/>
    <w:rsid w:val="006510A7"/>
    <w:rsid w:val="006510B2"/>
    <w:rsid w:val="00651252"/>
    <w:rsid w:val="006512C9"/>
    <w:rsid w:val="006512FA"/>
    <w:rsid w:val="00651408"/>
    <w:rsid w:val="00651422"/>
    <w:rsid w:val="006514C0"/>
    <w:rsid w:val="006515BB"/>
    <w:rsid w:val="006516D8"/>
    <w:rsid w:val="00651756"/>
    <w:rsid w:val="006517D9"/>
    <w:rsid w:val="00651842"/>
    <w:rsid w:val="00651926"/>
    <w:rsid w:val="00651AA6"/>
    <w:rsid w:val="00651BB3"/>
    <w:rsid w:val="00651CCF"/>
    <w:rsid w:val="00651FA8"/>
    <w:rsid w:val="006524C8"/>
    <w:rsid w:val="006526F8"/>
    <w:rsid w:val="0065276C"/>
    <w:rsid w:val="006527FF"/>
    <w:rsid w:val="006528A6"/>
    <w:rsid w:val="006529C5"/>
    <w:rsid w:val="00652B0B"/>
    <w:rsid w:val="00652E13"/>
    <w:rsid w:val="00652F2E"/>
    <w:rsid w:val="00652FF0"/>
    <w:rsid w:val="00653189"/>
    <w:rsid w:val="0065318C"/>
    <w:rsid w:val="00653245"/>
    <w:rsid w:val="006532D3"/>
    <w:rsid w:val="006532FF"/>
    <w:rsid w:val="00653310"/>
    <w:rsid w:val="00653325"/>
    <w:rsid w:val="006533D1"/>
    <w:rsid w:val="00653535"/>
    <w:rsid w:val="006535BF"/>
    <w:rsid w:val="00653745"/>
    <w:rsid w:val="0065379D"/>
    <w:rsid w:val="00653986"/>
    <w:rsid w:val="006539BF"/>
    <w:rsid w:val="006539D1"/>
    <w:rsid w:val="00653A67"/>
    <w:rsid w:val="00653AD2"/>
    <w:rsid w:val="00653BB0"/>
    <w:rsid w:val="00653C05"/>
    <w:rsid w:val="00653D71"/>
    <w:rsid w:val="00653E4B"/>
    <w:rsid w:val="00653EC1"/>
    <w:rsid w:val="00653ECF"/>
    <w:rsid w:val="00653FB6"/>
    <w:rsid w:val="006540AC"/>
    <w:rsid w:val="00654201"/>
    <w:rsid w:val="006542E8"/>
    <w:rsid w:val="0065434D"/>
    <w:rsid w:val="006543C5"/>
    <w:rsid w:val="0065464C"/>
    <w:rsid w:val="0065479A"/>
    <w:rsid w:val="00654A4C"/>
    <w:rsid w:val="00654B2F"/>
    <w:rsid w:val="00654CBE"/>
    <w:rsid w:val="00654D78"/>
    <w:rsid w:val="00654E86"/>
    <w:rsid w:val="00654E98"/>
    <w:rsid w:val="00654FF1"/>
    <w:rsid w:val="006551EA"/>
    <w:rsid w:val="006551F6"/>
    <w:rsid w:val="00655250"/>
    <w:rsid w:val="00655368"/>
    <w:rsid w:val="006553D2"/>
    <w:rsid w:val="00655430"/>
    <w:rsid w:val="006554D2"/>
    <w:rsid w:val="0065558C"/>
    <w:rsid w:val="006556E9"/>
    <w:rsid w:val="006558C8"/>
    <w:rsid w:val="0065594A"/>
    <w:rsid w:val="00655ABC"/>
    <w:rsid w:val="00655B9A"/>
    <w:rsid w:val="00655C1C"/>
    <w:rsid w:val="00655D6D"/>
    <w:rsid w:val="00655DAB"/>
    <w:rsid w:val="00655DBE"/>
    <w:rsid w:val="00655FEE"/>
    <w:rsid w:val="0065603C"/>
    <w:rsid w:val="00656156"/>
    <w:rsid w:val="0065615F"/>
    <w:rsid w:val="006561FA"/>
    <w:rsid w:val="0065631D"/>
    <w:rsid w:val="006564FF"/>
    <w:rsid w:val="0065655F"/>
    <w:rsid w:val="0065662B"/>
    <w:rsid w:val="006567E0"/>
    <w:rsid w:val="00656915"/>
    <w:rsid w:val="00656A8A"/>
    <w:rsid w:val="00656A97"/>
    <w:rsid w:val="00656B04"/>
    <w:rsid w:val="00656DEB"/>
    <w:rsid w:val="00656F2F"/>
    <w:rsid w:val="00656F71"/>
    <w:rsid w:val="00657008"/>
    <w:rsid w:val="00657149"/>
    <w:rsid w:val="006571A3"/>
    <w:rsid w:val="00657354"/>
    <w:rsid w:val="00657593"/>
    <w:rsid w:val="006575CF"/>
    <w:rsid w:val="00657617"/>
    <w:rsid w:val="00657631"/>
    <w:rsid w:val="006576D1"/>
    <w:rsid w:val="00657824"/>
    <w:rsid w:val="00657885"/>
    <w:rsid w:val="00657A4D"/>
    <w:rsid w:val="00657A7D"/>
    <w:rsid w:val="00657AC7"/>
    <w:rsid w:val="00657AF1"/>
    <w:rsid w:val="00657BA8"/>
    <w:rsid w:val="00657DDB"/>
    <w:rsid w:val="00657E5C"/>
    <w:rsid w:val="00657E7C"/>
    <w:rsid w:val="00660028"/>
    <w:rsid w:val="00660038"/>
    <w:rsid w:val="00660158"/>
    <w:rsid w:val="0066017A"/>
    <w:rsid w:val="00660253"/>
    <w:rsid w:val="006602AF"/>
    <w:rsid w:val="0066073C"/>
    <w:rsid w:val="0066075A"/>
    <w:rsid w:val="00660822"/>
    <w:rsid w:val="006608A7"/>
    <w:rsid w:val="0066095D"/>
    <w:rsid w:val="00660A95"/>
    <w:rsid w:val="00660AB2"/>
    <w:rsid w:val="00660B61"/>
    <w:rsid w:val="00660BE1"/>
    <w:rsid w:val="00660BFE"/>
    <w:rsid w:val="00660C4B"/>
    <w:rsid w:val="00660C68"/>
    <w:rsid w:val="00660DE6"/>
    <w:rsid w:val="00660DF0"/>
    <w:rsid w:val="00660E95"/>
    <w:rsid w:val="00660F13"/>
    <w:rsid w:val="00660F70"/>
    <w:rsid w:val="0066106F"/>
    <w:rsid w:val="006610B3"/>
    <w:rsid w:val="006611D6"/>
    <w:rsid w:val="006611DD"/>
    <w:rsid w:val="006612FD"/>
    <w:rsid w:val="0066154E"/>
    <w:rsid w:val="00661928"/>
    <w:rsid w:val="006619A7"/>
    <w:rsid w:val="00661A72"/>
    <w:rsid w:val="00661C35"/>
    <w:rsid w:val="006620DB"/>
    <w:rsid w:val="0066212A"/>
    <w:rsid w:val="00662135"/>
    <w:rsid w:val="00662209"/>
    <w:rsid w:val="0066226D"/>
    <w:rsid w:val="006622B6"/>
    <w:rsid w:val="006622C6"/>
    <w:rsid w:val="00662428"/>
    <w:rsid w:val="0066242B"/>
    <w:rsid w:val="0066269D"/>
    <w:rsid w:val="006626ED"/>
    <w:rsid w:val="006626F9"/>
    <w:rsid w:val="00662843"/>
    <w:rsid w:val="006628BE"/>
    <w:rsid w:val="00662B90"/>
    <w:rsid w:val="00662D13"/>
    <w:rsid w:val="00662EB0"/>
    <w:rsid w:val="00662EBB"/>
    <w:rsid w:val="00662FB2"/>
    <w:rsid w:val="006633B6"/>
    <w:rsid w:val="00663474"/>
    <w:rsid w:val="00663567"/>
    <w:rsid w:val="00663601"/>
    <w:rsid w:val="00663666"/>
    <w:rsid w:val="006636DC"/>
    <w:rsid w:val="00663753"/>
    <w:rsid w:val="006638BF"/>
    <w:rsid w:val="006638D1"/>
    <w:rsid w:val="006639B1"/>
    <w:rsid w:val="00663B1F"/>
    <w:rsid w:val="00663B37"/>
    <w:rsid w:val="00663B6D"/>
    <w:rsid w:val="00663D77"/>
    <w:rsid w:val="00663E84"/>
    <w:rsid w:val="0066402C"/>
    <w:rsid w:val="006641B8"/>
    <w:rsid w:val="006642B1"/>
    <w:rsid w:val="006642CF"/>
    <w:rsid w:val="006642F0"/>
    <w:rsid w:val="006643D0"/>
    <w:rsid w:val="0066444C"/>
    <w:rsid w:val="006644CD"/>
    <w:rsid w:val="00664570"/>
    <w:rsid w:val="00664768"/>
    <w:rsid w:val="006647FF"/>
    <w:rsid w:val="006648AA"/>
    <w:rsid w:val="006648BF"/>
    <w:rsid w:val="00664927"/>
    <w:rsid w:val="00664B56"/>
    <w:rsid w:val="00664CAA"/>
    <w:rsid w:val="00664DB9"/>
    <w:rsid w:val="00664DC4"/>
    <w:rsid w:val="00664E24"/>
    <w:rsid w:val="00664F22"/>
    <w:rsid w:val="0066501A"/>
    <w:rsid w:val="00665094"/>
    <w:rsid w:val="006650B4"/>
    <w:rsid w:val="006651CA"/>
    <w:rsid w:val="00665241"/>
    <w:rsid w:val="00665303"/>
    <w:rsid w:val="006653E0"/>
    <w:rsid w:val="00665433"/>
    <w:rsid w:val="00665466"/>
    <w:rsid w:val="0066554A"/>
    <w:rsid w:val="00665864"/>
    <w:rsid w:val="0066586D"/>
    <w:rsid w:val="006659C8"/>
    <w:rsid w:val="00665A17"/>
    <w:rsid w:val="00665AE0"/>
    <w:rsid w:val="00665B9B"/>
    <w:rsid w:val="00665BB1"/>
    <w:rsid w:val="00665C10"/>
    <w:rsid w:val="00665E88"/>
    <w:rsid w:val="00665E9B"/>
    <w:rsid w:val="00665EC5"/>
    <w:rsid w:val="00665EF1"/>
    <w:rsid w:val="00665FD3"/>
    <w:rsid w:val="00666073"/>
    <w:rsid w:val="0066628B"/>
    <w:rsid w:val="006663D7"/>
    <w:rsid w:val="0066662A"/>
    <w:rsid w:val="00666669"/>
    <w:rsid w:val="006666A4"/>
    <w:rsid w:val="006666C0"/>
    <w:rsid w:val="006666CB"/>
    <w:rsid w:val="0066676C"/>
    <w:rsid w:val="006669D5"/>
    <w:rsid w:val="00666B66"/>
    <w:rsid w:val="00666CBB"/>
    <w:rsid w:val="00666EE5"/>
    <w:rsid w:val="00666F01"/>
    <w:rsid w:val="00666F36"/>
    <w:rsid w:val="00667078"/>
    <w:rsid w:val="006671CB"/>
    <w:rsid w:val="00667262"/>
    <w:rsid w:val="0066736C"/>
    <w:rsid w:val="00667593"/>
    <w:rsid w:val="00667685"/>
    <w:rsid w:val="0066775F"/>
    <w:rsid w:val="0066789F"/>
    <w:rsid w:val="006678FD"/>
    <w:rsid w:val="00667A2F"/>
    <w:rsid w:val="00667BA3"/>
    <w:rsid w:val="00667BC7"/>
    <w:rsid w:val="00667FB4"/>
    <w:rsid w:val="00670200"/>
    <w:rsid w:val="0067041E"/>
    <w:rsid w:val="006704AC"/>
    <w:rsid w:val="00670547"/>
    <w:rsid w:val="00670642"/>
    <w:rsid w:val="00670675"/>
    <w:rsid w:val="006706CC"/>
    <w:rsid w:val="006706E2"/>
    <w:rsid w:val="00670747"/>
    <w:rsid w:val="006707B8"/>
    <w:rsid w:val="006709E8"/>
    <w:rsid w:val="00670A5C"/>
    <w:rsid w:val="00670ADC"/>
    <w:rsid w:val="00670B8D"/>
    <w:rsid w:val="00670B98"/>
    <w:rsid w:val="00670DD8"/>
    <w:rsid w:val="00670E99"/>
    <w:rsid w:val="006710FE"/>
    <w:rsid w:val="006711ED"/>
    <w:rsid w:val="0067124E"/>
    <w:rsid w:val="006712BF"/>
    <w:rsid w:val="0067158B"/>
    <w:rsid w:val="006716AA"/>
    <w:rsid w:val="006717A7"/>
    <w:rsid w:val="00671814"/>
    <w:rsid w:val="00671C5A"/>
    <w:rsid w:val="00671D23"/>
    <w:rsid w:val="00671F70"/>
    <w:rsid w:val="00671F7E"/>
    <w:rsid w:val="00672156"/>
    <w:rsid w:val="00672333"/>
    <w:rsid w:val="0067267C"/>
    <w:rsid w:val="00672738"/>
    <w:rsid w:val="006727C4"/>
    <w:rsid w:val="006728EC"/>
    <w:rsid w:val="0067295D"/>
    <w:rsid w:val="00672978"/>
    <w:rsid w:val="00672DC9"/>
    <w:rsid w:val="00672DED"/>
    <w:rsid w:val="00672E6C"/>
    <w:rsid w:val="00672EA4"/>
    <w:rsid w:val="00672EDC"/>
    <w:rsid w:val="00672F4B"/>
    <w:rsid w:val="00672FF1"/>
    <w:rsid w:val="00673196"/>
    <w:rsid w:val="006731F4"/>
    <w:rsid w:val="0067320F"/>
    <w:rsid w:val="0067321F"/>
    <w:rsid w:val="00673220"/>
    <w:rsid w:val="006732F5"/>
    <w:rsid w:val="006733CC"/>
    <w:rsid w:val="006735A9"/>
    <w:rsid w:val="006735B4"/>
    <w:rsid w:val="006735E1"/>
    <w:rsid w:val="006735E5"/>
    <w:rsid w:val="0067376E"/>
    <w:rsid w:val="006739AA"/>
    <w:rsid w:val="00673D79"/>
    <w:rsid w:val="00673DD2"/>
    <w:rsid w:val="006740EF"/>
    <w:rsid w:val="00674105"/>
    <w:rsid w:val="006746B8"/>
    <w:rsid w:val="0067471D"/>
    <w:rsid w:val="0067479C"/>
    <w:rsid w:val="006747AD"/>
    <w:rsid w:val="0067486D"/>
    <w:rsid w:val="00674A21"/>
    <w:rsid w:val="00674B4D"/>
    <w:rsid w:val="00674C4A"/>
    <w:rsid w:val="00674C8E"/>
    <w:rsid w:val="00674DA4"/>
    <w:rsid w:val="00674DBE"/>
    <w:rsid w:val="00674E8A"/>
    <w:rsid w:val="00674EC7"/>
    <w:rsid w:val="0067501C"/>
    <w:rsid w:val="006751E5"/>
    <w:rsid w:val="00675254"/>
    <w:rsid w:val="006753C4"/>
    <w:rsid w:val="006754C2"/>
    <w:rsid w:val="006755A9"/>
    <w:rsid w:val="0067571B"/>
    <w:rsid w:val="00675787"/>
    <w:rsid w:val="00675815"/>
    <w:rsid w:val="006759AE"/>
    <w:rsid w:val="00675B0A"/>
    <w:rsid w:val="00675C99"/>
    <w:rsid w:val="00675D1E"/>
    <w:rsid w:val="00675D77"/>
    <w:rsid w:val="00675EE4"/>
    <w:rsid w:val="00675FDF"/>
    <w:rsid w:val="006762B3"/>
    <w:rsid w:val="00676350"/>
    <w:rsid w:val="0067659E"/>
    <w:rsid w:val="006766B0"/>
    <w:rsid w:val="006767E7"/>
    <w:rsid w:val="0067686F"/>
    <w:rsid w:val="006768B8"/>
    <w:rsid w:val="0067690E"/>
    <w:rsid w:val="00676A40"/>
    <w:rsid w:val="00676A69"/>
    <w:rsid w:val="00676C2F"/>
    <w:rsid w:val="00676C3D"/>
    <w:rsid w:val="00676E0D"/>
    <w:rsid w:val="006770FC"/>
    <w:rsid w:val="006771EE"/>
    <w:rsid w:val="006772B0"/>
    <w:rsid w:val="006772ED"/>
    <w:rsid w:val="0067739C"/>
    <w:rsid w:val="006774CF"/>
    <w:rsid w:val="0067768C"/>
    <w:rsid w:val="0067789C"/>
    <w:rsid w:val="006778EC"/>
    <w:rsid w:val="006779D4"/>
    <w:rsid w:val="00677B10"/>
    <w:rsid w:val="00677E7D"/>
    <w:rsid w:val="00677EA6"/>
    <w:rsid w:val="006800A4"/>
    <w:rsid w:val="006802A0"/>
    <w:rsid w:val="0068038C"/>
    <w:rsid w:val="0068051B"/>
    <w:rsid w:val="0068056E"/>
    <w:rsid w:val="00680594"/>
    <w:rsid w:val="006808BC"/>
    <w:rsid w:val="0068093D"/>
    <w:rsid w:val="0068096B"/>
    <w:rsid w:val="00680972"/>
    <w:rsid w:val="006809BB"/>
    <w:rsid w:val="00680C29"/>
    <w:rsid w:val="00680D64"/>
    <w:rsid w:val="0068100C"/>
    <w:rsid w:val="00681036"/>
    <w:rsid w:val="00681057"/>
    <w:rsid w:val="0068127D"/>
    <w:rsid w:val="00681308"/>
    <w:rsid w:val="006813F5"/>
    <w:rsid w:val="00681434"/>
    <w:rsid w:val="0068174B"/>
    <w:rsid w:val="006817C7"/>
    <w:rsid w:val="00681A0B"/>
    <w:rsid w:val="00681A29"/>
    <w:rsid w:val="00681D44"/>
    <w:rsid w:val="00681DB9"/>
    <w:rsid w:val="00681E6D"/>
    <w:rsid w:val="00682061"/>
    <w:rsid w:val="0068213F"/>
    <w:rsid w:val="00682172"/>
    <w:rsid w:val="00682222"/>
    <w:rsid w:val="006825AE"/>
    <w:rsid w:val="0068268F"/>
    <w:rsid w:val="006826F2"/>
    <w:rsid w:val="006828A5"/>
    <w:rsid w:val="006828CB"/>
    <w:rsid w:val="00682959"/>
    <w:rsid w:val="00682AAD"/>
    <w:rsid w:val="00682AC4"/>
    <w:rsid w:val="00682AF5"/>
    <w:rsid w:val="00682B0D"/>
    <w:rsid w:val="00682B2E"/>
    <w:rsid w:val="00682E57"/>
    <w:rsid w:val="00682EEC"/>
    <w:rsid w:val="006833AE"/>
    <w:rsid w:val="0068343C"/>
    <w:rsid w:val="006834A8"/>
    <w:rsid w:val="006834B6"/>
    <w:rsid w:val="00683699"/>
    <w:rsid w:val="00683700"/>
    <w:rsid w:val="00683811"/>
    <w:rsid w:val="006838D6"/>
    <w:rsid w:val="00683945"/>
    <w:rsid w:val="006839C3"/>
    <w:rsid w:val="006839D8"/>
    <w:rsid w:val="00683CA6"/>
    <w:rsid w:val="00683D26"/>
    <w:rsid w:val="00683D9C"/>
    <w:rsid w:val="00683EF3"/>
    <w:rsid w:val="00683F04"/>
    <w:rsid w:val="00683FE7"/>
    <w:rsid w:val="0068407E"/>
    <w:rsid w:val="0068416C"/>
    <w:rsid w:val="0068418B"/>
    <w:rsid w:val="006841DB"/>
    <w:rsid w:val="006842F6"/>
    <w:rsid w:val="0068439C"/>
    <w:rsid w:val="006843A0"/>
    <w:rsid w:val="006843BF"/>
    <w:rsid w:val="006843F7"/>
    <w:rsid w:val="0068463B"/>
    <w:rsid w:val="0068468B"/>
    <w:rsid w:val="0068477E"/>
    <w:rsid w:val="00684872"/>
    <w:rsid w:val="0068496D"/>
    <w:rsid w:val="006849CC"/>
    <w:rsid w:val="00684B39"/>
    <w:rsid w:val="00684BAC"/>
    <w:rsid w:val="00684C01"/>
    <w:rsid w:val="00684C17"/>
    <w:rsid w:val="00684C1C"/>
    <w:rsid w:val="00684CA5"/>
    <w:rsid w:val="00684DBE"/>
    <w:rsid w:val="00684ED3"/>
    <w:rsid w:val="0068505F"/>
    <w:rsid w:val="006851A4"/>
    <w:rsid w:val="006852DC"/>
    <w:rsid w:val="00685379"/>
    <w:rsid w:val="006855E5"/>
    <w:rsid w:val="00685656"/>
    <w:rsid w:val="00685681"/>
    <w:rsid w:val="0068582B"/>
    <w:rsid w:val="006858F4"/>
    <w:rsid w:val="00685983"/>
    <w:rsid w:val="00685A2C"/>
    <w:rsid w:val="00685B8E"/>
    <w:rsid w:val="00685E1A"/>
    <w:rsid w:val="00685FEB"/>
    <w:rsid w:val="0068617A"/>
    <w:rsid w:val="006861D0"/>
    <w:rsid w:val="00686277"/>
    <w:rsid w:val="0068628D"/>
    <w:rsid w:val="00686698"/>
    <w:rsid w:val="00686757"/>
    <w:rsid w:val="006867D1"/>
    <w:rsid w:val="00686804"/>
    <w:rsid w:val="00686815"/>
    <w:rsid w:val="0068687E"/>
    <w:rsid w:val="006869BD"/>
    <w:rsid w:val="006869FA"/>
    <w:rsid w:val="00686B7C"/>
    <w:rsid w:val="00686D9E"/>
    <w:rsid w:val="00686FB0"/>
    <w:rsid w:val="00687046"/>
    <w:rsid w:val="006871F2"/>
    <w:rsid w:val="0068724F"/>
    <w:rsid w:val="0068725A"/>
    <w:rsid w:val="0068736B"/>
    <w:rsid w:val="00687498"/>
    <w:rsid w:val="006875BE"/>
    <w:rsid w:val="006876D5"/>
    <w:rsid w:val="00687736"/>
    <w:rsid w:val="00687747"/>
    <w:rsid w:val="006879EF"/>
    <w:rsid w:val="00687D11"/>
    <w:rsid w:val="00687DE9"/>
    <w:rsid w:val="00687F12"/>
    <w:rsid w:val="00687FFB"/>
    <w:rsid w:val="00690119"/>
    <w:rsid w:val="00690259"/>
    <w:rsid w:val="0069036F"/>
    <w:rsid w:val="00690464"/>
    <w:rsid w:val="00690545"/>
    <w:rsid w:val="0069054D"/>
    <w:rsid w:val="00690735"/>
    <w:rsid w:val="0069073D"/>
    <w:rsid w:val="0069087B"/>
    <w:rsid w:val="0069089D"/>
    <w:rsid w:val="00690D27"/>
    <w:rsid w:val="00690FB1"/>
    <w:rsid w:val="00690FE6"/>
    <w:rsid w:val="0069115B"/>
    <w:rsid w:val="00691260"/>
    <w:rsid w:val="006913D2"/>
    <w:rsid w:val="00691794"/>
    <w:rsid w:val="0069181E"/>
    <w:rsid w:val="00691A21"/>
    <w:rsid w:val="00691BD8"/>
    <w:rsid w:val="00691C6F"/>
    <w:rsid w:val="00691EB5"/>
    <w:rsid w:val="00691FF9"/>
    <w:rsid w:val="00692052"/>
    <w:rsid w:val="00692194"/>
    <w:rsid w:val="00692208"/>
    <w:rsid w:val="006923D3"/>
    <w:rsid w:val="006924BD"/>
    <w:rsid w:val="006924DE"/>
    <w:rsid w:val="006926B5"/>
    <w:rsid w:val="0069282F"/>
    <w:rsid w:val="00692894"/>
    <w:rsid w:val="00692931"/>
    <w:rsid w:val="006929A2"/>
    <w:rsid w:val="00692B1A"/>
    <w:rsid w:val="00692DEF"/>
    <w:rsid w:val="00692E19"/>
    <w:rsid w:val="00692E83"/>
    <w:rsid w:val="00693013"/>
    <w:rsid w:val="00693177"/>
    <w:rsid w:val="006932B2"/>
    <w:rsid w:val="006933C9"/>
    <w:rsid w:val="006934CD"/>
    <w:rsid w:val="006936EC"/>
    <w:rsid w:val="0069382A"/>
    <w:rsid w:val="006938D5"/>
    <w:rsid w:val="00693904"/>
    <w:rsid w:val="00693A83"/>
    <w:rsid w:val="00693ACA"/>
    <w:rsid w:val="00693BDC"/>
    <w:rsid w:val="00693BDE"/>
    <w:rsid w:val="00693D26"/>
    <w:rsid w:val="00693D99"/>
    <w:rsid w:val="0069416C"/>
    <w:rsid w:val="00694193"/>
    <w:rsid w:val="006942D8"/>
    <w:rsid w:val="006943BB"/>
    <w:rsid w:val="00694411"/>
    <w:rsid w:val="00694497"/>
    <w:rsid w:val="00694647"/>
    <w:rsid w:val="00694856"/>
    <w:rsid w:val="00694A9B"/>
    <w:rsid w:val="00694D56"/>
    <w:rsid w:val="00694DB3"/>
    <w:rsid w:val="00695034"/>
    <w:rsid w:val="006952B8"/>
    <w:rsid w:val="0069532B"/>
    <w:rsid w:val="00695388"/>
    <w:rsid w:val="00695397"/>
    <w:rsid w:val="0069551B"/>
    <w:rsid w:val="00695567"/>
    <w:rsid w:val="006955ED"/>
    <w:rsid w:val="006956BF"/>
    <w:rsid w:val="00695738"/>
    <w:rsid w:val="006957F5"/>
    <w:rsid w:val="00695844"/>
    <w:rsid w:val="00695865"/>
    <w:rsid w:val="006958CA"/>
    <w:rsid w:val="00695975"/>
    <w:rsid w:val="00695A36"/>
    <w:rsid w:val="00695AA1"/>
    <w:rsid w:val="00695BF7"/>
    <w:rsid w:val="00695E56"/>
    <w:rsid w:val="00695F9E"/>
    <w:rsid w:val="00696000"/>
    <w:rsid w:val="0069610B"/>
    <w:rsid w:val="00696501"/>
    <w:rsid w:val="0069656F"/>
    <w:rsid w:val="00696710"/>
    <w:rsid w:val="006968BF"/>
    <w:rsid w:val="00696A3F"/>
    <w:rsid w:val="00696AC5"/>
    <w:rsid w:val="00696C2D"/>
    <w:rsid w:val="00696C9E"/>
    <w:rsid w:val="00696E3F"/>
    <w:rsid w:val="00696E7B"/>
    <w:rsid w:val="00696FC6"/>
    <w:rsid w:val="006971DA"/>
    <w:rsid w:val="00697226"/>
    <w:rsid w:val="0069724F"/>
    <w:rsid w:val="00697293"/>
    <w:rsid w:val="0069735E"/>
    <w:rsid w:val="006975D4"/>
    <w:rsid w:val="00697685"/>
    <w:rsid w:val="00697813"/>
    <w:rsid w:val="00697818"/>
    <w:rsid w:val="006978D3"/>
    <w:rsid w:val="0069794B"/>
    <w:rsid w:val="006979E0"/>
    <w:rsid w:val="006979EC"/>
    <w:rsid w:val="00697A73"/>
    <w:rsid w:val="00697BA9"/>
    <w:rsid w:val="00697C37"/>
    <w:rsid w:val="006A00EF"/>
    <w:rsid w:val="006A014C"/>
    <w:rsid w:val="006A01B4"/>
    <w:rsid w:val="006A01EE"/>
    <w:rsid w:val="006A02C0"/>
    <w:rsid w:val="006A0390"/>
    <w:rsid w:val="006A03FA"/>
    <w:rsid w:val="006A05AD"/>
    <w:rsid w:val="006A06E0"/>
    <w:rsid w:val="006A081E"/>
    <w:rsid w:val="006A09D5"/>
    <w:rsid w:val="006A0B91"/>
    <w:rsid w:val="006A0C39"/>
    <w:rsid w:val="006A0D00"/>
    <w:rsid w:val="006A0EBF"/>
    <w:rsid w:val="006A0FA6"/>
    <w:rsid w:val="006A113F"/>
    <w:rsid w:val="006A1310"/>
    <w:rsid w:val="006A13F3"/>
    <w:rsid w:val="006A15F4"/>
    <w:rsid w:val="006A1640"/>
    <w:rsid w:val="006A18CB"/>
    <w:rsid w:val="006A1981"/>
    <w:rsid w:val="006A1AE5"/>
    <w:rsid w:val="006A1B62"/>
    <w:rsid w:val="006A1C0D"/>
    <w:rsid w:val="006A1D69"/>
    <w:rsid w:val="006A1D91"/>
    <w:rsid w:val="006A1DCD"/>
    <w:rsid w:val="006A1DEF"/>
    <w:rsid w:val="006A1E83"/>
    <w:rsid w:val="006A1ED2"/>
    <w:rsid w:val="006A1FBC"/>
    <w:rsid w:val="006A2201"/>
    <w:rsid w:val="006A2272"/>
    <w:rsid w:val="006A22EC"/>
    <w:rsid w:val="006A23A8"/>
    <w:rsid w:val="006A2408"/>
    <w:rsid w:val="006A2461"/>
    <w:rsid w:val="006A24BB"/>
    <w:rsid w:val="006A2577"/>
    <w:rsid w:val="006A2671"/>
    <w:rsid w:val="006A27C4"/>
    <w:rsid w:val="006A29CF"/>
    <w:rsid w:val="006A2A47"/>
    <w:rsid w:val="006A2A4B"/>
    <w:rsid w:val="006A2C48"/>
    <w:rsid w:val="006A2D22"/>
    <w:rsid w:val="006A2DAC"/>
    <w:rsid w:val="006A30AA"/>
    <w:rsid w:val="006A30D4"/>
    <w:rsid w:val="006A3185"/>
    <w:rsid w:val="006A3603"/>
    <w:rsid w:val="006A37DD"/>
    <w:rsid w:val="006A37F5"/>
    <w:rsid w:val="006A38BC"/>
    <w:rsid w:val="006A38EF"/>
    <w:rsid w:val="006A3A8B"/>
    <w:rsid w:val="006A3B03"/>
    <w:rsid w:val="006A3B26"/>
    <w:rsid w:val="006A3C28"/>
    <w:rsid w:val="006A3CEF"/>
    <w:rsid w:val="006A3E23"/>
    <w:rsid w:val="006A40AA"/>
    <w:rsid w:val="006A40EB"/>
    <w:rsid w:val="006A4267"/>
    <w:rsid w:val="006A43A2"/>
    <w:rsid w:val="006A4419"/>
    <w:rsid w:val="006A4458"/>
    <w:rsid w:val="006A4607"/>
    <w:rsid w:val="006A465C"/>
    <w:rsid w:val="006A465F"/>
    <w:rsid w:val="006A46A6"/>
    <w:rsid w:val="006A46BF"/>
    <w:rsid w:val="006A474E"/>
    <w:rsid w:val="006A4775"/>
    <w:rsid w:val="006A47A2"/>
    <w:rsid w:val="006A489A"/>
    <w:rsid w:val="006A48FA"/>
    <w:rsid w:val="006A4983"/>
    <w:rsid w:val="006A4990"/>
    <w:rsid w:val="006A49F9"/>
    <w:rsid w:val="006A4A8B"/>
    <w:rsid w:val="006A4B07"/>
    <w:rsid w:val="006A4BBC"/>
    <w:rsid w:val="006A4C8F"/>
    <w:rsid w:val="006A4D7E"/>
    <w:rsid w:val="006A4D93"/>
    <w:rsid w:val="006A4E4F"/>
    <w:rsid w:val="006A4F79"/>
    <w:rsid w:val="006A4FC7"/>
    <w:rsid w:val="006A5000"/>
    <w:rsid w:val="006A5037"/>
    <w:rsid w:val="006A503F"/>
    <w:rsid w:val="006A50AF"/>
    <w:rsid w:val="006A5315"/>
    <w:rsid w:val="006A532C"/>
    <w:rsid w:val="006A542C"/>
    <w:rsid w:val="006A55F3"/>
    <w:rsid w:val="006A5675"/>
    <w:rsid w:val="006A5951"/>
    <w:rsid w:val="006A59D9"/>
    <w:rsid w:val="006A5A1F"/>
    <w:rsid w:val="006A5B9C"/>
    <w:rsid w:val="006A5D89"/>
    <w:rsid w:val="006A5E00"/>
    <w:rsid w:val="006A6049"/>
    <w:rsid w:val="006A638B"/>
    <w:rsid w:val="006A6580"/>
    <w:rsid w:val="006A67E2"/>
    <w:rsid w:val="006A6A7C"/>
    <w:rsid w:val="006A6C49"/>
    <w:rsid w:val="006A6D13"/>
    <w:rsid w:val="006A6D2B"/>
    <w:rsid w:val="006A6EBD"/>
    <w:rsid w:val="006A6FED"/>
    <w:rsid w:val="006A7069"/>
    <w:rsid w:val="006A708D"/>
    <w:rsid w:val="006A731A"/>
    <w:rsid w:val="006A742D"/>
    <w:rsid w:val="006A7495"/>
    <w:rsid w:val="006A767E"/>
    <w:rsid w:val="006A7715"/>
    <w:rsid w:val="006A78FD"/>
    <w:rsid w:val="006A7917"/>
    <w:rsid w:val="006A7A13"/>
    <w:rsid w:val="006A7A43"/>
    <w:rsid w:val="006A7D96"/>
    <w:rsid w:val="006A7DA6"/>
    <w:rsid w:val="006A7DE6"/>
    <w:rsid w:val="006A7F0E"/>
    <w:rsid w:val="006A7F12"/>
    <w:rsid w:val="006B022B"/>
    <w:rsid w:val="006B0231"/>
    <w:rsid w:val="006B0358"/>
    <w:rsid w:val="006B03E7"/>
    <w:rsid w:val="006B040D"/>
    <w:rsid w:val="006B0853"/>
    <w:rsid w:val="006B089D"/>
    <w:rsid w:val="006B08E4"/>
    <w:rsid w:val="006B097D"/>
    <w:rsid w:val="006B0A53"/>
    <w:rsid w:val="006B0A59"/>
    <w:rsid w:val="006B0B14"/>
    <w:rsid w:val="006B0B61"/>
    <w:rsid w:val="006B0BAF"/>
    <w:rsid w:val="006B0BBE"/>
    <w:rsid w:val="006B0C0B"/>
    <w:rsid w:val="006B0CB3"/>
    <w:rsid w:val="006B0F3E"/>
    <w:rsid w:val="006B0F90"/>
    <w:rsid w:val="006B0FD5"/>
    <w:rsid w:val="006B11C1"/>
    <w:rsid w:val="006B13E2"/>
    <w:rsid w:val="006B14FD"/>
    <w:rsid w:val="006B156A"/>
    <w:rsid w:val="006B1597"/>
    <w:rsid w:val="006B16BB"/>
    <w:rsid w:val="006B173E"/>
    <w:rsid w:val="006B1867"/>
    <w:rsid w:val="006B1927"/>
    <w:rsid w:val="006B1B5C"/>
    <w:rsid w:val="006B1C1F"/>
    <w:rsid w:val="006B1CD5"/>
    <w:rsid w:val="006B1E7D"/>
    <w:rsid w:val="006B1EE0"/>
    <w:rsid w:val="006B2030"/>
    <w:rsid w:val="006B208D"/>
    <w:rsid w:val="006B22A4"/>
    <w:rsid w:val="006B230C"/>
    <w:rsid w:val="006B23D0"/>
    <w:rsid w:val="006B24A3"/>
    <w:rsid w:val="006B24AD"/>
    <w:rsid w:val="006B25EF"/>
    <w:rsid w:val="006B2609"/>
    <w:rsid w:val="006B2651"/>
    <w:rsid w:val="006B2755"/>
    <w:rsid w:val="006B2926"/>
    <w:rsid w:val="006B2C04"/>
    <w:rsid w:val="006B2D17"/>
    <w:rsid w:val="006B2DC4"/>
    <w:rsid w:val="006B2E4D"/>
    <w:rsid w:val="006B2EA2"/>
    <w:rsid w:val="006B2ECD"/>
    <w:rsid w:val="006B2FAD"/>
    <w:rsid w:val="006B3186"/>
    <w:rsid w:val="006B3261"/>
    <w:rsid w:val="006B3488"/>
    <w:rsid w:val="006B3490"/>
    <w:rsid w:val="006B34DB"/>
    <w:rsid w:val="006B3508"/>
    <w:rsid w:val="006B368C"/>
    <w:rsid w:val="006B36AB"/>
    <w:rsid w:val="006B3700"/>
    <w:rsid w:val="006B3B47"/>
    <w:rsid w:val="006B3B52"/>
    <w:rsid w:val="006B3B81"/>
    <w:rsid w:val="006B3BA9"/>
    <w:rsid w:val="006B3E05"/>
    <w:rsid w:val="006B3EAC"/>
    <w:rsid w:val="006B3FC6"/>
    <w:rsid w:val="006B40D1"/>
    <w:rsid w:val="006B417C"/>
    <w:rsid w:val="006B4192"/>
    <w:rsid w:val="006B4195"/>
    <w:rsid w:val="006B41E4"/>
    <w:rsid w:val="006B4216"/>
    <w:rsid w:val="006B4250"/>
    <w:rsid w:val="006B4280"/>
    <w:rsid w:val="006B43E7"/>
    <w:rsid w:val="006B4452"/>
    <w:rsid w:val="006B45B9"/>
    <w:rsid w:val="006B4735"/>
    <w:rsid w:val="006B47D0"/>
    <w:rsid w:val="006B47F6"/>
    <w:rsid w:val="006B488D"/>
    <w:rsid w:val="006B4950"/>
    <w:rsid w:val="006B4B3B"/>
    <w:rsid w:val="006B4E1C"/>
    <w:rsid w:val="006B4EF3"/>
    <w:rsid w:val="006B4F34"/>
    <w:rsid w:val="006B5032"/>
    <w:rsid w:val="006B51C4"/>
    <w:rsid w:val="006B5322"/>
    <w:rsid w:val="006B5443"/>
    <w:rsid w:val="006B57B2"/>
    <w:rsid w:val="006B57DD"/>
    <w:rsid w:val="006B580A"/>
    <w:rsid w:val="006B5909"/>
    <w:rsid w:val="006B5981"/>
    <w:rsid w:val="006B599C"/>
    <w:rsid w:val="006B59B0"/>
    <w:rsid w:val="006B5A5B"/>
    <w:rsid w:val="006B5C73"/>
    <w:rsid w:val="006B5CA3"/>
    <w:rsid w:val="006B5CA9"/>
    <w:rsid w:val="006B5CAB"/>
    <w:rsid w:val="006B5D6E"/>
    <w:rsid w:val="006B5FD7"/>
    <w:rsid w:val="006B600F"/>
    <w:rsid w:val="006B628D"/>
    <w:rsid w:val="006B638F"/>
    <w:rsid w:val="006B63CD"/>
    <w:rsid w:val="006B6424"/>
    <w:rsid w:val="006B647E"/>
    <w:rsid w:val="006B678C"/>
    <w:rsid w:val="006B69CB"/>
    <w:rsid w:val="006B6A96"/>
    <w:rsid w:val="006B6AE1"/>
    <w:rsid w:val="006B6AF2"/>
    <w:rsid w:val="006B6B92"/>
    <w:rsid w:val="006B6BAC"/>
    <w:rsid w:val="006B6C31"/>
    <w:rsid w:val="006B70A0"/>
    <w:rsid w:val="006B7115"/>
    <w:rsid w:val="006B7138"/>
    <w:rsid w:val="006B7218"/>
    <w:rsid w:val="006B7259"/>
    <w:rsid w:val="006B727D"/>
    <w:rsid w:val="006B7469"/>
    <w:rsid w:val="006B7553"/>
    <w:rsid w:val="006B7659"/>
    <w:rsid w:val="006B7744"/>
    <w:rsid w:val="006B7774"/>
    <w:rsid w:val="006B78F3"/>
    <w:rsid w:val="006B7950"/>
    <w:rsid w:val="006B7966"/>
    <w:rsid w:val="006B79B3"/>
    <w:rsid w:val="006B79F2"/>
    <w:rsid w:val="006B7D43"/>
    <w:rsid w:val="006B7DA8"/>
    <w:rsid w:val="006B7EF3"/>
    <w:rsid w:val="006C0052"/>
    <w:rsid w:val="006C0128"/>
    <w:rsid w:val="006C0288"/>
    <w:rsid w:val="006C0350"/>
    <w:rsid w:val="006C0365"/>
    <w:rsid w:val="006C03AC"/>
    <w:rsid w:val="006C048A"/>
    <w:rsid w:val="006C0636"/>
    <w:rsid w:val="006C070C"/>
    <w:rsid w:val="006C092B"/>
    <w:rsid w:val="006C0F05"/>
    <w:rsid w:val="006C12BE"/>
    <w:rsid w:val="006C13E0"/>
    <w:rsid w:val="006C1516"/>
    <w:rsid w:val="006C1825"/>
    <w:rsid w:val="006C18A6"/>
    <w:rsid w:val="006C1960"/>
    <w:rsid w:val="006C1989"/>
    <w:rsid w:val="006C1ACB"/>
    <w:rsid w:val="006C1B32"/>
    <w:rsid w:val="006C1B39"/>
    <w:rsid w:val="006C1C81"/>
    <w:rsid w:val="006C1CEC"/>
    <w:rsid w:val="006C1D82"/>
    <w:rsid w:val="006C1DFE"/>
    <w:rsid w:val="006C2017"/>
    <w:rsid w:val="006C2045"/>
    <w:rsid w:val="006C205B"/>
    <w:rsid w:val="006C22A9"/>
    <w:rsid w:val="006C2511"/>
    <w:rsid w:val="006C258D"/>
    <w:rsid w:val="006C259C"/>
    <w:rsid w:val="006C259D"/>
    <w:rsid w:val="006C27BC"/>
    <w:rsid w:val="006C2A43"/>
    <w:rsid w:val="006C2B75"/>
    <w:rsid w:val="006C2BE0"/>
    <w:rsid w:val="006C2C0D"/>
    <w:rsid w:val="006C2C73"/>
    <w:rsid w:val="006C2DF3"/>
    <w:rsid w:val="006C30CA"/>
    <w:rsid w:val="006C3225"/>
    <w:rsid w:val="006C33C5"/>
    <w:rsid w:val="006C33CD"/>
    <w:rsid w:val="006C35D5"/>
    <w:rsid w:val="006C35E4"/>
    <w:rsid w:val="006C36D5"/>
    <w:rsid w:val="006C379C"/>
    <w:rsid w:val="006C37D0"/>
    <w:rsid w:val="006C3A1C"/>
    <w:rsid w:val="006C3C43"/>
    <w:rsid w:val="006C3C77"/>
    <w:rsid w:val="006C3CEF"/>
    <w:rsid w:val="006C3D36"/>
    <w:rsid w:val="006C3EB6"/>
    <w:rsid w:val="006C3F71"/>
    <w:rsid w:val="006C3F78"/>
    <w:rsid w:val="006C4109"/>
    <w:rsid w:val="006C41D2"/>
    <w:rsid w:val="006C42D6"/>
    <w:rsid w:val="006C435C"/>
    <w:rsid w:val="006C43D9"/>
    <w:rsid w:val="006C44F6"/>
    <w:rsid w:val="006C4751"/>
    <w:rsid w:val="006C4780"/>
    <w:rsid w:val="006C4994"/>
    <w:rsid w:val="006C4A00"/>
    <w:rsid w:val="006C4A1B"/>
    <w:rsid w:val="006C4AF4"/>
    <w:rsid w:val="006C4B34"/>
    <w:rsid w:val="006C4C82"/>
    <w:rsid w:val="006C4D0B"/>
    <w:rsid w:val="006C4F87"/>
    <w:rsid w:val="006C4FF7"/>
    <w:rsid w:val="006C5045"/>
    <w:rsid w:val="006C50AE"/>
    <w:rsid w:val="006C50D9"/>
    <w:rsid w:val="006C51BD"/>
    <w:rsid w:val="006C52B8"/>
    <w:rsid w:val="006C54D0"/>
    <w:rsid w:val="006C5645"/>
    <w:rsid w:val="006C56B7"/>
    <w:rsid w:val="006C570A"/>
    <w:rsid w:val="006C5870"/>
    <w:rsid w:val="006C5AD4"/>
    <w:rsid w:val="006C5E0E"/>
    <w:rsid w:val="006C6022"/>
    <w:rsid w:val="006C6078"/>
    <w:rsid w:val="006C63DF"/>
    <w:rsid w:val="006C658E"/>
    <w:rsid w:val="006C66EC"/>
    <w:rsid w:val="006C674D"/>
    <w:rsid w:val="006C680F"/>
    <w:rsid w:val="006C686F"/>
    <w:rsid w:val="006C68B7"/>
    <w:rsid w:val="006C6D07"/>
    <w:rsid w:val="006C6D14"/>
    <w:rsid w:val="006C6D5B"/>
    <w:rsid w:val="006C7048"/>
    <w:rsid w:val="006C70E2"/>
    <w:rsid w:val="006C70F1"/>
    <w:rsid w:val="006C7370"/>
    <w:rsid w:val="006C73F1"/>
    <w:rsid w:val="006C7476"/>
    <w:rsid w:val="006C75C6"/>
    <w:rsid w:val="006C766A"/>
    <w:rsid w:val="006C77EC"/>
    <w:rsid w:val="006C784E"/>
    <w:rsid w:val="006C7989"/>
    <w:rsid w:val="006C7B1B"/>
    <w:rsid w:val="006C7B28"/>
    <w:rsid w:val="006C7B71"/>
    <w:rsid w:val="006C7BB8"/>
    <w:rsid w:val="006C7BF0"/>
    <w:rsid w:val="006C7C0E"/>
    <w:rsid w:val="006C7D18"/>
    <w:rsid w:val="006C7D73"/>
    <w:rsid w:val="006C7F9E"/>
    <w:rsid w:val="006C7FB5"/>
    <w:rsid w:val="006D0150"/>
    <w:rsid w:val="006D01F8"/>
    <w:rsid w:val="006D02EB"/>
    <w:rsid w:val="006D04A4"/>
    <w:rsid w:val="006D0559"/>
    <w:rsid w:val="006D0577"/>
    <w:rsid w:val="006D065E"/>
    <w:rsid w:val="006D066C"/>
    <w:rsid w:val="006D06F3"/>
    <w:rsid w:val="006D06FE"/>
    <w:rsid w:val="006D0706"/>
    <w:rsid w:val="006D087A"/>
    <w:rsid w:val="006D095B"/>
    <w:rsid w:val="006D0A1C"/>
    <w:rsid w:val="006D0A55"/>
    <w:rsid w:val="006D0C9B"/>
    <w:rsid w:val="006D0F2B"/>
    <w:rsid w:val="006D1137"/>
    <w:rsid w:val="006D1337"/>
    <w:rsid w:val="006D1465"/>
    <w:rsid w:val="006D14FF"/>
    <w:rsid w:val="006D1534"/>
    <w:rsid w:val="006D1837"/>
    <w:rsid w:val="006D19A7"/>
    <w:rsid w:val="006D1A6F"/>
    <w:rsid w:val="006D1B90"/>
    <w:rsid w:val="006D1CAC"/>
    <w:rsid w:val="006D1D44"/>
    <w:rsid w:val="006D1D83"/>
    <w:rsid w:val="006D1DA9"/>
    <w:rsid w:val="006D1DF2"/>
    <w:rsid w:val="006D1F8E"/>
    <w:rsid w:val="006D219C"/>
    <w:rsid w:val="006D227E"/>
    <w:rsid w:val="006D2392"/>
    <w:rsid w:val="006D2462"/>
    <w:rsid w:val="006D249F"/>
    <w:rsid w:val="006D258F"/>
    <w:rsid w:val="006D25ED"/>
    <w:rsid w:val="006D27D3"/>
    <w:rsid w:val="006D295C"/>
    <w:rsid w:val="006D2C7E"/>
    <w:rsid w:val="006D2E82"/>
    <w:rsid w:val="006D2EBA"/>
    <w:rsid w:val="006D3125"/>
    <w:rsid w:val="006D3292"/>
    <w:rsid w:val="006D353E"/>
    <w:rsid w:val="006D3570"/>
    <w:rsid w:val="006D35D6"/>
    <w:rsid w:val="006D3834"/>
    <w:rsid w:val="006D38C0"/>
    <w:rsid w:val="006D3B82"/>
    <w:rsid w:val="006D3D06"/>
    <w:rsid w:val="006D3D52"/>
    <w:rsid w:val="006D3E23"/>
    <w:rsid w:val="006D3EF1"/>
    <w:rsid w:val="006D3F2F"/>
    <w:rsid w:val="006D4088"/>
    <w:rsid w:val="006D4093"/>
    <w:rsid w:val="006D4199"/>
    <w:rsid w:val="006D419D"/>
    <w:rsid w:val="006D4226"/>
    <w:rsid w:val="006D4329"/>
    <w:rsid w:val="006D43BE"/>
    <w:rsid w:val="006D4463"/>
    <w:rsid w:val="006D45BA"/>
    <w:rsid w:val="006D4615"/>
    <w:rsid w:val="006D466B"/>
    <w:rsid w:val="006D4769"/>
    <w:rsid w:val="006D4899"/>
    <w:rsid w:val="006D48A2"/>
    <w:rsid w:val="006D48D1"/>
    <w:rsid w:val="006D49B2"/>
    <w:rsid w:val="006D4A4C"/>
    <w:rsid w:val="006D4B1E"/>
    <w:rsid w:val="006D4B35"/>
    <w:rsid w:val="006D4C2D"/>
    <w:rsid w:val="006D4E3B"/>
    <w:rsid w:val="006D4F09"/>
    <w:rsid w:val="006D4FCB"/>
    <w:rsid w:val="006D5006"/>
    <w:rsid w:val="006D5010"/>
    <w:rsid w:val="006D50C9"/>
    <w:rsid w:val="006D5334"/>
    <w:rsid w:val="006D5399"/>
    <w:rsid w:val="006D53D4"/>
    <w:rsid w:val="006D5468"/>
    <w:rsid w:val="006D55DA"/>
    <w:rsid w:val="006D563B"/>
    <w:rsid w:val="006D579C"/>
    <w:rsid w:val="006D57F6"/>
    <w:rsid w:val="006D580E"/>
    <w:rsid w:val="006D5B8E"/>
    <w:rsid w:val="006D5DA6"/>
    <w:rsid w:val="006D5DF9"/>
    <w:rsid w:val="006D5EB0"/>
    <w:rsid w:val="006D5EB3"/>
    <w:rsid w:val="006D5F4F"/>
    <w:rsid w:val="006D5F62"/>
    <w:rsid w:val="006D5F96"/>
    <w:rsid w:val="006D5FD9"/>
    <w:rsid w:val="006D60D3"/>
    <w:rsid w:val="006D6165"/>
    <w:rsid w:val="006D6246"/>
    <w:rsid w:val="006D62B3"/>
    <w:rsid w:val="006D6426"/>
    <w:rsid w:val="006D64BA"/>
    <w:rsid w:val="006D6553"/>
    <w:rsid w:val="006D6788"/>
    <w:rsid w:val="006D68E0"/>
    <w:rsid w:val="006D6A71"/>
    <w:rsid w:val="006D6C08"/>
    <w:rsid w:val="006D6C45"/>
    <w:rsid w:val="006D6DC1"/>
    <w:rsid w:val="006D6DE8"/>
    <w:rsid w:val="006D6E81"/>
    <w:rsid w:val="006D6EC1"/>
    <w:rsid w:val="006D6F5C"/>
    <w:rsid w:val="006D706A"/>
    <w:rsid w:val="006D70F1"/>
    <w:rsid w:val="006D7216"/>
    <w:rsid w:val="006D7370"/>
    <w:rsid w:val="006D7430"/>
    <w:rsid w:val="006D7437"/>
    <w:rsid w:val="006D74FF"/>
    <w:rsid w:val="006D75D1"/>
    <w:rsid w:val="006D766A"/>
    <w:rsid w:val="006D76A1"/>
    <w:rsid w:val="006D77DF"/>
    <w:rsid w:val="006D7888"/>
    <w:rsid w:val="006D7D9E"/>
    <w:rsid w:val="006E00BE"/>
    <w:rsid w:val="006E0122"/>
    <w:rsid w:val="006E03B1"/>
    <w:rsid w:val="006E04EF"/>
    <w:rsid w:val="006E0504"/>
    <w:rsid w:val="006E0555"/>
    <w:rsid w:val="006E0709"/>
    <w:rsid w:val="006E0737"/>
    <w:rsid w:val="006E0910"/>
    <w:rsid w:val="006E0957"/>
    <w:rsid w:val="006E0962"/>
    <w:rsid w:val="006E0AFA"/>
    <w:rsid w:val="006E0CB5"/>
    <w:rsid w:val="006E0DB3"/>
    <w:rsid w:val="006E0DB6"/>
    <w:rsid w:val="006E1083"/>
    <w:rsid w:val="006E1222"/>
    <w:rsid w:val="006E12BA"/>
    <w:rsid w:val="006E13CA"/>
    <w:rsid w:val="006E1492"/>
    <w:rsid w:val="006E1529"/>
    <w:rsid w:val="006E152C"/>
    <w:rsid w:val="006E1555"/>
    <w:rsid w:val="006E16DB"/>
    <w:rsid w:val="006E18F7"/>
    <w:rsid w:val="006E1944"/>
    <w:rsid w:val="006E195C"/>
    <w:rsid w:val="006E196F"/>
    <w:rsid w:val="006E1CA7"/>
    <w:rsid w:val="006E1E43"/>
    <w:rsid w:val="006E1E6B"/>
    <w:rsid w:val="006E1F10"/>
    <w:rsid w:val="006E2031"/>
    <w:rsid w:val="006E2099"/>
    <w:rsid w:val="006E21FF"/>
    <w:rsid w:val="006E245D"/>
    <w:rsid w:val="006E26E0"/>
    <w:rsid w:val="006E27DF"/>
    <w:rsid w:val="006E27EC"/>
    <w:rsid w:val="006E2813"/>
    <w:rsid w:val="006E2824"/>
    <w:rsid w:val="006E2871"/>
    <w:rsid w:val="006E2970"/>
    <w:rsid w:val="006E2B22"/>
    <w:rsid w:val="006E2CC6"/>
    <w:rsid w:val="006E2E54"/>
    <w:rsid w:val="006E2E76"/>
    <w:rsid w:val="006E2EE9"/>
    <w:rsid w:val="006E2FB4"/>
    <w:rsid w:val="006E319A"/>
    <w:rsid w:val="006E34F7"/>
    <w:rsid w:val="006E3536"/>
    <w:rsid w:val="006E3564"/>
    <w:rsid w:val="006E381B"/>
    <w:rsid w:val="006E384F"/>
    <w:rsid w:val="006E3972"/>
    <w:rsid w:val="006E3A1D"/>
    <w:rsid w:val="006E3AFC"/>
    <w:rsid w:val="006E3BB9"/>
    <w:rsid w:val="006E3F12"/>
    <w:rsid w:val="006E3F30"/>
    <w:rsid w:val="006E3FF0"/>
    <w:rsid w:val="006E418F"/>
    <w:rsid w:val="006E436D"/>
    <w:rsid w:val="006E456E"/>
    <w:rsid w:val="006E4690"/>
    <w:rsid w:val="006E46A7"/>
    <w:rsid w:val="006E4B7E"/>
    <w:rsid w:val="006E4BCB"/>
    <w:rsid w:val="006E4BE8"/>
    <w:rsid w:val="006E4CCA"/>
    <w:rsid w:val="006E4F2A"/>
    <w:rsid w:val="006E4F7A"/>
    <w:rsid w:val="006E4F82"/>
    <w:rsid w:val="006E4FD1"/>
    <w:rsid w:val="006E50A6"/>
    <w:rsid w:val="006E52AF"/>
    <w:rsid w:val="006E52E4"/>
    <w:rsid w:val="006E5762"/>
    <w:rsid w:val="006E5970"/>
    <w:rsid w:val="006E5A38"/>
    <w:rsid w:val="006E5A9A"/>
    <w:rsid w:val="006E5AA4"/>
    <w:rsid w:val="006E5B55"/>
    <w:rsid w:val="006E5D0C"/>
    <w:rsid w:val="006E5D20"/>
    <w:rsid w:val="006E5D7A"/>
    <w:rsid w:val="006E5E90"/>
    <w:rsid w:val="006E5E93"/>
    <w:rsid w:val="006E5FCC"/>
    <w:rsid w:val="006E60A6"/>
    <w:rsid w:val="006E6143"/>
    <w:rsid w:val="006E6281"/>
    <w:rsid w:val="006E63AD"/>
    <w:rsid w:val="006E6419"/>
    <w:rsid w:val="006E64F2"/>
    <w:rsid w:val="006E65AF"/>
    <w:rsid w:val="006E660C"/>
    <w:rsid w:val="006E66DE"/>
    <w:rsid w:val="006E6817"/>
    <w:rsid w:val="006E69A8"/>
    <w:rsid w:val="006E6C82"/>
    <w:rsid w:val="006E6DBE"/>
    <w:rsid w:val="006E7066"/>
    <w:rsid w:val="006E710B"/>
    <w:rsid w:val="006E718E"/>
    <w:rsid w:val="006E72C5"/>
    <w:rsid w:val="006E74D4"/>
    <w:rsid w:val="006E790C"/>
    <w:rsid w:val="006E7B08"/>
    <w:rsid w:val="006E7DCE"/>
    <w:rsid w:val="006F0022"/>
    <w:rsid w:val="006F0058"/>
    <w:rsid w:val="006F0109"/>
    <w:rsid w:val="006F0176"/>
    <w:rsid w:val="006F0183"/>
    <w:rsid w:val="006F0251"/>
    <w:rsid w:val="006F047A"/>
    <w:rsid w:val="006F0533"/>
    <w:rsid w:val="006F05F9"/>
    <w:rsid w:val="006F076E"/>
    <w:rsid w:val="006F09DD"/>
    <w:rsid w:val="006F0A2D"/>
    <w:rsid w:val="006F0B10"/>
    <w:rsid w:val="006F0C84"/>
    <w:rsid w:val="006F0D02"/>
    <w:rsid w:val="006F0D04"/>
    <w:rsid w:val="006F0D27"/>
    <w:rsid w:val="006F0E02"/>
    <w:rsid w:val="006F0E8D"/>
    <w:rsid w:val="006F11D9"/>
    <w:rsid w:val="006F1295"/>
    <w:rsid w:val="006F138B"/>
    <w:rsid w:val="006F15BA"/>
    <w:rsid w:val="006F15E4"/>
    <w:rsid w:val="006F164B"/>
    <w:rsid w:val="006F1662"/>
    <w:rsid w:val="006F16A6"/>
    <w:rsid w:val="006F16AF"/>
    <w:rsid w:val="006F16C9"/>
    <w:rsid w:val="006F1714"/>
    <w:rsid w:val="006F1ACA"/>
    <w:rsid w:val="006F1BD1"/>
    <w:rsid w:val="006F1C60"/>
    <w:rsid w:val="006F1D3E"/>
    <w:rsid w:val="006F1DCD"/>
    <w:rsid w:val="006F2127"/>
    <w:rsid w:val="006F21AF"/>
    <w:rsid w:val="006F24FD"/>
    <w:rsid w:val="006F264E"/>
    <w:rsid w:val="006F26D4"/>
    <w:rsid w:val="006F2935"/>
    <w:rsid w:val="006F2949"/>
    <w:rsid w:val="006F296C"/>
    <w:rsid w:val="006F29A4"/>
    <w:rsid w:val="006F29C0"/>
    <w:rsid w:val="006F2AA1"/>
    <w:rsid w:val="006F2AF9"/>
    <w:rsid w:val="006F2C79"/>
    <w:rsid w:val="006F2CC4"/>
    <w:rsid w:val="006F2E4E"/>
    <w:rsid w:val="006F2F25"/>
    <w:rsid w:val="006F2FB2"/>
    <w:rsid w:val="006F3200"/>
    <w:rsid w:val="006F3292"/>
    <w:rsid w:val="006F3350"/>
    <w:rsid w:val="006F3454"/>
    <w:rsid w:val="006F34DD"/>
    <w:rsid w:val="006F351C"/>
    <w:rsid w:val="006F3522"/>
    <w:rsid w:val="006F3B64"/>
    <w:rsid w:val="006F3BC4"/>
    <w:rsid w:val="006F3DCF"/>
    <w:rsid w:val="006F3F52"/>
    <w:rsid w:val="006F40A3"/>
    <w:rsid w:val="006F415A"/>
    <w:rsid w:val="006F415D"/>
    <w:rsid w:val="006F41E3"/>
    <w:rsid w:val="006F425A"/>
    <w:rsid w:val="006F486D"/>
    <w:rsid w:val="006F4A2D"/>
    <w:rsid w:val="006F4A83"/>
    <w:rsid w:val="006F4C62"/>
    <w:rsid w:val="006F4C90"/>
    <w:rsid w:val="006F4DDF"/>
    <w:rsid w:val="006F4EF8"/>
    <w:rsid w:val="006F4F4D"/>
    <w:rsid w:val="006F4F91"/>
    <w:rsid w:val="006F50C3"/>
    <w:rsid w:val="006F510A"/>
    <w:rsid w:val="006F5224"/>
    <w:rsid w:val="006F52E6"/>
    <w:rsid w:val="006F551F"/>
    <w:rsid w:val="006F560E"/>
    <w:rsid w:val="006F571F"/>
    <w:rsid w:val="006F5B65"/>
    <w:rsid w:val="006F5D24"/>
    <w:rsid w:val="006F600C"/>
    <w:rsid w:val="006F60C4"/>
    <w:rsid w:val="006F6356"/>
    <w:rsid w:val="006F63B9"/>
    <w:rsid w:val="006F6528"/>
    <w:rsid w:val="006F654C"/>
    <w:rsid w:val="006F6555"/>
    <w:rsid w:val="006F674F"/>
    <w:rsid w:val="006F683C"/>
    <w:rsid w:val="006F6959"/>
    <w:rsid w:val="006F6A86"/>
    <w:rsid w:val="006F6C17"/>
    <w:rsid w:val="006F6CCF"/>
    <w:rsid w:val="006F6D39"/>
    <w:rsid w:val="006F6D9A"/>
    <w:rsid w:val="006F703A"/>
    <w:rsid w:val="006F7210"/>
    <w:rsid w:val="006F7256"/>
    <w:rsid w:val="006F7495"/>
    <w:rsid w:val="006F75E6"/>
    <w:rsid w:val="006F761D"/>
    <w:rsid w:val="006F76FB"/>
    <w:rsid w:val="006F7803"/>
    <w:rsid w:val="006F785A"/>
    <w:rsid w:val="006F79D2"/>
    <w:rsid w:val="006F7AA4"/>
    <w:rsid w:val="006F7AF0"/>
    <w:rsid w:val="006F7BDD"/>
    <w:rsid w:val="006F7C10"/>
    <w:rsid w:val="006F7D44"/>
    <w:rsid w:val="006F7DB3"/>
    <w:rsid w:val="0070007A"/>
    <w:rsid w:val="00700125"/>
    <w:rsid w:val="00700166"/>
    <w:rsid w:val="007004F2"/>
    <w:rsid w:val="007004FF"/>
    <w:rsid w:val="00700560"/>
    <w:rsid w:val="00700572"/>
    <w:rsid w:val="007005BD"/>
    <w:rsid w:val="007005D3"/>
    <w:rsid w:val="00700676"/>
    <w:rsid w:val="00700835"/>
    <w:rsid w:val="00700AE5"/>
    <w:rsid w:val="00700D82"/>
    <w:rsid w:val="00700E5A"/>
    <w:rsid w:val="00700F74"/>
    <w:rsid w:val="00700FC2"/>
    <w:rsid w:val="00701100"/>
    <w:rsid w:val="00701307"/>
    <w:rsid w:val="007013C5"/>
    <w:rsid w:val="007014A1"/>
    <w:rsid w:val="00701630"/>
    <w:rsid w:val="0070166A"/>
    <w:rsid w:val="00701683"/>
    <w:rsid w:val="007016DA"/>
    <w:rsid w:val="00701797"/>
    <w:rsid w:val="00701A90"/>
    <w:rsid w:val="00701B69"/>
    <w:rsid w:val="00701CC0"/>
    <w:rsid w:val="00701E6B"/>
    <w:rsid w:val="00702001"/>
    <w:rsid w:val="007020D4"/>
    <w:rsid w:val="00702177"/>
    <w:rsid w:val="007021A6"/>
    <w:rsid w:val="00702208"/>
    <w:rsid w:val="007022D4"/>
    <w:rsid w:val="007023A2"/>
    <w:rsid w:val="00702464"/>
    <w:rsid w:val="0070260D"/>
    <w:rsid w:val="0070261E"/>
    <w:rsid w:val="0070281C"/>
    <w:rsid w:val="007028BC"/>
    <w:rsid w:val="00702A5D"/>
    <w:rsid w:val="00702BC5"/>
    <w:rsid w:val="00702BEC"/>
    <w:rsid w:val="00702BFD"/>
    <w:rsid w:val="00702C05"/>
    <w:rsid w:val="00702D8F"/>
    <w:rsid w:val="00702D9C"/>
    <w:rsid w:val="00702F4E"/>
    <w:rsid w:val="00702F97"/>
    <w:rsid w:val="00702FB8"/>
    <w:rsid w:val="00703075"/>
    <w:rsid w:val="007030D4"/>
    <w:rsid w:val="0070324A"/>
    <w:rsid w:val="00703285"/>
    <w:rsid w:val="00703388"/>
    <w:rsid w:val="007033DC"/>
    <w:rsid w:val="007033E4"/>
    <w:rsid w:val="00703410"/>
    <w:rsid w:val="00703516"/>
    <w:rsid w:val="007035DD"/>
    <w:rsid w:val="00703974"/>
    <w:rsid w:val="007039B8"/>
    <w:rsid w:val="007039F0"/>
    <w:rsid w:val="00703B87"/>
    <w:rsid w:val="00703FE0"/>
    <w:rsid w:val="00704106"/>
    <w:rsid w:val="007041F8"/>
    <w:rsid w:val="00704325"/>
    <w:rsid w:val="007044A6"/>
    <w:rsid w:val="007044CB"/>
    <w:rsid w:val="00704750"/>
    <w:rsid w:val="0070475B"/>
    <w:rsid w:val="00704B8B"/>
    <w:rsid w:val="00704C23"/>
    <w:rsid w:val="00704D2C"/>
    <w:rsid w:val="00704DD0"/>
    <w:rsid w:val="00704DE6"/>
    <w:rsid w:val="00704F18"/>
    <w:rsid w:val="00704F1A"/>
    <w:rsid w:val="00704F5E"/>
    <w:rsid w:val="00704FA3"/>
    <w:rsid w:val="0070507B"/>
    <w:rsid w:val="00705135"/>
    <w:rsid w:val="00705221"/>
    <w:rsid w:val="00705452"/>
    <w:rsid w:val="007054F2"/>
    <w:rsid w:val="00705535"/>
    <w:rsid w:val="0070568C"/>
    <w:rsid w:val="00705710"/>
    <w:rsid w:val="00705B65"/>
    <w:rsid w:val="00705CDE"/>
    <w:rsid w:val="00705CFA"/>
    <w:rsid w:val="00705DA0"/>
    <w:rsid w:val="00705E71"/>
    <w:rsid w:val="00706119"/>
    <w:rsid w:val="00706134"/>
    <w:rsid w:val="007063A1"/>
    <w:rsid w:val="00706459"/>
    <w:rsid w:val="007065B8"/>
    <w:rsid w:val="007066E9"/>
    <w:rsid w:val="00706836"/>
    <w:rsid w:val="0070694C"/>
    <w:rsid w:val="00706AA4"/>
    <w:rsid w:val="00706BDE"/>
    <w:rsid w:val="00706C72"/>
    <w:rsid w:val="00706CAA"/>
    <w:rsid w:val="00706E4A"/>
    <w:rsid w:val="00706FC0"/>
    <w:rsid w:val="00706FCE"/>
    <w:rsid w:val="00707052"/>
    <w:rsid w:val="00707180"/>
    <w:rsid w:val="00707325"/>
    <w:rsid w:val="0070747C"/>
    <w:rsid w:val="0070749C"/>
    <w:rsid w:val="0070781E"/>
    <w:rsid w:val="00707BDD"/>
    <w:rsid w:val="00707C8B"/>
    <w:rsid w:val="00707EFE"/>
    <w:rsid w:val="00707F08"/>
    <w:rsid w:val="00707F0D"/>
    <w:rsid w:val="007100EC"/>
    <w:rsid w:val="007104ED"/>
    <w:rsid w:val="007104FF"/>
    <w:rsid w:val="00710569"/>
    <w:rsid w:val="00710771"/>
    <w:rsid w:val="007108CA"/>
    <w:rsid w:val="0071093C"/>
    <w:rsid w:val="00710967"/>
    <w:rsid w:val="00710987"/>
    <w:rsid w:val="00710C5A"/>
    <w:rsid w:val="00710D2A"/>
    <w:rsid w:val="00710D69"/>
    <w:rsid w:val="00710D75"/>
    <w:rsid w:val="00710D8F"/>
    <w:rsid w:val="007110E3"/>
    <w:rsid w:val="007111BA"/>
    <w:rsid w:val="0071157E"/>
    <w:rsid w:val="007115B8"/>
    <w:rsid w:val="00711692"/>
    <w:rsid w:val="0071176A"/>
    <w:rsid w:val="0071198C"/>
    <w:rsid w:val="00711B8B"/>
    <w:rsid w:val="00711C1A"/>
    <w:rsid w:val="00711CEE"/>
    <w:rsid w:val="00711F97"/>
    <w:rsid w:val="00712005"/>
    <w:rsid w:val="0071209B"/>
    <w:rsid w:val="007122ED"/>
    <w:rsid w:val="00712498"/>
    <w:rsid w:val="00712674"/>
    <w:rsid w:val="00712696"/>
    <w:rsid w:val="007126AF"/>
    <w:rsid w:val="007128C3"/>
    <w:rsid w:val="0071291E"/>
    <w:rsid w:val="007129E2"/>
    <w:rsid w:val="00712A58"/>
    <w:rsid w:val="00712B17"/>
    <w:rsid w:val="00712B3E"/>
    <w:rsid w:val="00712B73"/>
    <w:rsid w:val="00712D60"/>
    <w:rsid w:val="00712D75"/>
    <w:rsid w:val="00712E2B"/>
    <w:rsid w:val="00712E4F"/>
    <w:rsid w:val="00712F08"/>
    <w:rsid w:val="00712F58"/>
    <w:rsid w:val="00713005"/>
    <w:rsid w:val="00713166"/>
    <w:rsid w:val="007139E6"/>
    <w:rsid w:val="00713A02"/>
    <w:rsid w:val="00713A60"/>
    <w:rsid w:val="00713A84"/>
    <w:rsid w:val="00713A94"/>
    <w:rsid w:val="00713AA7"/>
    <w:rsid w:val="00713AF7"/>
    <w:rsid w:val="00713D54"/>
    <w:rsid w:val="00713EE5"/>
    <w:rsid w:val="0071417B"/>
    <w:rsid w:val="00714242"/>
    <w:rsid w:val="00714252"/>
    <w:rsid w:val="00714297"/>
    <w:rsid w:val="0071430A"/>
    <w:rsid w:val="00714364"/>
    <w:rsid w:val="00714397"/>
    <w:rsid w:val="007143D3"/>
    <w:rsid w:val="0071442A"/>
    <w:rsid w:val="00714488"/>
    <w:rsid w:val="007144AF"/>
    <w:rsid w:val="00714696"/>
    <w:rsid w:val="007146AD"/>
    <w:rsid w:val="0071478C"/>
    <w:rsid w:val="007148B1"/>
    <w:rsid w:val="00714A10"/>
    <w:rsid w:val="00714A20"/>
    <w:rsid w:val="00714C05"/>
    <w:rsid w:val="00714CE5"/>
    <w:rsid w:val="00714E06"/>
    <w:rsid w:val="00714E29"/>
    <w:rsid w:val="00714F55"/>
    <w:rsid w:val="00715008"/>
    <w:rsid w:val="00715042"/>
    <w:rsid w:val="0071507F"/>
    <w:rsid w:val="00715200"/>
    <w:rsid w:val="00715267"/>
    <w:rsid w:val="007152C3"/>
    <w:rsid w:val="007153BC"/>
    <w:rsid w:val="007153F1"/>
    <w:rsid w:val="007154A5"/>
    <w:rsid w:val="0071567E"/>
    <w:rsid w:val="0071589A"/>
    <w:rsid w:val="007158C6"/>
    <w:rsid w:val="00715966"/>
    <w:rsid w:val="00715B00"/>
    <w:rsid w:val="00715B56"/>
    <w:rsid w:val="00715B7D"/>
    <w:rsid w:val="00715BF6"/>
    <w:rsid w:val="00715D71"/>
    <w:rsid w:val="00715DE3"/>
    <w:rsid w:val="00715E75"/>
    <w:rsid w:val="00715F3F"/>
    <w:rsid w:val="00716014"/>
    <w:rsid w:val="007160F5"/>
    <w:rsid w:val="0071618D"/>
    <w:rsid w:val="0071630E"/>
    <w:rsid w:val="00716359"/>
    <w:rsid w:val="00716573"/>
    <w:rsid w:val="007165F5"/>
    <w:rsid w:val="0071680F"/>
    <w:rsid w:val="0071685A"/>
    <w:rsid w:val="00716B5C"/>
    <w:rsid w:val="00716D14"/>
    <w:rsid w:val="00716E79"/>
    <w:rsid w:val="007170FC"/>
    <w:rsid w:val="00717177"/>
    <w:rsid w:val="007171E8"/>
    <w:rsid w:val="007171F6"/>
    <w:rsid w:val="007174F9"/>
    <w:rsid w:val="007176D3"/>
    <w:rsid w:val="007176E8"/>
    <w:rsid w:val="0071776C"/>
    <w:rsid w:val="00717809"/>
    <w:rsid w:val="00717AD5"/>
    <w:rsid w:val="00717BED"/>
    <w:rsid w:val="00717C1F"/>
    <w:rsid w:val="0072017B"/>
    <w:rsid w:val="00720393"/>
    <w:rsid w:val="00720397"/>
    <w:rsid w:val="00720507"/>
    <w:rsid w:val="0072069B"/>
    <w:rsid w:val="007206A1"/>
    <w:rsid w:val="00720896"/>
    <w:rsid w:val="007208F6"/>
    <w:rsid w:val="00720E29"/>
    <w:rsid w:val="00720FBB"/>
    <w:rsid w:val="0072103B"/>
    <w:rsid w:val="0072105B"/>
    <w:rsid w:val="0072109C"/>
    <w:rsid w:val="0072123D"/>
    <w:rsid w:val="0072137B"/>
    <w:rsid w:val="00721486"/>
    <w:rsid w:val="007215CF"/>
    <w:rsid w:val="007215EF"/>
    <w:rsid w:val="00721609"/>
    <w:rsid w:val="0072180A"/>
    <w:rsid w:val="00721A15"/>
    <w:rsid w:val="00721B80"/>
    <w:rsid w:val="00721D6E"/>
    <w:rsid w:val="00721F4B"/>
    <w:rsid w:val="007220BD"/>
    <w:rsid w:val="007221BC"/>
    <w:rsid w:val="00722522"/>
    <w:rsid w:val="0072284D"/>
    <w:rsid w:val="007228C7"/>
    <w:rsid w:val="0072293E"/>
    <w:rsid w:val="0072299C"/>
    <w:rsid w:val="00722AA9"/>
    <w:rsid w:val="00722B37"/>
    <w:rsid w:val="00722B3D"/>
    <w:rsid w:val="00722CC1"/>
    <w:rsid w:val="00722D4D"/>
    <w:rsid w:val="00722E36"/>
    <w:rsid w:val="0072306A"/>
    <w:rsid w:val="00723106"/>
    <w:rsid w:val="0072318D"/>
    <w:rsid w:val="00723267"/>
    <w:rsid w:val="007232D9"/>
    <w:rsid w:val="007232FA"/>
    <w:rsid w:val="0072338C"/>
    <w:rsid w:val="007233EA"/>
    <w:rsid w:val="00723556"/>
    <w:rsid w:val="00723A10"/>
    <w:rsid w:val="00723AB7"/>
    <w:rsid w:val="00723BFE"/>
    <w:rsid w:val="00723C19"/>
    <w:rsid w:val="00723F4F"/>
    <w:rsid w:val="00723F89"/>
    <w:rsid w:val="00723F98"/>
    <w:rsid w:val="00724112"/>
    <w:rsid w:val="007244AD"/>
    <w:rsid w:val="00724613"/>
    <w:rsid w:val="007246BA"/>
    <w:rsid w:val="007246BC"/>
    <w:rsid w:val="00724B5E"/>
    <w:rsid w:val="00724CC0"/>
    <w:rsid w:val="00724DBE"/>
    <w:rsid w:val="00724E75"/>
    <w:rsid w:val="00724ED3"/>
    <w:rsid w:val="00724F13"/>
    <w:rsid w:val="00724FDF"/>
    <w:rsid w:val="00725081"/>
    <w:rsid w:val="007253E6"/>
    <w:rsid w:val="0072552D"/>
    <w:rsid w:val="00725604"/>
    <w:rsid w:val="007256A4"/>
    <w:rsid w:val="007256B6"/>
    <w:rsid w:val="0072578E"/>
    <w:rsid w:val="007258EC"/>
    <w:rsid w:val="00725A67"/>
    <w:rsid w:val="00725A70"/>
    <w:rsid w:val="00725C38"/>
    <w:rsid w:val="00725E66"/>
    <w:rsid w:val="0072606F"/>
    <w:rsid w:val="00726118"/>
    <w:rsid w:val="0072613A"/>
    <w:rsid w:val="00726348"/>
    <w:rsid w:val="0072635D"/>
    <w:rsid w:val="007263F2"/>
    <w:rsid w:val="007264D1"/>
    <w:rsid w:val="007264FA"/>
    <w:rsid w:val="007268B6"/>
    <w:rsid w:val="0072691B"/>
    <w:rsid w:val="00726C39"/>
    <w:rsid w:val="00726D1D"/>
    <w:rsid w:val="00726D20"/>
    <w:rsid w:val="00726D92"/>
    <w:rsid w:val="00726E14"/>
    <w:rsid w:val="00726F49"/>
    <w:rsid w:val="00726F65"/>
    <w:rsid w:val="00726FBE"/>
    <w:rsid w:val="00726FDC"/>
    <w:rsid w:val="00727024"/>
    <w:rsid w:val="007270E7"/>
    <w:rsid w:val="0072718B"/>
    <w:rsid w:val="007273A1"/>
    <w:rsid w:val="0072752E"/>
    <w:rsid w:val="007275D9"/>
    <w:rsid w:val="007275EC"/>
    <w:rsid w:val="007276E2"/>
    <w:rsid w:val="007276F7"/>
    <w:rsid w:val="00727750"/>
    <w:rsid w:val="007277C4"/>
    <w:rsid w:val="00727826"/>
    <w:rsid w:val="0072784A"/>
    <w:rsid w:val="007278ED"/>
    <w:rsid w:val="0072790A"/>
    <w:rsid w:val="0072794E"/>
    <w:rsid w:val="00727973"/>
    <w:rsid w:val="00727A5F"/>
    <w:rsid w:val="00727AEE"/>
    <w:rsid w:val="00727B4E"/>
    <w:rsid w:val="00727D10"/>
    <w:rsid w:val="00727EDD"/>
    <w:rsid w:val="00727F83"/>
    <w:rsid w:val="007301C8"/>
    <w:rsid w:val="007301C9"/>
    <w:rsid w:val="0073035A"/>
    <w:rsid w:val="007303ED"/>
    <w:rsid w:val="007304E3"/>
    <w:rsid w:val="007305BC"/>
    <w:rsid w:val="0073069C"/>
    <w:rsid w:val="007308C7"/>
    <w:rsid w:val="00730A20"/>
    <w:rsid w:val="00730A30"/>
    <w:rsid w:val="00730A7B"/>
    <w:rsid w:val="00730A83"/>
    <w:rsid w:val="00730B15"/>
    <w:rsid w:val="00730B31"/>
    <w:rsid w:val="00730B8A"/>
    <w:rsid w:val="00730B9E"/>
    <w:rsid w:val="00730D90"/>
    <w:rsid w:val="00730E45"/>
    <w:rsid w:val="00730F3F"/>
    <w:rsid w:val="00730F9A"/>
    <w:rsid w:val="00731043"/>
    <w:rsid w:val="007312BD"/>
    <w:rsid w:val="007314E0"/>
    <w:rsid w:val="00731610"/>
    <w:rsid w:val="007316F3"/>
    <w:rsid w:val="00731774"/>
    <w:rsid w:val="00731859"/>
    <w:rsid w:val="0073194A"/>
    <w:rsid w:val="007319DA"/>
    <w:rsid w:val="00731B96"/>
    <w:rsid w:val="00731BD8"/>
    <w:rsid w:val="00731D2A"/>
    <w:rsid w:val="00731ED0"/>
    <w:rsid w:val="00731F8B"/>
    <w:rsid w:val="00731FE3"/>
    <w:rsid w:val="0073201D"/>
    <w:rsid w:val="00732104"/>
    <w:rsid w:val="0073222A"/>
    <w:rsid w:val="00732304"/>
    <w:rsid w:val="0073236B"/>
    <w:rsid w:val="00732370"/>
    <w:rsid w:val="007323C7"/>
    <w:rsid w:val="00732439"/>
    <w:rsid w:val="00732485"/>
    <w:rsid w:val="00732585"/>
    <w:rsid w:val="007326B9"/>
    <w:rsid w:val="0073290F"/>
    <w:rsid w:val="00732AE6"/>
    <w:rsid w:val="00732B46"/>
    <w:rsid w:val="00732C5B"/>
    <w:rsid w:val="00732C62"/>
    <w:rsid w:val="00732C68"/>
    <w:rsid w:val="00732CCF"/>
    <w:rsid w:val="00732EC1"/>
    <w:rsid w:val="00732FD9"/>
    <w:rsid w:val="007331FC"/>
    <w:rsid w:val="007332B9"/>
    <w:rsid w:val="0073332A"/>
    <w:rsid w:val="007333BC"/>
    <w:rsid w:val="00733497"/>
    <w:rsid w:val="007334D7"/>
    <w:rsid w:val="0073364F"/>
    <w:rsid w:val="00733743"/>
    <w:rsid w:val="00733823"/>
    <w:rsid w:val="007338C6"/>
    <w:rsid w:val="007338FE"/>
    <w:rsid w:val="00733921"/>
    <w:rsid w:val="00733F36"/>
    <w:rsid w:val="00733F77"/>
    <w:rsid w:val="00733FF1"/>
    <w:rsid w:val="0073404D"/>
    <w:rsid w:val="007342DE"/>
    <w:rsid w:val="00734363"/>
    <w:rsid w:val="007343A2"/>
    <w:rsid w:val="007343F6"/>
    <w:rsid w:val="00734594"/>
    <w:rsid w:val="00734751"/>
    <w:rsid w:val="00734822"/>
    <w:rsid w:val="00734B0F"/>
    <w:rsid w:val="00734C4D"/>
    <w:rsid w:val="00734C79"/>
    <w:rsid w:val="00734D6B"/>
    <w:rsid w:val="007350A1"/>
    <w:rsid w:val="00735255"/>
    <w:rsid w:val="00735309"/>
    <w:rsid w:val="0073531E"/>
    <w:rsid w:val="007353A8"/>
    <w:rsid w:val="00735949"/>
    <w:rsid w:val="007359A7"/>
    <w:rsid w:val="00735B1C"/>
    <w:rsid w:val="00735EF4"/>
    <w:rsid w:val="007363D6"/>
    <w:rsid w:val="0073641D"/>
    <w:rsid w:val="0073676A"/>
    <w:rsid w:val="007367B9"/>
    <w:rsid w:val="007367EB"/>
    <w:rsid w:val="0073682B"/>
    <w:rsid w:val="00736853"/>
    <w:rsid w:val="00736868"/>
    <w:rsid w:val="00736957"/>
    <w:rsid w:val="00736D97"/>
    <w:rsid w:val="00736E62"/>
    <w:rsid w:val="00736F83"/>
    <w:rsid w:val="00736FAD"/>
    <w:rsid w:val="007370C5"/>
    <w:rsid w:val="007371A0"/>
    <w:rsid w:val="007373F6"/>
    <w:rsid w:val="0073787C"/>
    <w:rsid w:val="00737A18"/>
    <w:rsid w:val="00737A51"/>
    <w:rsid w:val="00737A56"/>
    <w:rsid w:val="00737BB6"/>
    <w:rsid w:val="00737CBC"/>
    <w:rsid w:val="00737D2E"/>
    <w:rsid w:val="00737EC5"/>
    <w:rsid w:val="00737EFA"/>
    <w:rsid w:val="00740002"/>
    <w:rsid w:val="00740008"/>
    <w:rsid w:val="00740082"/>
    <w:rsid w:val="007400EE"/>
    <w:rsid w:val="00740152"/>
    <w:rsid w:val="00740161"/>
    <w:rsid w:val="00740293"/>
    <w:rsid w:val="00740380"/>
    <w:rsid w:val="007403BE"/>
    <w:rsid w:val="00740493"/>
    <w:rsid w:val="00740580"/>
    <w:rsid w:val="00740804"/>
    <w:rsid w:val="00740AA7"/>
    <w:rsid w:val="00740AF3"/>
    <w:rsid w:val="00740B58"/>
    <w:rsid w:val="00740B88"/>
    <w:rsid w:val="00740BBB"/>
    <w:rsid w:val="00740BD4"/>
    <w:rsid w:val="00740CA2"/>
    <w:rsid w:val="00740F80"/>
    <w:rsid w:val="00740FCE"/>
    <w:rsid w:val="007410F3"/>
    <w:rsid w:val="00741166"/>
    <w:rsid w:val="007411C3"/>
    <w:rsid w:val="007411DD"/>
    <w:rsid w:val="0074143E"/>
    <w:rsid w:val="0074148C"/>
    <w:rsid w:val="00741620"/>
    <w:rsid w:val="00741AC2"/>
    <w:rsid w:val="00741AED"/>
    <w:rsid w:val="00741B32"/>
    <w:rsid w:val="00741B77"/>
    <w:rsid w:val="00741C50"/>
    <w:rsid w:val="00741CA1"/>
    <w:rsid w:val="00741E29"/>
    <w:rsid w:val="00741E3A"/>
    <w:rsid w:val="00741E8C"/>
    <w:rsid w:val="00741EA1"/>
    <w:rsid w:val="0074209D"/>
    <w:rsid w:val="007421AB"/>
    <w:rsid w:val="00742408"/>
    <w:rsid w:val="007426B7"/>
    <w:rsid w:val="0074279F"/>
    <w:rsid w:val="007427CC"/>
    <w:rsid w:val="007427D1"/>
    <w:rsid w:val="007427EF"/>
    <w:rsid w:val="00742958"/>
    <w:rsid w:val="00742B0C"/>
    <w:rsid w:val="00742BB4"/>
    <w:rsid w:val="00742E56"/>
    <w:rsid w:val="00742E82"/>
    <w:rsid w:val="00742E92"/>
    <w:rsid w:val="00742ECB"/>
    <w:rsid w:val="00742F0D"/>
    <w:rsid w:val="00742F67"/>
    <w:rsid w:val="00743257"/>
    <w:rsid w:val="0074337E"/>
    <w:rsid w:val="007433C7"/>
    <w:rsid w:val="007433F1"/>
    <w:rsid w:val="0074346D"/>
    <w:rsid w:val="007434A3"/>
    <w:rsid w:val="00743548"/>
    <w:rsid w:val="00743552"/>
    <w:rsid w:val="007435E4"/>
    <w:rsid w:val="0074376D"/>
    <w:rsid w:val="007437D4"/>
    <w:rsid w:val="007437D8"/>
    <w:rsid w:val="007437F9"/>
    <w:rsid w:val="00743ADE"/>
    <w:rsid w:val="00743B1D"/>
    <w:rsid w:val="00743C7C"/>
    <w:rsid w:val="00743CCA"/>
    <w:rsid w:val="00743F09"/>
    <w:rsid w:val="00743F39"/>
    <w:rsid w:val="0074408B"/>
    <w:rsid w:val="00744097"/>
    <w:rsid w:val="00744120"/>
    <w:rsid w:val="007442D2"/>
    <w:rsid w:val="007442E7"/>
    <w:rsid w:val="0074447B"/>
    <w:rsid w:val="0074454F"/>
    <w:rsid w:val="00744588"/>
    <w:rsid w:val="007447DD"/>
    <w:rsid w:val="00744870"/>
    <w:rsid w:val="00744A0A"/>
    <w:rsid w:val="00744B16"/>
    <w:rsid w:val="00744D1D"/>
    <w:rsid w:val="00744E5F"/>
    <w:rsid w:val="00744EDD"/>
    <w:rsid w:val="00744EEF"/>
    <w:rsid w:val="00744F1E"/>
    <w:rsid w:val="00744F9D"/>
    <w:rsid w:val="007450F5"/>
    <w:rsid w:val="00745173"/>
    <w:rsid w:val="007451F4"/>
    <w:rsid w:val="007453D1"/>
    <w:rsid w:val="007454A5"/>
    <w:rsid w:val="00745560"/>
    <w:rsid w:val="007455AD"/>
    <w:rsid w:val="00745624"/>
    <w:rsid w:val="00745880"/>
    <w:rsid w:val="00745AE1"/>
    <w:rsid w:val="00745B9E"/>
    <w:rsid w:val="00745BF2"/>
    <w:rsid w:val="00745C80"/>
    <w:rsid w:val="00745DDD"/>
    <w:rsid w:val="00745EA4"/>
    <w:rsid w:val="00745F1D"/>
    <w:rsid w:val="00745F66"/>
    <w:rsid w:val="00745FE8"/>
    <w:rsid w:val="00746068"/>
    <w:rsid w:val="0074607C"/>
    <w:rsid w:val="00746466"/>
    <w:rsid w:val="007465D4"/>
    <w:rsid w:val="007465FF"/>
    <w:rsid w:val="00746803"/>
    <w:rsid w:val="007469EE"/>
    <w:rsid w:val="00746B5A"/>
    <w:rsid w:val="00746B86"/>
    <w:rsid w:val="00746C1C"/>
    <w:rsid w:val="00746C90"/>
    <w:rsid w:val="00746C9C"/>
    <w:rsid w:val="00746D5E"/>
    <w:rsid w:val="00746D86"/>
    <w:rsid w:val="00746F90"/>
    <w:rsid w:val="00747222"/>
    <w:rsid w:val="00747253"/>
    <w:rsid w:val="0074735F"/>
    <w:rsid w:val="007473CE"/>
    <w:rsid w:val="00747436"/>
    <w:rsid w:val="007474F6"/>
    <w:rsid w:val="0074750A"/>
    <w:rsid w:val="00747702"/>
    <w:rsid w:val="00747761"/>
    <w:rsid w:val="0074780D"/>
    <w:rsid w:val="0074790F"/>
    <w:rsid w:val="00747938"/>
    <w:rsid w:val="00747960"/>
    <w:rsid w:val="0074796B"/>
    <w:rsid w:val="00747BB5"/>
    <w:rsid w:val="00747C15"/>
    <w:rsid w:val="00747D3B"/>
    <w:rsid w:val="00747EE4"/>
    <w:rsid w:val="007500A3"/>
    <w:rsid w:val="007502BA"/>
    <w:rsid w:val="007505FE"/>
    <w:rsid w:val="00750761"/>
    <w:rsid w:val="00750BF9"/>
    <w:rsid w:val="00750C4D"/>
    <w:rsid w:val="00750C82"/>
    <w:rsid w:val="00750E1C"/>
    <w:rsid w:val="00750EDB"/>
    <w:rsid w:val="00750F01"/>
    <w:rsid w:val="00750FF5"/>
    <w:rsid w:val="00751042"/>
    <w:rsid w:val="00751160"/>
    <w:rsid w:val="00751188"/>
    <w:rsid w:val="007511C9"/>
    <w:rsid w:val="007511E4"/>
    <w:rsid w:val="0075123C"/>
    <w:rsid w:val="007515E9"/>
    <w:rsid w:val="00751627"/>
    <w:rsid w:val="00751692"/>
    <w:rsid w:val="0075183F"/>
    <w:rsid w:val="00751877"/>
    <w:rsid w:val="007519CA"/>
    <w:rsid w:val="00751BA8"/>
    <w:rsid w:val="00751BDB"/>
    <w:rsid w:val="00751C36"/>
    <w:rsid w:val="00751DBB"/>
    <w:rsid w:val="00751EDB"/>
    <w:rsid w:val="00751F95"/>
    <w:rsid w:val="00751FB7"/>
    <w:rsid w:val="0075204C"/>
    <w:rsid w:val="00752296"/>
    <w:rsid w:val="00752542"/>
    <w:rsid w:val="007528D0"/>
    <w:rsid w:val="0075293F"/>
    <w:rsid w:val="0075294F"/>
    <w:rsid w:val="00752A27"/>
    <w:rsid w:val="00752A7A"/>
    <w:rsid w:val="00752AD8"/>
    <w:rsid w:val="00752DA4"/>
    <w:rsid w:val="00752F46"/>
    <w:rsid w:val="00752F7B"/>
    <w:rsid w:val="00752FEF"/>
    <w:rsid w:val="007530C3"/>
    <w:rsid w:val="00753189"/>
    <w:rsid w:val="007533C9"/>
    <w:rsid w:val="007533FE"/>
    <w:rsid w:val="007534A5"/>
    <w:rsid w:val="0075351E"/>
    <w:rsid w:val="00753761"/>
    <w:rsid w:val="00753852"/>
    <w:rsid w:val="0075386F"/>
    <w:rsid w:val="0075397D"/>
    <w:rsid w:val="0075398C"/>
    <w:rsid w:val="00753AF6"/>
    <w:rsid w:val="00753CC9"/>
    <w:rsid w:val="00753D7D"/>
    <w:rsid w:val="00753E6B"/>
    <w:rsid w:val="0075418D"/>
    <w:rsid w:val="007541E7"/>
    <w:rsid w:val="007542E3"/>
    <w:rsid w:val="007543ED"/>
    <w:rsid w:val="00754418"/>
    <w:rsid w:val="00754551"/>
    <w:rsid w:val="0075469A"/>
    <w:rsid w:val="00754753"/>
    <w:rsid w:val="00754A51"/>
    <w:rsid w:val="00754B62"/>
    <w:rsid w:val="00754CE2"/>
    <w:rsid w:val="00754D5D"/>
    <w:rsid w:val="00754FA3"/>
    <w:rsid w:val="007551F7"/>
    <w:rsid w:val="00755217"/>
    <w:rsid w:val="0075523E"/>
    <w:rsid w:val="0075525C"/>
    <w:rsid w:val="0075527D"/>
    <w:rsid w:val="00755284"/>
    <w:rsid w:val="00755469"/>
    <w:rsid w:val="007556E5"/>
    <w:rsid w:val="00755730"/>
    <w:rsid w:val="00755770"/>
    <w:rsid w:val="0075584D"/>
    <w:rsid w:val="00755AD4"/>
    <w:rsid w:val="00755BD1"/>
    <w:rsid w:val="00755C73"/>
    <w:rsid w:val="00755D00"/>
    <w:rsid w:val="00755E06"/>
    <w:rsid w:val="00755EFD"/>
    <w:rsid w:val="00755F9E"/>
    <w:rsid w:val="0075603D"/>
    <w:rsid w:val="00756043"/>
    <w:rsid w:val="007560AB"/>
    <w:rsid w:val="0075625E"/>
    <w:rsid w:val="007564FF"/>
    <w:rsid w:val="00756511"/>
    <w:rsid w:val="00756593"/>
    <w:rsid w:val="00756762"/>
    <w:rsid w:val="0075689C"/>
    <w:rsid w:val="007568E7"/>
    <w:rsid w:val="00756B8D"/>
    <w:rsid w:val="00756C41"/>
    <w:rsid w:val="00756D12"/>
    <w:rsid w:val="0075702F"/>
    <w:rsid w:val="007570BB"/>
    <w:rsid w:val="00757148"/>
    <w:rsid w:val="007571A8"/>
    <w:rsid w:val="00757212"/>
    <w:rsid w:val="0075768A"/>
    <w:rsid w:val="00757AD6"/>
    <w:rsid w:val="00757B41"/>
    <w:rsid w:val="00757C27"/>
    <w:rsid w:val="00757D22"/>
    <w:rsid w:val="00757D66"/>
    <w:rsid w:val="00757E19"/>
    <w:rsid w:val="00757F4F"/>
    <w:rsid w:val="00757FE8"/>
    <w:rsid w:val="00760005"/>
    <w:rsid w:val="007601B8"/>
    <w:rsid w:val="007601DE"/>
    <w:rsid w:val="00760217"/>
    <w:rsid w:val="007602E2"/>
    <w:rsid w:val="00760304"/>
    <w:rsid w:val="00760314"/>
    <w:rsid w:val="00760375"/>
    <w:rsid w:val="00760470"/>
    <w:rsid w:val="007604CC"/>
    <w:rsid w:val="0076068D"/>
    <w:rsid w:val="007606F2"/>
    <w:rsid w:val="007607E0"/>
    <w:rsid w:val="00760840"/>
    <w:rsid w:val="007608C6"/>
    <w:rsid w:val="00760A08"/>
    <w:rsid w:val="00760AA6"/>
    <w:rsid w:val="00760E08"/>
    <w:rsid w:val="00760E1B"/>
    <w:rsid w:val="00761166"/>
    <w:rsid w:val="007612DA"/>
    <w:rsid w:val="007613BF"/>
    <w:rsid w:val="007613F7"/>
    <w:rsid w:val="00761450"/>
    <w:rsid w:val="00761473"/>
    <w:rsid w:val="007614CA"/>
    <w:rsid w:val="007614D4"/>
    <w:rsid w:val="00761601"/>
    <w:rsid w:val="00761638"/>
    <w:rsid w:val="0076170A"/>
    <w:rsid w:val="00761779"/>
    <w:rsid w:val="007617EA"/>
    <w:rsid w:val="00761802"/>
    <w:rsid w:val="00761F03"/>
    <w:rsid w:val="00761FBE"/>
    <w:rsid w:val="00762004"/>
    <w:rsid w:val="0076201C"/>
    <w:rsid w:val="00762101"/>
    <w:rsid w:val="00762107"/>
    <w:rsid w:val="00762144"/>
    <w:rsid w:val="007625F4"/>
    <w:rsid w:val="00762677"/>
    <w:rsid w:val="00762689"/>
    <w:rsid w:val="0076274D"/>
    <w:rsid w:val="0076275A"/>
    <w:rsid w:val="00762C6F"/>
    <w:rsid w:val="00762C9D"/>
    <w:rsid w:val="00762D22"/>
    <w:rsid w:val="00762D98"/>
    <w:rsid w:val="00762DEC"/>
    <w:rsid w:val="00762F69"/>
    <w:rsid w:val="00762F8B"/>
    <w:rsid w:val="00763028"/>
    <w:rsid w:val="00763081"/>
    <w:rsid w:val="007630BD"/>
    <w:rsid w:val="007630C6"/>
    <w:rsid w:val="00763141"/>
    <w:rsid w:val="007631A7"/>
    <w:rsid w:val="007631CE"/>
    <w:rsid w:val="00763265"/>
    <w:rsid w:val="007632DF"/>
    <w:rsid w:val="007634D4"/>
    <w:rsid w:val="0076368F"/>
    <w:rsid w:val="007636F7"/>
    <w:rsid w:val="00763858"/>
    <w:rsid w:val="007638E5"/>
    <w:rsid w:val="007639C5"/>
    <w:rsid w:val="00763AF1"/>
    <w:rsid w:val="00763B34"/>
    <w:rsid w:val="00763B55"/>
    <w:rsid w:val="00763DD3"/>
    <w:rsid w:val="007640A9"/>
    <w:rsid w:val="00764163"/>
    <w:rsid w:val="00764213"/>
    <w:rsid w:val="00764225"/>
    <w:rsid w:val="0076426C"/>
    <w:rsid w:val="00764323"/>
    <w:rsid w:val="007645D2"/>
    <w:rsid w:val="00764653"/>
    <w:rsid w:val="00764729"/>
    <w:rsid w:val="0076497A"/>
    <w:rsid w:val="00764A35"/>
    <w:rsid w:val="00764B61"/>
    <w:rsid w:val="00764BB2"/>
    <w:rsid w:val="00764BCD"/>
    <w:rsid w:val="00764C65"/>
    <w:rsid w:val="00764C69"/>
    <w:rsid w:val="00764C73"/>
    <w:rsid w:val="00764D0A"/>
    <w:rsid w:val="00764EB7"/>
    <w:rsid w:val="00764FE1"/>
    <w:rsid w:val="00765006"/>
    <w:rsid w:val="0076500F"/>
    <w:rsid w:val="0076508D"/>
    <w:rsid w:val="0076522E"/>
    <w:rsid w:val="00765509"/>
    <w:rsid w:val="00765562"/>
    <w:rsid w:val="00765671"/>
    <w:rsid w:val="0076597E"/>
    <w:rsid w:val="00765A6E"/>
    <w:rsid w:val="00765C79"/>
    <w:rsid w:val="00765C80"/>
    <w:rsid w:val="00766287"/>
    <w:rsid w:val="007662C5"/>
    <w:rsid w:val="007664E4"/>
    <w:rsid w:val="0076677B"/>
    <w:rsid w:val="007669D5"/>
    <w:rsid w:val="007669DE"/>
    <w:rsid w:val="007669ED"/>
    <w:rsid w:val="00766A08"/>
    <w:rsid w:val="00766A0F"/>
    <w:rsid w:val="00766BDF"/>
    <w:rsid w:val="00766BE8"/>
    <w:rsid w:val="00766CD4"/>
    <w:rsid w:val="00766D7C"/>
    <w:rsid w:val="00766D9B"/>
    <w:rsid w:val="00766E11"/>
    <w:rsid w:val="00766FA2"/>
    <w:rsid w:val="00766FEE"/>
    <w:rsid w:val="00766FF4"/>
    <w:rsid w:val="00767051"/>
    <w:rsid w:val="0076731A"/>
    <w:rsid w:val="007673CB"/>
    <w:rsid w:val="0076752B"/>
    <w:rsid w:val="007678DC"/>
    <w:rsid w:val="00767A9B"/>
    <w:rsid w:val="00767ACA"/>
    <w:rsid w:val="00767AEB"/>
    <w:rsid w:val="00767B82"/>
    <w:rsid w:val="00767DAC"/>
    <w:rsid w:val="00767E8E"/>
    <w:rsid w:val="00767EAE"/>
    <w:rsid w:val="00767ED6"/>
    <w:rsid w:val="0077005B"/>
    <w:rsid w:val="007701C6"/>
    <w:rsid w:val="007702A7"/>
    <w:rsid w:val="007702FC"/>
    <w:rsid w:val="00770341"/>
    <w:rsid w:val="00770354"/>
    <w:rsid w:val="0077045A"/>
    <w:rsid w:val="00770461"/>
    <w:rsid w:val="007704E1"/>
    <w:rsid w:val="00770634"/>
    <w:rsid w:val="007706CC"/>
    <w:rsid w:val="007708A5"/>
    <w:rsid w:val="0077093D"/>
    <w:rsid w:val="007709B2"/>
    <w:rsid w:val="007709BA"/>
    <w:rsid w:val="00770A71"/>
    <w:rsid w:val="00770DB0"/>
    <w:rsid w:val="00770F45"/>
    <w:rsid w:val="00770FDE"/>
    <w:rsid w:val="00771084"/>
    <w:rsid w:val="007711C6"/>
    <w:rsid w:val="00771222"/>
    <w:rsid w:val="007713B9"/>
    <w:rsid w:val="007713BD"/>
    <w:rsid w:val="0077152B"/>
    <w:rsid w:val="0077157F"/>
    <w:rsid w:val="00771593"/>
    <w:rsid w:val="0077159C"/>
    <w:rsid w:val="0077168A"/>
    <w:rsid w:val="007716AE"/>
    <w:rsid w:val="00771868"/>
    <w:rsid w:val="00771A30"/>
    <w:rsid w:val="00771A79"/>
    <w:rsid w:val="00771B12"/>
    <w:rsid w:val="00771C8C"/>
    <w:rsid w:val="00771D56"/>
    <w:rsid w:val="00771E37"/>
    <w:rsid w:val="00771E64"/>
    <w:rsid w:val="00771EFC"/>
    <w:rsid w:val="0077213D"/>
    <w:rsid w:val="007721AA"/>
    <w:rsid w:val="0077227B"/>
    <w:rsid w:val="007722AF"/>
    <w:rsid w:val="007723B6"/>
    <w:rsid w:val="007724B6"/>
    <w:rsid w:val="00772550"/>
    <w:rsid w:val="007728E2"/>
    <w:rsid w:val="007728EB"/>
    <w:rsid w:val="0077298C"/>
    <w:rsid w:val="007729AA"/>
    <w:rsid w:val="00772B98"/>
    <w:rsid w:val="00772D05"/>
    <w:rsid w:val="00772D3D"/>
    <w:rsid w:val="00772E49"/>
    <w:rsid w:val="00772EFA"/>
    <w:rsid w:val="00772F85"/>
    <w:rsid w:val="00773100"/>
    <w:rsid w:val="007732EB"/>
    <w:rsid w:val="00773332"/>
    <w:rsid w:val="00773493"/>
    <w:rsid w:val="00773579"/>
    <w:rsid w:val="00773824"/>
    <w:rsid w:val="00773929"/>
    <w:rsid w:val="00773A36"/>
    <w:rsid w:val="00773AF5"/>
    <w:rsid w:val="00773DCA"/>
    <w:rsid w:val="00773ED5"/>
    <w:rsid w:val="00773F77"/>
    <w:rsid w:val="00773F87"/>
    <w:rsid w:val="00773FEB"/>
    <w:rsid w:val="0077408A"/>
    <w:rsid w:val="007740BE"/>
    <w:rsid w:val="00774348"/>
    <w:rsid w:val="00774526"/>
    <w:rsid w:val="00774629"/>
    <w:rsid w:val="00774634"/>
    <w:rsid w:val="007746E6"/>
    <w:rsid w:val="00774721"/>
    <w:rsid w:val="007748C0"/>
    <w:rsid w:val="00774ABA"/>
    <w:rsid w:val="00774B59"/>
    <w:rsid w:val="00774D57"/>
    <w:rsid w:val="00774E98"/>
    <w:rsid w:val="00774EBB"/>
    <w:rsid w:val="00775165"/>
    <w:rsid w:val="007751DA"/>
    <w:rsid w:val="00775291"/>
    <w:rsid w:val="007752D7"/>
    <w:rsid w:val="0077530B"/>
    <w:rsid w:val="007753C1"/>
    <w:rsid w:val="00775548"/>
    <w:rsid w:val="00775552"/>
    <w:rsid w:val="00775838"/>
    <w:rsid w:val="00775A66"/>
    <w:rsid w:val="00775A6E"/>
    <w:rsid w:val="00775AB6"/>
    <w:rsid w:val="00775AEF"/>
    <w:rsid w:val="00775BB1"/>
    <w:rsid w:val="00775C1D"/>
    <w:rsid w:val="00775E45"/>
    <w:rsid w:val="007761CD"/>
    <w:rsid w:val="007763A7"/>
    <w:rsid w:val="00776487"/>
    <w:rsid w:val="0077648B"/>
    <w:rsid w:val="00776495"/>
    <w:rsid w:val="007764F8"/>
    <w:rsid w:val="007765BB"/>
    <w:rsid w:val="00776965"/>
    <w:rsid w:val="00776C95"/>
    <w:rsid w:val="00776D39"/>
    <w:rsid w:val="00776F23"/>
    <w:rsid w:val="00777017"/>
    <w:rsid w:val="007771AC"/>
    <w:rsid w:val="0077723A"/>
    <w:rsid w:val="00777317"/>
    <w:rsid w:val="0077737B"/>
    <w:rsid w:val="007774DB"/>
    <w:rsid w:val="0077757D"/>
    <w:rsid w:val="00777650"/>
    <w:rsid w:val="0077773B"/>
    <w:rsid w:val="007778BF"/>
    <w:rsid w:val="0077792E"/>
    <w:rsid w:val="007779C3"/>
    <w:rsid w:val="00777A3D"/>
    <w:rsid w:val="00777A48"/>
    <w:rsid w:val="00777EE0"/>
    <w:rsid w:val="00777EF7"/>
    <w:rsid w:val="0078006E"/>
    <w:rsid w:val="007801DE"/>
    <w:rsid w:val="00780396"/>
    <w:rsid w:val="00780501"/>
    <w:rsid w:val="00780582"/>
    <w:rsid w:val="00780753"/>
    <w:rsid w:val="007807A6"/>
    <w:rsid w:val="0078115C"/>
    <w:rsid w:val="00781170"/>
    <w:rsid w:val="0078124A"/>
    <w:rsid w:val="00781285"/>
    <w:rsid w:val="007813EF"/>
    <w:rsid w:val="0078142F"/>
    <w:rsid w:val="007814DB"/>
    <w:rsid w:val="00781536"/>
    <w:rsid w:val="007815AB"/>
    <w:rsid w:val="007818EC"/>
    <w:rsid w:val="007819BA"/>
    <w:rsid w:val="007819BB"/>
    <w:rsid w:val="007819E4"/>
    <w:rsid w:val="00781B17"/>
    <w:rsid w:val="00781D80"/>
    <w:rsid w:val="00781EC4"/>
    <w:rsid w:val="00781F08"/>
    <w:rsid w:val="00782037"/>
    <w:rsid w:val="0078204F"/>
    <w:rsid w:val="00782086"/>
    <w:rsid w:val="007823F1"/>
    <w:rsid w:val="007825C2"/>
    <w:rsid w:val="007826D7"/>
    <w:rsid w:val="00782879"/>
    <w:rsid w:val="007829D9"/>
    <w:rsid w:val="00782A54"/>
    <w:rsid w:val="00782B5E"/>
    <w:rsid w:val="00782BBC"/>
    <w:rsid w:val="00782CA1"/>
    <w:rsid w:val="00782D78"/>
    <w:rsid w:val="00782DAC"/>
    <w:rsid w:val="00782DD0"/>
    <w:rsid w:val="00782F7D"/>
    <w:rsid w:val="0078301D"/>
    <w:rsid w:val="007831F2"/>
    <w:rsid w:val="00783441"/>
    <w:rsid w:val="00783462"/>
    <w:rsid w:val="00783535"/>
    <w:rsid w:val="0078357F"/>
    <w:rsid w:val="00783638"/>
    <w:rsid w:val="00783706"/>
    <w:rsid w:val="0078388C"/>
    <w:rsid w:val="007839F7"/>
    <w:rsid w:val="00783A6D"/>
    <w:rsid w:val="00783B26"/>
    <w:rsid w:val="00783F1F"/>
    <w:rsid w:val="00783FEE"/>
    <w:rsid w:val="0078407D"/>
    <w:rsid w:val="0078413E"/>
    <w:rsid w:val="007841A6"/>
    <w:rsid w:val="007841AE"/>
    <w:rsid w:val="007843C2"/>
    <w:rsid w:val="00784577"/>
    <w:rsid w:val="00784625"/>
    <w:rsid w:val="0078477B"/>
    <w:rsid w:val="00784926"/>
    <w:rsid w:val="007849E8"/>
    <w:rsid w:val="00784B4B"/>
    <w:rsid w:val="00784C95"/>
    <w:rsid w:val="00784D4B"/>
    <w:rsid w:val="00784F68"/>
    <w:rsid w:val="007850FF"/>
    <w:rsid w:val="00785228"/>
    <w:rsid w:val="0078533C"/>
    <w:rsid w:val="007854D7"/>
    <w:rsid w:val="00785558"/>
    <w:rsid w:val="0078576E"/>
    <w:rsid w:val="00785804"/>
    <w:rsid w:val="0078588F"/>
    <w:rsid w:val="0078595F"/>
    <w:rsid w:val="00785AEA"/>
    <w:rsid w:val="00785B06"/>
    <w:rsid w:val="00785C3C"/>
    <w:rsid w:val="00785CAD"/>
    <w:rsid w:val="00785D4D"/>
    <w:rsid w:val="00785DDD"/>
    <w:rsid w:val="00785DF7"/>
    <w:rsid w:val="00785E3E"/>
    <w:rsid w:val="00785FBC"/>
    <w:rsid w:val="00786181"/>
    <w:rsid w:val="00786291"/>
    <w:rsid w:val="007862FA"/>
    <w:rsid w:val="00786363"/>
    <w:rsid w:val="00786641"/>
    <w:rsid w:val="007866A8"/>
    <w:rsid w:val="007867E9"/>
    <w:rsid w:val="00786889"/>
    <w:rsid w:val="007869C1"/>
    <w:rsid w:val="007869C3"/>
    <w:rsid w:val="00786C14"/>
    <w:rsid w:val="00786D4E"/>
    <w:rsid w:val="00786E32"/>
    <w:rsid w:val="0078701E"/>
    <w:rsid w:val="00787161"/>
    <w:rsid w:val="007873B1"/>
    <w:rsid w:val="0078752F"/>
    <w:rsid w:val="00787548"/>
    <w:rsid w:val="00787922"/>
    <w:rsid w:val="0078793D"/>
    <w:rsid w:val="00787946"/>
    <w:rsid w:val="00787A6A"/>
    <w:rsid w:val="00787B8B"/>
    <w:rsid w:val="00787BAF"/>
    <w:rsid w:val="00787C26"/>
    <w:rsid w:val="00790052"/>
    <w:rsid w:val="0079021E"/>
    <w:rsid w:val="007903AD"/>
    <w:rsid w:val="007903B4"/>
    <w:rsid w:val="00790510"/>
    <w:rsid w:val="007905D0"/>
    <w:rsid w:val="00790718"/>
    <w:rsid w:val="007907ED"/>
    <w:rsid w:val="00790912"/>
    <w:rsid w:val="007909A0"/>
    <w:rsid w:val="00790AAA"/>
    <w:rsid w:val="00790C51"/>
    <w:rsid w:val="00790CED"/>
    <w:rsid w:val="00790D9C"/>
    <w:rsid w:val="00790DFE"/>
    <w:rsid w:val="00791065"/>
    <w:rsid w:val="007910BD"/>
    <w:rsid w:val="00791180"/>
    <w:rsid w:val="007912B4"/>
    <w:rsid w:val="0079134B"/>
    <w:rsid w:val="007913AC"/>
    <w:rsid w:val="007913E2"/>
    <w:rsid w:val="00791471"/>
    <w:rsid w:val="00791481"/>
    <w:rsid w:val="007914AC"/>
    <w:rsid w:val="007914CA"/>
    <w:rsid w:val="007915CB"/>
    <w:rsid w:val="00791890"/>
    <w:rsid w:val="00791A91"/>
    <w:rsid w:val="00791B22"/>
    <w:rsid w:val="00791FBB"/>
    <w:rsid w:val="00792448"/>
    <w:rsid w:val="007924B2"/>
    <w:rsid w:val="0079293C"/>
    <w:rsid w:val="00792952"/>
    <w:rsid w:val="00792A05"/>
    <w:rsid w:val="00792A14"/>
    <w:rsid w:val="00792A30"/>
    <w:rsid w:val="00792AB8"/>
    <w:rsid w:val="00792B37"/>
    <w:rsid w:val="00792BCA"/>
    <w:rsid w:val="00792D5E"/>
    <w:rsid w:val="00793227"/>
    <w:rsid w:val="007933D3"/>
    <w:rsid w:val="007936E0"/>
    <w:rsid w:val="007937BD"/>
    <w:rsid w:val="00793859"/>
    <w:rsid w:val="0079387F"/>
    <w:rsid w:val="007938A5"/>
    <w:rsid w:val="00793B6E"/>
    <w:rsid w:val="00793E58"/>
    <w:rsid w:val="00793EB4"/>
    <w:rsid w:val="00793EB5"/>
    <w:rsid w:val="00793F66"/>
    <w:rsid w:val="00793F80"/>
    <w:rsid w:val="00794004"/>
    <w:rsid w:val="00794095"/>
    <w:rsid w:val="007941EC"/>
    <w:rsid w:val="0079423D"/>
    <w:rsid w:val="00794313"/>
    <w:rsid w:val="00794352"/>
    <w:rsid w:val="00794746"/>
    <w:rsid w:val="00794754"/>
    <w:rsid w:val="00794AB8"/>
    <w:rsid w:val="00794ADC"/>
    <w:rsid w:val="00794C2B"/>
    <w:rsid w:val="00794CAE"/>
    <w:rsid w:val="00794DD7"/>
    <w:rsid w:val="00794EE8"/>
    <w:rsid w:val="00794F5E"/>
    <w:rsid w:val="0079503D"/>
    <w:rsid w:val="00795069"/>
    <w:rsid w:val="007950C4"/>
    <w:rsid w:val="00795178"/>
    <w:rsid w:val="00795253"/>
    <w:rsid w:val="0079534C"/>
    <w:rsid w:val="007955D9"/>
    <w:rsid w:val="00795777"/>
    <w:rsid w:val="007957C6"/>
    <w:rsid w:val="00795870"/>
    <w:rsid w:val="00795877"/>
    <w:rsid w:val="0079587D"/>
    <w:rsid w:val="00795903"/>
    <w:rsid w:val="007959AE"/>
    <w:rsid w:val="00795A63"/>
    <w:rsid w:val="00795A72"/>
    <w:rsid w:val="00795BA1"/>
    <w:rsid w:val="00795C7E"/>
    <w:rsid w:val="00795D1C"/>
    <w:rsid w:val="00795DBC"/>
    <w:rsid w:val="00795F11"/>
    <w:rsid w:val="00795F17"/>
    <w:rsid w:val="00795F42"/>
    <w:rsid w:val="00795F64"/>
    <w:rsid w:val="00795FCF"/>
    <w:rsid w:val="00796027"/>
    <w:rsid w:val="00796095"/>
    <w:rsid w:val="007960D9"/>
    <w:rsid w:val="007961EB"/>
    <w:rsid w:val="00796248"/>
    <w:rsid w:val="0079625C"/>
    <w:rsid w:val="00796267"/>
    <w:rsid w:val="00796270"/>
    <w:rsid w:val="00796347"/>
    <w:rsid w:val="00796449"/>
    <w:rsid w:val="00796561"/>
    <w:rsid w:val="00796692"/>
    <w:rsid w:val="0079671B"/>
    <w:rsid w:val="007969A4"/>
    <w:rsid w:val="00796A19"/>
    <w:rsid w:val="00796A97"/>
    <w:rsid w:val="00796C01"/>
    <w:rsid w:val="00796D09"/>
    <w:rsid w:val="00796DDF"/>
    <w:rsid w:val="00796E54"/>
    <w:rsid w:val="00796E7E"/>
    <w:rsid w:val="00796FEA"/>
    <w:rsid w:val="0079703E"/>
    <w:rsid w:val="00797109"/>
    <w:rsid w:val="00797121"/>
    <w:rsid w:val="0079724B"/>
    <w:rsid w:val="0079729D"/>
    <w:rsid w:val="00797606"/>
    <w:rsid w:val="00797688"/>
    <w:rsid w:val="007976B8"/>
    <w:rsid w:val="007979D8"/>
    <w:rsid w:val="00797ABA"/>
    <w:rsid w:val="00797B88"/>
    <w:rsid w:val="00797BDA"/>
    <w:rsid w:val="00797C09"/>
    <w:rsid w:val="00797C7C"/>
    <w:rsid w:val="00797D76"/>
    <w:rsid w:val="00797DBB"/>
    <w:rsid w:val="00797EAE"/>
    <w:rsid w:val="007A003D"/>
    <w:rsid w:val="007A00E1"/>
    <w:rsid w:val="007A0258"/>
    <w:rsid w:val="007A027C"/>
    <w:rsid w:val="007A02C2"/>
    <w:rsid w:val="007A0363"/>
    <w:rsid w:val="007A067B"/>
    <w:rsid w:val="007A08A4"/>
    <w:rsid w:val="007A0963"/>
    <w:rsid w:val="007A0BB9"/>
    <w:rsid w:val="007A0BF1"/>
    <w:rsid w:val="007A0DCC"/>
    <w:rsid w:val="007A0DF5"/>
    <w:rsid w:val="007A0E49"/>
    <w:rsid w:val="007A0F53"/>
    <w:rsid w:val="007A1195"/>
    <w:rsid w:val="007A11FE"/>
    <w:rsid w:val="007A1206"/>
    <w:rsid w:val="007A12E2"/>
    <w:rsid w:val="007A13A4"/>
    <w:rsid w:val="007A13FA"/>
    <w:rsid w:val="007A146C"/>
    <w:rsid w:val="007A14DE"/>
    <w:rsid w:val="007A1731"/>
    <w:rsid w:val="007A173E"/>
    <w:rsid w:val="007A17B9"/>
    <w:rsid w:val="007A1A75"/>
    <w:rsid w:val="007A1B27"/>
    <w:rsid w:val="007A1CB5"/>
    <w:rsid w:val="007A1D28"/>
    <w:rsid w:val="007A1DA9"/>
    <w:rsid w:val="007A1E79"/>
    <w:rsid w:val="007A1F84"/>
    <w:rsid w:val="007A2120"/>
    <w:rsid w:val="007A21E6"/>
    <w:rsid w:val="007A2273"/>
    <w:rsid w:val="007A2383"/>
    <w:rsid w:val="007A238F"/>
    <w:rsid w:val="007A2548"/>
    <w:rsid w:val="007A25C7"/>
    <w:rsid w:val="007A263D"/>
    <w:rsid w:val="007A2785"/>
    <w:rsid w:val="007A27C8"/>
    <w:rsid w:val="007A281E"/>
    <w:rsid w:val="007A2881"/>
    <w:rsid w:val="007A2914"/>
    <w:rsid w:val="007A29E9"/>
    <w:rsid w:val="007A2AE1"/>
    <w:rsid w:val="007A2D6E"/>
    <w:rsid w:val="007A2DB8"/>
    <w:rsid w:val="007A2FC5"/>
    <w:rsid w:val="007A3398"/>
    <w:rsid w:val="007A3560"/>
    <w:rsid w:val="007A3616"/>
    <w:rsid w:val="007A363F"/>
    <w:rsid w:val="007A36A2"/>
    <w:rsid w:val="007A378D"/>
    <w:rsid w:val="007A3791"/>
    <w:rsid w:val="007A37D4"/>
    <w:rsid w:val="007A37FA"/>
    <w:rsid w:val="007A38BA"/>
    <w:rsid w:val="007A38D4"/>
    <w:rsid w:val="007A39AA"/>
    <w:rsid w:val="007A3A0F"/>
    <w:rsid w:val="007A3A2E"/>
    <w:rsid w:val="007A3A47"/>
    <w:rsid w:val="007A3CFF"/>
    <w:rsid w:val="007A3DCC"/>
    <w:rsid w:val="007A4162"/>
    <w:rsid w:val="007A4211"/>
    <w:rsid w:val="007A42AA"/>
    <w:rsid w:val="007A443D"/>
    <w:rsid w:val="007A4523"/>
    <w:rsid w:val="007A465F"/>
    <w:rsid w:val="007A48C4"/>
    <w:rsid w:val="007A494D"/>
    <w:rsid w:val="007A4ABA"/>
    <w:rsid w:val="007A4B27"/>
    <w:rsid w:val="007A4C5C"/>
    <w:rsid w:val="007A4CB0"/>
    <w:rsid w:val="007A4D06"/>
    <w:rsid w:val="007A4EAB"/>
    <w:rsid w:val="007A503E"/>
    <w:rsid w:val="007A51B2"/>
    <w:rsid w:val="007A5217"/>
    <w:rsid w:val="007A534D"/>
    <w:rsid w:val="007A5637"/>
    <w:rsid w:val="007A5644"/>
    <w:rsid w:val="007A5657"/>
    <w:rsid w:val="007A5857"/>
    <w:rsid w:val="007A5887"/>
    <w:rsid w:val="007A58B4"/>
    <w:rsid w:val="007A58EF"/>
    <w:rsid w:val="007A5919"/>
    <w:rsid w:val="007A5947"/>
    <w:rsid w:val="007A59C7"/>
    <w:rsid w:val="007A5A29"/>
    <w:rsid w:val="007A5AB7"/>
    <w:rsid w:val="007A5BA8"/>
    <w:rsid w:val="007A5C4F"/>
    <w:rsid w:val="007A5C7F"/>
    <w:rsid w:val="007A5CBF"/>
    <w:rsid w:val="007A5FE8"/>
    <w:rsid w:val="007A5FFD"/>
    <w:rsid w:val="007A6053"/>
    <w:rsid w:val="007A61E2"/>
    <w:rsid w:val="007A62D1"/>
    <w:rsid w:val="007A638B"/>
    <w:rsid w:val="007A663B"/>
    <w:rsid w:val="007A664A"/>
    <w:rsid w:val="007A67EE"/>
    <w:rsid w:val="007A688E"/>
    <w:rsid w:val="007A68E5"/>
    <w:rsid w:val="007A68F6"/>
    <w:rsid w:val="007A6A30"/>
    <w:rsid w:val="007A6D93"/>
    <w:rsid w:val="007A6DA9"/>
    <w:rsid w:val="007A705E"/>
    <w:rsid w:val="007A7100"/>
    <w:rsid w:val="007A72DC"/>
    <w:rsid w:val="007A7353"/>
    <w:rsid w:val="007A7368"/>
    <w:rsid w:val="007A73AB"/>
    <w:rsid w:val="007A73CF"/>
    <w:rsid w:val="007A73FE"/>
    <w:rsid w:val="007A7421"/>
    <w:rsid w:val="007A744F"/>
    <w:rsid w:val="007A748F"/>
    <w:rsid w:val="007A74AD"/>
    <w:rsid w:val="007A74BA"/>
    <w:rsid w:val="007A7527"/>
    <w:rsid w:val="007A75E4"/>
    <w:rsid w:val="007A75E9"/>
    <w:rsid w:val="007A7645"/>
    <w:rsid w:val="007A7647"/>
    <w:rsid w:val="007A76CB"/>
    <w:rsid w:val="007A7760"/>
    <w:rsid w:val="007A77A6"/>
    <w:rsid w:val="007A7843"/>
    <w:rsid w:val="007A78B0"/>
    <w:rsid w:val="007A78E0"/>
    <w:rsid w:val="007A7B0D"/>
    <w:rsid w:val="007A7B30"/>
    <w:rsid w:val="007A7C89"/>
    <w:rsid w:val="007A7E5A"/>
    <w:rsid w:val="007A7F14"/>
    <w:rsid w:val="007B0012"/>
    <w:rsid w:val="007B0072"/>
    <w:rsid w:val="007B009D"/>
    <w:rsid w:val="007B00D8"/>
    <w:rsid w:val="007B05E5"/>
    <w:rsid w:val="007B06B4"/>
    <w:rsid w:val="007B06FA"/>
    <w:rsid w:val="007B07B5"/>
    <w:rsid w:val="007B0912"/>
    <w:rsid w:val="007B0A85"/>
    <w:rsid w:val="007B0ADE"/>
    <w:rsid w:val="007B0B94"/>
    <w:rsid w:val="007B0BE4"/>
    <w:rsid w:val="007B0C92"/>
    <w:rsid w:val="007B0D79"/>
    <w:rsid w:val="007B0EC2"/>
    <w:rsid w:val="007B0FC4"/>
    <w:rsid w:val="007B10B2"/>
    <w:rsid w:val="007B1190"/>
    <w:rsid w:val="007B1192"/>
    <w:rsid w:val="007B1199"/>
    <w:rsid w:val="007B1203"/>
    <w:rsid w:val="007B17B9"/>
    <w:rsid w:val="007B18E0"/>
    <w:rsid w:val="007B18F2"/>
    <w:rsid w:val="007B1AC7"/>
    <w:rsid w:val="007B1B9A"/>
    <w:rsid w:val="007B1D7B"/>
    <w:rsid w:val="007B1DD7"/>
    <w:rsid w:val="007B1E4F"/>
    <w:rsid w:val="007B1E6C"/>
    <w:rsid w:val="007B1F61"/>
    <w:rsid w:val="007B2144"/>
    <w:rsid w:val="007B2377"/>
    <w:rsid w:val="007B2460"/>
    <w:rsid w:val="007B253C"/>
    <w:rsid w:val="007B2554"/>
    <w:rsid w:val="007B2823"/>
    <w:rsid w:val="007B2872"/>
    <w:rsid w:val="007B2983"/>
    <w:rsid w:val="007B29DC"/>
    <w:rsid w:val="007B2AE8"/>
    <w:rsid w:val="007B2C1E"/>
    <w:rsid w:val="007B2C73"/>
    <w:rsid w:val="007B2C8D"/>
    <w:rsid w:val="007B2D0A"/>
    <w:rsid w:val="007B2D41"/>
    <w:rsid w:val="007B2E63"/>
    <w:rsid w:val="007B2F78"/>
    <w:rsid w:val="007B3141"/>
    <w:rsid w:val="007B31A9"/>
    <w:rsid w:val="007B31DE"/>
    <w:rsid w:val="007B3292"/>
    <w:rsid w:val="007B33DF"/>
    <w:rsid w:val="007B3459"/>
    <w:rsid w:val="007B3786"/>
    <w:rsid w:val="007B37D3"/>
    <w:rsid w:val="007B380F"/>
    <w:rsid w:val="007B383F"/>
    <w:rsid w:val="007B393D"/>
    <w:rsid w:val="007B397A"/>
    <w:rsid w:val="007B398B"/>
    <w:rsid w:val="007B39AC"/>
    <w:rsid w:val="007B3ABF"/>
    <w:rsid w:val="007B3B92"/>
    <w:rsid w:val="007B3DE5"/>
    <w:rsid w:val="007B3DF2"/>
    <w:rsid w:val="007B3E0B"/>
    <w:rsid w:val="007B3F34"/>
    <w:rsid w:val="007B40F4"/>
    <w:rsid w:val="007B4350"/>
    <w:rsid w:val="007B44A9"/>
    <w:rsid w:val="007B48FA"/>
    <w:rsid w:val="007B4926"/>
    <w:rsid w:val="007B4D2C"/>
    <w:rsid w:val="007B4E19"/>
    <w:rsid w:val="007B50B5"/>
    <w:rsid w:val="007B5249"/>
    <w:rsid w:val="007B529D"/>
    <w:rsid w:val="007B52BC"/>
    <w:rsid w:val="007B541C"/>
    <w:rsid w:val="007B5617"/>
    <w:rsid w:val="007B5772"/>
    <w:rsid w:val="007B5921"/>
    <w:rsid w:val="007B5AF7"/>
    <w:rsid w:val="007B5D10"/>
    <w:rsid w:val="007B5E9C"/>
    <w:rsid w:val="007B5F25"/>
    <w:rsid w:val="007B5FB3"/>
    <w:rsid w:val="007B60F1"/>
    <w:rsid w:val="007B60FD"/>
    <w:rsid w:val="007B6146"/>
    <w:rsid w:val="007B6220"/>
    <w:rsid w:val="007B6258"/>
    <w:rsid w:val="007B62B1"/>
    <w:rsid w:val="007B62CB"/>
    <w:rsid w:val="007B6570"/>
    <w:rsid w:val="007B66A6"/>
    <w:rsid w:val="007B66FD"/>
    <w:rsid w:val="007B687D"/>
    <w:rsid w:val="007B68A3"/>
    <w:rsid w:val="007B692E"/>
    <w:rsid w:val="007B694D"/>
    <w:rsid w:val="007B6A77"/>
    <w:rsid w:val="007B6C15"/>
    <w:rsid w:val="007B6CD5"/>
    <w:rsid w:val="007B6E5D"/>
    <w:rsid w:val="007B6E6B"/>
    <w:rsid w:val="007B6F02"/>
    <w:rsid w:val="007B701B"/>
    <w:rsid w:val="007B701D"/>
    <w:rsid w:val="007B7060"/>
    <w:rsid w:val="007B70AE"/>
    <w:rsid w:val="007B70E1"/>
    <w:rsid w:val="007B720C"/>
    <w:rsid w:val="007B729F"/>
    <w:rsid w:val="007B72B4"/>
    <w:rsid w:val="007B73EE"/>
    <w:rsid w:val="007B7471"/>
    <w:rsid w:val="007B74E7"/>
    <w:rsid w:val="007B7567"/>
    <w:rsid w:val="007B75FB"/>
    <w:rsid w:val="007B7728"/>
    <w:rsid w:val="007B782F"/>
    <w:rsid w:val="007B78A0"/>
    <w:rsid w:val="007B792D"/>
    <w:rsid w:val="007B7BE5"/>
    <w:rsid w:val="007B7FC7"/>
    <w:rsid w:val="007B7FEE"/>
    <w:rsid w:val="007C0076"/>
    <w:rsid w:val="007C024F"/>
    <w:rsid w:val="007C026E"/>
    <w:rsid w:val="007C0305"/>
    <w:rsid w:val="007C0613"/>
    <w:rsid w:val="007C0912"/>
    <w:rsid w:val="007C0C51"/>
    <w:rsid w:val="007C0CDF"/>
    <w:rsid w:val="007C0DFF"/>
    <w:rsid w:val="007C1073"/>
    <w:rsid w:val="007C116C"/>
    <w:rsid w:val="007C11CB"/>
    <w:rsid w:val="007C123E"/>
    <w:rsid w:val="007C1290"/>
    <w:rsid w:val="007C12A9"/>
    <w:rsid w:val="007C13D7"/>
    <w:rsid w:val="007C14DA"/>
    <w:rsid w:val="007C15BC"/>
    <w:rsid w:val="007C1897"/>
    <w:rsid w:val="007C18AD"/>
    <w:rsid w:val="007C1974"/>
    <w:rsid w:val="007C1BD3"/>
    <w:rsid w:val="007C1E15"/>
    <w:rsid w:val="007C1EF8"/>
    <w:rsid w:val="007C1F8E"/>
    <w:rsid w:val="007C1FCA"/>
    <w:rsid w:val="007C202F"/>
    <w:rsid w:val="007C20DC"/>
    <w:rsid w:val="007C2306"/>
    <w:rsid w:val="007C240F"/>
    <w:rsid w:val="007C27C2"/>
    <w:rsid w:val="007C27CC"/>
    <w:rsid w:val="007C2B47"/>
    <w:rsid w:val="007C2BBC"/>
    <w:rsid w:val="007C2C95"/>
    <w:rsid w:val="007C2ED0"/>
    <w:rsid w:val="007C2F04"/>
    <w:rsid w:val="007C2F1A"/>
    <w:rsid w:val="007C2F4F"/>
    <w:rsid w:val="007C3051"/>
    <w:rsid w:val="007C30C7"/>
    <w:rsid w:val="007C3200"/>
    <w:rsid w:val="007C3475"/>
    <w:rsid w:val="007C35FC"/>
    <w:rsid w:val="007C378F"/>
    <w:rsid w:val="007C3886"/>
    <w:rsid w:val="007C3975"/>
    <w:rsid w:val="007C3982"/>
    <w:rsid w:val="007C3ADF"/>
    <w:rsid w:val="007C3AFD"/>
    <w:rsid w:val="007C3BFD"/>
    <w:rsid w:val="007C3D57"/>
    <w:rsid w:val="007C3D7B"/>
    <w:rsid w:val="007C3F3C"/>
    <w:rsid w:val="007C4008"/>
    <w:rsid w:val="007C4067"/>
    <w:rsid w:val="007C4250"/>
    <w:rsid w:val="007C427D"/>
    <w:rsid w:val="007C43AF"/>
    <w:rsid w:val="007C455E"/>
    <w:rsid w:val="007C46CD"/>
    <w:rsid w:val="007C475F"/>
    <w:rsid w:val="007C4797"/>
    <w:rsid w:val="007C47DA"/>
    <w:rsid w:val="007C4930"/>
    <w:rsid w:val="007C4980"/>
    <w:rsid w:val="007C4A55"/>
    <w:rsid w:val="007C4A64"/>
    <w:rsid w:val="007C4B58"/>
    <w:rsid w:val="007C4C5B"/>
    <w:rsid w:val="007C4C87"/>
    <w:rsid w:val="007C4CA3"/>
    <w:rsid w:val="007C4F46"/>
    <w:rsid w:val="007C4F5E"/>
    <w:rsid w:val="007C50BA"/>
    <w:rsid w:val="007C510D"/>
    <w:rsid w:val="007C5170"/>
    <w:rsid w:val="007C5223"/>
    <w:rsid w:val="007C535A"/>
    <w:rsid w:val="007C55FE"/>
    <w:rsid w:val="007C56D8"/>
    <w:rsid w:val="007C57CF"/>
    <w:rsid w:val="007C5B0E"/>
    <w:rsid w:val="007C5BBC"/>
    <w:rsid w:val="007C5DB2"/>
    <w:rsid w:val="007C5F21"/>
    <w:rsid w:val="007C5F9F"/>
    <w:rsid w:val="007C5FDE"/>
    <w:rsid w:val="007C62DE"/>
    <w:rsid w:val="007C65BA"/>
    <w:rsid w:val="007C6657"/>
    <w:rsid w:val="007C6788"/>
    <w:rsid w:val="007C68DF"/>
    <w:rsid w:val="007C69CA"/>
    <w:rsid w:val="007C6A0B"/>
    <w:rsid w:val="007C6AE7"/>
    <w:rsid w:val="007C6B89"/>
    <w:rsid w:val="007C6C3F"/>
    <w:rsid w:val="007C6CBC"/>
    <w:rsid w:val="007C6D89"/>
    <w:rsid w:val="007C6E82"/>
    <w:rsid w:val="007C6EE0"/>
    <w:rsid w:val="007C6F0F"/>
    <w:rsid w:val="007C6F45"/>
    <w:rsid w:val="007C704D"/>
    <w:rsid w:val="007C70E9"/>
    <w:rsid w:val="007C7208"/>
    <w:rsid w:val="007C73DC"/>
    <w:rsid w:val="007C74C1"/>
    <w:rsid w:val="007C74FF"/>
    <w:rsid w:val="007C7588"/>
    <w:rsid w:val="007C75AC"/>
    <w:rsid w:val="007C7B92"/>
    <w:rsid w:val="007C7C1A"/>
    <w:rsid w:val="007C7C31"/>
    <w:rsid w:val="007C7CEC"/>
    <w:rsid w:val="007C7E83"/>
    <w:rsid w:val="007C7FEA"/>
    <w:rsid w:val="007D0399"/>
    <w:rsid w:val="007D042B"/>
    <w:rsid w:val="007D0553"/>
    <w:rsid w:val="007D0785"/>
    <w:rsid w:val="007D0A5E"/>
    <w:rsid w:val="007D0BB0"/>
    <w:rsid w:val="007D0CB0"/>
    <w:rsid w:val="007D0D70"/>
    <w:rsid w:val="007D0DC0"/>
    <w:rsid w:val="007D0EFB"/>
    <w:rsid w:val="007D0FB9"/>
    <w:rsid w:val="007D10E3"/>
    <w:rsid w:val="007D1247"/>
    <w:rsid w:val="007D144B"/>
    <w:rsid w:val="007D1569"/>
    <w:rsid w:val="007D1668"/>
    <w:rsid w:val="007D18D2"/>
    <w:rsid w:val="007D197C"/>
    <w:rsid w:val="007D19F1"/>
    <w:rsid w:val="007D1A03"/>
    <w:rsid w:val="007D1A30"/>
    <w:rsid w:val="007D1BB7"/>
    <w:rsid w:val="007D1D01"/>
    <w:rsid w:val="007D1DD9"/>
    <w:rsid w:val="007D2260"/>
    <w:rsid w:val="007D22F5"/>
    <w:rsid w:val="007D2329"/>
    <w:rsid w:val="007D2339"/>
    <w:rsid w:val="007D25EB"/>
    <w:rsid w:val="007D27D7"/>
    <w:rsid w:val="007D282F"/>
    <w:rsid w:val="007D29E5"/>
    <w:rsid w:val="007D2B2A"/>
    <w:rsid w:val="007D2BE2"/>
    <w:rsid w:val="007D2C5E"/>
    <w:rsid w:val="007D2ECA"/>
    <w:rsid w:val="007D30E3"/>
    <w:rsid w:val="007D3234"/>
    <w:rsid w:val="007D349C"/>
    <w:rsid w:val="007D34B6"/>
    <w:rsid w:val="007D3559"/>
    <w:rsid w:val="007D3724"/>
    <w:rsid w:val="007D37E1"/>
    <w:rsid w:val="007D3ADC"/>
    <w:rsid w:val="007D3AE0"/>
    <w:rsid w:val="007D3CCD"/>
    <w:rsid w:val="007D3EC3"/>
    <w:rsid w:val="007D3EC8"/>
    <w:rsid w:val="007D3F48"/>
    <w:rsid w:val="007D4123"/>
    <w:rsid w:val="007D413F"/>
    <w:rsid w:val="007D41B8"/>
    <w:rsid w:val="007D4301"/>
    <w:rsid w:val="007D4369"/>
    <w:rsid w:val="007D436F"/>
    <w:rsid w:val="007D43EB"/>
    <w:rsid w:val="007D443B"/>
    <w:rsid w:val="007D46AC"/>
    <w:rsid w:val="007D46C1"/>
    <w:rsid w:val="007D4991"/>
    <w:rsid w:val="007D49BE"/>
    <w:rsid w:val="007D4A64"/>
    <w:rsid w:val="007D4B9C"/>
    <w:rsid w:val="007D4EC9"/>
    <w:rsid w:val="007D52D0"/>
    <w:rsid w:val="007D52DD"/>
    <w:rsid w:val="007D5317"/>
    <w:rsid w:val="007D5329"/>
    <w:rsid w:val="007D5435"/>
    <w:rsid w:val="007D545F"/>
    <w:rsid w:val="007D56CB"/>
    <w:rsid w:val="007D57F4"/>
    <w:rsid w:val="007D58D1"/>
    <w:rsid w:val="007D5900"/>
    <w:rsid w:val="007D5A5D"/>
    <w:rsid w:val="007D5AC5"/>
    <w:rsid w:val="007D5B4E"/>
    <w:rsid w:val="007D5BA8"/>
    <w:rsid w:val="007D5CB5"/>
    <w:rsid w:val="007D5D17"/>
    <w:rsid w:val="007D5DB4"/>
    <w:rsid w:val="007D6074"/>
    <w:rsid w:val="007D609A"/>
    <w:rsid w:val="007D609C"/>
    <w:rsid w:val="007D622B"/>
    <w:rsid w:val="007D6338"/>
    <w:rsid w:val="007D63A4"/>
    <w:rsid w:val="007D6560"/>
    <w:rsid w:val="007D66BD"/>
    <w:rsid w:val="007D687A"/>
    <w:rsid w:val="007D68F3"/>
    <w:rsid w:val="007D6950"/>
    <w:rsid w:val="007D69AE"/>
    <w:rsid w:val="007D6A41"/>
    <w:rsid w:val="007D6B08"/>
    <w:rsid w:val="007D6C7C"/>
    <w:rsid w:val="007D6CBC"/>
    <w:rsid w:val="007D6F13"/>
    <w:rsid w:val="007D6F75"/>
    <w:rsid w:val="007D703C"/>
    <w:rsid w:val="007D706F"/>
    <w:rsid w:val="007D710D"/>
    <w:rsid w:val="007D718D"/>
    <w:rsid w:val="007D7205"/>
    <w:rsid w:val="007D72C9"/>
    <w:rsid w:val="007D74E7"/>
    <w:rsid w:val="007D7700"/>
    <w:rsid w:val="007E0016"/>
    <w:rsid w:val="007E0046"/>
    <w:rsid w:val="007E007A"/>
    <w:rsid w:val="007E00E2"/>
    <w:rsid w:val="007E01FC"/>
    <w:rsid w:val="007E0406"/>
    <w:rsid w:val="007E0700"/>
    <w:rsid w:val="007E071D"/>
    <w:rsid w:val="007E0A06"/>
    <w:rsid w:val="007E0B8C"/>
    <w:rsid w:val="007E0D17"/>
    <w:rsid w:val="007E0DE6"/>
    <w:rsid w:val="007E0E3C"/>
    <w:rsid w:val="007E0FEE"/>
    <w:rsid w:val="007E1168"/>
    <w:rsid w:val="007E12C2"/>
    <w:rsid w:val="007E13CA"/>
    <w:rsid w:val="007E13E6"/>
    <w:rsid w:val="007E1482"/>
    <w:rsid w:val="007E1837"/>
    <w:rsid w:val="007E190B"/>
    <w:rsid w:val="007E1988"/>
    <w:rsid w:val="007E1A38"/>
    <w:rsid w:val="007E1C61"/>
    <w:rsid w:val="007E1D11"/>
    <w:rsid w:val="007E1D50"/>
    <w:rsid w:val="007E1EAF"/>
    <w:rsid w:val="007E1EB8"/>
    <w:rsid w:val="007E20BD"/>
    <w:rsid w:val="007E20C5"/>
    <w:rsid w:val="007E20CB"/>
    <w:rsid w:val="007E2152"/>
    <w:rsid w:val="007E2516"/>
    <w:rsid w:val="007E2627"/>
    <w:rsid w:val="007E26E0"/>
    <w:rsid w:val="007E2705"/>
    <w:rsid w:val="007E2729"/>
    <w:rsid w:val="007E28E5"/>
    <w:rsid w:val="007E2B5D"/>
    <w:rsid w:val="007E2C2C"/>
    <w:rsid w:val="007E2C55"/>
    <w:rsid w:val="007E2E5D"/>
    <w:rsid w:val="007E30CC"/>
    <w:rsid w:val="007E31D5"/>
    <w:rsid w:val="007E32CA"/>
    <w:rsid w:val="007E338E"/>
    <w:rsid w:val="007E363A"/>
    <w:rsid w:val="007E36F0"/>
    <w:rsid w:val="007E3735"/>
    <w:rsid w:val="007E37BF"/>
    <w:rsid w:val="007E3953"/>
    <w:rsid w:val="007E39A6"/>
    <w:rsid w:val="007E39A7"/>
    <w:rsid w:val="007E3A84"/>
    <w:rsid w:val="007E3B58"/>
    <w:rsid w:val="007E3BDC"/>
    <w:rsid w:val="007E3D23"/>
    <w:rsid w:val="007E3D3C"/>
    <w:rsid w:val="007E4040"/>
    <w:rsid w:val="007E43E0"/>
    <w:rsid w:val="007E450F"/>
    <w:rsid w:val="007E469B"/>
    <w:rsid w:val="007E4738"/>
    <w:rsid w:val="007E47EA"/>
    <w:rsid w:val="007E4881"/>
    <w:rsid w:val="007E4968"/>
    <w:rsid w:val="007E499D"/>
    <w:rsid w:val="007E4A96"/>
    <w:rsid w:val="007E4B57"/>
    <w:rsid w:val="007E4FD7"/>
    <w:rsid w:val="007E50E1"/>
    <w:rsid w:val="007E50E7"/>
    <w:rsid w:val="007E519A"/>
    <w:rsid w:val="007E52D0"/>
    <w:rsid w:val="007E5533"/>
    <w:rsid w:val="007E55E6"/>
    <w:rsid w:val="007E564F"/>
    <w:rsid w:val="007E572F"/>
    <w:rsid w:val="007E5747"/>
    <w:rsid w:val="007E57FB"/>
    <w:rsid w:val="007E5904"/>
    <w:rsid w:val="007E5957"/>
    <w:rsid w:val="007E59EE"/>
    <w:rsid w:val="007E5A69"/>
    <w:rsid w:val="007E5A9E"/>
    <w:rsid w:val="007E5D77"/>
    <w:rsid w:val="007E5DBF"/>
    <w:rsid w:val="007E5E67"/>
    <w:rsid w:val="007E5ED7"/>
    <w:rsid w:val="007E6024"/>
    <w:rsid w:val="007E60EF"/>
    <w:rsid w:val="007E612C"/>
    <w:rsid w:val="007E6242"/>
    <w:rsid w:val="007E6341"/>
    <w:rsid w:val="007E6380"/>
    <w:rsid w:val="007E646A"/>
    <w:rsid w:val="007E6761"/>
    <w:rsid w:val="007E6815"/>
    <w:rsid w:val="007E69DE"/>
    <w:rsid w:val="007E6AC6"/>
    <w:rsid w:val="007E6AD3"/>
    <w:rsid w:val="007E6B8D"/>
    <w:rsid w:val="007E6C37"/>
    <w:rsid w:val="007E6CF3"/>
    <w:rsid w:val="007E6D05"/>
    <w:rsid w:val="007E7280"/>
    <w:rsid w:val="007E72B8"/>
    <w:rsid w:val="007E749B"/>
    <w:rsid w:val="007E749F"/>
    <w:rsid w:val="007E768D"/>
    <w:rsid w:val="007E76D2"/>
    <w:rsid w:val="007E78C6"/>
    <w:rsid w:val="007E795C"/>
    <w:rsid w:val="007E798C"/>
    <w:rsid w:val="007E7A2D"/>
    <w:rsid w:val="007E7B2A"/>
    <w:rsid w:val="007E7C12"/>
    <w:rsid w:val="007E7E8A"/>
    <w:rsid w:val="007F0196"/>
    <w:rsid w:val="007F02C6"/>
    <w:rsid w:val="007F02DB"/>
    <w:rsid w:val="007F0311"/>
    <w:rsid w:val="007F0331"/>
    <w:rsid w:val="007F0352"/>
    <w:rsid w:val="007F0409"/>
    <w:rsid w:val="007F0467"/>
    <w:rsid w:val="007F068B"/>
    <w:rsid w:val="007F06F3"/>
    <w:rsid w:val="007F0741"/>
    <w:rsid w:val="007F09D7"/>
    <w:rsid w:val="007F0A21"/>
    <w:rsid w:val="007F0AB3"/>
    <w:rsid w:val="007F0AC1"/>
    <w:rsid w:val="007F0B29"/>
    <w:rsid w:val="007F0C6D"/>
    <w:rsid w:val="007F0DB3"/>
    <w:rsid w:val="007F0E74"/>
    <w:rsid w:val="007F100A"/>
    <w:rsid w:val="007F1343"/>
    <w:rsid w:val="007F1581"/>
    <w:rsid w:val="007F16C3"/>
    <w:rsid w:val="007F1746"/>
    <w:rsid w:val="007F18CE"/>
    <w:rsid w:val="007F196F"/>
    <w:rsid w:val="007F1A99"/>
    <w:rsid w:val="007F1AFA"/>
    <w:rsid w:val="007F1CD6"/>
    <w:rsid w:val="007F1CE6"/>
    <w:rsid w:val="007F1D6D"/>
    <w:rsid w:val="007F1EDF"/>
    <w:rsid w:val="007F20FF"/>
    <w:rsid w:val="007F218F"/>
    <w:rsid w:val="007F22D3"/>
    <w:rsid w:val="007F23E5"/>
    <w:rsid w:val="007F2453"/>
    <w:rsid w:val="007F24BF"/>
    <w:rsid w:val="007F25CD"/>
    <w:rsid w:val="007F25D8"/>
    <w:rsid w:val="007F262B"/>
    <w:rsid w:val="007F265E"/>
    <w:rsid w:val="007F2783"/>
    <w:rsid w:val="007F2B7E"/>
    <w:rsid w:val="007F2D94"/>
    <w:rsid w:val="007F2F05"/>
    <w:rsid w:val="007F3000"/>
    <w:rsid w:val="007F30ED"/>
    <w:rsid w:val="007F3154"/>
    <w:rsid w:val="007F3220"/>
    <w:rsid w:val="007F32B2"/>
    <w:rsid w:val="007F33D4"/>
    <w:rsid w:val="007F3752"/>
    <w:rsid w:val="007F3773"/>
    <w:rsid w:val="007F3830"/>
    <w:rsid w:val="007F3879"/>
    <w:rsid w:val="007F389F"/>
    <w:rsid w:val="007F3997"/>
    <w:rsid w:val="007F3A88"/>
    <w:rsid w:val="007F3B30"/>
    <w:rsid w:val="007F3BE9"/>
    <w:rsid w:val="007F3BEB"/>
    <w:rsid w:val="007F3CD4"/>
    <w:rsid w:val="007F3E75"/>
    <w:rsid w:val="007F3F57"/>
    <w:rsid w:val="007F3FCE"/>
    <w:rsid w:val="007F4077"/>
    <w:rsid w:val="007F40AE"/>
    <w:rsid w:val="007F40E9"/>
    <w:rsid w:val="007F4363"/>
    <w:rsid w:val="007F4656"/>
    <w:rsid w:val="007F479A"/>
    <w:rsid w:val="007F47FC"/>
    <w:rsid w:val="007F4973"/>
    <w:rsid w:val="007F499E"/>
    <w:rsid w:val="007F49CB"/>
    <w:rsid w:val="007F4AF4"/>
    <w:rsid w:val="007F4C35"/>
    <w:rsid w:val="007F4D86"/>
    <w:rsid w:val="007F523A"/>
    <w:rsid w:val="007F52F0"/>
    <w:rsid w:val="007F53AF"/>
    <w:rsid w:val="007F548B"/>
    <w:rsid w:val="007F5498"/>
    <w:rsid w:val="007F54B6"/>
    <w:rsid w:val="007F563A"/>
    <w:rsid w:val="007F565B"/>
    <w:rsid w:val="007F567C"/>
    <w:rsid w:val="007F56D9"/>
    <w:rsid w:val="007F57E3"/>
    <w:rsid w:val="007F5810"/>
    <w:rsid w:val="007F587E"/>
    <w:rsid w:val="007F5976"/>
    <w:rsid w:val="007F5B06"/>
    <w:rsid w:val="007F5B84"/>
    <w:rsid w:val="007F5CC5"/>
    <w:rsid w:val="007F5D1A"/>
    <w:rsid w:val="007F6461"/>
    <w:rsid w:val="007F65B7"/>
    <w:rsid w:val="007F6836"/>
    <w:rsid w:val="007F6B11"/>
    <w:rsid w:val="007F6B78"/>
    <w:rsid w:val="007F6BE8"/>
    <w:rsid w:val="007F6C31"/>
    <w:rsid w:val="007F6F18"/>
    <w:rsid w:val="007F6F6A"/>
    <w:rsid w:val="007F6F82"/>
    <w:rsid w:val="007F701E"/>
    <w:rsid w:val="007F7035"/>
    <w:rsid w:val="007F707D"/>
    <w:rsid w:val="007F7345"/>
    <w:rsid w:val="007F73A4"/>
    <w:rsid w:val="007F74DB"/>
    <w:rsid w:val="007F78B0"/>
    <w:rsid w:val="007F7908"/>
    <w:rsid w:val="007F7B6C"/>
    <w:rsid w:val="007F7BC4"/>
    <w:rsid w:val="007F7CE1"/>
    <w:rsid w:val="007F7E96"/>
    <w:rsid w:val="007F7FF4"/>
    <w:rsid w:val="00800033"/>
    <w:rsid w:val="0080004E"/>
    <w:rsid w:val="00800105"/>
    <w:rsid w:val="00800262"/>
    <w:rsid w:val="00800294"/>
    <w:rsid w:val="00800394"/>
    <w:rsid w:val="008004EF"/>
    <w:rsid w:val="00800635"/>
    <w:rsid w:val="0080085E"/>
    <w:rsid w:val="00800874"/>
    <w:rsid w:val="00800877"/>
    <w:rsid w:val="00800AF3"/>
    <w:rsid w:val="00800BB0"/>
    <w:rsid w:val="00800C62"/>
    <w:rsid w:val="00800D24"/>
    <w:rsid w:val="00800D5F"/>
    <w:rsid w:val="00800DBB"/>
    <w:rsid w:val="00800E62"/>
    <w:rsid w:val="00800F4C"/>
    <w:rsid w:val="00800F97"/>
    <w:rsid w:val="008010BF"/>
    <w:rsid w:val="0080110B"/>
    <w:rsid w:val="0080116B"/>
    <w:rsid w:val="008011B5"/>
    <w:rsid w:val="00801235"/>
    <w:rsid w:val="00801325"/>
    <w:rsid w:val="00801587"/>
    <w:rsid w:val="008017BC"/>
    <w:rsid w:val="008018F2"/>
    <w:rsid w:val="008019C2"/>
    <w:rsid w:val="00801B07"/>
    <w:rsid w:val="00801B1B"/>
    <w:rsid w:val="00801B6A"/>
    <w:rsid w:val="00801C43"/>
    <w:rsid w:val="00801D61"/>
    <w:rsid w:val="00801DD5"/>
    <w:rsid w:val="00801E5C"/>
    <w:rsid w:val="00801EF0"/>
    <w:rsid w:val="0080212A"/>
    <w:rsid w:val="0080219D"/>
    <w:rsid w:val="00802251"/>
    <w:rsid w:val="00802659"/>
    <w:rsid w:val="008026F2"/>
    <w:rsid w:val="008026F3"/>
    <w:rsid w:val="0080273E"/>
    <w:rsid w:val="0080292D"/>
    <w:rsid w:val="008029C7"/>
    <w:rsid w:val="00802A59"/>
    <w:rsid w:val="00802A6F"/>
    <w:rsid w:val="00802B32"/>
    <w:rsid w:val="00802B92"/>
    <w:rsid w:val="00802E0F"/>
    <w:rsid w:val="00802F3C"/>
    <w:rsid w:val="00802F44"/>
    <w:rsid w:val="00803151"/>
    <w:rsid w:val="00803154"/>
    <w:rsid w:val="0080322B"/>
    <w:rsid w:val="0080341F"/>
    <w:rsid w:val="00803505"/>
    <w:rsid w:val="008035BC"/>
    <w:rsid w:val="008035C3"/>
    <w:rsid w:val="00803654"/>
    <w:rsid w:val="0080386A"/>
    <w:rsid w:val="008038C5"/>
    <w:rsid w:val="00803946"/>
    <w:rsid w:val="00803B97"/>
    <w:rsid w:val="00803EC1"/>
    <w:rsid w:val="00803F26"/>
    <w:rsid w:val="00803F52"/>
    <w:rsid w:val="00804020"/>
    <w:rsid w:val="008041E3"/>
    <w:rsid w:val="008042DF"/>
    <w:rsid w:val="008042E9"/>
    <w:rsid w:val="00804311"/>
    <w:rsid w:val="00804317"/>
    <w:rsid w:val="0080439E"/>
    <w:rsid w:val="00804420"/>
    <w:rsid w:val="008045BC"/>
    <w:rsid w:val="00804856"/>
    <w:rsid w:val="00804974"/>
    <w:rsid w:val="00804B26"/>
    <w:rsid w:val="00804B44"/>
    <w:rsid w:val="00804B5F"/>
    <w:rsid w:val="00804B8B"/>
    <w:rsid w:val="00804BB9"/>
    <w:rsid w:val="00804C33"/>
    <w:rsid w:val="00804C5B"/>
    <w:rsid w:val="00804D8F"/>
    <w:rsid w:val="00804E45"/>
    <w:rsid w:val="00804E52"/>
    <w:rsid w:val="00804F1F"/>
    <w:rsid w:val="00805137"/>
    <w:rsid w:val="008051E3"/>
    <w:rsid w:val="0080545C"/>
    <w:rsid w:val="00805480"/>
    <w:rsid w:val="008057EA"/>
    <w:rsid w:val="0080585B"/>
    <w:rsid w:val="008058C4"/>
    <w:rsid w:val="00805A32"/>
    <w:rsid w:val="00805A62"/>
    <w:rsid w:val="00805B0F"/>
    <w:rsid w:val="00805B54"/>
    <w:rsid w:val="00805B56"/>
    <w:rsid w:val="00805B7C"/>
    <w:rsid w:val="00805BB9"/>
    <w:rsid w:val="00805C77"/>
    <w:rsid w:val="00805D09"/>
    <w:rsid w:val="00805EEC"/>
    <w:rsid w:val="00805F46"/>
    <w:rsid w:val="00805FE7"/>
    <w:rsid w:val="008061E9"/>
    <w:rsid w:val="008061FF"/>
    <w:rsid w:val="00806243"/>
    <w:rsid w:val="00806497"/>
    <w:rsid w:val="0080660B"/>
    <w:rsid w:val="0080663F"/>
    <w:rsid w:val="008066D5"/>
    <w:rsid w:val="00806700"/>
    <w:rsid w:val="0080699F"/>
    <w:rsid w:val="00806B0F"/>
    <w:rsid w:val="00806D4B"/>
    <w:rsid w:val="00806F63"/>
    <w:rsid w:val="00806F8F"/>
    <w:rsid w:val="0080706D"/>
    <w:rsid w:val="008070B1"/>
    <w:rsid w:val="008071D1"/>
    <w:rsid w:val="00807489"/>
    <w:rsid w:val="008074C9"/>
    <w:rsid w:val="008075EB"/>
    <w:rsid w:val="008076DD"/>
    <w:rsid w:val="008079D4"/>
    <w:rsid w:val="00807A45"/>
    <w:rsid w:val="00807A5D"/>
    <w:rsid w:val="00807BE9"/>
    <w:rsid w:val="00807C1A"/>
    <w:rsid w:val="00807C44"/>
    <w:rsid w:val="00807C5C"/>
    <w:rsid w:val="00807C69"/>
    <w:rsid w:val="00807D38"/>
    <w:rsid w:val="00807F06"/>
    <w:rsid w:val="00807F31"/>
    <w:rsid w:val="00807F4C"/>
    <w:rsid w:val="00807F9B"/>
    <w:rsid w:val="008100BC"/>
    <w:rsid w:val="008100C9"/>
    <w:rsid w:val="0081016B"/>
    <w:rsid w:val="008101D7"/>
    <w:rsid w:val="0081055E"/>
    <w:rsid w:val="008105C8"/>
    <w:rsid w:val="0081070E"/>
    <w:rsid w:val="00810750"/>
    <w:rsid w:val="008107A2"/>
    <w:rsid w:val="008107AB"/>
    <w:rsid w:val="0081082E"/>
    <w:rsid w:val="008108A1"/>
    <w:rsid w:val="00810910"/>
    <w:rsid w:val="008109F3"/>
    <w:rsid w:val="00810ADE"/>
    <w:rsid w:val="00810BAB"/>
    <w:rsid w:val="00810C6D"/>
    <w:rsid w:val="00810C7A"/>
    <w:rsid w:val="00810D36"/>
    <w:rsid w:val="00810E84"/>
    <w:rsid w:val="00810F84"/>
    <w:rsid w:val="00810FD4"/>
    <w:rsid w:val="0081102E"/>
    <w:rsid w:val="00811078"/>
    <w:rsid w:val="008110CD"/>
    <w:rsid w:val="00811196"/>
    <w:rsid w:val="00811230"/>
    <w:rsid w:val="0081135F"/>
    <w:rsid w:val="0081138E"/>
    <w:rsid w:val="0081144C"/>
    <w:rsid w:val="008114A5"/>
    <w:rsid w:val="008115CF"/>
    <w:rsid w:val="0081174A"/>
    <w:rsid w:val="00811811"/>
    <w:rsid w:val="00811969"/>
    <w:rsid w:val="00811970"/>
    <w:rsid w:val="00811D28"/>
    <w:rsid w:val="00811D83"/>
    <w:rsid w:val="00811E9A"/>
    <w:rsid w:val="00811F1E"/>
    <w:rsid w:val="00811F6B"/>
    <w:rsid w:val="0081207E"/>
    <w:rsid w:val="0081211D"/>
    <w:rsid w:val="008121B9"/>
    <w:rsid w:val="008122EE"/>
    <w:rsid w:val="00812406"/>
    <w:rsid w:val="00812485"/>
    <w:rsid w:val="008124FD"/>
    <w:rsid w:val="00812522"/>
    <w:rsid w:val="00812547"/>
    <w:rsid w:val="0081257B"/>
    <w:rsid w:val="008125EB"/>
    <w:rsid w:val="0081274C"/>
    <w:rsid w:val="00812804"/>
    <w:rsid w:val="0081291E"/>
    <w:rsid w:val="00812CB5"/>
    <w:rsid w:val="00812CEA"/>
    <w:rsid w:val="00812E4C"/>
    <w:rsid w:val="00812EB1"/>
    <w:rsid w:val="00812FF7"/>
    <w:rsid w:val="0081308E"/>
    <w:rsid w:val="00813188"/>
    <w:rsid w:val="008131A1"/>
    <w:rsid w:val="008131FC"/>
    <w:rsid w:val="008132E9"/>
    <w:rsid w:val="0081354D"/>
    <w:rsid w:val="00813842"/>
    <w:rsid w:val="00813B40"/>
    <w:rsid w:val="00813CB6"/>
    <w:rsid w:val="00814126"/>
    <w:rsid w:val="00814256"/>
    <w:rsid w:val="008142EF"/>
    <w:rsid w:val="0081431B"/>
    <w:rsid w:val="00814548"/>
    <w:rsid w:val="0081474A"/>
    <w:rsid w:val="0081485D"/>
    <w:rsid w:val="008148A8"/>
    <w:rsid w:val="008148B2"/>
    <w:rsid w:val="0081490B"/>
    <w:rsid w:val="0081496A"/>
    <w:rsid w:val="00814C23"/>
    <w:rsid w:val="00814D96"/>
    <w:rsid w:val="00814E56"/>
    <w:rsid w:val="00814F0D"/>
    <w:rsid w:val="00814FF7"/>
    <w:rsid w:val="0081518E"/>
    <w:rsid w:val="0081533C"/>
    <w:rsid w:val="0081536F"/>
    <w:rsid w:val="008154E4"/>
    <w:rsid w:val="00815515"/>
    <w:rsid w:val="00815534"/>
    <w:rsid w:val="0081553D"/>
    <w:rsid w:val="008156D7"/>
    <w:rsid w:val="00815AAB"/>
    <w:rsid w:val="00815C69"/>
    <w:rsid w:val="00815C7D"/>
    <w:rsid w:val="00815D2B"/>
    <w:rsid w:val="008160D0"/>
    <w:rsid w:val="0081611A"/>
    <w:rsid w:val="00816183"/>
    <w:rsid w:val="008161D7"/>
    <w:rsid w:val="00816451"/>
    <w:rsid w:val="0081654A"/>
    <w:rsid w:val="00816634"/>
    <w:rsid w:val="008166BA"/>
    <w:rsid w:val="008167ED"/>
    <w:rsid w:val="00816930"/>
    <w:rsid w:val="00816A1D"/>
    <w:rsid w:val="00816A68"/>
    <w:rsid w:val="00816B3F"/>
    <w:rsid w:val="00816CD6"/>
    <w:rsid w:val="00816D50"/>
    <w:rsid w:val="00816D71"/>
    <w:rsid w:val="00816FC8"/>
    <w:rsid w:val="00816FEE"/>
    <w:rsid w:val="00817028"/>
    <w:rsid w:val="008170E7"/>
    <w:rsid w:val="00817261"/>
    <w:rsid w:val="008172A4"/>
    <w:rsid w:val="00817458"/>
    <w:rsid w:val="00817526"/>
    <w:rsid w:val="008175D3"/>
    <w:rsid w:val="00817641"/>
    <w:rsid w:val="00817875"/>
    <w:rsid w:val="00817886"/>
    <w:rsid w:val="00817971"/>
    <w:rsid w:val="00817B00"/>
    <w:rsid w:val="00817B0E"/>
    <w:rsid w:val="00817DC4"/>
    <w:rsid w:val="00817E19"/>
    <w:rsid w:val="0082006A"/>
    <w:rsid w:val="008201AC"/>
    <w:rsid w:val="00820300"/>
    <w:rsid w:val="00820311"/>
    <w:rsid w:val="00820442"/>
    <w:rsid w:val="008204D8"/>
    <w:rsid w:val="00820661"/>
    <w:rsid w:val="00820A02"/>
    <w:rsid w:val="00820C30"/>
    <w:rsid w:val="00820E2B"/>
    <w:rsid w:val="00820E3F"/>
    <w:rsid w:val="00820E46"/>
    <w:rsid w:val="00820EBF"/>
    <w:rsid w:val="00820F3B"/>
    <w:rsid w:val="008210E4"/>
    <w:rsid w:val="0082111E"/>
    <w:rsid w:val="008212DA"/>
    <w:rsid w:val="0082148C"/>
    <w:rsid w:val="0082150B"/>
    <w:rsid w:val="00821695"/>
    <w:rsid w:val="00821859"/>
    <w:rsid w:val="008218D6"/>
    <w:rsid w:val="00821A63"/>
    <w:rsid w:val="00821BE4"/>
    <w:rsid w:val="00821D05"/>
    <w:rsid w:val="00821DB9"/>
    <w:rsid w:val="00821E1D"/>
    <w:rsid w:val="00821F4B"/>
    <w:rsid w:val="00821F7E"/>
    <w:rsid w:val="00822094"/>
    <w:rsid w:val="008220BB"/>
    <w:rsid w:val="00822257"/>
    <w:rsid w:val="00822368"/>
    <w:rsid w:val="0082243F"/>
    <w:rsid w:val="008224E6"/>
    <w:rsid w:val="0082250B"/>
    <w:rsid w:val="00822628"/>
    <w:rsid w:val="008226D0"/>
    <w:rsid w:val="008227F0"/>
    <w:rsid w:val="00822830"/>
    <w:rsid w:val="00822899"/>
    <w:rsid w:val="00822AE5"/>
    <w:rsid w:val="00822B15"/>
    <w:rsid w:val="00822D9B"/>
    <w:rsid w:val="00822E39"/>
    <w:rsid w:val="00823000"/>
    <w:rsid w:val="00823104"/>
    <w:rsid w:val="008232AC"/>
    <w:rsid w:val="008233D2"/>
    <w:rsid w:val="008233E2"/>
    <w:rsid w:val="00823561"/>
    <w:rsid w:val="00823A1D"/>
    <w:rsid w:val="00823ACD"/>
    <w:rsid w:val="00823C4F"/>
    <w:rsid w:val="00823EE1"/>
    <w:rsid w:val="008240B0"/>
    <w:rsid w:val="00824343"/>
    <w:rsid w:val="0082437F"/>
    <w:rsid w:val="008244C7"/>
    <w:rsid w:val="00824675"/>
    <w:rsid w:val="0082474B"/>
    <w:rsid w:val="00824C0E"/>
    <w:rsid w:val="00824C5C"/>
    <w:rsid w:val="00824D95"/>
    <w:rsid w:val="00824DE1"/>
    <w:rsid w:val="00824E9F"/>
    <w:rsid w:val="00824FEA"/>
    <w:rsid w:val="00824FF4"/>
    <w:rsid w:val="008250D5"/>
    <w:rsid w:val="0082518E"/>
    <w:rsid w:val="008252D1"/>
    <w:rsid w:val="00825308"/>
    <w:rsid w:val="00825325"/>
    <w:rsid w:val="00825459"/>
    <w:rsid w:val="0082547C"/>
    <w:rsid w:val="008254B7"/>
    <w:rsid w:val="00825507"/>
    <w:rsid w:val="0082550C"/>
    <w:rsid w:val="008258E1"/>
    <w:rsid w:val="008259C2"/>
    <w:rsid w:val="008259DF"/>
    <w:rsid w:val="00825B02"/>
    <w:rsid w:val="00825B74"/>
    <w:rsid w:val="00825BD0"/>
    <w:rsid w:val="00826047"/>
    <w:rsid w:val="0082610C"/>
    <w:rsid w:val="00826147"/>
    <w:rsid w:val="00826148"/>
    <w:rsid w:val="008261FB"/>
    <w:rsid w:val="008262E5"/>
    <w:rsid w:val="00826438"/>
    <w:rsid w:val="008264E3"/>
    <w:rsid w:val="008264ED"/>
    <w:rsid w:val="008265C2"/>
    <w:rsid w:val="008265C4"/>
    <w:rsid w:val="00826620"/>
    <w:rsid w:val="00826717"/>
    <w:rsid w:val="0082678F"/>
    <w:rsid w:val="008268CA"/>
    <w:rsid w:val="00826AFA"/>
    <w:rsid w:val="00826C90"/>
    <w:rsid w:val="00826D8D"/>
    <w:rsid w:val="00826E00"/>
    <w:rsid w:val="008271B3"/>
    <w:rsid w:val="008271F3"/>
    <w:rsid w:val="008272D1"/>
    <w:rsid w:val="0082742C"/>
    <w:rsid w:val="00827490"/>
    <w:rsid w:val="00827584"/>
    <w:rsid w:val="00827758"/>
    <w:rsid w:val="00827870"/>
    <w:rsid w:val="00827899"/>
    <w:rsid w:val="008279CE"/>
    <w:rsid w:val="00827A92"/>
    <w:rsid w:val="00827CCE"/>
    <w:rsid w:val="00827D56"/>
    <w:rsid w:val="00827D97"/>
    <w:rsid w:val="00827EA2"/>
    <w:rsid w:val="00830218"/>
    <w:rsid w:val="0083036C"/>
    <w:rsid w:val="00830471"/>
    <w:rsid w:val="0083056A"/>
    <w:rsid w:val="008308DC"/>
    <w:rsid w:val="00830BED"/>
    <w:rsid w:val="00830C67"/>
    <w:rsid w:val="00830F5D"/>
    <w:rsid w:val="00830F7B"/>
    <w:rsid w:val="00830F88"/>
    <w:rsid w:val="00830FBD"/>
    <w:rsid w:val="0083104A"/>
    <w:rsid w:val="008310F4"/>
    <w:rsid w:val="0083130A"/>
    <w:rsid w:val="008313C7"/>
    <w:rsid w:val="008314F7"/>
    <w:rsid w:val="0083156F"/>
    <w:rsid w:val="00831866"/>
    <w:rsid w:val="00831B9F"/>
    <w:rsid w:val="00831CAF"/>
    <w:rsid w:val="00831F61"/>
    <w:rsid w:val="008321C7"/>
    <w:rsid w:val="00832424"/>
    <w:rsid w:val="008326DB"/>
    <w:rsid w:val="008327AB"/>
    <w:rsid w:val="0083298B"/>
    <w:rsid w:val="00832BE5"/>
    <w:rsid w:val="00832CF7"/>
    <w:rsid w:val="00832D57"/>
    <w:rsid w:val="00832DCA"/>
    <w:rsid w:val="00832F2C"/>
    <w:rsid w:val="0083312C"/>
    <w:rsid w:val="00833144"/>
    <w:rsid w:val="008331D5"/>
    <w:rsid w:val="008332E9"/>
    <w:rsid w:val="008334DC"/>
    <w:rsid w:val="008337A2"/>
    <w:rsid w:val="00833894"/>
    <w:rsid w:val="008338F1"/>
    <w:rsid w:val="00833982"/>
    <w:rsid w:val="00833A21"/>
    <w:rsid w:val="00833B5B"/>
    <w:rsid w:val="00833C24"/>
    <w:rsid w:val="00833CC3"/>
    <w:rsid w:val="00833D21"/>
    <w:rsid w:val="00833D6F"/>
    <w:rsid w:val="00833E38"/>
    <w:rsid w:val="00833FEB"/>
    <w:rsid w:val="00834100"/>
    <w:rsid w:val="0083428E"/>
    <w:rsid w:val="0083438B"/>
    <w:rsid w:val="008343AC"/>
    <w:rsid w:val="00834641"/>
    <w:rsid w:val="00834A05"/>
    <w:rsid w:val="00834BF1"/>
    <w:rsid w:val="00834C4C"/>
    <w:rsid w:val="00834C61"/>
    <w:rsid w:val="00834E53"/>
    <w:rsid w:val="00834F25"/>
    <w:rsid w:val="00834F71"/>
    <w:rsid w:val="008350CB"/>
    <w:rsid w:val="008350E0"/>
    <w:rsid w:val="00835129"/>
    <w:rsid w:val="00835251"/>
    <w:rsid w:val="00835410"/>
    <w:rsid w:val="0083548B"/>
    <w:rsid w:val="00835682"/>
    <w:rsid w:val="008356B5"/>
    <w:rsid w:val="008356C8"/>
    <w:rsid w:val="008357A9"/>
    <w:rsid w:val="00835865"/>
    <w:rsid w:val="008359E5"/>
    <w:rsid w:val="00835AFF"/>
    <w:rsid w:val="00835B43"/>
    <w:rsid w:val="00835C73"/>
    <w:rsid w:val="00835CE5"/>
    <w:rsid w:val="00835E3D"/>
    <w:rsid w:val="00835E6C"/>
    <w:rsid w:val="00835EBE"/>
    <w:rsid w:val="00836131"/>
    <w:rsid w:val="0083617F"/>
    <w:rsid w:val="008361F7"/>
    <w:rsid w:val="00836262"/>
    <w:rsid w:val="008364BF"/>
    <w:rsid w:val="00836509"/>
    <w:rsid w:val="008366AC"/>
    <w:rsid w:val="008367A2"/>
    <w:rsid w:val="0083682C"/>
    <w:rsid w:val="008368B2"/>
    <w:rsid w:val="00836964"/>
    <w:rsid w:val="00836A94"/>
    <w:rsid w:val="00836BAE"/>
    <w:rsid w:val="00836D0C"/>
    <w:rsid w:val="00836E3A"/>
    <w:rsid w:val="00836FCB"/>
    <w:rsid w:val="00836FE8"/>
    <w:rsid w:val="00836FF5"/>
    <w:rsid w:val="0083701F"/>
    <w:rsid w:val="0083717C"/>
    <w:rsid w:val="00837210"/>
    <w:rsid w:val="008372A6"/>
    <w:rsid w:val="008373D2"/>
    <w:rsid w:val="00837480"/>
    <w:rsid w:val="00837794"/>
    <w:rsid w:val="00837872"/>
    <w:rsid w:val="00837882"/>
    <w:rsid w:val="00837A1F"/>
    <w:rsid w:val="00837A8A"/>
    <w:rsid w:val="00837AB1"/>
    <w:rsid w:val="00837ADD"/>
    <w:rsid w:val="00837B48"/>
    <w:rsid w:val="00837B5A"/>
    <w:rsid w:val="00837BA7"/>
    <w:rsid w:val="00837BF4"/>
    <w:rsid w:val="00837D55"/>
    <w:rsid w:val="00837EBC"/>
    <w:rsid w:val="00840010"/>
    <w:rsid w:val="008401CA"/>
    <w:rsid w:val="008402C0"/>
    <w:rsid w:val="0084032E"/>
    <w:rsid w:val="0084049A"/>
    <w:rsid w:val="008406E0"/>
    <w:rsid w:val="00840935"/>
    <w:rsid w:val="008409EF"/>
    <w:rsid w:val="008409F8"/>
    <w:rsid w:val="00840B07"/>
    <w:rsid w:val="00840B80"/>
    <w:rsid w:val="00840B83"/>
    <w:rsid w:val="00840D12"/>
    <w:rsid w:val="00840E49"/>
    <w:rsid w:val="008411C3"/>
    <w:rsid w:val="00841238"/>
    <w:rsid w:val="0084124E"/>
    <w:rsid w:val="00841269"/>
    <w:rsid w:val="0084141B"/>
    <w:rsid w:val="008414C3"/>
    <w:rsid w:val="0084152A"/>
    <w:rsid w:val="0084155E"/>
    <w:rsid w:val="008415BC"/>
    <w:rsid w:val="008417B9"/>
    <w:rsid w:val="008417CF"/>
    <w:rsid w:val="00841A9C"/>
    <w:rsid w:val="00841CFE"/>
    <w:rsid w:val="00841E99"/>
    <w:rsid w:val="00841F00"/>
    <w:rsid w:val="00841F06"/>
    <w:rsid w:val="00841FC0"/>
    <w:rsid w:val="008420DB"/>
    <w:rsid w:val="0084215E"/>
    <w:rsid w:val="00842161"/>
    <w:rsid w:val="008421B5"/>
    <w:rsid w:val="00842245"/>
    <w:rsid w:val="0084227F"/>
    <w:rsid w:val="0084236B"/>
    <w:rsid w:val="0084238D"/>
    <w:rsid w:val="008423EB"/>
    <w:rsid w:val="0084253E"/>
    <w:rsid w:val="008426A5"/>
    <w:rsid w:val="00842800"/>
    <w:rsid w:val="00842815"/>
    <w:rsid w:val="008428FD"/>
    <w:rsid w:val="008429CB"/>
    <w:rsid w:val="008429F5"/>
    <w:rsid w:val="00842A30"/>
    <w:rsid w:val="00842C15"/>
    <w:rsid w:val="00842CA3"/>
    <w:rsid w:val="00842D1D"/>
    <w:rsid w:val="00842DB5"/>
    <w:rsid w:val="008431FE"/>
    <w:rsid w:val="00843202"/>
    <w:rsid w:val="0084331D"/>
    <w:rsid w:val="008433FB"/>
    <w:rsid w:val="008435CC"/>
    <w:rsid w:val="00843634"/>
    <w:rsid w:val="008436AC"/>
    <w:rsid w:val="00843830"/>
    <w:rsid w:val="0084387E"/>
    <w:rsid w:val="00843913"/>
    <w:rsid w:val="008439A4"/>
    <w:rsid w:val="00843BA7"/>
    <w:rsid w:val="00843BFA"/>
    <w:rsid w:val="00844021"/>
    <w:rsid w:val="00844069"/>
    <w:rsid w:val="008443D4"/>
    <w:rsid w:val="008444B4"/>
    <w:rsid w:val="0084456B"/>
    <w:rsid w:val="0084479B"/>
    <w:rsid w:val="008447BE"/>
    <w:rsid w:val="008448C1"/>
    <w:rsid w:val="00844A0A"/>
    <w:rsid w:val="00844ABE"/>
    <w:rsid w:val="00844AD2"/>
    <w:rsid w:val="00844C66"/>
    <w:rsid w:val="00844D09"/>
    <w:rsid w:val="00844F17"/>
    <w:rsid w:val="0084500A"/>
    <w:rsid w:val="00845034"/>
    <w:rsid w:val="00845054"/>
    <w:rsid w:val="00845332"/>
    <w:rsid w:val="00845334"/>
    <w:rsid w:val="0084560E"/>
    <w:rsid w:val="00845988"/>
    <w:rsid w:val="00845A14"/>
    <w:rsid w:val="00845A9F"/>
    <w:rsid w:val="00845BAC"/>
    <w:rsid w:val="00845CC9"/>
    <w:rsid w:val="00845D61"/>
    <w:rsid w:val="00845DD6"/>
    <w:rsid w:val="00845E75"/>
    <w:rsid w:val="00845E83"/>
    <w:rsid w:val="008460A2"/>
    <w:rsid w:val="0084612D"/>
    <w:rsid w:val="00846694"/>
    <w:rsid w:val="008467B2"/>
    <w:rsid w:val="008468A0"/>
    <w:rsid w:val="00846979"/>
    <w:rsid w:val="00846984"/>
    <w:rsid w:val="00846B4B"/>
    <w:rsid w:val="00846B52"/>
    <w:rsid w:val="00846C34"/>
    <w:rsid w:val="00846CDA"/>
    <w:rsid w:val="00846CEF"/>
    <w:rsid w:val="00846E0C"/>
    <w:rsid w:val="00846FCC"/>
    <w:rsid w:val="0084729B"/>
    <w:rsid w:val="008472B8"/>
    <w:rsid w:val="00847323"/>
    <w:rsid w:val="00847410"/>
    <w:rsid w:val="008474C4"/>
    <w:rsid w:val="008475F8"/>
    <w:rsid w:val="00847787"/>
    <w:rsid w:val="00847A7B"/>
    <w:rsid w:val="00847A96"/>
    <w:rsid w:val="00847A99"/>
    <w:rsid w:val="00847BB9"/>
    <w:rsid w:val="0085009A"/>
    <w:rsid w:val="00850133"/>
    <w:rsid w:val="00850265"/>
    <w:rsid w:val="008502D8"/>
    <w:rsid w:val="008504E9"/>
    <w:rsid w:val="0085058A"/>
    <w:rsid w:val="008505D3"/>
    <w:rsid w:val="00850628"/>
    <w:rsid w:val="00850720"/>
    <w:rsid w:val="0085086E"/>
    <w:rsid w:val="008508D7"/>
    <w:rsid w:val="0085092D"/>
    <w:rsid w:val="00850961"/>
    <w:rsid w:val="00850AFB"/>
    <w:rsid w:val="00850BE1"/>
    <w:rsid w:val="00850C32"/>
    <w:rsid w:val="00850C8A"/>
    <w:rsid w:val="00850D42"/>
    <w:rsid w:val="00850E1F"/>
    <w:rsid w:val="00850EB4"/>
    <w:rsid w:val="00850FDC"/>
    <w:rsid w:val="0085100D"/>
    <w:rsid w:val="00851354"/>
    <w:rsid w:val="00851510"/>
    <w:rsid w:val="00851525"/>
    <w:rsid w:val="008515C9"/>
    <w:rsid w:val="00851646"/>
    <w:rsid w:val="0085168B"/>
    <w:rsid w:val="00851786"/>
    <w:rsid w:val="00851911"/>
    <w:rsid w:val="0085198D"/>
    <w:rsid w:val="008519FB"/>
    <w:rsid w:val="00851A0F"/>
    <w:rsid w:val="00851B0F"/>
    <w:rsid w:val="00851B1F"/>
    <w:rsid w:val="00851B53"/>
    <w:rsid w:val="00851BEF"/>
    <w:rsid w:val="00851C9F"/>
    <w:rsid w:val="00851DBC"/>
    <w:rsid w:val="00851DC3"/>
    <w:rsid w:val="008520C2"/>
    <w:rsid w:val="0085221B"/>
    <w:rsid w:val="00852365"/>
    <w:rsid w:val="0085236C"/>
    <w:rsid w:val="00852397"/>
    <w:rsid w:val="0085244D"/>
    <w:rsid w:val="00852560"/>
    <w:rsid w:val="00852751"/>
    <w:rsid w:val="00852860"/>
    <w:rsid w:val="008529A2"/>
    <w:rsid w:val="008529CD"/>
    <w:rsid w:val="00852A00"/>
    <w:rsid w:val="00852B1A"/>
    <w:rsid w:val="00852B4E"/>
    <w:rsid w:val="00852B50"/>
    <w:rsid w:val="00852C7B"/>
    <w:rsid w:val="00852E7E"/>
    <w:rsid w:val="00852EAA"/>
    <w:rsid w:val="00852F71"/>
    <w:rsid w:val="00852FC7"/>
    <w:rsid w:val="008530C3"/>
    <w:rsid w:val="0085325A"/>
    <w:rsid w:val="0085332F"/>
    <w:rsid w:val="00853366"/>
    <w:rsid w:val="008533DC"/>
    <w:rsid w:val="0085348B"/>
    <w:rsid w:val="00853756"/>
    <w:rsid w:val="008537A0"/>
    <w:rsid w:val="008538A9"/>
    <w:rsid w:val="00853971"/>
    <w:rsid w:val="00853A22"/>
    <w:rsid w:val="00853AFE"/>
    <w:rsid w:val="00853C74"/>
    <w:rsid w:val="00853F63"/>
    <w:rsid w:val="00853FBB"/>
    <w:rsid w:val="008540C7"/>
    <w:rsid w:val="00854296"/>
    <w:rsid w:val="00854399"/>
    <w:rsid w:val="0085439B"/>
    <w:rsid w:val="00854470"/>
    <w:rsid w:val="0085461F"/>
    <w:rsid w:val="0085462D"/>
    <w:rsid w:val="008546C8"/>
    <w:rsid w:val="00854756"/>
    <w:rsid w:val="008547F4"/>
    <w:rsid w:val="00854804"/>
    <w:rsid w:val="0085480C"/>
    <w:rsid w:val="00854A42"/>
    <w:rsid w:val="00854BB0"/>
    <w:rsid w:val="00854E4F"/>
    <w:rsid w:val="00854FDF"/>
    <w:rsid w:val="00854FEF"/>
    <w:rsid w:val="008551D2"/>
    <w:rsid w:val="0085560E"/>
    <w:rsid w:val="00855630"/>
    <w:rsid w:val="008556B5"/>
    <w:rsid w:val="0085579F"/>
    <w:rsid w:val="00855C28"/>
    <w:rsid w:val="00855C4B"/>
    <w:rsid w:val="00855D34"/>
    <w:rsid w:val="00855E69"/>
    <w:rsid w:val="00855EDA"/>
    <w:rsid w:val="00855F63"/>
    <w:rsid w:val="0085601F"/>
    <w:rsid w:val="00856056"/>
    <w:rsid w:val="00856151"/>
    <w:rsid w:val="00856168"/>
    <w:rsid w:val="008561EC"/>
    <w:rsid w:val="00856239"/>
    <w:rsid w:val="00856517"/>
    <w:rsid w:val="008565E7"/>
    <w:rsid w:val="00856631"/>
    <w:rsid w:val="0085672A"/>
    <w:rsid w:val="00856833"/>
    <w:rsid w:val="00856884"/>
    <w:rsid w:val="00856A96"/>
    <w:rsid w:val="00856C32"/>
    <w:rsid w:val="00856C95"/>
    <w:rsid w:val="00856D3F"/>
    <w:rsid w:val="00856E2B"/>
    <w:rsid w:val="0085717C"/>
    <w:rsid w:val="008571B3"/>
    <w:rsid w:val="008572B6"/>
    <w:rsid w:val="0085734D"/>
    <w:rsid w:val="00857447"/>
    <w:rsid w:val="00857462"/>
    <w:rsid w:val="00857522"/>
    <w:rsid w:val="008576F3"/>
    <w:rsid w:val="0085773A"/>
    <w:rsid w:val="008579B4"/>
    <w:rsid w:val="00857C2C"/>
    <w:rsid w:val="00857CC3"/>
    <w:rsid w:val="00857D6D"/>
    <w:rsid w:val="00857D8F"/>
    <w:rsid w:val="0086016A"/>
    <w:rsid w:val="00860176"/>
    <w:rsid w:val="008601D0"/>
    <w:rsid w:val="008601E4"/>
    <w:rsid w:val="008603AE"/>
    <w:rsid w:val="008603F7"/>
    <w:rsid w:val="008603FF"/>
    <w:rsid w:val="0086075C"/>
    <w:rsid w:val="00860782"/>
    <w:rsid w:val="008607A1"/>
    <w:rsid w:val="00860942"/>
    <w:rsid w:val="00860A0F"/>
    <w:rsid w:val="00860E84"/>
    <w:rsid w:val="00860F83"/>
    <w:rsid w:val="00860FFC"/>
    <w:rsid w:val="0086107F"/>
    <w:rsid w:val="00861268"/>
    <w:rsid w:val="008614B2"/>
    <w:rsid w:val="008617DF"/>
    <w:rsid w:val="00861914"/>
    <w:rsid w:val="00861A78"/>
    <w:rsid w:val="00861A8D"/>
    <w:rsid w:val="00861CFB"/>
    <w:rsid w:val="00861DBF"/>
    <w:rsid w:val="00861E79"/>
    <w:rsid w:val="00861EF7"/>
    <w:rsid w:val="00861F13"/>
    <w:rsid w:val="00861FDA"/>
    <w:rsid w:val="008621FB"/>
    <w:rsid w:val="00862348"/>
    <w:rsid w:val="008623D2"/>
    <w:rsid w:val="00862407"/>
    <w:rsid w:val="00862584"/>
    <w:rsid w:val="00862587"/>
    <w:rsid w:val="008625D3"/>
    <w:rsid w:val="008625F4"/>
    <w:rsid w:val="0086264E"/>
    <w:rsid w:val="00862699"/>
    <w:rsid w:val="00862707"/>
    <w:rsid w:val="008627E0"/>
    <w:rsid w:val="00862881"/>
    <w:rsid w:val="008628D5"/>
    <w:rsid w:val="00862B59"/>
    <w:rsid w:val="00862BC1"/>
    <w:rsid w:val="00862CE0"/>
    <w:rsid w:val="00862EA8"/>
    <w:rsid w:val="00862EEF"/>
    <w:rsid w:val="008634B7"/>
    <w:rsid w:val="008635CD"/>
    <w:rsid w:val="0086361D"/>
    <w:rsid w:val="008636DD"/>
    <w:rsid w:val="0086387A"/>
    <w:rsid w:val="00863944"/>
    <w:rsid w:val="00863A6F"/>
    <w:rsid w:val="00863AAA"/>
    <w:rsid w:val="00863B7A"/>
    <w:rsid w:val="00863C48"/>
    <w:rsid w:val="00863C8D"/>
    <w:rsid w:val="00863D7A"/>
    <w:rsid w:val="00863DFE"/>
    <w:rsid w:val="00863E56"/>
    <w:rsid w:val="00864046"/>
    <w:rsid w:val="008640E6"/>
    <w:rsid w:val="008641B9"/>
    <w:rsid w:val="008641BD"/>
    <w:rsid w:val="0086426E"/>
    <w:rsid w:val="00864344"/>
    <w:rsid w:val="008643DC"/>
    <w:rsid w:val="0086458A"/>
    <w:rsid w:val="0086467C"/>
    <w:rsid w:val="00864757"/>
    <w:rsid w:val="0086479D"/>
    <w:rsid w:val="00864836"/>
    <w:rsid w:val="00864957"/>
    <w:rsid w:val="00864AFD"/>
    <w:rsid w:val="00864B0C"/>
    <w:rsid w:val="00864B5F"/>
    <w:rsid w:val="00864C5C"/>
    <w:rsid w:val="00864D82"/>
    <w:rsid w:val="00864ECA"/>
    <w:rsid w:val="00864FF1"/>
    <w:rsid w:val="00865060"/>
    <w:rsid w:val="008651A5"/>
    <w:rsid w:val="008652D7"/>
    <w:rsid w:val="008653E0"/>
    <w:rsid w:val="00865426"/>
    <w:rsid w:val="00865593"/>
    <w:rsid w:val="00865918"/>
    <w:rsid w:val="008659AE"/>
    <w:rsid w:val="008659D9"/>
    <w:rsid w:val="00865E32"/>
    <w:rsid w:val="00865F3E"/>
    <w:rsid w:val="008665A6"/>
    <w:rsid w:val="008665ED"/>
    <w:rsid w:val="008666E3"/>
    <w:rsid w:val="0086699A"/>
    <w:rsid w:val="00866A60"/>
    <w:rsid w:val="00866BDE"/>
    <w:rsid w:val="00866F01"/>
    <w:rsid w:val="00866F8D"/>
    <w:rsid w:val="00866FB3"/>
    <w:rsid w:val="0086717F"/>
    <w:rsid w:val="008671A0"/>
    <w:rsid w:val="00867353"/>
    <w:rsid w:val="00867413"/>
    <w:rsid w:val="00867555"/>
    <w:rsid w:val="008676DC"/>
    <w:rsid w:val="0086779D"/>
    <w:rsid w:val="008679BA"/>
    <w:rsid w:val="00867A67"/>
    <w:rsid w:val="00867AE1"/>
    <w:rsid w:val="00867CC3"/>
    <w:rsid w:val="00867CD4"/>
    <w:rsid w:val="00867D28"/>
    <w:rsid w:val="00867E48"/>
    <w:rsid w:val="00870038"/>
    <w:rsid w:val="008701D0"/>
    <w:rsid w:val="00870258"/>
    <w:rsid w:val="00870277"/>
    <w:rsid w:val="00870371"/>
    <w:rsid w:val="00870623"/>
    <w:rsid w:val="00870671"/>
    <w:rsid w:val="0087071B"/>
    <w:rsid w:val="00870792"/>
    <w:rsid w:val="008707C3"/>
    <w:rsid w:val="0087083D"/>
    <w:rsid w:val="00870862"/>
    <w:rsid w:val="00870A16"/>
    <w:rsid w:val="00870A58"/>
    <w:rsid w:val="00870AA9"/>
    <w:rsid w:val="00870AE5"/>
    <w:rsid w:val="00870B04"/>
    <w:rsid w:val="00870D24"/>
    <w:rsid w:val="00870DB3"/>
    <w:rsid w:val="00870FFB"/>
    <w:rsid w:val="0087114B"/>
    <w:rsid w:val="00871193"/>
    <w:rsid w:val="008711E8"/>
    <w:rsid w:val="00871378"/>
    <w:rsid w:val="0087150B"/>
    <w:rsid w:val="008719CB"/>
    <w:rsid w:val="00871A35"/>
    <w:rsid w:val="00871A6C"/>
    <w:rsid w:val="00871D57"/>
    <w:rsid w:val="00872188"/>
    <w:rsid w:val="00872397"/>
    <w:rsid w:val="008723D7"/>
    <w:rsid w:val="008724E2"/>
    <w:rsid w:val="00872635"/>
    <w:rsid w:val="008726AF"/>
    <w:rsid w:val="00872789"/>
    <w:rsid w:val="008728C4"/>
    <w:rsid w:val="00872A6F"/>
    <w:rsid w:val="00872AF6"/>
    <w:rsid w:val="00872C26"/>
    <w:rsid w:val="00872EAC"/>
    <w:rsid w:val="00872EE8"/>
    <w:rsid w:val="00872F33"/>
    <w:rsid w:val="00872F78"/>
    <w:rsid w:val="008730F1"/>
    <w:rsid w:val="008730FC"/>
    <w:rsid w:val="00873426"/>
    <w:rsid w:val="008734BD"/>
    <w:rsid w:val="008734FD"/>
    <w:rsid w:val="0087356C"/>
    <w:rsid w:val="0087357E"/>
    <w:rsid w:val="00873583"/>
    <w:rsid w:val="00873629"/>
    <w:rsid w:val="00873767"/>
    <w:rsid w:val="00873769"/>
    <w:rsid w:val="0087379E"/>
    <w:rsid w:val="00873A53"/>
    <w:rsid w:val="00873AB0"/>
    <w:rsid w:val="00873BBD"/>
    <w:rsid w:val="00873DAD"/>
    <w:rsid w:val="00873F47"/>
    <w:rsid w:val="0087431C"/>
    <w:rsid w:val="00874364"/>
    <w:rsid w:val="008743A9"/>
    <w:rsid w:val="00874553"/>
    <w:rsid w:val="00874623"/>
    <w:rsid w:val="00874636"/>
    <w:rsid w:val="0087465D"/>
    <w:rsid w:val="0087477A"/>
    <w:rsid w:val="00874966"/>
    <w:rsid w:val="00874A2B"/>
    <w:rsid w:val="00874A99"/>
    <w:rsid w:val="00874B03"/>
    <w:rsid w:val="00874B4C"/>
    <w:rsid w:val="00874B73"/>
    <w:rsid w:val="00874B75"/>
    <w:rsid w:val="00874C1D"/>
    <w:rsid w:val="00874CBA"/>
    <w:rsid w:val="00874E21"/>
    <w:rsid w:val="00874E2D"/>
    <w:rsid w:val="00874EBC"/>
    <w:rsid w:val="00874F76"/>
    <w:rsid w:val="00874F94"/>
    <w:rsid w:val="00875080"/>
    <w:rsid w:val="00875227"/>
    <w:rsid w:val="00875383"/>
    <w:rsid w:val="008755F7"/>
    <w:rsid w:val="0087565C"/>
    <w:rsid w:val="008756DD"/>
    <w:rsid w:val="0087589B"/>
    <w:rsid w:val="00875967"/>
    <w:rsid w:val="008759B4"/>
    <w:rsid w:val="008759CE"/>
    <w:rsid w:val="00875BF1"/>
    <w:rsid w:val="00875C45"/>
    <w:rsid w:val="00875CCB"/>
    <w:rsid w:val="00875D2B"/>
    <w:rsid w:val="00875E9A"/>
    <w:rsid w:val="00876022"/>
    <w:rsid w:val="0087606D"/>
    <w:rsid w:val="0087618E"/>
    <w:rsid w:val="00876234"/>
    <w:rsid w:val="0087624C"/>
    <w:rsid w:val="00876498"/>
    <w:rsid w:val="00876614"/>
    <w:rsid w:val="00876698"/>
    <w:rsid w:val="0087679A"/>
    <w:rsid w:val="00876835"/>
    <w:rsid w:val="0087684A"/>
    <w:rsid w:val="00876866"/>
    <w:rsid w:val="008768D9"/>
    <w:rsid w:val="00876909"/>
    <w:rsid w:val="00876921"/>
    <w:rsid w:val="00876A65"/>
    <w:rsid w:val="00876A7E"/>
    <w:rsid w:val="00876B2B"/>
    <w:rsid w:val="00876B46"/>
    <w:rsid w:val="00876E12"/>
    <w:rsid w:val="00876E4A"/>
    <w:rsid w:val="00876ED4"/>
    <w:rsid w:val="00876EDA"/>
    <w:rsid w:val="00876F3E"/>
    <w:rsid w:val="00876FAD"/>
    <w:rsid w:val="00876FCF"/>
    <w:rsid w:val="0087704E"/>
    <w:rsid w:val="008771D4"/>
    <w:rsid w:val="008776B8"/>
    <w:rsid w:val="008777BB"/>
    <w:rsid w:val="00877924"/>
    <w:rsid w:val="00877997"/>
    <w:rsid w:val="008779A2"/>
    <w:rsid w:val="008779CA"/>
    <w:rsid w:val="00877B12"/>
    <w:rsid w:val="00877C00"/>
    <w:rsid w:val="00877C22"/>
    <w:rsid w:val="00877C9D"/>
    <w:rsid w:val="00877FD8"/>
    <w:rsid w:val="00880088"/>
    <w:rsid w:val="0088013C"/>
    <w:rsid w:val="00880486"/>
    <w:rsid w:val="008804F9"/>
    <w:rsid w:val="008805AE"/>
    <w:rsid w:val="0088060C"/>
    <w:rsid w:val="00880732"/>
    <w:rsid w:val="008807DF"/>
    <w:rsid w:val="00880913"/>
    <w:rsid w:val="00880DB4"/>
    <w:rsid w:val="00880E6E"/>
    <w:rsid w:val="0088105C"/>
    <w:rsid w:val="00881289"/>
    <w:rsid w:val="0088151D"/>
    <w:rsid w:val="00881524"/>
    <w:rsid w:val="00881653"/>
    <w:rsid w:val="008816E8"/>
    <w:rsid w:val="00881A76"/>
    <w:rsid w:val="00881AAE"/>
    <w:rsid w:val="00881ABA"/>
    <w:rsid w:val="00881B20"/>
    <w:rsid w:val="00881B25"/>
    <w:rsid w:val="00881B85"/>
    <w:rsid w:val="00881B8A"/>
    <w:rsid w:val="00881C3C"/>
    <w:rsid w:val="00881CE7"/>
    <w:rsid w:val="00881D2F"/>
    <w:rsid w:val="00881D7F"/>
    <w:rsid w:val="00881F0D"/>
    <w:rsid w:val="00881FF3"/>
    <w:rsid w:val="0088208C"/>
    <w:rsid w:val="008820A6"/>
    <w:rsid w:val="008820BE"/>
    <w:rsid w:val="008820C0"/>
    <w:rsid w:val="00882195"/>
    <w:rsid w:val="00882285"/>
    <w:rsid w:val="008823E9"/>
    <w:rsid w:val="00882613"/>
    <w:rsid w:val="008827E7"/>
    <w:rsid w:val="00882850"/>
    <w:rsid w:val="0088288F"/>
    <w:rsid w:val="00882A84"/>
    <w:rsid w:val="00882CC3"/>
    <w:rsid w:val="0088301D"/>
    <w:rsid w:val="008830B8"/>
    <w:rsid w:val="008830BD"/>
    <w:rsid w:val="00883162"/>
    <w:rsid w:val="00883200"/>
    <w:rsid w:val="0088323F"/>
    <w:rsid w:val="0088324E"/>
    <w:rsid w:val="0088328C"/>
    <w:rsid w:val="0088331E"/>
    <w:rsid w:val="008833F3"/>
    <w:rsid w:val="00883402"/>
    <w:rsid w:val="00883438"/>
    <w:rsid w:val="0088344B"/>
    <w:rsid w:val="008835EE"/>
    <w:rsid w:val="00883617"/>
    <w:rsid w:val="0088366F"/>
    <w:rsid w:val="008836A5"/>
    <w:rsid w:val="008836E7"/>
    <w:rsid w:val="008837B7"/>
    <w:rsid w:val="0088381F"/>
    <w:rsid w:val="00883927"/>
    <w:rsid w:val="00883AAA"/>
    <w:rsid w:val="00883AC5"/>
    <w:rsid w:val="00883B68"/>
    <w:rsid w:val="00883BB1"/>
    <w:rsid w:val="00883C8D"/>
    <w:rsid w:val="00883CC9"/>
    <w:rsid w:val="00883D49"/>
    <w:rsid w:val="00883D84"/>
    <w:rsid w:val="00883E0C"/>
    <w:rsid w:val="00883F09"/>
    <w:rsid w:val="00883F0E"/>
    <w:rsid w:val="00883F42"/>
    <w:rsid w:val="00883F76"/>
    <w:rsid w:val="00883FAB"/>
    <w:rsid w:val="008841D8"/>
    <w:rsid w:val="00884671"/>
    <w:rsid w:val="00884742"/>
    <w:rsid w:val="00884747"/>
    <w:rsid w:val="00884AD7"/>
    <w:rsid w:val="00884BAD"/>
    <w:rsid w:val="00884C54"/>
    <w:rsid w:val="00884C68"/>
    <w:rsid w:val="00884CAF"/>
    <w:rsid w:val="00884F22"/>
    <w:rsid w:val="00884F97"/>
    <w:rsid w:val="00884FDE"/>
    <w:rsid w:val="00885282"/>
    <w:rsid w:val="00885295"/>
    <w:rsid w:val="00885359"/>
    <w:rsid w:val="0088545D"/>
    <w:rsid w:val="008854C8"/>
    <w:rsid w:val="00885528"/>
    <w:rsid w:val="00885635"/>
    <w:rsid w:val="00885726"/>
    <w:rsid w:val="00885813"/>
    <w:rsid w:val="0088585A"/>
    <w:rsid w:val="00885926"/>
    <w:rsid w:val="008859C1"/>
    <w:rsid w:val="00885C30"/>
    <w:rsid w:val="00885E06"/>
    <w:rsid w:val="00885E0A"/>
    <w:rsid w:val="00885E0B"/>
    <w:rsid w:val="0088604B"/>
    <w:rsid w:val="0088633E"/>
    <w:rsid w:val="008865EC"/>
    <w:rsid w:val="0088678B"/>
    <w:rsid w:val="00886968"/>
    <w:rsid w:val="00886B28"/>
    <w:rsid w:val="00886BC5"/>
    <w:rsid w:val="00886BE9"/>
    <w:rsid w:val="00886CB9"/>
    <w:rsid w:val="00886D22"/>
    <w:rsid w:val="00886D80"/>
    <w:rsid w:val="00886E62"/>
    <w:rsid w:val="00886EE2"/>
    <w:rsid w:val="00886F91"/>
    <w:rsid w:val="00887295"/>
    <w:rsid w:val="008875CB"/>
    <w:rsid w:val="00887692"/>
    <w:rsid w:val="00887886"/>
    <w:rsid w:val="008878F2"/>
    <w:rsid w:val="00887951"/>
    <w:rsid w:val="00887A71"/>
    <w:rsid w:val="00887ACF"/>
    <w:rsid w:val="00887B47"/>
    <w:rsid w:val="00887C1E"/>
    <w:rsid w:val="00887DAC"/>
    <w:rsid w:val="00887DBD"/>
    <w:rsid w:val="00887E8A"/>
    <w:rsid w:val="00887F11"/>
    <w:rsid w:val="00887F12"/>
    <w:rsid w:val="00887FE7"/>
    <w:rsid w:val="0089015E"/>
    <w:rsid w:val="008903E0"/>
    <w:rsid w:val="008903F8"/>
    <w:rsid w:val="00890473"/>
    <w:rsid w:val="008904FD"/>
    <w:rsid w:val="00890559"/>
    <w:rsid w:val="00890814"/>
    <w:rsid w:val="008908B9"/>
    <w:rsid w:val="00890B84"/>
    <w:rsid w:val="00890BF5"/>
    <w:rsid w:val="00890BFC"/>
    <w:rsid w:val="00890E20"/>
    <w:rsid w:val="00890F7D"/>
    <w:rsid w:val="0089108C"/>
    <w:rsid w:val="008914FE"/>
    <w:rsid w:val="0089156D"/>
    <w:rsid w:val="0089174A"/>
    <w:rsid w:val="00891898"/>
    <w:rsid w:val="0089189A"/>
    <w:rsid w:val="008918A4"/>
    <w:rsid w:val="00891A1A"/>
    <w:rsid w:val="00891B1D"/>
    <w:rsid w:val="00891B8D"/>
    <w:rsid w:val="00891BAF"/>
    <w:rsid w:val="00891C6A"/>
    <w:rsid w:val="00891C87"/>
    <w:rsid w:val="00891CB2"/>
    <w:rsid w:val="00891DE0"/>
    <w:rsid w:val="00891E71"/>
    <w:rsid w:val="00891F4E"/>
    <w:rsid w:val="008920BD"/>
    <w:rsid w:val="008921F8"/>
    <w:rsid w:val="008922B6"/>
    <w:rsid w:val="00892431"/>
    <w:rsid w:val="00892441"/>
    <w:rsid w:val="008924C7"/>
    <w:rsid w:val="0089253F"/>
    <w:rsid w:val="008927B0"/>
    <w:rsid w:val="008928B1"/>
    <w:rsid w:val="00892A60"/>
    <w:rsid w:val="00892B81"/>
    <w:rsid w:val="00892BC8"/>
    <w:rsid w:val="00892CBD"/>
    <w:rsid w:val="00892CF8"/>
    <w:rsid w:val="00892ED4"/>
    <w:rsid w:val="00893015"/>
    <w:rsid w:val="00893222"/>
    <w:rsid w:val="008933BA"/>
    <w:rsid w:val="008934CE"/>
    <w:rsid w:val="008935F3"/>
    <w:rsid w:val="00893655"/>
    <w:rsid w:val="00893C8A"/>
    <w:rsid w:val="00893EDE"/>
    <w:rsid w:val="00893EEE"/>
    <w:rsid w:val="00893FD9"/>
    <w:rsid w:val="0089401A"/>
    <w:rsid w:val="0089409C"/>
    <w:rsid w:val="0089416F"/>
    <w:rsid w:val="008941FC"/>
    <w:rsid w:val="0089423D"/>
    <w:rsid w:val="00894553"/>
    <w:rsid w:val="00894630"/>
    <w:rsid w:val="00894662"/>
    <w:rsid w:val="0089480B"/>
    <w:rsid w:val="00894B50"/>
    <w:rsid w:val="00894B70"/>
    <w:rsid w:val="00894CE1"/>
    <w:rsid w:val="00894D4E"/>
    <w:rsid w:val="00894DAC"/>
    <w:rsid w:val="00894EB7"/>
    <w:rsid w:val="00894FEF"/>
    <w:rsid w:val="00895389"/>
    <w:rsid w:val="0089572D"/>
    <w:rsid w:val="008958C9"/>
    <w:rsid w:val="0089599A"/>
    <w:rsid w:val="008959B4"/>
    <w:rsid w:val="008959DB"/>
    <w:rsid w:val="00895A50"/>
    <w:rsid w:val="00895B86"/>
    <w:rsid w:val="00895B9A"/>
    <w:rsid w:val="00895D93"/>
    <w:rsid w:val="00895E46"/>
    <w:rsid w:val="00895EEC"/>
    <w:rsid w:val="00895FC2"/>
    <w:rsid w:val="00896372"/>
    <w:rsid w:val="0089637A"/>
    <w:rsid w:val="0089646E"/>
    <w:rsid w:val="008964C6"/>
    <w:rsid w:val="008967A5"/>
    <w:rsid w:val="008969CE"/>
    <w:rsid w:val="00896A8D"/>
    <w:rsid w:val="00896B08"/>
    <w:rsid w:val="00896B46"/>
    <w:rsid w:val="00896BE7"/>
    <w:rsid w:val="00896DE3"/>
    <w:rsid w:val="00896F36"/>
    <w:rsid w:val="00896F44"/>
    <w:rsid w:val="0089711B"/>
    <w:rsid w:val="00897121"/>
    <w:rsid w:val="008971D4"/>
    <w:rsid w:val="008971F1"/>
    <w:rsid w:val="00897257"/>
    <w:rsid w:val="00897676"/>
    <w:rsid w:val="008976A2"/>
    <w:rsid w:val="0089775E"/>
    <w:rsid w:val="00897793"/>
    <w:rsid w:val="008977DF"/>
    <w:rsid w:val="008978C8"/>
    <w:rsid w:val="00897903"/>
    <w:rsid w:val="00897998"/>
    <w:rsid w:val="00897A03"/>
    <w:rsid w:val="00897A11"/>
    <w:rsid w:val="00897B72"/>
    <w:rsid w:val="00897B89"/>
    <w:rsid w:val="00897D76"/>
    <w:rsid w:val="00897E37"/>
    <w:rsid w:val="00897ED6"/>
    <w:rsid w:val="008A0111"/>
    <w:rsid w:val="008A024E"/>
    <w:rsid w:val="008A053E"/>
    <w:rsid w:val="008A06CC"/>
    <w:rsid w:val="008A09AB"/>
    <w:rsid w:val="008A09DF"/>
    <w:rsid w:val="008A0A41"/>
    <w:rsid w:val="008A0ACF"/>
    <w:rsid w:val="008A0AE7"/>
    <w:rsid w:val="008A0BBB"/>
    <w:rsid w:val="008A0BC9"/>
    <w:rsid w:val="008A0C2B"/>
    <w:rsid w:val="008A0C4E"/>
    <w:rsid w:val="008A0C55"/>
    <w:rsid w:val="008A0DA3"/>
    <w:rsid w:val="008A0DD5"/>
    <w:rsid w:val="008A0DDB"/>
    <w:rsid w:val="008A0E5D"/>
    <w:rsid w:val="008A0E7E"/>
    <w:rsid w:val="008A10A2"/>
    <w:rsid w:val="008A1208"/>
    <w:rsid w:val="008A1349"/>
    <w:rsid w:val="008A1353"/>
    <w:rsid w:val="008A13E4"/>
    <w:rsid w:val="008A15DE"/>
    <w:rsid w:val="008A1632"/>
    <w:rsid w:val="008A168A"/>
    <w:rsid w:val="008A1716"/>
    <w:rsid w:val="008A1766"/>
    <w:rsid w:val="008A182B"/>
    <w:rsid w:val="008A18F1"/>
    <w:rsid w:val="008A1913"/>
    <w:rsid w:val="008A19DE"/>
    <w:rsid w:val="008A1A16"/>
    <w:rsid w:val="008A1ABE"/>
    <w:rsid w:val="008A1ADE"/>
    <w:rsid w:val="008A1BF8"/>
    <w:rsid w:val="008A1CCE"/>
    <w:rsid w:val="008A1D51"/>
    <w:rsid w:val="008A1D86"/>
    <w:rsid w:val="008A1FE1"/>
    <w:rsid w:val="008A2039"/>
    <w:rsid w:val="008A2068"/>
    <w:rsid w:val="008A24B9"/>
    <w:rsid w:val="008A24E1"/>
    <w:rsid w:val="008A252E"/>
    <w:rsid w:val="008A258D"/>
    <w:rsid w:val="008A25EF"/>
    <w:rsid w:val="008A2648"/>
    <w:rsid w:val="008A2742"/>
    <w:rsid w:val="008A2A17"/>
    <w:rsid w:val="008A2B79"/>
    <w:rsid w:val="008A2C37"/>
    <w:rsid w:val="008A2CBF"/>
    <w:rsid w:val="008A2E68"/>
    <w:rsid w:val="008A2E79"/>
    <w:rsid w:val="008A2E81"/>
    <w:rsid w:val="008A3010"/>
    <w:rsid w:val="008A3160"/>
    <w:rsid w:val="008A3198"/>
    <w:rsid w:val="008A31A8"/>
    <w:rsid w:val="008A32B3"/>
    <w:rsid w:val="008A33E1"/>
    <w:rsid w:val="008A3456"/>
    <w:rsid w:val="008A36A4"/>
    <w:rsid w:val="008A3788"/>
    <w:rsid w:val="008A3792"/>
    <w:rsid w:val="008A3AEA"/>
    <w:rsid w:val="008A3D8E"/>
    <w:rsid w:val="008A3E15"/>
    <w:rsid w:val="008A4027"/>
    <w:rsid w:val="008A41B1"/>
    <w:rsid w:val="008A41CE"/>
    <w:rsid w:val="008A42E4"/>
    <w:rsid w:val="008A43DD"/>
    <w:rsid w:val="008A466D"/>
    <w:rsid w:val="008A46C7"/>
    <w:rsid w:val="008A46F2"/>
    <w:rsid w:val="008A48B4"/>
    <w:rsid w:val="008A49E5"/>
    <w:rsid w:val="008A4A29"/>
    <w:rsid w:val="008A4ACB"/>
    <w:rsid w:val="008A4B7C"/>
    <w:rsid w:val="008A4C41"/>
    <w:rsid w:val="008A4D7A"/>
    <w:rsid w:val="008A520E"/>
    <w:rsid w:val="008A52C6"/>
    <w:rsid w:val="008A543D"/>
    <w:rsid w:val="008A5571"/>
    <w:rsid w:val="008A55EC"/>
    <w:rsid w:val="008A567F"/>
    <w:rsid w:val="008A579F"/>
    <w:rsid w:val="008A57C7"/>
    <w:rsid w:val="008A5982"/>
    <w:rsid w:val="008A59EA"/>
    <w:rsid w:val="008A5A3B"/>
    <w:rsid w:val="008A5A89"/>
    <w:rsid w:val="008A5B7B"/>
    <w:rsid w:val="008A5B82"/>
    <w:rsid w:val="008A5BF0"/>
    <w:rsid w:val="008A5D1B"/>
    <w:rsid w:val="008A5D5C"/>
    <w:rsid w:val="008A5DB3"/>
    <w:rsid w:val="008A5DC5"/>
    <w:rsid w:val="008A5DEC"/>
    <w:rsid w:val="008A5EEB"/>
    <w:rsid w:val="008A5F53"/>
    <w:rsid w:val="008A601B"/>
    <w:rsid w:val="008A6043"/>
    <w:rsid w:val="008A60A3"/>
    <w:rsid w:val="008A60AB"/>
    <w:rsid w:val="008A60F6"/>
    <w:rsid w:val="008A61B8"/>
    <w:rsid w:val="008A648A"/>
    <w:rsid w:val="008A6563"/>
    <w:rsid w:val="008A65F5"/>
    <w:rsid w:val="008A67BD"/>
    <w:rsid w:val="008A687E"/>
    <w:rsid w:val="008A68A4"/>
    <w:rsid w:val="008A6A8F"/>
    <w:rsid w:val="008A6AB8"/>
    <w:rsid w:val="008A6B71"/>
    <w:rsid w:val="008A6C30"/>
    <w:rsid w:val="008A6CC3"/>
    <w:rsid w:val="008A6E6C"/>
    <w:rsid w:val="008A6F16"/>
    <w:rsid w:val="008A6F83"/>
    <w:rsid w:val="008A7005"/>
    <w:rsid w:val="008A712A"/>
    <w:rsid w:val="008A7273"/>
    <w:rsid w:val="008A72AF"/>
    <w:rsid w:val="008A7568"/>
    <w:rsid w:val="008A7594"/>
    <w:rsid w:val="008A7715"/>
    <w:rsid w:val="008A7C0C"/>
    <w:rsid w:val="008A7C2A"/>
    <w:rsid w:val="008A7C64"/>
    <w:rsid w:val="008A7D78"/>
    <w:rsid w:val="008A7DA0"/>
    <w:rsid w:val="008A7DD0"/>
    <w:rsid w:val="008A7E7A"/>
    <w:rsid w:val="008B001F"/>
    <w:rsid w:val="008B0088"/>
    <w:rsid w:val="008B008B"/>
    <w:rsid w:val="008B0101"/>
    <w:rsid w:val="008B047E"/>
    <w:rsid w:val="008B0485"/>
    <w:rsid w:val="008B04F9"/>
    <w:rsid w:val="008B056C"/>
    <w:rsid w:val="008B05C3"/>
    <w:rsid w:val="008B0625"/>
    <w:rsid w:val="008B0640"/>
    <w:rsid w:val="008B06B0"/>
    <w:rsid w:val="008B080B"/>
    <w:rsid w:val="008B080F"/>
    <w:rsid w:val="008B0916"/>
    <w:rsid w:val="008B0BDD"/>
    <w:rsid w:val="008B0BE7"/>
    <w:rsid w:val="008B0C43"/>
    <w:rsid w:val="008B0D93"/>
    <w:rsid w:val="008B0DFE"/>
    <w:rsid w:val="008B0F7B"/>
    <w:rsid w:val="008B10FD"/>
    <w:rsid w:val="008B1137"/>
    <w:rsid w:val="008B1263"/>
    <w:rsid w:val="008B12FA"/>
    <w:rsid w:val="008B1337"/>
    <w:rsid w:val="008B1404"/>
    <w:rsid w:val="008B14EE"/>
    <w:rsid w:val="008B1556"/>
    <w:rsid w:val="008B1566"/>
    <w:rsid w:val="008B159B"/>
    <w:rsid w:val="008B165A"/>
    <w:rsid w:val="008B1705"/>
    <w:rsid w:val="008B17AA"/>
    <w:rsid w:val="008B18ED"/>
    <w:rsid w:val="008B1AA6"/>
    <w:rsid w:val="008B1B81"/>
    <w:rsid w:val="008B1BC8"/>
    <w:rsid w:val="008B1CAA"/>
    <w:rsid w:val="008B1E25"/>
    <w:rsid w:val="008B1EB2"/>
    <w:rsid w:val="008B20BE"/>
    <w:rsid w:val="008B2155"/>
    <w:rsid w:val="008B21C0"/>
    <w:rsid w:val="008B23C0"/>
    <w:rsid w:val="008B240B"/>
    <w:rsid w:val="008B257D"/>
    <w:rsid w:val="008B265F"/>
    <w:rsid w:val="008B2705"/>
    <w:rsid w:val="008B2A05"/>
    <w:rsid w:val="008B2A20"/>
    <w:rsid w:val="008B2A67"/>
    <w:rsid w:val="008B2AD7"/>
    <w:rsid w:val="008B2B47"/>
    <w:rsid w:val="008B2D05"/>
    <w:rsid w:val="008B2D9D"/>
    <w:rsid w:val="008B2F00"/>
    <w:rsid w:val="008B2F17"/>
    <w:rsid w:val="008B2F3D"/>
    <w:rsid w:val="008B2F4D"/>
    <w:rsid w:val="008B3098"/>
    <w:rsid w:val="008B31C7"/>
    <w:rsid w:val="008B32B6"/>
    <w:rsid w:val="008B32E7"/>
    <w:rsid w:val="008B3363"/>
    <w:rsid w:val="008B3534"/>
    <w:rsid w:val="008B3612"/>
    <w:rsid w:val="008B3623"/>
    <w:rsid w:val="008B3682"/>
    <w:rsid w:val="008B379B"/>
    <w:rsid w:val="008B37DE"/>
    <w:rsid w:val="008B3864"/>
    <w:rsid w:val="008B3922"/>
    <w:rsid w:val="008B3941"/>
    <w:rsid w:val="008B3AEE"/>
    <w:rsid w:val="008B3D7E"/>
    <w:rsid w:val="008B3FAE"/>
    <w:rsid w:val="008B4056"/>
    <w:rsid w:val="008B40A6"/>
    <w:rsid w:val="008B40DF"/>
    <w:rsid w:val="008B40E8"/>
    <w:rsid w:val="008B43FB"/>
    <w:rsid w:val="008B4486"/>
    <w:rsid w:val="008B4664"/>
    <w:rsid w:val="008B47DF"/>
    <w:rsid w:val="008B488C"/>
    <w:rsid w:val="008B4965"/>
    <w:rsid w:val="008B49C8"/>
    <w:rsid w:val="008B49EC"/>
    <w:rsid w:val="008B4D9F"/>
    <w:rsid w:val="008B4DE8"/>
    <w:rsid w:val="008B4DF6"/>
    <w:rsid w:val="008B4EE9"/>
    <w:rsid w:val="008B4F2A"/>
    <w:rsid w:val="008B4F69"/>
    <w:rsid w:val="008B4F8C"/>
    <w:rsid w:val="008B5081"/>
    <w:rsid w:val="008B5152"/>
    <w:rsid w:val="008B5207"/>
    <w:rsid w:val="008B5213"/>
    <w:rsid w:val="008B5469"/>
    <w:rsid w:val="008B59C2"/>
    <w:rsid w:val="008B5BAA"/>
    <w:rsid w:val="008B5C91"/>
    <w:rsid w:val="008B5CFE"/>
    <w:rsid w:val="008B5D01"/>
    <w:rsid w:val="008B5D34"/>
    <w:rsid w:val="008B5DAA"/>
    <w:rsid w:val="008B5DD4"/>
    <w:rsid w:val="008B6058"/>
    <w:rsid w:val="008B668F"/>
    <w:rsid w:val="008B68FA"/>
    <w:rsid w:val="008B6AF0"/>
    <w:rsid w:val="008B6CB4"/>
    <w:rsid w:val="008B6CD6"/>
    <w:rsid w:val="008B6D44"/>
    <w:rsid w:val="008B6D4C"/>
    <w:rsid w:val="008B6D67"/>
    <w:rsid w:val="008B6E9F"/>
    <w:rsid w:val="008B6FD1"/>
    <w:rsid w:val="008B7039"/>
    <w:rsid w:val="008B7138"/>
    <w:rsid w:val="008B7154"/>
    <w:rsid w:val="008B71BC"/>
    <w:rsid w:val="008B71EB"/>
    <w:rsid w:val="008B7234"/>
    <w:rsid w:val="008B7336"/>
    <w:rsid w:val="008B73A4"/>
    <w:rsid w:val="008B74A1"/>
    <w:rsid w:val="008B758A"/>
    <w:rsid w:val="008B785A"/>
    <w:rsid w:val="008B789E"/>
    <w:rsid w:val="008B78B1"/>
    <w:rsid w:val="008B7BCC"/>
    <w:rsid w:val="008B7C86"/>
    <w:rsid w:val="008B7D1C"/>
    <w:rsid w:val="008C00F2"/>
    <w:rsid w:val="008C018B"/>
    <w:rsid w:val="008C01EE"/>
    <w:rsid w:val="008C025B"/>
    <w:rsid w:val="008C02DA"/>
    <w:rsid w:val="008C02E3"/>
    <w:rsid w:val="008C02E8"/>
    <w:rsid w:val="008C02ED"/>
    <w:rsid w:val="008C03FB"/>
    <w:rsid w:val="008C07B3"/>
    <w:rsid w:val="008C0841"/>
    <w:rsid w:val="008C0865"/>
    <w:rsid w:val="008C0C50"/>
    <w:rsid w:val="008C0E12"/>
    <w:rsid w:val="008C0E31"/>
    <w:rsid w:val="008C0E47"/>
    <w:rsid w:val="008C0F46"/>
    <w:rsid w:val="008C0FCF"/>
    <w:rsid w:val="008C0FED"/>
    <w:rsid w:val="008C10D3"/>
    <w:rsid w:val="008C11AA"/>
    <w:rsid w:val="008C12AB"/>
    <w:rsid w:val="008C131E"/>
    <w:rsid w:val="008C13DF"/>
    <w:rsid w:val="008C1411"/>
    <w:rsid w:val="008C158A"/>
    <w:rsid w:val="008C1969"/>
    <w:rsid w:val="008C1A7A"/>
    <w:rsid w:val="008C1B52"/>
    <w:rsid w:val="008C1C4D"/>
    <w:rsid w:val="008C1CCF"/>
    <w:rsid w:val="008C1CE3"/>
    <w:rsid w:val="008C1D49"/>
    <w:rsid w:val="008C1D8D"/>
    <w:rsid w:val="008C1D95"/>
    <w:rsid w:val="008C1E04"/>
    <w:rsid w:val="008C1FA3"/>
    <w:rsid w:val="008C212C"/>
    <w:rsid w:val="008C218A"/>
    <w:rsid w:val="008C263A"/>
    <w:rsid w:val="008C299C"/>
    <w:rsid w:val="008C2B49"/>
    <w:rsid w:val="008C2B9B"/>
    <w:rsid w:val="008C2CB2"/>
    <w:rsid w:val="008C2E66"/>
    <w:rsid w:val="008C2FBA"/>
    <w:rsid w:val="008C3119"/>
    <w:rsid w:val="008C3415"/>
    <w:rsid w:val="008C3592"/>
    <w:rsid w:val="008C35CA"/>
    <w:rsid w:val="008C368D"/>
    <w:rsid w:val="008C3760"/>
    <w:rsid w:val="008C381F"/>
    <w:rsid w:val="008C388C"/>
    <w:rsid w:val="008C395A"/>
    <w:rsid w:val="008C3BDB"/>
    <w:rsid w:val="008C3E14"/>
    <w:rsid w:val="008C3E48"/>
    <w:rsid w:val="008C3F33"/>
    <w:rsid w:val="008C3F80"/>
    <w:rsid w:val="008C3F81"/>
    <w:rsid w:val="008C4084"/>
    <w:rsid w:val="008C42D1"/>
    <w:rsid w:val="008C4345"/>
    <w:rsid w:val="008C4384"/>
    <w:rsid w:val="008C4628"/>
    <w:rsid w:val="008C465E"/>
    <w:rsid w:val="008C46EC"/>
    <w:rsid w:val="008C4827"/>
    <w:rsid w:val="008C4853"/>
    <w:rsid w:val="008C4A8F"/>
    <w:rsid w:val="008C4B60"/>
    <w:rsid w:val="008C4CC7"/>
    <w:rsid w:val="008C4D57"/>
    <w:rsid w:val="008C4FBE"/>
    <w:rsid w:val="008C5060"/>
    <w:rsid w:val="008C52AA"/>
    <w:rsid w:val="008C52E2"/>
    <w:rsid w:val="008C5454"/>
    <w:rsid w:val="008C553F"/>
    <w:rsid w:val="008C5689"/>
    <w:rsid w:val="008C56FA"/>
    <w:rsid w:val="008C5863"/>
    <w:rsid w:val="008C591B"/>
    <w:rsid w:val="008C5963"/>
    <w:rsid w:val="008C598B"/>
    <w:rsid w:val="008C5A54"/>
    <w:rsid w:val="008C5ABE"/>
    <w:rsid w:val="008C5AEA"/>
    <w:rsid w:val="008C5B0F"/>
    <w:rsid w:val="008C5B66"/>
    <w:rsid w:val="008C5EB8"/>
    <w:rsid w:val="008C5FAA"/>
    <w:rsid w:val="008C6008"/>
    <w:rsid w:val="008C6389"/>
    <w:rsid w:val="008C6573"/>
    <w:rsid w:val="008C65E5"/>
    <w:rsid w:val="008C66CE"/>
    <w:rsid w:val="008C689D"/>
    <w:rsid w:val="008C6A18"/>
    <w:rsid w:val="008C6ACD"/>
    <w:rsid w:val="008C6B2F"/>
    <w:rsid w:val="008C6BAE"/>
    <w:rsid w:val="008C6CDC"/>
    <w:rsid w:val="008C6D1B"/>
    <w:rsid w:val="008C6D85"/>
    <w:rsid w:val="008C6EB5"/>
    <w:rsid w:val="008C6EE4"/>
    <w:rsid w:val="008C71DF"/>
    <w:rsid w:val="008C721B"/>
    <w:rsid w:val="008C726D"/>
    <w:rsid w:val="008C73FC"/>
    <w:rsid w:val="008C7486"/>
    <w:rsid w:val="008C7543"/>
    <w:rsid w:val="008C75C2"/>
    <w:rsid w:val="008C7616"/>
    <w:rsid w:val="008C776C"/>
    <w:rsid w:val="008C776F"/>
    <w:rsid w:val="008C7853"/>
    <w:rsid w:val="008C7950"/>
    <w:rsid w:val="008C7A11"/>
    <w:rsid w:val="008C7AF7"/>
    <w:rsid w:val="008C7B0D"/>
    <w:rsid w:val="008C7B17"/>
    <w:rsid w:val="008C7B76"/>
    <w:rsid w:val="008C7B9F"/>
    <w:rsid w:val="008C7CF0"/>
    <w:rsid w:val="008C7E14"/>
    <w:rsid w:val="008D02B4"/>
    <w:rsid w:val="008D033B"/>
    <w:rsid w:val="008D03E8"/>
    <w:rsid w:val="008D06F0"/>
    <w:rsid w:val="008D070D"/>
    <w:rsid w:val="008D084F"/>
    <w:rsid w:val="008D09FC"/>
    <w:rsid w:val="008D0E3E"/>
    <w:rsid w:val="008D0E88"/>
    <w:rsid w:val="008D0E90"/>
    <w:rsid w:val="008D100E"/>
    <w:rsid w:val="008D10E1"/>
    <w:rsid w:val="008D13FC"/>
    <w:rsid w:val="008D145F"/>
    <w:rsid w:val="008D170B"/>
    <w:rsid w:val="008D17B9"/>
    <w:rsid w:val="008D18B4"/>
    <w:rsid w:val="008D18BF"/>
    <w:rsid w:val="008D19FD"/>
    <w:rsid w:val="008D1ABD"/>
    <w:rsid w:val="008D1B4A"/>
    <w:rsid w:val="008D1B68"/>
    <w:rsid w:val="008D1BBF"/>
    <w:rsid w:val="008D1E0F"/>
    <w:rsid w:val="008D1E9C"/>
    <w:rsid w:val="008D1F77"/>
    <w:rsid w:val="008D1FCF"/>
    <w:rsid w:val="008D2061"/>
    <w:rsid w:val="008D20B9"/>
    <w:rsid w:val="008D2659"/>
    <w:rsid w:val="008D277F"/>
    <w:rsid w:val="008D28F2"/>
    <w:rsid w:val="008D29B1"/>
    <w:rsid w:val="008D2EF6"/>
    <w:rsid w:val="008D2F56"/>
    <w:rsid w:val="008D2F78"/>
    <w:rsid w:val="008D31D2"/>
    <w:rsid w:val="008D3362"/>
    <w:rsid w:val="008D34D7"/>
    <w:rsid w:val="008D353B"/>
    <w:rsid w:val="008D353C"/>
    <w:rsid w:val="008D360C"/>
    <w:rsid w:val="008D37CC"/>
    <w:rsid w:val="008D3A0D"/>
    <w:rsid w:val="008D3AB0"/>
    <w:rsid w:val="008D3DF0"/>
    <w:rsid w:val="008D3E2F"/>
    <w:rsid w:val="008D3E35"/>
    <w:rsid w:val="008D3E99"/>
    <w:rsid w:val="008D3EC2"/>
    <w:rsid w:val="008D3EFD"/>
    <w:rsid w:val="008D451F"/>
    <w:rsid w:val="008D45AA"/>
    <w:rsid w:val="008D45D0"/>
    <w:rsid w:val="008D4649"/>
    <w:rsid w:val="008D46B1"/>
    <w:rsid w:val="008D4734"/>
    <w:rsid w:val="008D473D"/>
    <w:rsid w:val="008D4818"/>
    <w:rsid w:val="008D49DE"/>
    <w:rsid w:val="008D4A26"/>
    <w:rsid w:val="008D4DB9"/>
    <w:rsid w:val="008D4EFE"/>
    <w:rsid w:val="008D4F83"/>
    <w:rsid w:val="008D51CA"/>
    <w:rsid w:val="008D5624"/>
    <w:rsid w:val="008D57D4"/>
    <w:rsid w:val="008D591F"/>
    <w:rsid w:val="008D5A5E"/>
    <w:rsid w:val="008D5DAF"/>
    <w:rsid w:val="008D5DB7"/>
    <w:rsid w:val="008D5E08"/>
    <w:rsid w:val="008D6090"/>
    <w:rsid w:val="008D609C"/>
    <w:rsid w:val="008D6303"/>
    <w:rsid w:val="008D6315"/>
    <w:rsid w:val="008D639D"/>
    <w:rsid w:val="008D63DD"/>
    <w:rsid w:val="008D6644"/>
    <w:rsid w:val="008D6645"/>
    <w:rsid w:val="008D6689"/>
    <w:rsid w:val="008D66F5"/>
    <w:rsid w:val="008D6855"/>
    <w:rsid w:val="008D697C"/>
    <w:rsid w:val="008D699D"/>
    <w:rsid w:val="008D6A04"/>
    <w:rsid w:val="008D6DA4"/>
    <w:rsid w:val="008D6E53"/>
    <w:rsid w:val="008D6F27"/>
    <w:rsid w:val="008D73CA"/>
    <w:rsid w:val="008D7508"/>
    <w:rsid w:val="008D7781"/>
    <w:rsid w:val="008D781B"/>
    <w:rsid w:val="008D782F"/>
    <w:rsid w:val="008D7983"/>
    <w:rsid w:val="008D7B1D"/>
    <w:rsid w:val="008D7BEA"/>
    <w:rsid w:val="008D7D25"/>
    <w:rsid w:val="008D7D85"/>
    <w:rsid w:val="008D7D89"/>
    <w:rsid w:val="008D7E3A"/>
    <w:rsid w:val="008D7F1F"/>
    <w:rsid w:val="008D7F77"/>
    <w:rsid w:val="008D7FAF"/>
    <w:rsid w:val="008D7FE4"/>
    <w:rsid w:val="008E00D5"/>
    <w:rsid w:val="008E0216"/>
    <w:rsid w:val="008E02FA"/>
    <w:rsid w:val="008E033B"/>
    <w:rsid w:val="008E0382"/>
    <w:rsid w:val="008E048E"/>
    <w:rsid w:val="008E049D"/>
    <w:rsid w:val="008E04E1"/>
    <w:rsid w:val="008E05CD"/>
    <w:rsid w:val="008E0611"/>
    <w:rsid w:val="008E0649"/>
    <w:rsid w:val="008E0678"/>
    <w:rsid w:val="008E074F"/>
    <w:rsid w:val="008E0B13"/>
    <w:rsid w:val="008E0F05"/>
    <w:rsid w:val="008E0FB1"/>
    <w:rsid w:val="008E0FB6"/>
    <w:rsid w:val="008E111C"/>
    <w:rsid w:val="008E113B"/>
    <w:rsid w:val="008E1148"/>
    <w:rsid w:val="008E12BD"/>
    <w:rsid w:val="008E1715"/>
    <w:rsid w:val="008E1930"/>
    <w:rsid w:val="008E19AD"/>
    <w:rsid w:val="008E1AF1"/>
    <w:rsid w:val="008E1CA8"/>
    <w:rsid w:val="008E1CC7"/>
    <w:rsid w:val="008E1E7C"/>
    <w:rsid w:val="008E1ED0"/>
    <w:rsid w:val="008E2051"/>
    <w:rsid w:val="008E2067"/>
    <w:rsid w:val="008E20FC"/>
    <w:rsid w:val="008E224A"/>
    <w:rsid w:val="008E2263"/>
    <w:rsid w:val="008E2440"/>
    <w:rsid w:val="008E2591"/>
    <w:rsid w:val="008E25D6"/>
    <w:rsid w:val="008E262D"/>
    <w:rsid w:val="008E26ED"/>
    <w:rsid w:val="008E288C"/>
    <w:rsid w:val="008E29F3"/>
    <w:rsid w:val="008E2A00"/>
    <w:rsid w:val="008E2A62"/>
    <w:rsid w:val="008E2BBD"/>
    <w:rsid w:val="008E2CA9"/>
    <w:rsid w:val="008E2DD7"/>
    <w:rsid w:val="008E2ECF"/>
    <w:rsid w:val="008E2FBC"/>
    <w:rsid w:val="008E3112"/>
    <w:rsid w:val="008E3447"/>
    <w:rsid w:val="008E35AF"/>
    <w:rsid w:val="008E3613"/>
    <w:rsid w:val="008E36BB"/>
    <w:rsid w:val="008E38B7"/>
    <w:rsid w:val="008E39F8"/>
    <w:rsid w:val="008E3A49"/>
    <w:rsid w:val="008E3B16"/>
    <w:rsid w:val="008E3BF8"/>
    <w:rsid w:val="008E3C33"/>
    <w:rsid w:val="008E3CB3"/>
    <w:rsid w:val="008E3D5B"/>
    <w:rsid w:val="008E3E35"/>
    <w:rsid w:val="008E3EEC"/>
    <w:rsid w:val="008E3F1F"/>
    <w:rsid w:val="008E4008"/>
    <w:rsid w:val="008E4149"/>
    <w:rsid w:val="008E4226"/>
    <w:rsid w:val="008E4430"/>
    <w:rsid w:val="008E455D"/>
    <w:rsid w:val="008E45DA"/>
    <w:rsid w:val="008E45EC"/>
    <w:rsid w:val="008E47C5"/>
    <w:rsid w:val="008E4A27"/>
    <w:rsid w:val="008E4B3F"/>
    <w:rsid w:val="008E4D41"/>
    <w:rsid w:val="008E4F41"/>
    <w:rsid w:val="008E4F50"/>
    <w:rsid w:val="008E5066"/>
    <w:rsid w:val="008E5098"/>
    <w:rsid w:val="008E514C"/>
    <w:rsid w:val="008E5255"/>
    <w:rsid w:val="008E52A8"/>
    <w:rsid w:val="008E541D"/>
    <w:rsid w:val="008E5593"/>
    <w:rsid w:val="008E5693"/>
    <w:rsid w:val="008E56C1"/>
    <w:rsid w:val="008E576D"/>
    <w:rsid w:val="008E57C2"/>
    <w:rsid w:val="008E58E6"/>
    <w:rsid w:val="008E5999"/>
    <w:rsid w:val="008E5AB3"/>
    <w:rsid w:val="008E5AE5"/>
    <w:rsid w:val="008E5BBC"/>
    <w:rsid w:val="008E5BF1"/>
    <w:rsid w:val="008E5D02"/>
    <w:rsid w:val="008E5D2B"/>
    <w:rsid w:val="008E5E44"/>
    <w:rsid w:val="008E5EB8"/>
    <w:rsid w:val="008E5F21"/>
    <w:rsid w:val="008E5FAD"/>
    <w:rsid w:val="008E6319"/>
    <w:rsid w:val="008E638D"/>
    <w:rsid w:val="008E64E6"/>
    <w:rsid w:val="008E66D0"/>
    <w:rsid w:val="008E6A11"/>
    <w:rsid w:val="008E6B7F"/>
    <w:rsid w:val="008E6D13"/>
    <w:rsid w:val="008E6F7A"/>
    <w:rsid w:val="008E704C"/>
    <w:rsid w:val="008E7057"/>
    <w:rsid w:val="008E70BF"/>
    <w:rsid w:val="008E7191"/>
    <w:rsid w:val="008E7254"/>
    <w:rsid w:val="008E731C"/>
    <w:rsid w:val="008E7497"/>
    <w:rsid w:val="008E758C"/>
    <w:rsid w:val="008E7636"/>
    <w:rsid w:val="008E76D5"/>
    <w:rsid w:val="008E778B"/>
    <w:rsid w:val="008E7882"/>
    <w:rsid w:val="008E79BC"/>
    <w:rsid w:val="008E7B69"/>
    <w:rsid w:val="008E7B6E"/>
    <w:rsid w:val="008E7B90"/>
    <w:rsid w:val="008E7BD4"/>
    <w:rsid w:val="008E7C1F"/>
    <w:rsid w:val="008E7C2A"/>
    <w:rsid w:val="008E7C5E"/>
    <w:rsid w:val="008E7C69"/>
    <w:rsid w:val="008E7FBE"/>
    <w:rsid w:val="008F0065"/>
    <w:rsid w:val="008F018D"/>
    <w:rsid w:val="008F01BE"/>
    <w:rsid w:val="008F0232"/>
    <w:rsid w:val="008F047F"/>
    <w:rsid w:val="008F06F9"/>
    <w:rsid w:val="008F0902"/>
    <w:rsid w:val="008F097B"/>
    <w:rsid w:val="008F09D5"/>
    <w:rsid w:val="008F0A95"/>
    <w:rsid w:val="008F0CE6"/>
    <w:rsid w:val="008F0D3D"/>
    <w:rsid w:val="008F1022"/>
    <w:rsid w:val="008F107D"/>
    <w:rsid w:val="008F1266"/>
    <w:rsid w:val="008F128F"/>
    <w:rsid w:val="008F130E"/>
    <w:rsid w:val="008F1435"/>
    <w:rsid w:val="008F14ED"/>
    <w:rsid w:val="008F1595"/>
    <w:rsid w:val="008F1606"/>
    <w:rsid w:val="008F166E"/>
    <w:rsid w:val="008F1967"/>
    <w:rsid w:val="008F19C2"/>
    <w:rsid w:val="008F19C7"/>
    <w:rsid w:val="008F1AD1"/>
    <w:rsid w:val="008F1E20"/>
    <w:rsid w:val="008F1F0C"/>
    <w:rsid w:val="008F22C3"/>
    <w:rsid w:val="008F22DC"/>
    <w:rsid w:val="008F2383"/>
    <w:rsid w:val="008F2389"/>
    <w:rsid w:val="008F23C4"/>
    <w:rsid w:val="008F23D7"/>
    <w:rsid w:val="008F24B4"/>
    <w:rsid w:val="008F25BB"/>
    <w:rsid w:val="008F2FBA"/>
    <w:rsid w:val="008F314E"/>
    <w:rsid w:val="008F32E6"/>
    <w:rsid w:val="008F333A"/>
    <w:rsid w:val="008F3362"/>
    <w:rsid w:val="008F35E8"/>
    <w:rsid w:val="008F365C"/>
    <w:rsid w:val="008F36C7"/>
    <w:rsid w:val="008F3738"/>
    <w:rsid w:val="008F384A"/>
    <w:rsid w:val="008F3A86"/>
    <w:rsid w:val="008F3B06"/>
    <w:rsid w:val="008F3CF0"/>
    <w:rsid w:val="008F3CF2"/>
    <w:rsid w:val="008F3E6C"/>
    <w:rsid w:val="008F3FE7"/>
    <w:rsid w:val="008F414E"/>
    <w:rsid w:val="008F41F3"/>
    <w:rsid w:val="008F420E"/>
    <w:rsid w:val="008F4237"/>
    <w:rsid w:val="008F4494"/>
    <w:rsid w:val="008F45B5"/>
    <w:rsid w:val="008F45B6"/>
    <w:rsid w:val="008F47AB"/>
    <w:rsid w:val="008F4858"/>
    <w:rsid w:val="008F4870"/>
    <w:rsid w:val="008F4B7E"/>
    <w:rsid w:val="008F4B8E"/>
    <w:rsid w:val="008F4D3F"/>
    <w:rsid w:val="008F4DDD"/>
    <w:rsid w:val="008F4F8F"/>
    <w:rsid w:val="008F50FA"/>
    <w:rsid w:val="008F510B"/>
    <w:rsid w:val="008F5125"/>
    <w:rsid w:val="008F5137"/>
    <w:rsid w:val="008F52A2"/>
    <w:rsid w:val="008F538E"/>
    <w:rsid w:val="008F539F"/>
    <w:rsid w:val="008F5430"/>
    <w:rsid w:val="008F54B6"/>
    <w:rsid w:val="008F5638"/>
    <w:rsid w:val="008F5670"/>
    <w:rsid w:val="008F567D"/>
    <w:rsid w:val="008F56B5"/>
    <w:rsid w:val="008F56E4"/>
    <w:rsid w:val="008F56E6"/>
    <w:rsid w:val="008F5928"/>
    <w:rsid w:val="008F5C7D"/>
    <w:rsid w:val="008F5DD5"/>
    <w:rsid w:val="008F5E6E"/>
    <w:rsid w:val="008F5E92"/>
    <w:rsid w:val="008F5FCA"/>
    <w:rsid w:val="008F60B5"/>
    <w:rsid w:val="008F60F9"/>
    <w:rsid w:val="008F6208"/>
    <w:rsid w:val="008F63E6"/>
    <w:rsid w:val="008F6406"/>
    <w:rsid w:val="008F6455"/>
    <w:rsid w:val="008F649A"/>
    <w:rsid w:val="008F6543"/>
    <w:rsid w:val="008F66E4"/>
    <w:rsid w:val="008F6884"/>
    <w:rsid w:val="008F695A"/>
    <w:rsid w:val="008F69D0"/>
    <w:rsid w:val="008F6A79"/>
    <w:rsid w:val="008F6B6A"/>
    <w:rsid w:val="008F6EA1"/>
    <w:rsid w:val="008F6F1A"/>
    <w:rsid w:val="008F7002"/>
    <w:rsid w:val="008F712A"/>
    <w:rsid w:val="008F71A4"/>
    <w:rsid w:val="008F736C"/>
    <w:rsid w:val="008F756F"/>
    <w:rsid w:val="008F7593"/>
    <w:rsid w:val="008F7644"/>
    <w:rsid w:val="008F779F"/>
    <w:rsid w:val="008F77DE"/>
    <w:rsid w:val="008F7897"/>
    <w:rsid w:val="008F78DF"/>
    <w:rsid w:val="008F78EF"/>
    <w:rsid w:val="008F78F0"/>
    <w:rsid w:val="008F79FF"/>
    <w:rsid w:val="008F7AEA"/>
    <w:rsid w:val="008F7B0D"/>
    <w:rsid w:val="008F7B26"/>
    <w:rsid w:val="008F7BDB"/>
    <w:rsid w:val="008F7CF5"/>
    <w:rsid w:val="008F7D60"/>
    <w:rsid w:val="008F7ED3"/>
    <w:rsid w:val="009000A7"/>
    <w:rsid w:val="00900175"/>
    <w:rsid w:val="009001C6"/>
    <w:rsid w:val="009002C6"/>
    <w:rsid w:val="0090033A"/>
    <w:rsid w:val="0090037E"/>
    <w:rsid w:val="00900433"/>
    <w:rsid w:val="00900605"/>
    <w:rsid w:val="00900710"/>
    <w:rsid w:val="00900720"/>
    <w:rsid w:val="009007D1"/>
    <w:rsid w:val="009008BF"/>
    <w:rsid w:val="00900A07"/>
    <w:rsid w:val="00900BFD"/>
    <w:rsid w:val="00900C5C"/>
    <w:rsid w:val="00900D23"/>
    <w:rsid w:val="00900EFC"/>
    <w:rsid w:val="00900FB7"/>
    <w:rsid w:val="0090114B"/>
    <w:rsid w:val="009012A6"/>
    <w:rsid w:val="0090137A"/>
    <w:rsid w:val="00901499"/>
    <w:rsid w:val="0090156A"/>
    <w:rsid w:val="009015F3"/>
    <w:rsid w:val="00901812"/>
    <w:rsid w:val="00901B63"/>
    <w:rsid w:val="00901C3B"/>
    <w:rsid w:val="00901E53"/>
    <w:rsid w:val="00901EB8"/>
    <w:rsid w:val="00901EE4"/>
    <w:rsid w:val="00901F84"/>
    <w:rsid w:val="00902219"/>
    <w:rsid w:val="00902299"/>
    <w:rsid w:val="00902364"/>
    <w:rsid w:val="00902521"/>
    <w:rsid w:val="00902577"/>
    <w:rsid w:val="00902728"/>
    <w:rsid w:val="009027EF"/>
    <w:rsid w:val="009027F4"/>
    <w:rsid w:val="0090289D"/>
    <w:rsid w:val="0090297A"/>
    <w:rsid w:val="009029CB"/>
    <w:rsid w:val="00902A46"/>
    <w:rsid w:val="00902B02"/>
    <w:rsid w:val="00902F74"/>
    <w:rsid w:val="00903011"/>
    <w:rsid w:val="0090310A"/>
    <w:rsid w:val="00903244"/>
    <w:rsid w:val="0090336A"/>
    <w:rsid w:val="00903370"/>
    <w:rsid w:val="009033FC"/>
    <w:rsid w:val="009034B9"/>
    <w:rsid w:val="0090357E"/>
    <w:rsid w:val="009037DA"/>
    <w:rsid w:val="009039FE"/>
    <w:rsid w:val="00903D48"/>
    <w:rsid w:val="00903E9E"/>
    <w:rsid w:val="00903FC0"/>
    <w:rsid w:val="00903FC8"/>
    <w:rsid w:val="0090424E"/>
    <w:rsid w:val="009044A0"/>
    <w:rsid w:val="009044DA"/>
    <w:rsid w:val="0090450D"/>
    <w:rsid w:val="00904622"/>
    <w:rsid w:val="00904675"/>
    <w:rsid w:val="009048F1"/>
    <w:rsid w:val="00904A64"/>
    <w:rsid w:val="00904C27"/>
    <w:rsid w:val="00904CA6"/>
    <w:rsid w:val="00905139"/>
    <w:rsid w:val="0090524D"/>
    <w:rsid w:val="00905355"/>
    <w:rsid w:val="00905733"/>
    <w:rsid w:val="0090583B"/>
    <w:rsid w:val="00905876"/>
    <w:rsid w:val="0090592C"/>
    <w:rsid w:val="00905DA3"/>
    <w:rsid w:val="00905E71"/>
    <w:rsid w:val="00905F4D"/>
    <w:rsid w:val="009060E1"/>
    <w:rsid w:val="0090613F"/>
    <w:rsid w:val="00906179"/>
    <w:rsid w:val="0090651E"/>
    <w:rsid w:val="00906678"/>
    <w:rsid w:val="0090685A"/>
    <w:rsid w:val="009068C5"/>
    <w:rsid w:val="009069A9"/>
    <w:rsid w:val="009069D0"/>
    <w:rsid w:val="00906ADC"/>
    <w:rsid w:val="00906BAC"/>
    <w:rsid w:val="00906CB2"/>
    <w:rsid w:val="00906EAF"/>
    <w:rsid w:val="00906F78"/>
    <w:rsid w:val="009070B5"/>
    <w:rsid w:val="00907112"/>
    <w:rsid w:val="00907139"/>
    <w:rsid w:val="009072AE"/>
    <w:rsid w:val="009075F5"/>
    <w:rsid w:val="00907756"/>
    <w:rsid w:val="0090775A"/>
    <w:rsid w:val="00907861"/>
    <w:rsid w:val="009079F2"/>
    <w:rsid w:val="00907A7C"/>
    <w:rsid w:val="00907B64"/>
    <w:rsid w:val="00907BE0"/>
    <w:rsid w:val="00907BFF"/>
    <w:rsid w:val="00907C15"/>
    <w:rsid w:val="00907C7D"/>
    <w:rsid w:val="00907FAE"/>
    <w:rsid w:val="00910279"/>
    <w:rsid w:val="00910286"/>
    <w:rsid w:val="009102E7"/>
    <w:rsid w:val="00910367"/>
    <w:rsid w:val="00910377"/>
    <w:rsid w:val="0091045F"/>
    <w:rsid w:val="009104DD"/>
    <w:rsid w:val="009106B6"/>
    <w:rsid w:val="0091088D"/>
    <w:rsid w:val="00910D4C"/>
    <w:rsid w:val="00910FCB"/>
    <w:rsid w:val="00911026"/>
    <w:rsid w:val="00911266"/>
    <w:rsid w:val="00911267"/>
    <w:rsid w:val="0091144B"/>
    <w:rsid w:val="0091149A"/>
    <w:rsid w:val="0091165A"/>
    <w:rsid w:val="009116B0"/>
    <w:rsid w:val="0091190F"/>
    <w:rsid w:val="00911965"/>
    <w:rsid w:val="009119F7"/>
    <w:rsid w:val="00911B02"/>
    <w:rsid w:val="00911C60"/>
    <w:rsid w:val="00911D72"/>
    <w:rsid w:val="009121E0"/>
    <w:rsid w:val="00912207"/>
    <w:rsid w:val="00912340"/>
    <w:rsid w:val="0091257F"/>
    <w:rsid w:val="00912623"/>
    <w:rsid w:val="00912877"/>
    <w:rsid w:val="00912B10"/>
    <w:rsid w:val="00912D12"/>
    <w:rsid w:val="00912D9F"/>
    <w:rsid w:val="00912F7E"/>
    <w:rsid w:val="0091303F"/>
    <w:rsid w:val="009130E2"/>
    <w:rsid w:val="00913153"/>
    <w:rsid w:val="009131C7"/>
    <w:rsid w:val="0091322E"/>
    <w:rsid w:val="009132E6"/>
    <w:rsid w:val="009133E5"/>
    <w:rsid w:val="009133EF"/>
    <w:rsid w:val="00913411"/>
    <w:rsid w:val="0091349A"/>
    <w:rsid w:val="009134B6"/>
    <w:rsid w:val="009136F6"/>
    <w:rsid w:val="009136FE"/>
    <w:rsid w:val="0091374B"/>
    <w:rsid w:val="009137EE"/>
    <w:rsid w:val="00913B52"/>
    <w:rsid w:val="00913CF6"/>
    <w:rsid w:val="00913EE9"/>
    <w:rsid w:val="00913EEA"/>
    <w:rsid w:val="00914072"/>
    <w:rsid w:val="0091420E"/>
    <w:rsid w:val="00914276"/>
    <w:rsid w:val="00914399"/>
    <w:rsid w:val="009143E0"/>
    <w:rsid w:val="0091473C"/>
    <w:rsid w:val="00914CB4"/>
    <w:rsid w:val="00914CB8"/>
    <w:rsid w:val="00914D1E"/>
    <w:rsid w:val="0091502A"/>
    <w:rsid w:val="0091530C"/>
    <w:rsid w:val="00915443"/>
    <w:rsid w:val="009154CB"/>
    <w:rsid w:val="009155BE"/>
    <w:rsid w:val="00915719"/>
    <w:rsid w:val="00915768"/>
    <w:rsid w:val="00915839"/>
    <w:rsid w:val="009158B9"/>
    <w:rsid w:val="009158BF"/>
    <w:rsid w:val="00915997"/>
    <w:rsid w:val="00915A96"/>
    <w:rsid w:val="00915C78"/>
    <w:rsid w:val="00915E57"/>
    <w:rsid w:val="0091602D"/>
    <w:rsid w:val="00916052"/>
    <w:rsid w:val="00916518"/>
    <w:rsid w:val="00916553"/>
    <w:rsid w:val="009166BE"/>
    <w:rsid w:val="0091673F"/>
    <w:rsid w:val="00916770"/>
    <w:rsid w:val="00916820"/>
    <w:rsid w:val="009168DE"/>
    <w:rsid w:val="00916ACD"/>
    <w:rsid w:val="00916ADE"/>
    <w:rsid w:val="00916CB8"/>
    <w:rsid w:val="00916DD1"/>
    <w:rsid w:val="00916F77"/>
    <w:rsid w:val="009173D0"/>
    <w:rsid w:val="0091744E"/>
    <w:rsid w:val="009175D2"/>
    <w:rsid w:val="009177BC"/>
    <w:rsid w:val="00917835"/>
    <w:rsid w:val="00917959"/>
    <w:rsid w:val="00917A58"/>
    <w:rsid w:val="00917A61"/>
    <w:rsid w:val="00917CBD"/>
    <w:rsid w:val="00917CC0"/>
    <w:rsid w:val="00917D45"/>
    <w:rsid w:val="00917D50"/>
    <w:rsid w:val="00917E02"/>
    <w:rsid w:val="00917E6D"/>
    <w:rsid w:val="00917E77"/>
    <w:rsid w:val="00917EF9"/>
    <w:rsid w:val="00920049"/>
    <w:rsid w:val="0092004E"/>
    <w:rsid w:val="00920126"/>
    <w:rsid w:val="00920247"/>
    <w:rsid w:val="00920347"/>
    <w:rsid w:val="0092038E"/>
    <w:rsid w:val="009205EE"/>
    <w:rsid w:val="00920683"/>
    <w:rsid w:val="009206F4"/>
    <w:rsid w:val="00920B13"/>
    <w:rsid w:val="00920D13"/>
    <w:rsid w:val="009210C6"/>
    <w:rsid w:val="00921192"/>
    <w:rsid w:val="009211B6"/>
    <w:rsid w:val="009213BE"/>
    <w:rsid w:val="00921691"/>
    <w:rsid w:val="009219EA"/>
    <w:rsid w:val="00921B97"/>
    <w:rsid w:val="00921D11"/>
    <w:rsid w:val="00921D36"/>
    <w:rsid w:val="00921E3B"/>
    <w:rsid w:val="00921E8E"/>
    <w:rsid w:val="00922042"/>
    <w:rsid w:val="0092213F"/>
    <w:rsid w:val="009222D0"/>
    <w:rsid w:val="0092232E"/>
    <w:rsid w:val="009223F3"/>
    <w:rsid w:val="00922409"/>
    <w:rsid w:val="00922BD0"/>
    <w:rsid w:val="00922D18"/>
    <w:rsid w:val="00922DF3"/>
    <w:rsid w:val="00923004"/>
    <w:rsid w:val="009232BC"/>
    <w:rsid w:val="009233DD"/>
    <w:rsid w:val="0092345F"/>
    <w:rsid w:val="009235C0"/>
    <w:rsid w:val="009237AE"/>
    <w:rsid w:val="00923841"/>
    <w:rsid w:val="009238A3"/>
    <w:rsid w:val="00923A22"/>
    <w:rsid w:val="00923D45"/>
    <w:rsid w:val="0092417E"/>
    <w:rsid w:val="00924206"/>
    <w:rsid w:val="00924215"/>
    <w:rsid w:val="00924516"/>
    <w:rsid w:val="00924674"/>
    <w:rsid w:val="009248AE"/>
    <w:rsid w:val="009248CA"/>
    <w:rsid w:val="00924970"/>
    <w:rsid w:val="00924A29"/>
    <w:rsid w:val="00924BC6"/>
    <w:rsid w:val="00924D90"/>
    <w:rsid w:val="00924F19"/>
    <w:rsid w:val="00924F63"/>
    <w:rsid w:val="009252B8"/>
    <w:rsid w:val="00925333"/>
    <w:rsid w:val="00925449"/>
    <w:rsid w:val="009254BE"/>
    <w:rsid w:val="00925609"/>
    <w:rsid w:val="00925BD8"/>
    <w:rsid w:val="00925C19"/>
    <w:rsid w:val="00925DC0"/>
    <w:rsid w:val="00925E25"/>
    <w:rsid w:val="00925FB3"/>
    <w:rsid w:val="009263B6"/>
    <w:rsid w:val="0092654D"/>
    <w:rsid w:val="009268A4"/>
    <w:rsid w:val="00926960"/>
    <w:rsid w:val="00926B55"/>
    <w:rsid w:val="00926BFA"/>
    <w:rsid w:val="00926CE6"/>
    <w:rsid w:val="00926CFB"/>
    <w:rsid w:val="00926D0A"/>
    <w:rsid w:val="00926D63"/>
    <w:rsid w:val="00926D6A"/>
    <w:rsid w:val="0092714F"/>
    <w:rsid w:val="0092737B"/>
    <w:rsid w:val="00927583"/>
    <w:rsid w:val="0092759A"/>
    <w:rsid w:val="00927AFD"/>
    <w:rsid w:val="00927B1A"/>
    <w:rsid w:val="00927D32"/>
    <w:rsid w:val="00927E97"/>
    <w:rsid w:val="00927F7F"/>
    <w:rsid w:val="009300FC"/>
    <w:rsid w:val="00930107"/>
    <w:rsid w:val="009301B1"/>
    <w:rsid w:val="009301F7"/>
    <w:rsid w:val="0093022C"/>
    <w:rsid w:val="0093058A"/>
    <w:rsid w:val="00930695"/>
    <w:rsid w:val="0093070E"/>
    <w:rsid w:val="00930733"/>
    <w:rsid w:val="0093091C"/>
    <w:rsid w:val="00930934"/>
    <w:rsid w:val="00930A27"/>
    <w:rsid w:val="00930B24"/>
    <w:rsid w:val="00930BD1"/>
    <w:rsid w:val="00930D43"/>
    <w:rsid w:val="00931067"/>
    <w:rsid w:val="009311DA"/>
    <w:rsid w:val="009312B2"/>
    <w:rsid w:val="00931321"/>
    <w:rsid w:val="009316D7"/>
    <w:rsid w:val="009317C9"/>
    <w:rsid w:val="00931B23"/>
    <w:rsid w:val="00931C4A"/>
    <w:rsid w:val="00931CDE"/>
    <w:rsid w:val="00931CF2"/>
    <w:rsid w:val="00931D96"/>
    <w:rsid w:val="00931F59"/>
    <w:rsid w:val="00931F70"/>
    <w:rsid w:val="009320F8"/>
    <w:rsid w:val="00932190"/>
    <w:rsid w:val="0093220B"/>
    <w:rsid w:val="00932424"/>
    <w:rsid w:val="0093246C"/>
    <w:rsid w:val="009324DD"/>
    <w:rsid w:val="0093250E"/>
    <w:rsid w:val="0093260F"/>
    <w:rsid w:val="0093262C"/>
    <w:rsid w:val="00932787"/>
    <w:rsid w:val="0093288D"/>
    <w:rsid w:val="009328F8"/>
    <w:rsid w:val="00932947"/>
    <w:rsid w:val="00932A61"/>
    <w:rsid w:val="00932A74"/>
    <w:rsid w:val="00932C6E"/>
    <w:rsid w:val="00932CE2"/>
    <w:rsid w:val="00932D9A"/>
    <w:rsid w:val="00932F1D"/>
    <w:rsid w:val="00933111"/>
    <w:rsid w:val="009333CC"/>
    <w:rsid w:val="00933542"/>
    <w:rsid w:val="0093376C"/>
    <w:rsid w:val="009337BD"/>
    <w:rsid w:val="00933862"/>
    <w:rsid w:val="009339F3"/>
    <w:rsid w:val="00933BDA"/>
    <w:rsid w:val="00933C56"/>
    <w:rsid w:val="00933C90"/>
    <w:rsid w:val="00933E08"/>
    <w:rsid w:val="00933E2A"/>
    <w:rsid w:val="00933FCD"/>
    <w:rsid w:val="00934140"/>
    <w:rsid w:val="00934181"/>
    <w:rsid w:val="0093424C"/>
    <w:rsid w:val="009342FC"/>
    <w:rsid w:val="0093434E"/>
    <w:rsid w:val="00934582"/>
    <w:rsid w:val="009347BF"/>
    <w:rsid w:val="00934883"/>
    <w:rsid w:val="00934963"/>
    <w:rsid w:val="0093496E"/>
    <w:rsid w:val="00934A38"/>
    <w:rsid w:val="00934ACE"/>
    <w:rsid w:val="00934BCC"/>
    <w:rsid w:val="00934CB1"/>
    <w:rsid w:val="00934D9F"/>
    <w:rsid w:val="00934E99"/>
    <w:rsid w:val="0093524B"/>
    <w:rsid w:val="0093539D"/>
    <w:rsid w:val="00935437"/>
    <w:rsid w:val="00935439"/>
    <w:rsid w:val="0093553F"/>
    <w:rsid w:val="0093556E"/>
    <w:rsid w:val="00935839"/>
    <w:rsid w:val="00935A03"/>
    <w:rsid w:val="00935A69"/>
    <w:rsid w:val="00935B1A"/>
    <w:rsid w:val="00935D6D"/>
    <w:rsid w:val="00935F42"/>
    <w:rsid w:val="00936068"/>
    <w:rsid w:val="0093619C"/>
    <w:rsid w:val="0093626D"/>
    <w:rsid w:val="009362A9"/>
    <w:rsid w:val="009362AF"/>
    <w:rsid w:val="00936573"/>
    <w:rsid w:val="009367FF"/>
    <w:rsid w:val="00936D1F"/>
    <w:rsid w:val="00936FAB"/>
    <w:rsid w:val="00937023"/>
    <w:rsid w:val="00937088"/>
    <w:rsid w:val="00937224"/>
    <w:rsid w:val="00937269"/>
    <w:rsid w:val="0093726B"/>
    <w:rsid w:val="009372A5"/>
    <w:rsid w:val="009373AD"/>
    <w:rsid w:val="0093740D"/>
    <w:rsid w:val="009374C3"/>
    <w:rsid w:val="00937655"/>
    <w:rsid w:val="00937855"/>
    <w:rsid w:val="0093787C"/>
    <w:rsid w:val="0093797B"/>
    <w:rsid w:val="00937980"/>
    <w:rsid w:val="009379EF"/>
    <w:rsid w:val="00937BCB"/>
    <w:rsid w:val="00937BF2"/>
    <w:rsid w:val="00937CAE"/>
    <w:rsid w:val="00937CDB"/>
    <w:rsid w:val="00937D5D"/>
    <w:rsid w:val="00937E17"/>
    <w:rsid w:val="009400BB"/>
    <w:rsid w:val="009401CE"/>
    <w:rsid w:val="0094023E"/>
    <w:rsid w:val="0094052E"/>
    <w:rsid w:val="009405EC"/>
    <w:rsid w:val="00940683"/>
    <w:rsid w:val="0094079F"/>
    <w:rsid w:val="009408BE"/>
    <w:rsid w:val="00940E7A"/>
    <w:rsid w:val="00940F89"/>
    <w:rsid w:val="00940FD2"/>
    <w:rsid w:val="0094138A"/>
    <w:rsid w:val="009413D5"/>
    <w:rsid w:val="00941462"/>
    <w:rsid w:val="009414E1"/>
    <w:rsid w:val="00941579"/>
    <w:rsid w:val="009415B6"/>
    <w:rsid w:val="009416C4"/>
    <w:rsid w:val="009416FC"/>
    <w:rsid w:val="00941711"/>
    <w:rsid w:val="009417D9"/>
    <w:rsid w:val="00941912"/>
    <w:rsid w:val="00941968"/>
    <w:rsid w:val="00941BDD"/>
    <w:rsid w:val="00941C60"/>
    <w:rsid w:val="00941E3D"/>
    <w:rsid w:val="00941E5F"/>
    <w:rsid w:val="00941FD3"/>
    <w:rsid w:val="00942023"/>
    <w:rsid w:val="00942173"/>
    <w:rsid w:val="00942175"/>
    <w:rsid w:val="00942302"/>
    <w:rsid w:val="00942554"/>
    <w:rsid w:val="0094258A"/>
    <w:rsid w:val="009425A0"/>
    <w:rsid w:val="0094261B"/>
    <w:rsid w:val="009429C2"/>
    <w:rsid w:val="00942A5B"/>
    <w:rsid w:val="00942AAD"/>
    <w:rsid w:val="00942C5A"/>
    <w:rsid w:val="00942D23"/>
    <w:rsid w:val="00942D70"/>
    <w:rsid w:val="00942D72"/>
    <w:rsid w:val="00943578"/>
    <w:rsid w:val="0094368D"/>
    <w:rsid w:val="0094374A"/>
    <w:rsid w:val="00943806"/>
    <w:rsid w:val="00943834"/>
    <w:rsid w:val="009439C0"/>
    <w:rsid w:val="00943B72"/>
    <w:rsid w:val="00943B7B"/>
    <w:rsid w:val="00943D69"/>
    <w:rsid w:val="009440A9"/>
    <w:rsid w:val="00944206"/>
    <w:rsid w:val="00944296"/>
    <w:rsid w:val="0094430A"/>
    <w:rsid w:val="00944393"/>
    <w:rsid w:val="00944568"/>
    <w:rsid w:val="00944586"/>
    <w:rsid w:val="0094462C"/>
    <w:rsid w:val="00944635"/>
    <w:rsid w:val="009448B1"/>
    <w:rsid w:val="009449A6"/>
    <w:rsid w:val="009449A7"/>
    <w:rsid w:val="00944A48"/>
    <w:rsid w:val="00944B36"/>
    <w:rsid w:val="00944B5A"/>
    <w:rsid w:val="00944C3E"/>
    <w:rsid w:val="00944DAD"/>
    <w:rsid w:val="00944E60"/>
    <w:rsid w:val="00944EBC"/>
    <w:rsid w:val="00944F29"/>
    <w:rsid w:val="00944FC1"/>
    <w:rsid w:val="00944FD1"/>
    <w:rsid w:val="009450A7"/>
    <w:rsid w:val="00945332"/>
    <w:rsid w:val="00945358"/>
    <w:rsid w:val="00945509"/>
    <w:rsid w:val="0094566A"/>
    <w:rsid w:val="0094571A"/>
    <w:rsid w:val="00945A05"/>
    <w:rsid w:val="00945B0D"/>
    <w:rsid w:val="00945BCC"/>
    <w:rsid w:val="00945C02"/>
    <w:rsid w:val="00945C5D"/>
    <w:rsid w:val="00945C61"/>
    <w:rsid w:val="00945E51"/>
    <w:rsid w:val="00945F11"/>
    <w:rsid w:val="00946082"/>
    <w:rsid w:val="00946186"/>
    <w:rsid w:val="00946189"/>
    <w:rsid w:val="0094620C"/>
    <w:rsid w:val="00946351"/>
    <w:rsid w:val="00946365"/>
    <w:rsid w:val="009463ED"/>
    <w:rsid w:val="009464FB"/>
    <w:rsid w:val="0094653B"/>
    <w:rsid w:val="00946592"/>
    <w:rsid w:val="00946A28"/>
    <w:rsid w:val="00946ABC"/>
    <w:rsid w:val="00946C57"/>
    <w:rsid w:val="00946D77"/>
    <w:rsid w:val="00946D7D"/>
    <w:rsid w:val="00946DA3"/>
    <w:rsid w:val="00946F07"/>
    <w:rsid w:val="00946F0D"/>
    <w:rsid w:val="00946FE8"/>
    <w:rsid w:val="0094704C"/>
    <w:rsid w:val="009470D2"/>
    <w:rsid w:val="0094710F"/>
    <w:rsid w:val="009471FA"/>
    <w:rsid w:val="00947315"/>
    <w:rsid w:val="0094739F"/>
    <w:rsid w:val="009473FD"/>
    <w:rsid w:val="009473FE"/>
    <w:rsid w:val="009475F1"/>
    <w:rsid w:val="009476EF"/>
    <w:rsid w:val="0094770B"/>
    <w:rsid w:val="0094772A"/>
    <w:rsid w:val="009477E0"/>
    <w:rsid w:val="00947B23"/>
    <w:rsid w:val="00947C31"/>
    <w:rsid w:val="00947E1E"/>
    <w:rsid w:val="00947E9F"/>
    <w:rsid w:val="00947F12"/>
    <w:rsid w:val="00947F6E"/>
    <w:rsid w:val="00950130"/>
    <w:rsid w:val="00950136"/>
    <w:rsid w:val="009502C1"/>
    <w:rsid w:val="009503AB"/>
    <w:rsid w:val="0095040C"/>
    <w:rsid w:val="0095051C"/>
    <w:rsid w:val="009506A5"/>
    <w:rsid w:val="00950872"/>
    <w:rsid w:val="00950B02"/>
    <w:rsid w:val="00950CB5"/>
    <w:rsid w:val="00950F18"/>
    <w:rsid w:val="00950F44"/>
    <w:rsid w:val="0095113C"/>
    <w:rsid w:val="0095124E"/>
    <w:rsid w:val="0095131F"/>
    <w:rsid w:val="00951339"/>
    <w:rsid w:val="0095137D"/>
    <w:rsid w:val="009515C3"/>
    <w:rsid w:val="009517CC"/>
    <w:rsid w:val="00951913"/>
    <w:rsid w:val="00951937"/>
    <w:rsid w:val="00951A92"/>
    <w:rsid w:val="00951B51"/>
    <w:rsid w:val="00951F46"/>
    <w:rsid w:val="00952012"/>
    <w:rsid w:val="00952017"/>
    <w:rsid w:val="009520A0"/>
    <w:rsid w:val="00952238"/>
    <w:rsid w:val="0095231F"/>
    <w:rsid w:val="009523AA"/>
    <w:rsid w:val="00952452"/>
    <w:rsid w:val="0095255D"/>
    <w:rsid w:val="00952627"/>
    <w:rsid w:val="0095267D"/>
    <w:rsid w:val="009527DE"/>
    <w:rsid w:val="0095287E"/>
    <w:rsid w:val="009529AA"/>
    <w:rsid w:val="009529E7"/>
    <w:rsid w:val="00952C1F"/>
    <w:rsid w:val="00952C49"/>
    <w:rsid w:val="00952C92"/>
    <w:rsid w:val="00952CC2"/>
    <w:rsid w:val="00952DA2"/>
    <w:rsid w:val="00952DAA"/>
    <w:rsid w:val="00952E55"/>
    <w:rsid w:val="00952E68"/>
    <w:rsid w:val="00952F88"/>
    <w:rsid w:val="00953030"/>
    <w:rsid w:val="00953178"/>
    <w:rsid w:val="009531DD"/>
    <w:rsid w:val="009532B7"/>
    <w:rsid w:val="009532EF"/>
    <w:rsid w:val="00953556"/>
    <w:rsid w:val="009536A0"/>
    <w:rsid w:val="009536CB"/>
    <w:rsid w:val="0095388B"/>
    <w:rsid w:val="00953942"/>
    <w:rsid w:val="00953D15"/>
    <w:rsid w:val="00953EA2"/>
    <w:rsid w:val="00953F06"/>
    <w:rsid w:val="009541CD"/>
    <w:rsid w:val="0095423F"/>
    <w:rsid w:val="00954258"/>
    <w:rsid w:val="0095439E"/>
    <w:rsid w:val="009543E0"/>
    <w:rsid w:val="00954415"/>
    <w:rsid w:val="009544E6"/>
    <w:rsid w:val="009544FD"/>
    <w:rsid w:val="0095452B"/>
    <w:rsid w:val="00954718"/>
    <w:rsid w:val="009547D3"/>
    <w:rsid w:val="009548E3"/>
    <w:rsid w:val="00954972"/>
    <w:rsid w:val="00954C0D"/>
    <w:rsid w:val="00954CEC"/>
    <w:rsid w:val="00954FDA"/>
    <w:rsid w:val="009550EF"/>
    <w:rsid w:val="009551A8"/>
    <w:rsid w:val="00955249"/>
    <w:rsid w:val="00955265"/>
    <w:rsid w:val="0095533C"/>
    <w:rsid w:val="0095547B"/>
    <w:rsid w:val="009554A0"/>
    <w:rsid w:val="009554DC"/>
    <w:rsid w:val="0095559C"/>
    <w:rsid w:val="00955702"/>
    <w:rsid w:val="0095572D"/>
    <w:rsid w:val="00955A85"/>
    <w:rsid w:val="00955BD3"/>
    <w:rsid w:val="00955D1E"/>
    <w:rsid w:val="00955D2E"/>
    <w:rsid w:val="00955E91"/>
    <w:rsid w:val="00955EBB"/>
    <w:rsid w:val="00956006"/>
    <w:rsid w:val="0095608A"/>
    <w:rsid w:val="009561F0"/>
    <w:rsid w:val="00956247"/>
    <w:rsid w:val="00956330"/>
    <w:rsid w:val="00956371"/>
    <w:rsid w:val="009563AA"/>
    <w:rsid w:val="009563EF"/>
    <w:rsid w:val="009564C3"/>
    <w:rsid w:val="009564F9"/>
    <w:rsid w:val="00956560"/>
    <w:rsid w:val="00956563"/>
    <w:rsid w:val="009568F1"/>
    <w:rsid w:val="009569A1"/>
    <w:rsid w:val="00956CA6"/>
    <w:rsid w:val="00956D1B"/>
    <w:rsid w:val="00956F33"/>
    <w:rsid w:val="00956FA2"/>
    <w:rsid w:val="009571EB"/>
    <w:rsid w:val="0095728B"/>
    <w:rsid w:val="009573CF"/>
    <w:rsid w:val="009574A4"/>
    <w:rsid w:val="00957549"/>
    <w:rsid w:val="009575AC"/>
    <w:rsid w:val="0095768C"/>
    <w:rsid w:val="009577C7"/>
    <w:rsid w:val="009577E5"/>
    <w:rsid w:val="009579E6"/>
    <w:rsid w:val="009579E7"/>
    <w:rsid w:val="00957AFF"/>
    <w:rsid w:val="00957B5E"/>
    <w:rsid w:val="00957D88"/>
    <w:rsid w:val="00957E5B"/>
    <w:rsid w:val="00957E91"/>
    <w:rsid w:val="00957EAA"/>
    <w:rsid w:val="00957F35"/>
    <w:rsid w:val="00957F38"/>
    <w:rsid w:val="00957FCE"/>
    <w:rsid w:val="00957FF8"/>
    <w:rsid w:val="0096002F"/>
    <w:rsid w:val="00960091"/>
    <w:rsid w:val="009600C6"/>
    <w:rsid w:val="009600E5"/>
    <w:rsid w:val="0096011E"/>
    <w:rsid w:val="009601DD"/>
    <w:rsid w:val="009603F6"/>
    <w:rsid w:val="00960A6A"/>
    <w:rsid w:val="00960A9F"/>
    <w:rsid w:val="00960B30"/>
    <w:rsid w:val="00960CA5"/>
    <w:rsid w:val="00960D3D"/>
    <w:rsid w:val="009611B4"/>
    <w:rsid w:val="0096122D"/>
    <w:rsid w:val="0096131E"/>
    <w:rsid w:val="0096132A"/>
    <w:rsid w:val="00961376"/>
    <w:rsid w:val="0096157F"/>
    <w:rsid w:val="009615D4"/>
    <w:rsid w:val="00961615"/>
    <w:rsid w:val="00961635"/>
    <w:rsid w:val="009616B7"/>
    <w:rsid w:val="00961846"/>
    <w:rsid w:val="00961864"/>
    <w:rsid w:val="00961AD6"/>
    <w:rsid w:val="00961B42"/>
    <w:rsid w:val="00961C05"/>
    <w:rsid w:val="00961F25"/>
    <w:rsid w:val="0096212A"/>
    <w:rsid w:val="0096222F"/>
    <w:rsid w:val="0096226C"/>
    <w:rsid w:val="00962392"/>
    <w:rsid w:val="009624D6"/>
    <w:rsid w:val="0096259E"/>
    <w:rsid w:val="00962639"/>
    <w:rsid w:val="00962675"/>
    <w:rsid w:val="00962730"/>
    <w:rsid w:val="00962783"/>
    <w:rsid w:val="00962784"/>
    <w:rsid w:val="009627B5"/>
    <w:rsid w:val="00962905"/>
    <w:rsid w:val="00962ACC"/>
    <w:rsid w:val="00962C5F"/>
    <w:rsid w:val="00962CF3"/>
    <w:rsid w:val="00962FAE"/>
    <w:rsid w:val="009630D0"/>
    <w:rsid w:val="00963203"/>
    <w:rsid w:val="00963367"/>
    <w:rsid w:val="00963581"/>
    <w:rsid w:val="00963673"/>
    <w:rsid w:val="00963771"/>
    <w:rsid w:val="009637BB"/>
    <w:rsid w:val="009638BC"/>
    <w:rsid w:val="009638CC"/>
    <w:rsid w:val="0096390B"/>
    <w:rsid w:val="00963919"/>
    <w:rsid w:val="0096399F"/>
    <w:rsid w:val="00963A7C"/>
    <w:rsid w:val="00963AC7"/>
    <w:rsid w:val="00963B80"/>
    <w:rsid w:val="00963D68"/>
    <w:rsid w:val="00963E9A"/>
    <w:rsid w:val="00963F0A"/>
    <w:rsid w:val="00963F0F"/>
    <w:rsid w:val="00964058"/>
    <w:rsid w:val="009640E3"/>
    <w:rsid w:val="009640F9"/>
    <w:rsid w:val="009641B9"/>
    <w:rsid w:val="00964313"/>
    <w:rsid w:val="00964356"/>
    <w:rsid w:val="00964394"/>
    <w:rsid w:val="00964426"/>
    <w:rsid w:val="00964427"/>
    <w:rsid w:val="009645D6"/>
    <w:rsid w:val="00964637"/>
    <w:rsid w:val="009646EB"/>
    <w:rsid w:val="00964834"/>
    <w:rsid w:val="0096488C"/>
    <w:rsid w:val="009648C4"/>
    <w:rsid w:val="00964981"/>
    <w:rsid w:val="00964A1B"/>
    <w:rsid w:val="00964A47"/>
    <w:rsid w:val="00964C28"/>
    <w:rsid w:val="00964C29"/>
    <w:rsid w:val="00964C70"/>
    <w:rsid w:val="00964CA0"/>
    <w:rsid w:val="00964D23"/>
    <w:rsid w:val="00964D9E"/>
    <w:rsid w:val="00964EFE"/>
    <w:rsid w:val="00964F98"/>
    <w:rsid w:val="009652C9"/>
    <w:rsid w:val="009654FA"/>
    <w:rsid w:val="00965518"/>
    <w:rsid w:val="00965686"/>
    <w:rsid w:val="00965709"/>
    <w:rsid w:val="009657D7"/>
    <w:rsid w:val="0096584D"/>
    <w:rsid w:val="00965AC1"/>
    <w:rsid w:val="00965BE4"/>
    <w:rsid w:val="00965CAE"/>
    <w:rsid w:val="00965F9F"/>
    <w:rsid w:val="00966048"/>
    <w:rsid w:val="0096609B"/>
    <w:rsid w:val="00966107"/>
    <w:rsid w:val="009661C6"/>
    <w:rsid w:val="0096623B"/>
    <w:rsid w:val="0096651B"/>
    <w:rsid w:val="0096661B"/>
    <w:rsid w:val="009666DE"/>
    <w:rsid w:val="00966854"/>
    <w:rsid w:val="00966E46"/>
    <w:rsid w:val="00966E6B"/>
    <w:rsid w:val="00966ECC"/>
    <w:rsid w:val="00966EF2"/>
    <w:rsid w:val="00967034"/>
    <w:rsid w:val="00967166"/>
    <w:rsid w:val="009672FA"/>
    <w:rsid w:val="009678C7"/>
    <w:rsid w:val="00967961"/>
    <w:rsid w:val="00967D7C"/>
    <w:rsid w:val="00970065"/>
    <w:rsid w:val="00970169"/>
    <w:rsid w:val="0097035E"/>
    <w:rsid w:val="00970493"/>
    <w:rsid w:val="009705AB"/>
    <w:rsid w:val="009707BD"/>
    <w:rsid w:val="009707F7"/>
    <w:rsid w:val="00970884"/>
    <w:rsid w:val="00970A20"/>
    <w:rsid w:val="00970A9C"/>
    <w:rsid w:val="00970AD6"/>
    <w:rsid w:val="00970B51"/>
    <w:rsid w:val="00970CCD"/>
    <w:rsid w:val="00970D81"/>
    <w:rsid w:val="00970DF7"/>
    <w:rsid w:val="00970ECD"/>
    <w:rsid w:val="0097116A"/>
    <w:rsid w:val="0097118A"/>
    <w:rsid w:val="0097119B"/>
    <w:rsid w:val="00971396"/>
    <w:rsid w:val="00971611"/>
    <w:rsid w:val="0097163D"/>
    <w:rsid w:val="00971694"/>
    <w:rsid w:val="009716CF"/>
    <w:rsid w:val="00971752"/>
    <w:rsid w:val="00971817"/>
    <w:rsid w:val="00971880"/>
    <w:rsid w:val="009718AA"/>
    <w:rsid w:val="009718DE"/>
    <w:rsid w:val="00971A63"/>
    <w:rsid w:val="00971B25"/>
    <w:rsid w:val="00971CAE"/>
    <w:rsid w:val="00971D5E"/>
    <w:rsid w:val="00971D77"/>
    <w:rsid w:val="00971D9B"/>
    <w:rsid w:val="00971E87"/>
    <w:rsid w:val="00971F31"/>
    <w:rsid w:val="00971FBA"/>
    <w:rsid w:val="009720C5"/>
    <w:rsid w:val="0097214D"/>
    <w:rsid w:val="009721F8"/>
    <w:rsid w:val="009722AA"/>
    <w:rsid w:val="00972315"/>
    <w:rsid w:val="00972345"/>
    <w:rsid w:val="009723C6"/>
    <w:rsid w:val="00972582"/>
    <w:rsid w:val="009725B5"/>
    <w:rsid w:val="009725BB"/>
    <w:rsid w:val="0097277D"/>
    <w:rsid w:val="0097288D"/>
    <w:rsid w:val="00972AB4"/>
    <w:rsid w:val="00972E28"/>
    <w:rsid w:val="009730B8"/>
    <w:rsid w:val="009733CA"/>
    <w:rsid w:val="00973461"/>
    <w:rsid w:val="009734AA"/>
    <w:rsid w:val="00973564"/>
    <w:rsid w:val="00973572"/>
    <w:rsid w:val="00973676"/>
    <w:rsid w:val="009739BF"/>
    <w:rsid w:val="00973B43"/>
    <w:rsid w:val="00973CFE"/>
    <w:rsid w:val="00973F00"/>
    <w:rsid w:val="009740D9"/>
    <w:rsid w:val="009740E4"/>
    <w:rsid w:val="0097411F"/>
    <w:rsid w:val="0097412F"/>
    <w:rsid w:val="009741FD"/>
    <w:rsid w:val="0097445D"/>
    <w:rsid w:val="009745B0"/>
    <w:rsid w:val="00974677"/>
    <w:rsid w:val="00974875"/>
    <w:rsid w:val="00974A31"/>
    <w:rsid w:val="00974A58"/>
    <w:rsid w:val="00974A69"/>
    <w:rsid w:val="00974AB9"/>
    <w:rsid w:val="00974B2B"/>
    <w:rsid w:val="00974B4F"/>
    <w:rsid w:val="00974BF5"/>
    <w:rsid w:val="00974DE6"/>
    <w:rsid w:val="00974E3E"/>
    <w:rsid w:val="00974E6D"/>
    <w:rsid w:val="00974F32"/>
    <w:rsid w:val="00974FC7"/>
    <w:rsid w:val="00974FFF"/>
    <w:rsid w:val="0097518E"/>
    <w:rsid w:val="0097522D"/>
    <w:rsid w:val="009755D6"/>
    <w:rsid w:val="0097562C"/>
    <w:rsid w:val="00975694"/>
    <w:rsid w:val="009757B1"/>
    <w:rsid w:val="0097597B"/>
    <w:rsid w:val="00975990"/>
    <w:rsid w:val="00975A9A"/>
    <w:rsid w:val="00975AB1"/>
    <w:rsid w:val="00975B17"/>
    <w:rsid w:val="00975CD9"/>
    <w:rsid w:val="00975EFF"/>
    <w:rsid w:val="00976023"/>
    <w:rsid w:val="00976155"/>
    <w:rsid w:val="00976170"/>
    <w:rsid w:val="0097641C"/>
    <w:rsid w:val="00976568"/>
    <w:rsid w:val="009765DC"/>
    <w:rsid w:val="00976621"/>
    <w:rsid w:val="00976833"/>
    <w:rsid w:val="00976997"/>
    <w:rsid w:val="009769FC"/>
    <w:rsid w:val="00976A1F"/>
    <w:rsid w:val="00976C0A"/>
    <w:rsid w:val="00976C8F"/>
    <w:rsid w:val="00976D98"/>
    <w:rsid w:val="00976E2C"/>
    <w:rsid w:val="00976E94"/>
    <w:rsid w:val="00976FA6"/>
    <w:rsid w:val="00976FAF"/>
    <w:rsid w:val="0097706B"/>
    <w:rsid w:val="009770E4"/>
    <w:rsid w:val="009771EA"/>
    <w:rsid w:val="00977256"/>
    <w:rsid w:val="00977408"/>
    <w:rsid w:val="0097754A"/>
    <w:rsid w:val="0097756A"/>
    <w:rsid w:val="009775E4"/>
    <w:rsid w:val="0097764D"/>
    <w:rsid w:val="009776F6"/>
    <w:rsid w:val="00977920"/>
    <w:rsid w:val="0097796B"/>
    <w:rsid w:val="009779BF"/>
    <w:rsid w:val="00977A02"/>
    <w:rsid w:val="00977A1E"/>
    <w:rsid w:val="00977BD3"/>
    <w:rsid w:val="00977C43"/>
    <w:rsid w:val="00977EC4"/>
    <w:rsid w:val="00977F8C"/>
    <w:rsid w:val="009800F1"/>
    <w:rsid w:val="00980438"/>
    <w:rsid w:val="00980461"/>
    <w:rsid w:val="00980481"/>
    <w:rsid w:val="00980547"/>
    <w:rsid w:val="00980692"/>
    <w:rsid w:val="009806CF"/>
    <w:rsid w:val="0098082F"/>
    <w:rsid w:val="009808EA"/>
    <w:rsid w:val="0098095A"/>
    <w:rsid w:val="009809C0"/>
    <w:rsid w:val="00980A19"/>
    <w:rsid w:val="00980B94"/>
    <w:rsid w:val="00980BDE"/>
    <w:rsid w:val="00980CF7"/>
    <w:rsid w:val="00980D3D"/>
    <w:rsid w:val="00980D3F"/>
    <w:rsid w:val="00980D56"/>
    <w:rsid w:val="00980D81"/>
    <w:rsid w:val="00980EC6"/>
    <w:rsid w:val="00980EE7"/>
    <w:rsid w:val="00980EEA"/>
    <w:rsid w:val="00980F8D"/>
    <w:rsid w:val="00981149"/>
    <w:rsid w:val="0098125C"/>
    <w:rsid w:val="009812E7"/>
    <w:rsid w:val="00981569"/>
    <w:rsid w:val="009815A2"/>
    <w:rsid w:val="009815B8"/>
    <w:rsid w:val="009816A9"/>
    <w:rsid w:val="0098176E"/>
    <w:rsid w:val="009818E1"/>
    <w:rsid w:val="00981B84"/>
    <w:rsid w:val="00981C88"/>
    <w:rsid w:val="00981D12"/>
    <w:rsid w:val="00981EF0"/>
    <w:rsid w:val="00981F01"/>
    <w:rsid w:val="00981F3F"/>
    <w:rsid w:val="0098208E"/>
    <w:rsid w:val="0098219B"/>
    <w:rsid w:val="00982423"/>
    <w:rsid w:val="0098264C"/>
    <w:rsid w:val="00982896"/>
    <w:rsid w:val="009829CB"/>
    <w:rsid w:val="00982B5B"/>
    <w:rsid w:val="00982BD5"/>
    <w:rsid w:val="00982D31"/>
    <w:rsid w:val="00982DF8"/>
    <w:rsid w:val="00982EAB"/>
    <w:rsid w:val="00982F13"/>
    <w:rsid w:val="00982FFB"/>
    <w:rsid w:val="00983229"/>
    <w:rsid w:val="00983295"/>
    <w:rsid w:val="00983401"/>
    <w:rsid w:val="009835D7"/>
    <w:rsid w:val="0098369C"/>
    <w:rsid w:val="009837A9"/>
    <w:rsid w:val="00983846"/>
    <w:rsid w:val="00983A27"/>
    <w:rsid w:val="00983A2E"/>
    <w:rsid w:val="00983A46"/>
    <w:rsid w:val="00983C42"/>
    <w:rsid w:val="00983C49"/>
    <w:rsid w:val="00983D44"/>
    <w:rsid w:val="00983D55"/>
    <w:rsid w:val="00983E17"/>
    <w:rsid w:val="00984066"/>
    <w:rsid w:val="00984079"/>
    <w:rsid w:val="009841B3"/>
    <w:rsid w:val="00984300"/>
    <w:rsid w:val="0098430F"/>
    <w:rsid w:val="00984453"/>
    <w:rsid w:val="009844CA"/>
    <w:rsid w:val="00984787"/>
    <w:rsid w:val="00984869"/>
    <w:rsid w:val="009848C2"/>
    <w:rsid w:val="00984AD7"/>
    <w:rsid w:val="00984CDA"/>
    <w:rsid w:val="00984D28"/>
    <w:rsid w:val="00984E07"/>
    <w:rsid w:val="00984E52"/>
    <w:rsid w:val="00984EE7"/>
    <w:rsid w:val="009851E8"/>
    <w:rsid w:val="00985308"/>
    <w:rsid w:val="009853CB"/>
    <w:rsid w:val="009853E4"/>
    <w:rsid w:val="00985444"/>
    <w:rsid w:val="00985621"/>
    <w:rsid w:val="0098568C"/>
    <w:rsid w:val="009856B6"/>
    <w:rsid w:val="00985784"/>
    <w:rsid w:val="00985933"/>
    <w:rsid w:val="00985B33"/>
    <w:rsid w:val="00985C39"/>
    <w:rsid w:val="00985D18"/>
    <w:rsid w:val="00985D69"/>
    <w:rsid w:val="00985E71"/>
    <w:rsid w:val="0098600F"/>
    <w:rsid w:val="009862A7"/>
    <w:rsid w:val="009862D2"/>
    <w:rsid w:val="00986409"/>
    <w:rsid w:val="009864AF"/>
    <w:rsid w:val="0098656F"/>
    <w:rsid w:val="00986767"/>
    <w:rsid w:val="0098687D"/>
    <w:rsid w:val="009868B4"/>
    <w:rsid w:val="009868F5"/>
    <w:rsid w:val="00986A40"/>
    <w:rsid w:val="00986AF2"/>
    <w:rsid w:val="00986C1F"/>
    <w:rsid w:val="00986CF6"/>
    <w:rsid w:val="00986DD9"/>
    <w:rsid w:val="00986DDF"/>
    <w:rsid w:val="00986E6A"/>
    <w:rsid w:val="00986F7E"/>
    <w:rsid w:val="00987141"/>
    <w:rsid w:val="009871C1"/>
    <w:rsid w:val="009871F0"/>
    <w:rsid w:val="00987315"/>
    <w:rsid w:val="00987347"/>
    <w:rsid w:val="00987593"/>
    <w:rsid w:val="009876D7"/>
    <w:rsid w:val="0098780D"/>
    <w:rsid w:val="009879C0"/>
    <w:rsid w:val="00987AB4"/>
    <w:rsid w:val="00987B6C"/>
    <w:rsid w:val="00990050"/>
    <w:rsid w:val="009901F4"/>
    <w:rsid w:val="0099028B"/>
    <w:rsid w:val="009903F8"/>
    <w:rsid w:val="009905B4"/>
    <w:rsid w:val="00990877"/>
    <w:rsid w:val="00990886"/>
    <w:rsid w:val="009908C2"/>
    <w:rsid w:val="009908E5"/>
    <w:rsid w:val="00990988"/>
    <w:rsid w:val="009909ED"/>
    <w:rsid w:val="00990A5F"/>
    <w:rsid w:val="00990C0C"/>
    <w:rsid w:val="00990CD8"/>
    <w:rsid w:val="00990DE7"/>
    <w:rsid w:val="00990E76"/>
    <w:rsid w:val="0099100F"/>
    <w:rsid w:val="0099105F"/>
    <w:rsid w:val="00991061"/>
    <w:rsid w:val="00991246"/>
    <w:rsid w:val="00991494"/>
    <w:rsid w:val="009915C8"/>
    <w:rsid w:val="00991612"/>
    <w:rsid w:val="0099172E"/>
    <w:rsid w:val="00991814"/>
    <w:rsid w:val="00991983"/>
    <w:rsid w:val="00991984"/>
    <w:rsid w:val="00991AD0"/>
    <w:rsid w:val="00991D17"/>
    <w:rsid w:val="00991DD4"/>
    <w:rsid w:val="00991F77"/>
    <w:rsid w:val="009921EF"/>
    <w:rsid w:val="00992335"/>
    <w:rsid w:val="00992471"/>
    <w:rsid w:val="009924DA"/>
    <w:rsid w:val="009925A0"/>
    <w:rsid w:val="00992632"/>
    <w:rsid w:val="00992781"/>
    <w:rsid w:val="009927A9"/>
    <w:rsid w:val="009928BB"/>
    <w:rsid w:val="00992B8D"/>
    <w:rsid w:val="00992D3D"/>
    <w:rsid w:val="00992E3C"/>
    <w:rsid w:val="00992E4C"/>
    <w:rsid w:val="00992F14"/>
    <w:rsid w:val="00992FE1"/>
    <w:rsid w:val="00993074"/>
    <w:rsid w:val="00993075"/>
    <w:rsid w:val="009932BE"/>
    <w:rsid w:val="009932C7"/>
    <w:rsid w:val="0099331A"/>
    <w:rsid w:val="00993346"/>
    <w:rsid w:val="00993524"/>
    <w:rsid w:val="0099375D"/>
    <w:rsid w:val="00993967"/>
    <w:rsid w:val="00993BE3"/>
    <w:rsid w:val="00993C95"/>
    <w:rsid w:val="00993D37"/>
    <w:rsid w:val="00993D9C"/>
    <w:rsid w:val="00993DCF"/>
    <w:rsid w:val="00993DF6"/>
    <w:rsid w:val="00993E32"/>
    <w:rsid w:val="0099407D"/>
    <w:rsid w:val="009941AF"/>
    <w:rsid w:val="00994266"/>
    <w:rsid w:val="009942EC"/>
    <w:rsid w:val="009945F4"/>
    <w:rsid w:val="0099460C"/>
    <w:rsid w:val="009946DB"/>
    <w:rsid w:val="0099480F"/>
    <w:rsid w:val="0099483D"/>
    <w:rsid w:val="0099488B"/>
    <w:rsid w:val="00994913"/>
    <w:rsid w:val="00994991"/>
    <w:rsid w:val="009949BB"/>
    <w:rsid w:val="00994B85"/>
    <w:rsid w:val="00994CC2"/>
    <w:rsid w:val="00994DEE"/>
    <w:rsid w:val="00994E86"/>
    <w:rsid w:val="00994F18"/>
    <w:rsid w:val="00994F79"/>
    <w:rsid w:val="009951DB"/>
    <w:rsid w:val="00995AB7"/>
    <w:rsid w:val="00995ABA"/>
    <w:rsid w:val="00995AE7"/>
    <w:rsid w:val="00995C6A"/>
    <w:rsid w:val="00995CAB"/>
    <w:rsid w:val="00995DD0"/>
    <w:rsid w:val="00995ED0"/>
    <w:rsid w:val="00995EDB"/>
    <w:rsid w:val="00995F9F"/>
    <w:rsid w:val="00996011"/>
    <w:rsid w:val="00996068"/>
    <w:rsid w:val="00996091"/>
    <w:rsid w:val="009961F1"/>
    <w:rsid w:val="0099633A"/>
    <w:rsid w:val="009963E0"/>
    <w:rsid w:val="009965C7"/>
    <w:rsid w:val="009965C9"/>
    <w:rsid w:val="00996688"/>
    <w:rsid w:val="00996694"/>
    <w:rsid w:val="00996695"/>
    <w:rsid w:val="00996901"/>
    <w:rsid w:val="009969C3"/>
    <w:rsid w:val="00996BF4"/>
    <w:rsid w:val="00996CCF"/>
    <w:rsid w:val="00996EB1"/>
    <w:rsid w:val="00996EE7"/>
    <w:rsid w:val="00996F86"/>
    <w:rsid w:val="00996FB3"/>
    <w:rsid w:val="0099711A"/>
    <w:rsid w:val="0099727F"/>
    <w:rsid w:val="00997424"/>
    <w:rsid w:val="00997449"/>
    <w:rsid w:val="0099747E"/>
    <w:rsid w:val="0099753A"/>
    <w:rsid w:val="0099759A"/>
    <w:rsid w:val="009975D7"/>
    <w:rsid w:val="00997697"/>
    <w:rsid w:val="009976CE"/>
    <w:rsid w:val="0099783C"/>
    <w:rsid w:val="0099786E"/>
    <w:rsid w:val="00997987"/>
    <w:rsid w:val="009979F2"/>
    <w:rsid w:val="00997AE7"/>
    <w:rsid w:val="00997B3B"/>
    <w:rsid w:val="00997BA2"/>
    <w:rsid w:val="00997CC4"/>
    <w:rsid w:val="00997EB8"/>
    <w:rsid w:val="00997F9D"/>
    <w:rsid w:val="009A0165"/>
    <w:rsid w:val="009A0197"/>
    <w:rsid w:val="009A0245"/>
    <w:rsid w:val="009A08AC"/>
    <w:rsid w:val="009A0926"/>
    <w:rsid w:val="009A09B0"/>
    <w:rsid w:val="009A0A1B"/>
    <w:rsid w:val="009A0BFC"/>
    <w:rsid w:val="009A0D84"/>
    <w:rsid w:val="009A0DFB"/>
    <w:rsid w:val="009A0E26"/>
    <w:rsid w:val="009A0E2C"/>
    <w:rsid w:val="009A0E9E"/>
    <w:rsid w:val="009A0EC7"/>
    <w:rsid w:val="009A12C0"/>
    <w:rsid w:val="009A12D2"/>
    <w:rsid w:val="009A1387"/>
    <w:rsid w:val="009A13CE"/>
    <w:rsid w:val="009A1475"/>
    <w:rsid w:val="009A14DA"/>
    <w:rsid w:val="009A14EE"/>
    <w:rsid w:val="009A161C"/>
    <w:rsid w:val="009A19C7"/>
    <w:rsid w:val="009A1A4D"/>
    <w:rsid w:val="009A1BBC"/>
    <w:rsid w:val="009A1BC0"/>
    <w:rsid w:val="009A1D88"/>
    <w:rsid w:val="009A1ED2"/>
    <w:rsid w:val="009A1F1F"/>
    <w:rsid w:val="009A20C1"/>
    <w:rsid w:val="009A20CF"/>
    <w:rsid w:val="009A2108"/>
    <w:rsid w:val="009A22B6"/>
    <w:rsid w:val="009A22D4"/>
    <w:rsid w:val="009A22EA"/>
    <w:rsid w:val="009A238C"/>
    <w:rsid w:val="009A2561"/>
    <w:rsid w:val="009A2589"/>
    <w:rsid w:val="009A259F"/>
    <w:rsid w:val="009A25F7"/>
    <w:rsid w:val="009A28BD"/>
    <w:rsid w:val="009A29B3"/>
    <w:rsid w:val="009A2C14"/>
    <w:rsid w:val="009A2C1E"/>
    <w:rsid w:val="009A2C62"/>
    <w:rsid w:val="009A2D08"/>
    <w:rsid w:val="009A2D8C"/>
    <w:rsid w:val="009A2EAE"/>
    <w:rsid w:val="009A2EDB"/>
    <w:rsid w:val="009A2F17"/>
    <w:rsid w:val="009A3087"/>
    <w:rsid w:val="009A30C5"/>
    <w:rsid w:val="009A32F3"/>
    <w:rsid w:val="009A3327"/>
    <w:rsid w:val="009A3339"/>
    <w:rsid w:val="009A3522"/>
    <w:rsid w:val="009A3551"/>
    <w:rsid w:val="009A35BE"/>
    <w:rsid w:val="009A39A3"/>
    <w:rsid w:val="009A3A27"/>
    <w:rsid w:val="009A3A30"/>
    <w:rsid w:val="009A3A3A"/>
    <w:rsid w:val="009A3C2B"/>
    <w:rsid w:val="009A3E50"/>
    <w:rsid w:val="009A3E55"/>
    <w:rsid w:val="009A3EA5"/>
    <w:rsid w:val="009A3EAA"/>
    <w:rsid w:val="009A3F15"/>
    <w:rsid w:val="009A40A3"/>
    <w:rsid w:val="009A4110"/>
    <w:rsid w:val="009A41D3"/>
    <w:rsid w:val="009A434C"/>
    <w:rsid w:val="009A4374"/>
    <w:rsid w:val="009A45D3"/>
    <w:rsid w:val="009A46B1"/>
    <w:rsid w:val="009A4858"/>
    <w:rsid w:val="009A4918"/>
    <w:rsid w:val="009A49BA"/>
    <w:rsid w:val="009A4B39"/>
    <w:rsid w:val="009A4BBD"/>
    <w:rsid w:val="009A4C7E"/>
    <w:rsid w:val="009A4E10"/>
    <w:rsid w:val="009A510C"/>
    <w:rsid w:val="009A541F"/>
    <w:rsid w:val="009A5424"/>
    <w:rsid w:val="009A556D"/>
    <w:rsid w:val="009A55FE"/>
    <w:rsid w:val="009A565C"/>
    <w:rsid w:val="009A579E"/>
    <w:rsid w:val="009A582C"/>
    <w:rsid w:val="009A59DC"/>
    <w:rsid w:val="009A5A60"/>
    <w:rsid w:val="009A5A9D"/>
    <w:rsid w:val="009A5AD6"/>
    <w:rsid w:val="009A5BF9"/>
    <w:rsid w:val="009A5FDE"/>
    <w:rsid w:val="009A6006"/>
    <w:rsid w:val="009A60B9"/>
    <w:rsid w:val="009A6175"/>
    <w:rsid w:val="009A6178"/>
    <w:rsid w:val="009A618F"/>
    <w:rsid w:val="009A6384"/>
    <w:rsid w:val="009A6445"/>
    <w:rsid w:val="009A6529"/>
    <w:rsid w:val="009A6733"/>
    <w:rsid w:val="009A698F"/>
    <w:rsid w:val="009A6A6E"/>
    <w:rsid w:val="009A6BD4"/>
    <w:rsid w:val="009A6CF3"/>
    <w:rsid w:val="009A6DE5"/>
    <w:rsid w:val="009A6E74"/>
    <w:rsid w:val="009A7046"/>
    <w:rsid w:val="009A7134"/>
    <w:rsid w:val="009A71E5"/>
    <w:rsid w:val="009A7391"/>
    <w:rsid w:val="009A7408"/>
    <w:rsid w:val="009A75AA"/>
    <w:rsid w:val="009A777F"/>
    <w:rsid w:val="009A77FD"/>
    <w:rsid w:val="009A7826"/>
    <w:rsid w:val="009A7969"/>
    <w:rsid w:val="009A7A0F"/>
    <w:rsid w:val="009A7D47"/>
    <w:rsid w:val="009A7E0C"/>
    <w:rsid w:val="009A7EF5"/>
    <w:rsid w:val="009A7F96"/>
    <w:rsid w:val="009B003B"/>
    <w:rsid w:val="009B005A"/>
    <w:rsid w:val="009B0093"/>
    <w:rsid w:val="009B00E5"/>
    <w:rsid w:val="009B00F2"/>
    <w:rsid w:val="009B01E9"/>
    <w:rsid w:val="009B01F3"/>
    <w:rsid w:val="009B0237"/>
    <w:rsid w:val="009B02BE"/>
    <w:rsid w:val="009B02D2"/>
    <w:rsid w:val="009B02F5"/>
    <w:rsid w:val="009B0314"/>
    <w:rsid w:val="009B03B7"/>
    <w:rsid w:val="009B04A9"/>
    <w:rsid w:val="009B0530"/>
    <w:rsid w:val="009B0586"/>
    <w:rsid w:val="009B0864"/>
    <w:rsid w:val="009B0935"/>
    <w:rsid w:val="009B0C98"/>
    <w:rsid w:val="009B0D58"/>
    <w:rsid w:val="009B0F76"/>
    <w:rsid w:val="009B10CB"/>
    <w:rsid w:val="009B122A"/>
    <w:rsid w:val="009B12E2"/>
    <w:rsid w:val="009B1698"/>
    <w:rsid w:val="009B1752"/>
    <w:rsid w:val="009B179A"/>
    <w:rsid w:val="009B180B"/>
    <w:rsid w:val="009B18E0"/>
    <w:rsid w:val="009B193E"/>
    <w:rsid w:val="009B1951"/>
    <w:rsid w:val="009B1AA7"/>
    <w:rsid w:val="009B1BC5"/>
    <w:rsid w:val="009B1C67"/>
    <w:rsid w:val="009B1D12"/>
    <w:rsid w:val="009B1E18"/>
    <w:rsid w:val="009B1F0D"/>
    <w:rsid w:val="009B1F27"/>
    <w:rsid w:val="009B224C"/>
    <w:rsid w:val="009B2292"/>
    <w:rsid w:val="009B2416"/>
    <w:rsid w:val="009B2471"/>
    <w:rsid w:val="009B2529"/>
    <w:rsid w:val="009B25D8"/>
    <w:rsid w:val="009B25D9"/>
    <w:rsid w:val="009B260B"/>
    <w:rsid w:val="009B282D"/>
    <w:rsid w:val="009B2875"/>
    <w:rsid w:val="009B28EF"/>
    <w:rsid w:val="009B2929"/>
    <w:rsid w:val="009B29FB"/>
    <w:rsid w:val="009B2A64"/>
    <w:rsid w:val="009B2B61"/>
    <w:rsid w:val="009B2D06"/>
    <w:rsid w:val="009B2DAC"/>
    <w:rsid w:val="009B2DE9"/>
    <w:rsid w:val="009B2ED8"/>
    <w:rsid w:val="009B2F60"/>
    <w:rsid w:val="009B3267"/>
    <w:rsid w:val="009B34D1"/>
    <w:rsid w:val="009B378F"/>
    <w:rsid w:val="009B3949"/>
    <w:rsid w:val="009B3AC2"/>
    <w:rsid w:val="009B3D6A"/>
    <w:rsid w:val="009B3E5E"/>
    <w:rsid w:val="009B3F59"/>
    <w:rsid w:val="009B3FAC"/>
    <w:rsid w:val="009B3FD3"/>
    <w:rsid w:val="009B4062"/>
    <w:rsid w:val="009B41AE"/>
    <w:rsid w:val="009B41C9"/>
    <w:rsid w:val="009B4204"/>
    <w:rsid w:val="009B4411"/>
    <w:rsid w:val="009B4417"/>
    <w:rsid w:val="009B4760"/>
    <w:rsid w:val="009B478B"/>
    <w:rsid w:val="009B47D9"/>
    <w:rsid w:val="009B47F7"/>
    <w:rsid w:val="009B4D13"/>
    <w:rsid w:val="009B4D2E"/>
    <w:rsid w:val="009B5024"/>
    <w:rsid w:val="009B5113"/>
    <w:rsid w:val="009B514C"/>
    <w:rsid w:val="009B528F"/>
    <w:rsid w:val="009B535E"/>
    <w:rsid w:val="009B5404"/>
    <w:rsid w:val="009B541B"/>
    <w:rsid w:val="009B54B8"/>
    <w:rsid w:val="009B54C1"/>
    <w:rsid w:val="009B573D"/>
    <w:rsid w:val="009B57AB"/>
    <w:rsid w:val="009B57E5"/>
    <w:rsid w:val="009B5950"/>
    <w:rsid w:val="009B5BE0"/>
    <w:rsid w:val="009B5BE7"/>
    <w:rsid w:val="009B5DED"/>
    <w:rsid w:val="009B5F12"/>
    <w:rsid w:val="009B637F"/>
    <w:rsid w:val="009B643F"/>
    <w:rsid w:val="009B653A"/>
    <w:rsid w:val="009B664E"/>
    <w:rsid w:val="009B66B5"/>
    <w:rsid w:val="009B66EB"/>
    <w:rsid w:val="009B69D5"/>
    <w:rsid w:val="009B6B7A"/>
    <w:rsid w:val="009B6BD2"/>
    <w:rsid w:val="009B6D5C"/>
    <w:rsid w:val="009B6E51"/>
    <w:rsid w:val="009B6EFE"/>
    <w:rsid w:val="009B701C"/>
    <w:rsid w:val="009B704C"/>
    <w:rsid w:val="009B70EB"/>
    <w:rsid w:val="009B746A"/>
    <w:rsid w:val="009B7550"/>
    <w:rsid w:val="009B75E7"/>
    <w:rsid w:val="009B7638"/>
    <w:rsid w:val="009B76A6"/>
    <w:rsid w:val="009B76D1"/>
    <w:rsid w:val="009B7738"/>
    <w:rsid w:val="009B7765"/>
    <w:rsid w:val="009B7830"/>
    <w:rsid w:val="009B78CA"/>
    <w:rsid w:val="009B7A40"/>
    <w:rsid w:val="009B7B60"/>
    <w:rsid w:val="009B7BFA"/>
    <w:rsid w:val="009B7CA7"/>
    <w:rsid w:val="009B7D85"/>
    <w:rsid w:val="009B7DC8"/>
    <w:rsid w:val="009C0016"/>
    <w:rsid w:val="009C0156"/>
    <w:rsid w:val="009C0190"/>
    <w:rsid w:val="009C022C"/>
    <w:rsid w:val="009C03AB"/>
    <w:rsid w:val="009C044A"/>
    <w:rsid w:val="009C051D"/>
    <w:rsid w:val="009C05C3"/>
    <w:rsid w:val="009C05C5"/>
    <w:rsid w:val="009C05CB"/>
    <w:rsid w:val="009C074F"/>
    <w:rsid w:val="009C080C"/>
    <w:rsid w:val="009C0831"/>
    <w:rsid w:val="009C0858"/>
    <w:rsid w:val="009C08A1"/>
    <w:rsid w:val="009C0CB7"/>
    <w:rsid w:val="009C0D0E"/>
    <w:rsid w:val="009C0D96"/>
    <w:rsid w:val="009C0F01"/>
    <w:rsid w:val="009C1032"/>
    <w:rsid w:val="009C10CD"/>
    <w:rsid w:val="009C10F3"/>
    <w:rsid w:val="009C1272"/>
    <w:rsid w:val="009C128C"/>
    <w:rsid w:val="009C13A0"/>
    <w:rsid w:val="009C149A"/>
    <w:rsid w:val="009C16D8"/>
    <w:rsid w:val="009C172F"/>
    <w:rsid w:val="009C17F2"/>
    <w:rsid w:val="009C1912"/>
    <w:rsid w:val="009C1A86"/>
    <w:rsid w:val="009C1A8C"/>
    <w:rsid w:val="009C1AEC"/>
    <w:rsid w:val="009C1C1E"/>
    <w:rsid w:val="009C1C65"/>
    <w:rsid w:val="009C1D42"/>
    <w:rsid w:val="009C1F92"/>
    <w:rsid w:val="009C205D"/>
    <w:rsid w:val="009C20C8"/>
    <w:rsid w:val="009C211E"/>
    <w:rsid w:val="009C2138"/>
    <w:rsid w:val="009C2195"/>
    <w:rsid w:val="009C21F4"/>
    <w:rsid w:val="009C2259"/>
    <w:rsid w:val="009C2539"/>
    <w:rsid w:val="009C253A"/>
    <w:rsid w:val="009C2565"/>
    <w:rsid w:val="009C258A"/>
    <w:rsid w:val="009C25FC"/>
    <w:rsid w:val="009C25FE"/>
    <w:rsid w:val="009C2907"/>
    <w:rsid w:val="009C2AD8"/>
    <w:rsid w:val="009C2B68"/>
    <w:rsid w:val="009C2BBB"/>
    <w:rsid w:val="009C2BD1"/>
    <w:rsid w:val="009C2C6D"/>
    <w:rsid w:val="009C2CB1"/>
    <w:rsid w:val="009C2D3D"/>
    <w:rsid w:val="009C2D4B"/>
    <w:rsid w:val="009C2DD4"/>
    <w:rsid w:val="009C2E41"/>
    <w:rsid w:val="009C2ED9"/>
    <w:rsid w:val="009C2FD2"/>
    <w:rsid w:val="009C301F"/>
    <w:rsid w:val="009C30BC"/>
    <w:rsid w:val="009C31B5"/>
    <w:rsid w:val="009C3208"/>
    <w:rsid w:val="009C3216"/>
    <w:rsid w:val="009C3239"/>
    <w:rsid w:val="009C3333"/>
    <w:rsid w:val="009C3437"/>
    <w:rsid w:val="009C3543"/>
    <w:rsid w:val="009C35FA"/>
    <w:rsid w:val="009C381D"/>
    <w:rsid w:val="009C39C9"/>
    <w:rsid w:val="009C39DE"/>
    <w:rsid w:val="009C3AD7"/>
    <w:rsid w:val="009C3EA5"/>
    <w:rsid w:val="009C3F1C"/>
    <w:rsid w:val="009C3FE7"/>
    <w:rsid w:val="009C4154"/>
    <w:rsid w:val="009C42B7"/>
    <w:rsid w:val="009C4310"/>
    <w:rsid w:val="009C45CF"/>
    <w:rsid w:val="009C4866"/>
    <w:rsid w:val="009C49AB"/>
    <w:rsid w:val="009C4BF0"/>
    <w:rsid w:val="009C4D22"/>
    <w:rsid w:val="009C4D74"/>
    <w:rsid w:val="009C4D89"/>
    <w:rsid w:val="009C4DE4"/>
    <w:rsid w:val="009C4DE8"/>
    <w:rsid w:val="009C4EA6"/>
    <w:rsid w:val="009C4FA1"/>
    <w:rsid w:val="009C508C"/>
    <w:rsid w:val="009C514D"/>
    <w:rsid w:val="009C521E"/>
    <w:rsid w:val="009C528E"/>
    <w:rsid w:val="009C52EF"/>
    <w:rsid w:val="009C539C"/>
    <w:rsid w:val="009C53AE"/>
    <w:rsid w:val="009C5528"/>
    <w:rsid w:val="009C558C"/>
    <w:rsid w:val="009C55C5"/>
    <w:rsid w:val="009C561E"/>
    <w:rsid w:val="009C568E"/>
    <w:rsid w:val="009C57AB"/>
    <w:rsid w:val="009C57CF"/>
    <w:rsid w:val="009C57FC"/>
    <w:rsid w:val="009C580E"/>
    <w:rsid w:val="009C5844"/>
    <w:rsid w:val="009C5A1B"/>
    <w:rsid w:val="009C5ACE"/>
    <w:rsid w:val="009C5D15"/>
    <w:rsid w:val="009C5D3C"/>
    <w:rsid w:val="009C5D87"/>
    <w:rsid w:val="009C6075"/>
    <w:rsid w:val="009C6095"/>
    <w:rsid w:val="009C60C1"/>
    <w:rsid w:val="009C61ED"/>
    <w:rsid w:val="009C636C"/>
    <w:rsid w:val="009C6405"/>
    <w:rsid w:val="009C6489"/>
    <w:rsid w:val="009C6593"/>
    <w:rsid w:val="009C669B"/>
    <w:rsid w:val="009C68C4"/>
    <w:rsid w:val="009C6978"/>
    <w:rsid w:val="009C6C71"/>
    <w:rsid w:val="009C6CE9"/>
    <w:rsid w:val="009C6DCA"/>
    <w:rsid w:val="009C6EC8"/>
    <w:rsid w:val="009C722D"/>
    <w:rsid w:val="009C724C"/>
    <w:rsid w:val="009C726B"/>
    <w:rsid w:val="009C727A"/>
    <w:rsid w:val="009C740F"/>
    <w:rsid w:val="009C74A7"/>
    <w:rsid w:val="009C74FF"/>
    <w:rsid w:val="009C7579"/>
    <w:rsid w:val="009C7923"/>
    <w:rsid w:val="009C7942"/>
    <w:rsid w:val="009C7963"/>
    <w:rsid w:val="009C7A47"/>
    <w:rsid w:val="009C7A9A"/>
    <w:rsid w:val="009C7AFF"/>
    <w:rsid w:val="009C7B0F"/>
    <w:rsid w:val="009C7C2D"/>
    <w:rsid w:val="009C7D03"/>
    <w:rsid w:val="009C7DD3"/>
    <w:rsid w:val="009C7E6B"/>
    <w:rsid w:val="009C7EAF"/>
    <w:rsid w:val="009C7F8D"/>
    <w:rsid w:val="009D0065"/>
    <w:rsid w:val="009D03A2"/>
    <w:rsid w:val="009D0462"/>
    <w:rsid w:val="009D053D"/>
    <w:rsid w:val="009D0752"/>
    <w:rsid w:val="009D076E"/>
    <w:rsid w:val="009D0B00"/>
    <w:rsid w:val="009D0B84"/>
    <w:rsid w:val="009D0B8A"/>
    <w:rsid w:val="009D0BB4"/>
    <w:rsid w:val="009D0D15"/>
    <w:rsid w:val="009D0D38"/>
    <w:rsid w:val="009D0D47"/>
    <w:rsid w:val="009D0DDC"/>
    <w:rsid w:val="009D0DFF"/>
    <w:rsid w:val="009D0EAB"/>
    <w:rsid w:val="009D0EE7"/>
    <w:rsid w:val="009D12E2"/>
    <w:rsid w:val="009D133A"/>
    <w:rsid w:val="009D1405"/>
    <w:rsid w:val="009D1411"/>
    <w:rsid w:val="009D166B"/>
    <w:rsid w:val="009D16AE"/>
    <w:rsid w:val="009D171B"/>
    <w:rsid w:val="009D1730"/>
    <w:rsid w:val="009D1808"/>
    <w:rsid w:val="009D1841"/>
    <w:rsid w:val="009D19CF"/>
    <w:rsid w:val="009D1A05"/>
    <w:rsid w:val="009D1A08"/>
    <w:rsid w:val="009D1A6E"/>
    <w:rsid w:val="009D1DAD"/>
    <w:rsid w:val="009D1EC0"/>
    <w:rsid w:val="009D1FE2"/>
    <w:rsid w:val="009D20C0"/>
    <w:rsid w:val="009D22BB"/>
    <w:rsid w:val="009D2359"/>
    <w:rsid w:val="009D24F5"/>
    <w:rsid w:val="009D2BCA"/>
    <w:rsid w:val="009D2C93"/>
    <w:rsid w:val="009D2E0D"/>
    <w:rsid w:val="009D305D"/>
    <w:rsid w:val="009D3158"/>
    <w:rsid w:val="009D31A1"/>
    <w:rsid w:val="009D31D4"/>
    <w:rsid w:val="009D320E"/>
    <w:rsid w:val="009D325D"/>
    <w:rsid w:val="009D33F9"/>
    <w:rsid w:val="009D35A9"/>
    <w:rsid w:val="009D373E"/>
    <w:rsid w:val="009D393F"/>
    <w:rsid w:val="009D39A7"/>
    <w:rsid w:val="009D39CC"/>
    <w:rsid w:val="009D3D66"/>
    <w:rsid w:val="009D3EAB"/>
    <w:rsid w:val="009D3F92"/>
    <w:rsid w:val="009D40B7"/>
    <w:rsid w:val="009D412A"/>
    <w:rsid w:val="009D41AD"/>
    <w:rsid w:val="009D41D7"/>
    <w:rsid w:val="009D41E9"/>
    <w:rsid w:val="009D429E"/>
    <w:rsid w:val="009D4311"/>
    <w:rsid w:val="009D43FE"/>
    <w:rsid w:val="009D4473"/>
    <w:rsid w:val="009D45A8"/>
    <w:rsid w:val="009D464A"/>
    <w:rsid w:val="009D47BB"/>
    <w:rsid w:val="009D4893"/>
    <w:rsid w:val="009D48BD"/>
    <w:rsid w:val="009D4A95"/>
    <w:rsid w:val="009D4D58"/>
    <w:rsid w:val="009D4E3F"/>
    <w:rsid w:val="009D4F42"/>
    <w:rsid w:val="009D4F4E"/>
    <w:rsid w:val="009D4FAA"/>
    <w:rsid w:val="009D5002"/>
    <w:rsid w:val="009D52B8"/>
    <w:rsid w:val="009D545A"/>
    <w:rsid w:val="009D55AA"/>
    <w:rsid w:val="009D57ED"/>
    <w:rsid w:val="009D57F0"/>
    <w:rsid w:val="009D5BA3"/>
    <w:rsid w:val="009D5C53"/>
    <w:rsid w:val="009D5DC3"/>
    <w:rsid w:val="009D5F45"/>
    <w:rsid w:val="009D5F90"/>
    <w:rsid w:val="009D6071"/>
    <w:rsid w:val="009D608F"/>
    <w:rsid w:val="009D61A0"/>
    <w:rsid w:val="009D61CD"/>
    <w:rsid w:val="009D64D6"/>
    <w:rsid w:val="009D676D"/>
    <w:rsid w:val="009D693C"/>
    <w:rsid w:val="009D6982"/>
    <w:rsid w:val="009D6B38"/>
    <w:rsid w:val="009D6D18"/>
    <w:rsid w:val="009D6D39"/>
    <w:rsid w:val="009D6D3A"/>
    <w:rsid w:val="009D7218"/>
    <w:rsid w:val="009D726B"/>
    <w:rsid w:val="009D728E"/>
    <w:rsid w:val="009D7873"/>
    <w:rsid w:val="009D7893"/>
    <w:rsid w:val="009D7939"/>
    <w:rsid w:val="009D79AB"/>
    <w:rsid w:val="009D79D0"/>
    <w:rsid w:val="009D79DD"/>
    <w:rsid w:val="009D7B7E"/>
    <w:rsid w:val="009D7B81"/>
    <w:rsid w:val="009D7B9F"/>
    <w:rsid w:val="009D7C35"/>
    <w:rsid w:val="009D7EC3"/>
    <w:rsid w:val="009D7F4A"/>
    <w:rsid w:val="009E02D7"/>
    <w:rsid w:val="009E03B5"/>
    <w:rsid w:val="009E0699"/>
    <w:rsid w:val="009E084F"/>
    <w:rsid w:val="009E0BF3"/>
    <w:rsid w:val="009E0D35"/>
    <w:rsid w:val="009E0F48"/>
    <w:rsid w:val="009E11DE"/>
    <w:rsid w:val="009E123B"/>
    <w:rsid w:val="009E1673"/>
    <w:rsid w:val="009E1798"/>
    <w:rsid w:val="009E17FE"/>
    <w:rsid w:val="009E1825"/>
    <w:rsid w:val="009E19A3"/>
    <w:rsid w:val="009E1AE8"/>
    <w:rsid w:val="009E1FBE"/>
    <w:rsid w:val="009E208D"/>
    <w:rsid w:val="009E21F4"/>
    <w:rsid w:val="009E23CC"/>
    <w:rsid w:val="009E266E"/>
    <w:rsid w:val="009E27B4"/>
    <w:rsid w:val="009E29FD"/>
    <w:rsid w:val="009E2A01"/>
    <w:rsid w:val="009E2AC7"/>
    <w:rsid w:val="009E2BF5"/>
    <w:rsid w:val="009E2CAE"/>
    <w:rsid w:val="009E2D0F"/>
    <w:rsid w:val="009E2E76"/>
    <w:rsid w:val="009E2E8F"/>
    <w:rsid w:val="009E2E9E"/>
    <w:rsid w:val="009E2ECF"/>
    <w:rsid w:val="009E3021"/>
    <w:rsid w:val="009E314E"/>
    <w:rsid w:val="009E3211"/>
    <w:rsid w:val="009E32E4"/>
    <w:rsid w:val="009E33E7"/>
    <w:rsid w:val="009E34A6"/>
    <w:rsid w:val="009E35F8"/>
    <w:rsid w:val="009E390E"/>
    <w:rsid w:val="009E3919"/>
    <w:rsid w:val="009E3A52"/>
    <w:rsid w:val="009E3B5F"/>
    <w:rsid w:val="009E3B6D"/>
    <w:rsid w:val="009E3B9E"/>
    <w:rsid w:val="009E3BD5"/>
    <w:rsid w:val="009E3D63"/>
    <w:rsid w:val="009E3F00"/>
    <w:rsid w:val="009E3F1D"/>
    <w:rsid w:val="009E4015"/>
    <w:rsid w:val="009E40FD"/>
    <w:rsid w:val="009E426A"/>
    <w:rsid w:val="009E42BA"/>
    <w:rsid w:val="009E43F0"/>
    <w:rsid w:val="009E4649"/>
    <w:rsid w:val="009E46B7"/>
    <w:rsid w:val="009E46CC"/>
    <w:rsid w:val="009E4750"/>
    <w:rsid w:val="009E4829"/>
    <w:rsid w:val="009E4938"/>
    <w:rsid w:val="009E49A0"/>
    <w:rsid w:val="009E4A5B"/>
    <w:rsid w:val="009E4DC0"/>
    <w:rsid w:val="009E4FC8"/>
    <w:rsid w:val="009E501E"/>
    <w:rsid w:val="009E5067"/>
    <w:rsid w:val="009E51EB"/>
    <w:rsid w:val="009E52AD"/>
    <w:rsid w:val="009E5406"/>
    <w:rsid w:val="009E5532"/>
    <w:rsid w:val="009E56C7"/>
    <w:rsid w:val="009E5967"/>
    <w:rsid w:val="009E597A"/>
    <w:rsid w:val="009E5AA1"/>
    <w:rsid w:val="009E5BC6"/>
    <w:rsid w:val="009E5D24"/>
    <w:rsid w:val="009E5D78"/>
    <w:rsid w:val="009E5DE8"/>
    <w:rsid w:val="009E601F"/>
    <w:rsid w:val="009E614C"/>
    <w:rsid w:val="009E61A8"/>
    <w:rsid w:val="009E6288"/>
    <w:rsid w:val="009E62E9"/>
    <w:rsid w:val="009E6430"/>
    <w:rsid w:val="009E6574"/>
    <w:rsid w:val="009E65FE"/>
    <w:rsid w:val="009E6A33"/>
    <w:rsid w:val="009E6C3E"/>
    <w:rsid w:val="009E704D"/>
    <w:rsid w:val="009E714F"/>
    <w:rsid w:val="009E71FB"/>
    <w:rsid w:val="009E727B"/>
    <w:rsid w:val="009E7569"/>
    <w:rsid w:val="009E756D"/>
    <w:rsid w:val="009E756E"/>
    <w:rsid w:val="009E76BE"/>
    <w:rsid w:val="009E774E"/>
    <w:rsid w:val="009E7770"/>
    <w:rsid w:val="009E7C4F"/>
    <w:rsid w:val="009E7D0F"/>
    <w:rsid w:val="009E7DAB"/>
    <w:rsid w:val="009E7F5F"/>
    <w:rsid w:val="009E7F86"/>
    <w:rsid w:val="009E7FD9"/>
    <w:rsid w:val="009F00C3"/>
    <w:rsid w:val="009F01B2"/>
    <w:rsid w:val="009F028F"/>
    <w:rsid w:val="009F0381"/>
    <w:rsid w:val="009F042D"/>
    <w:rsid w:val="009F067C"/>
    <w:rsid w:val="009F0AB1"/>
    <w:rsid w:val="009F0B52"/>
    <w:rsid w:val="009F0CFE"/>
    <w:rsid w:val="009F0E9D"/>
    <w:rsid w:val="009F0EBF"/>
    <w:rsid w:val="009F1004"/>
    <w:rsid w:val="009F100C"/>
    <w:rsid w:val="009F10B8"/>
    <w:rsid w:val="009F11DE"/>
    <w:rsid w:val="009F120F"/>
    <w:rsid w:val="009F12DE"/>
    <w:rsid w:val="009F1329"/>
    <w:rsid w:val="009F137B"/>
    <w:rsid w:val="009F13A1"/>
    <w:rsid w:val="009F141B"/>
    <w:rsid w:val="009F15EF"/>
    <w:rsid w:val="009F161F"/>
    <w:rsid w:val="009F1960"/>
    <w:rsid w:val="009F1C43"/>
    <w:rsid w:val="009F2277"/>
    <w:rsid w:val="009F22D4"/>
    <w:rsid w:val="009F2355"/>
    <w:rsid w:val="009F23A6"/>
    <w:rsid w:val="009F250F"/>
    <w:rsid w:val="009F2548"/>
    <w:rsid w:val="009F25E2"/>
    <w:rsid w:val="009F25EC"/>
    <w:rsid w:val="009F263D"/>
    <w:rsid w:val="009F26F4"/>
    <w:rsid w:val="009F27A3"/>
    <w:rsid w:val="009F27F3"/>
    <w:rsid w:val="009F281F"/>
    <w:rsid w:val="009F2876"/>
    <w:rsid w:val="009F292A"/>
    <w:rsid w:val="009F2962"/>
    <w:rsid w:val="009F29AC"/>
    <w:rsid w:val="009F29F7"/>
    <w:rsid w:val="009F2BC3"/>
    <w:rsid w:val="009F2D6A"/>
    <w:rsid w:val="009F2E8D"/>
    <w:rsid w:val="009F32D3"/>
    <w:rsid w:val="009F339B"/>
    <w:rsid w:val="009F3755"/>
    <w:rsid w:val="009F393C"/>
    <w:rsid w:val="009F3967"/>
    <w:rsid w:val="009F3A79"/>
    <w:rsid w:val="009F3BDD"/>
    <w:rsid w:val="009F3CDD"/>
    <w:rsid w:val="009F3CE8"/>
    <w:rsid w:val="009F3D41"/>
    <w:rsid w:val="009F3DF4"/>
    <w:rsid w:val="009F3F19"/>
    <w:rsid w:val="009F4040"/>
    <w:rsid w:val="009F410C"/>
    <w:rsid w:val="009F42DD"/>
    <w:rsid w:val="009F4570"/>
    <w:rsid w:val="009F4637"/>
    <w:rsid w:val="009F46CC"/>
    <w:rsid w:val="009F46DD"/>
    <w:rsid w:val="009F473C"/>
    <w:rsid w:val="009F47C8"/>
    <w:rsid w:val="009F486C"/>
    <w:rsid w:val="009F4B5C"/>
    <w:rsid w:val="009F5141"/>
    <w:rsid w:val="009F523D"/>
    <w:rsid w:val="009F52CF"/>
    <w:rsid w:val="009F5357"/>
    <w:rsid w:val="009F535D"/>
    <w:rsid w:val="009F5577"/>
    <w:rsid w:val="009F5621"/>
    <w:rsid w:val="009F566A"/>
    <w:rsid w:val="009F56A5"/>
    <w:rsid w:val="009F5767"/>
    <w:rsid w:val="009F5A65"/>
    <w:rsid w:val="009F5A8D"/>
    <w:rsid w:val="009F5B5B"/>
    <w:rsid w:val="009F5B79"/>
    <w:rsid w:val="009F5C1F"/>
    <w:rsid w:val="009F5CAA"/>
    <w:rsid w:val="009F5D7D"/>
    <w:rsid w:val="009F5EF2"/>
    <w:rsid w:val="009F5FD7"/>
    <w:rsid w:val="009F5FED"/>
    <w:rsid w:val="009F6094"/>
    <w:rsid w:val="009F60C9"/>
    <w:rsid w:val="009F6118"/>
    <w:rsid w:val="009F616E"/>
    <w:rsid w:val="009F652A"/>
    <w:rsid w:val="009F6552"/>
    <w:rsid w:val="009F65CC"/>
    <w:rsid w:val="009F6600"/>
    <w:rsid w:val="009F6764"/>
    <w:rsid w:val="009F6774"/>
    <w:rsid w:val="009F68F5"/>
    <w:rsid w:val="009F69BA"/>
    <w:rsid w:val="009F69DE"/>
    <w:rsid w:val="009F6C21"/>
    <w:rsid w:val="009F6DCB"/>
    <w:rsid w:val="009F6E97"/>
    <w:rsid w:val="009F6EC2"/>
    <w:rsid w:val="009F7094"/>
    <w:rsid w:val="009F7348"/>
    <w:rsid w:val="009F75E1"/>
    <w:rsid w:val="009F75F0"/>
    <w:rsid w:val="009F76EE"/>
    <w:rsid w:val="009F7707"/>
    <w:rsid w:val="009F7776"/>
    <w:rsid w:val="009F77B5"/>
    <w:rsid w:val="009F77CD"/>
    <w:rsid w:val="009F77FE"/>
    <w:rsid w:val="009F796C"/>
    <w:rsid w:val="009F7C5A"/>
    <w:rsid w:val="009F7D62"/>
    <w:rsid w:val="009F7D65"/>
    <w:rsid w:val="009F7EC1"/>
    <w:rsid w:val="009F7EFE"/>
    <w:rsid w:val="009F7F65"/>
    <w:rsid w:val="009F7F79"/>
    <w:rsid w:val="00A00422"/>
    <w:rsid w:val="00A005AC"/>
    <w:rsid w:val="00A00762"/>
    <w:rsid w:val="00A0081A"/>
    <w:rsid w:val="00A00E28"/>
    <w:rsid w:val="00A0112A"/>
    <w:rsid w:val="00A01310"/>
    <w:rsid w:val="00A01312"/>
    <w:rsid w:val="00A0157E"/>
    <w:rsid w:val="00A01583"/>
    <w:rsid w:val="00A01630"/>
    <w:rsid w:val="00A016C7"/>
    <w:rsid w:val="00A016DA"/>
    <w:rsid w:val="00A017BA"/>
    <w:rsid w:val="00A017D3"/>
    <w:rsid w:val="00A0189F"/>
    <w:rsid w:val="00A01918"/>
    <w:rsid w:val="00A019E3"/>
    <w:rsid w:val="00A01A7F"/>
    <w:rsid w:val="00A01B30"/>
    <w:rsid w:val="00A0203D"/>
    <w:rsid w:val="00A02152"/>
    <w:rsid w:val="00A02175"/>
    <w:rsid w:val="00A0219E"/>
    <w:rsid w:val="00A021B2"/>
    <w:rsid w:val="00A0238C"/>
    <w:rsid w:val="00A02418"/>
    <w:rsid w:val="00A02619"/>
    <w:rsid w:val="00A02902"/>
    <w:rsid w:val="00A02AEA"/>
    <w:rsid w:val="00A02B7C"/>
    <w:rsid w:val="00A02B8A"/>
    <w:rsid w:val="00A02C1D"/>
    <w:rsid w:val="00A02DE3"/>
    <w:rsid w:val="00A0318F"/>
    <w:rsid w:val="00A03374"/>
    <w:rsid w:val="00A03486"/>
    <w:rsid w:val="00A0376F"/>
    <w:rsid w:val="00A038A7"/>
    <w:rsid w:val="00A038E0"/>
    <w:rsid w:val="00A03932"/>
    <w:rsid w:val="00A03AF8"/>
    <w:rsid w:val="00A03C48"/>
    <w:rsid w:val="00A03CB8"/>
    <w:rsid w:val="00A03CC7"/>
    <w:rsid w:val="00A03D4A"/>
    <w:rsid w:val="00A03DBD"/>
    <w:rsid w:val="00A03DC8"/>
    <w:rsid w:val="00A03EA8"/>
    <w:rsid w:val="00A03EBE"/>
    <w:rsid w:val="00A04035"/>
    <w:rsid w:val="00A04299"/>
    <w:rsid w:val="00A04381"/>
    <w:rsid w:val="00A045ED"/>
    <w:rsid w:val="00A04617"/>
    <w:rsid w:val="00A047E1"/>
    <w:rsid w:val="00A0488B"/>
    <w:rsid w:val="00A0492A"/>
    <w:rsid w:val="00A04995"/>
    <w:rsid w:val="00A04B15"/>
    <w:rsid w:val="00A04C04"/>
    <w:rsid w:val="00A04D23"/>
    <w:rsid w:val="00A052E1"/>
    <w:rsid w:val="00A055DF"/>
    <w:rsid w:val="00A055EC"/>
    <w:rsid w:val="00A05692"/>
    <w:rsid w:val="00A058F6"/>
    <w:rsid w:val="00A05B02"/>
    <w:rsid w:val="00A05E6B"/>
    <w:rsid w:val="00A06003"/>
    <w:rsid w:val="00A0618F"/>
    <w:rsid w:val="00A062C1"/>
    <w:rsid w:val="00A0641B"/>
    <w:rsid w:val="00A064EA"/>
    <w:rsid w:val="00A065BC"/>
    <w:rsid w:val="00A06699"/>
    <w:rsid w:val="00A066BF"/>
    <w:rsid w:val="00A06730"/>
    <w:rsid w:val="00A0674A"/>
    <w:rsid w:val="00A0685E"/>
    <w:rsid w:val="00A068DB"/>
    <w:rsid w:val="00A06AB9"/>
    <w:rsid w:val="00A06AC8"/>
    <w:rsid w:val="00A06B5C"/>
    <w:rsid w:val="00A06BCD"/>
    <w:rsid w:val="00A06C84"/>
    <w:rsid w:val="00A06E9D"/>
    <w:rsid w:val="00A06FE5"/>
    <w:rsid w:val="00A0702D"/>
    <w:rsid w:val="00A07561"/>
    <w:rsid w:val="00A0757A"/>
    <w:rsid w:val="00A075D0"/>
    <w:rsid w:val="00A0765C"/>
    <w:rsid w:val="00A07893"/>
    <w:rsid w:val="00A079CF"/>
    <w:rsid w:val="00A07A6A"/>
    <w:rsid w:val="00A07BD3"/>
    <w:rsid w:val="00A07D9E"/>
    <w:rsid w:val="00A07DE9"/>
    <w:rsid w:val="00A10034"/>
    <w:rsid w:val="00A10051"/>
    <w:rsid w:val="00A10145"/>
    <w:rsid w:val="00A1046A"/>
    <w:rsid w:val="00A10490"/>
    <w:rsid w:val="00A10522"/>
    <w:rsid w:val="00A10569"/>
    <w:rsid w:val="00A1066B"/>
    <w:rsid w:val="00A10694"/>
    <w:rsid w:val="00A106CB"/>
    <w:rsid w:val="00A106D5"/>
    <w:rsid w:val="00A1075B"/>
    <w:rsid w:val="00A10A3C"/>
    <w:rsid w:val="00A10C6A"/>
    <w:rsid w:val="00A10D10"/>
    <w:rsid w:val="00A10E11"/>
    <w:rsid w:val="00A10E23"/>
    <w:rsid w:val="00A10EB6"/>
    <w:rsid w:val="00A111B9"/>
    <w:rsid w:val="00A11207"/>
    <w:rsid w:val="00A1139A"/>
    <w:rsid w:val="00A1147E"/>
    <w:rsid w:val="00A115FB"/>
    <w:rsid w:val="00A11606"/>
    <w:rsid w:val="00A1174C"/>
    <w:rsid w:val="00A11770"/>
    <w:rsid w:val="00A1180E"/>
    <w:rsid w:val="00A11819"/>
    <w:rsid w:val="00A11919"/>
    <w:rsid w:val="00A11ACD"/>
    <w:rsid w:val="00A11BCB"/>
    <w:rsid w:val="00A11DD1"/>
    <w:rsid w:val="00A11E53"/>
    <w:rsid w:val="00A11EB9"/>
    <w:rsid w:val="00A11EDF"/>
    <w:rsid w:val="00A12054"/>
    <w:rsid w:val="00A12062"/>
    <w:rsid w:val="00A12172"/>
    <w:rsid w:val="00A1231C"/>
    <w:rsid w:val="00A12329"/>
    <w:rsid w:val="00A12412"/>
    <w:rsid w:val="00A125F8"/>
    <w:rsid w:val="00A1271D"/>
    <w:rsid w:val="00A12773"/>
    <w:rsid w:val="00A12782"/>
    <w:rsid w:val="00A128B7"/>
    <w:rsid w:val="00A12A43"/>
    <w:rsid w:val="00A12B7E"/>
    <w:rsid w:val="00A12DC9"/>
    <w:rsid w:val="00A12EAE"/>
    <w:rsid w:val="00A13277"/>
    <w:rsid w:val="00A13341"/>
    <w:rsid w:val="00A1339C"/>
    <w:rsid w:val="00A133A2"/>
    <w:rsid w:val="00A135D1"/>
    <w:rsid w:val="00A13664"/>
    <w:rsid w:val="00A1384E"/>
    <w:rsid w:val="00A13B29"/>
    <w:rsid w:val="00A13BB2"/>
    <w:rsid w:val="00A13C60"/>
    <w:rsid w:val="00A13D85"/>
    <w:rsid w:val="00A13E69"/>
    <w:rsid w:val="00A14189"/>
    <w:rsid w:val="00A14259"/>
    <w:rsid w:val="00A14303"/>
    <w:rsid w:val="00A14358"/>
    <w:rsid w:val="00A143F7"/>
    <w:rsid w:val="00A14405"/>
    <w:rsid w:val="00A144AF"/>
    <w:rsid w:val="00A144B3"/>
    <w:rsid w:val="00A1479F"/>
    <w:rsid w:val="00A147B7"/>
    <w:rsid w:val="00A14814"/>
    <w:rsid w:val="00A148F7"/>
    <w:rsid w:val="00A14989"/>
    <w:rsid w:val="00A1498C"/>
    <w:rsid w:val="00A14A1E"/>
    <w:rsid w:val="00A14A48"/>
    <w:rsid w:val="00A14D58"/>
    <w:rsid w:val="00A14E59"/>
    <w:rsid w:val="00A14F6D"/>
    <w:rsid w:val="00A1507A"/>
    <w:rsid w:val="00A150F5"/>
    <w:rsid w:val="00A15150"/>
    <w:rsid w:val="00A1532F"/>
    <w:rsid w:val="00A15352"/>
    <w:rsid w:val="00A15441"/>
    <w:rsid w:val="00A15634"/>
    <w:rsid w:val="00A156A5"/>
    <w:rsid w:val="00A156FF"/>
    <w:rsid w:val="00A157B0"/>
    <w:rsid w:val="00A157E4"/>
    <w:rsid w:val="00A158EA"/>
    <w:rsid w:val="00A15933"/>
    <w:rsid w:val="00A15BEB"/>
    <w:rsid w:val="00A15C56"/>
    <w:rsid w:val="00A15C64"/>
    <w:rsid w:val="00A161A2"/>
    <w:rsid w:val="00A16252"/>
    <w:rsid w:val="00A162E0"/>
    <w:rsid w:val="00A16492"/>
    <w:rsid w:val="00A16573"/>
    <w:rsid w:val="00A165A5"/>
    <w:rsid w:val="00A16699"/>
    <w:rsid w:val="00A16731"/>
    <w:rsid w:val="00A167BD"/>
    <w:rsid w:val="00A167EC"/>
    <w:rsid w:val="00A16822"/>
    <w:rsid w:val="00A168A4"/>
    <w:rsid w:val="00A16A1A"/>
    <w:rsid w:val="00A16B08"/>
    <w:rsid w:val="00A16C57"/>
    <w:rsid w:val="00A16D81"/>
    <w:rsid w:val="00A17093"/>
    <w:rsid w:val="00A170A0"/>
    <w:rsid w:val="00A17143"/>
    <w:rsid w:val="00A1719D"/>
    <w:rsid w:val="00A1720D"/>
    <w:rsid w:val="00A1732E"/>
    <w:rsid w:val="00A17647"/>
    <w:rsid w:val="00A17875"/>
    <w:rsid w:val="00A179D3"/>
    <w:rsid w:val="00A17DEB"/>
    <w:rsid w:val="00A17DEE"/>
    <w:rsid w:val="00A17E23"/>
    <w:rsid w:val="00A201D4"/>
    <w:rsid w:val="00A2022F"/>
    <w:rsid w:val="00A20253"/>
    <w:rsid w:val="00A2047E"/>
    <w:rsid w:val="00A20543"/>
    <w:rsid w:val="00A20671"/>
    <w:rsid w:val="00A2069A"/>
    <w:rsid w:val="00A206AE"/>
    <w:rsid w:val="00A207B9"/>
    <w:rsid w:val="00A20A13"/>
    <w:rsid w:val="00A20A7E"/>
    <w:rsid w:val="00A20B81"/>
    <w:rsid w:val="00A20DD9"/>
    <w:rsid w:val="00A20DDC"/>
    <w:rsid w:val="00A20F2D"/>
    <w:rsid w:val="00A20F60"/>
    <w:rsid w:val="00A20F95"/>
    <w:rsid w:val="00A214E3"/>
    <w:rsid w:val="00A21519"/>
    <w:rsid w:val="00A21569"/>
    <w:rsid w:val="00A2156E"/>
    <w:rsid w:val="00A215E0"/>
    <w:rsid w:val="00A21669"/>
    <w:rsid w:val="00A216E5"/>
    <w:rsid w:val="00A2176E"/>
    <w:rsid w:val="00A217A3"/>
    <w:rsid w:val="00A218B2"/>
    <w:rsid w:val="00A219DA"/>
    <w:rsid w:val="00A21D06"/>
    <w:rsid w:val="00A21EC6"/>
    <w:rsid w:val="00A21F37"/>
    <w:rsid w:val="00A22034"/>
    <w:rsid w:val="00A22116"/>
    <w:rsid w:val="00A2219F"/>
    <w:rsid w:val="00A2235D"/>
    <w:rsid w:val="00A2240D"/>
    <w:rsid w:val="00A2254B"/>
    <w:rsid w:val="00A22608"/>
    <w:rsid w:val="00A2278E"/>
    <w:rsid w:val="00A22935"/>
    <w:rsid w:val="00A2298B"/>
    <w:rsid w:val="00A229E1"/>
    <w:rsid w:val="00A229F0"/>
    <w:rsid w:val="00A22A9C"/>
    <w:rsid w:val="00A22C23"/>
    <w:rsid w:val="00A22C30"/>
    <w:rsid w:val="00A22D1D"/>
    <w:rsid w:val="00A22DBA"/>
    <w:rsid w:val="00A22DD8"/>
    <w:rsid w:val="00A22EA4"/>
    <w:rsid w:val="00A22EF9"/>
    <w:rsid w:val="00A23257"/>
    <w:rsid w:val="00A232C0"/>
    <w:rsid w:val="00A23445"/>
    <w:rsid w:val="00A236DA"/>
    <w:rsid w:val="00A23CA9"/>
    <w:rsid w:val="00A23CC0"/>
    <w:rsid w:val="00A23CC8"/>
    <w:rsid w:val="00A23E8C"/>
    <w:rsid w:val="00A23EE1"/>
    <w:rsid w:val="00A23EE9"/>
    <w:rsid w:val="00A23F35"/>
    <w:rsid w:val="00A23F39"/>
    <w:rsid w:val="00A23FBC"/>
    <w:rsid w:val="00A24147"/>
    <w:rsid w:val="00A241CA"/>
    <w:rsid w:val="00A2437C"/>
    <w:rsid w:val="00A243B2"/>
    <w:rsid w:val="00A24550"/>
    <w:rsid w:val="00A2475B"/>
    <w:rsid w:val="00A2478E"/>
    <w:rsid w:val="00A247A8"/>
    <w:rsid w:val="00A24878"/>
    <w:rsid w:val="00A248A5"/>
    <w:rsid w:val="00A24906"/>
    <w:rsid w:val="00A2498D"/>
    <w:rsid w:val="00A24A04"/>
    <w:rsid w:val="00A24B52"/>
    <w:rsid w:val="00A24B8A"/>
    <w:rsid w:val="00A24CCE"/>
    <w:rsid w:val="00A24CD9"/>
    <w:rsid w:val="00A24E24"/>
    <w:rsid w:val="00A25047"/>
    <w:rsid w:val="00A2505E"/>
    <w:rsid w:val="00A250C1"/>
    <w:rsid w:val="00A25105"/>
    <w:rsid w:val="00A25196"/>
    <w:rsid w:val="00A2542B"/>
    <w:rsid w:val="00A256C8"/>
    <w:rsid w:val="00A256F7"/>
    <w:rsid w:val="00A256FE"/>
    <w:rsid w:val="00A257C0"/>
    <w:rsid w:val="00A25877"/>
    <w:rsid w:val="00A25914"/>
    <w:rsid w:val="00A25AA5"/>
    <w:rsid w:val="00A25AD7"/>
    <w:rsid w:val="00A25D9B"/>
    <w:rsid w:val="00A25E68"/>
    <w:rsid w:val="00A25EE5"/>
    <w:rsid w:val="00A2605B"/>
    <w:rsid w:val="00A2610B"/>
    <w:rsid w:val="00A26149"/>
    <w:rsid w:val="00A26161"/>
    <w:rsid w:val="00A26301"/>
    <w:rsid w:val="00A263E1"/>
    <w:rsid w:val="00A263FF"/>
    <w:rsid w:val="00A264B4"/>
    <w:rsid w:val="00A266C6"/>
    <w:rsid w:val="00A26958"/>
    <w:rsid w:val="00A26D8D"/>
    <w:rsid w:val="00A26DB6"/>
    <w:rsid w:val="00A26E3F"/>
    <w:rsid w:val="00A26F2F"/>
    <w:rsid w:val="00A26FD2"/>
    <w:rsid w:val="00A2704F"/>
    <w:rsid w:val="00A2713D"/>
    <w:rsid w:val="00A271CB"/>
    <w:rsid w:val="00A27222"/>
    <w:rsid w:val="00A27500"/>
    <w:rsid w:val="00A2754E"/>
    <w:rsid w:val="00A27557"/>
    <w:rsid w:val="00A27689"/>
    <w:rsid w:val="00A2771F"/>
    <w:rsid w:val="00A27860"/>
    <w:rsid w:val="00A27961"/>
    <w:rsid w:val="00A27973"/>
    <w:rsid w:val="00A279D0"/>
    <w:rsid w:val="00A279F2"/>
    <w:rsid w:val="00A27AA8"/>
    <w:rsid w:val="00A27B63"/>
    <w:rsid w:val="00A27B89"/>
    <w:rsid w:val="00A27BF4"/>
    <w:rsid w:val="00A27CBD"/>
    <w:rsid w:val="00A27CF9"/>
    <w:rsid w:val="00A27EBA"/>
    <w:rsid w:val="00A30139"/>
    <w:rsid w:val="00A3013A"/>
    <w:rsid w:val="00A30202"/>
    <w:rsid w:val="00A30263"/>
    <w:rsid w:val="00A30289"/>
    <w:rsid w:val="00A30383"/>
    <w:rsid w:val="00A303FC"/>
    <w:rsid w:val="00A30416"/>
    <w:rsid w:val="00A3043F"/>
    <w:rsid w:val="00A3058B"/>
    <w:rsid w:val="00A305AF"/>
    <w:rsid w:val="00A306DE"/>
    <w:rsid w:val="00A30961"/>
    <w:rsid w:val="00A30A71"/>
    <w:rsid w:val="00A30AD6"/>
    <w:rsid w:val="00A30B02"/>
    <w:rsid w:val="00A30B4C"/>
    <w:rsid w:val="00A30BA5"/>
    <w:rsid w:val="00A30D15"/>
    <w:rsid w:val="00A30E29"/>
    <w:rsid w:val="00A3110D"/>
    <w:rsid w:val="00A31131"/>
    <w:rsid w:val="00A3136C"/>
    <w:rsid w:val="00A3146A"/>
    <w:rsid w:val="00A3152C"/>
    <w:rsid w:val="00A31778"/>
    <w:rsid w:val="00A3179E"/>
    <w:rsid w:val="00A317AB"/>
    <w:rsid w:val="00A318CC"/>
    <w:rsid w:val="00A31A97"/>
    <w:rsid w:val="00A31C19"/>
    <w:rsid w:val="00A31C41"/>
    <w:rsid w:val="00A31F28"/>
    <w:rsid w:val="00A32111"/>
    <w:rsid w:val="00A3212F"/>
    <w:rsid w:val="00A321AB"/>
    <w:rsid w:val="00A322D9"/>
    <w:rsid w:val="00A322F3"/>
    <w:rsid w:val="00A323B1"/>
    <w:rsid w:val="00A323CE"/>
    <w:rsid w:val="00A32406"/>
    <w:rsid w:val="00A325A4"/>
    <w:rsid w:val="00A3269C"/>
    <w:rsid w:val="00A3271B"/>
    <w:rsid w:val="00A32758"/>
    <w:rsid w:val="00A32821"/>
    <w:rsid w:val="00A32873"/>
    <w:rsid w:val="00A32A28"/>
    <w:rsid w:val="00A32A33"/>
    <w:rsid w:val="00A32C15"/>
    <w:rsid w:val="00A32CD1"/>
    <w:rsid w:val="00A32CD8"/>
    <w:rsid w:val="00A32D44"/>
    <w:rsid w:val="00A32D8A"/>
    <w:rsid w:val="00A32DFA"/>
    <w:rsid w:val="00A32ED8"/>
    <w:rsid w:val="00A3306D"/>
    <w:rsid w:val="00A3313E"/>
    <w:rsid w:val="00A33217"/>
    <w:rsid w:val="00A334B6"/>
    <w:rsid w:val="00A33712"/>
    <w:rsid w:val="00A33B56"/>
    <w:rsid w:val="00A33B5B"/>
    <w:rsid w:val="00A33B9C"/>
    <w:rsid w:val="00A33CAC"/>
    <w:rsid w:val="00A33CD4"/>
    <w:rsid w:val="00A33E3C"/>
    <w:rsid w:val="00A33E9E"/>
    <w:rsid w:val="00A33F95"/>
    <w:rsid w:val="00A33FAA"/>
    <w:rsid w:val="00A3435A"/>
    <w:rsid w:val="00A3441E"/>
    <w:rsid w:val="00A3442A"/>
    <w:rsid w:val="00A345E9"/>
    <w:rsid w:val="00A34608"/>
    <w:rsid w:val="00A3463C"/>
    <w:rsid w:val="00A34688"/>
    <w:rsid w:val="00A34736"/>
    <w:rsid w:val="00A3478D"/>
    <w:rsid w:val="00A34809"/>
    <w:rsid w:val="00A34905"/>
    <w:rsid w:val="00A34B37"/>
    <w:rsid w:val="00A34D11"/>
    <w:rsid w:val="00A34E72"/>
    <w:rsid w:val="00A34E8E"/>
    <w:rsid w:val="00A34FA7"/>
    <w:rsid w:val="00A352F6"/>
    <w:rsid w:val="00A354C9"/>
    <w:rsid w:val="00A355D7"/>
    <w:rsid w:val="00A3569C"/>
    <w:rsid w:val="00A357D4"/>
    <w:rsid w:val="00A35920"/>
    <w:rsid w:val="00A359C3"/>
    <w:rsid w:val="00A35B6E"/>
    <w:rsid w:val="00A35C04"/>
    <w:rsid w:val="00A35C63"/>
    <w:rsid w:val="00A35CA5"/>
    <w:rsid w:val="00A35CE7"/>
    <w:rsid w:val="00A35D81"/>
    <w:rsid w:val="00A35F19"/>
    <w:rsid w:val="00A36197"/>
    <w:rsid w:val="00A36239"/>
    <w:rsid w:val="00A3645D"/>
    <w:rsid w:val="00A36567"/>
    <w:rsid w:val="00A36B61"/>
    <w:rsid w:val="00A36B7F"/>
    <w:rsid w:val="00A36DEB"/>
    <w:rsid w:val="00A36EB9"/>
    <w:rsid w:val="00A36FBC"/>
    <w:rsid w:val="00A3700D"/>
    <w:rsid w:val="00A3707F"/>
    <w:rsid w:val="00A370DA"/>
    <w:rsid w:val="00A371B4"/>
    <w:rsid w:val="00A37262"/>
    <w:rsid w:val="00A37450"/>
    <w:rsid w:val="00A37746"/>
    <w:rsid w:val="00A37747"/>
    <w:rsid w:val="00A37874"/>
    <w:rsid w:val="00A37983"/>
    <w:rsid w:val="00A379BF"/>
    <w:rsid w:val="00A37BA4"/>
    <w:rsid w:val="00A37D96"/>
    <w:rsid w:val="00A37DA1"/>
    <w:rsid w:val="00A37E4C"/>
    <w:rsid w:val="00A37E6D"/>
    <w:rsid w:val="00A37F60"/>
    <w:rsid w:val="00A37F71"/>
    <w:rsid w:val="00A37F90"/>
    <w:rsid w:val="00A40158"/>
    <w:rsid w:val="00A402EC"/>
    <w:rsid w:val="00A4047A"/>
    <w:rsid w:val="00A40509"/>
    <w:rsid w:val="00A40580"/>
    <w:rsid w:val="00A406DA"/>
    <w:rsid w:val="00A40871"/>
    <w:rsid w:val="00A40911"/>
    <w:rsid w:val="00A40932"/>
    <w:rsid w:val="00A40E09"/>
    <w:rsid w:val="00A40E7A"/>
    <w:rsid w:val="00A4105E"/>
    <w:rsid w:val="00A4108D"/>
    <w:rsid w:val="00A4113D"/>
    <w:rsid w:val="00A41223"/>
    <w:rsid w:val="00A412BA"/>
    <w:rsid w:val="00A412E7"/>
    <w:rsid w:val="00A41541"/>
    <w:rsid w:val="00A4162C"/>
    <w:rsid w:val="00A416AD"/>
    <w:rsid w:val="00A418BB"/>
    <w:rsid w:val="00A41A90"/>
    <w:rsid w:val="00A41A9A"/>
    <w:rsid w:val="00A41D37"/>
    <w:rsid w:val="00A41DBC"/>
    <w:rsid w:val="00A41FBE"/>
    <w:rsid w:val="00A42013"/>
    <w:rsid w:val="00A42064"/>
    <w:rsid w:val="00A42330"/>
    <w:rsid w:val="00A42562"/>
    <w:rsid w:val="00A42698"/>
    <w:rsid w:val="00A426A7"/>
    <w:rsid w:val="00A4270D"/>
    <w:rsid w:val="00A428BD"/>
    <w:rsid w:val="00A42AD2"/>
    <w:rsid w:val="00A42D49"/>
    <w:rsid w:val="00A42E83"/>
    <w:rsid w:val="00A42F37"/>
    <w:rsid w:val="00A42F4F"/>
    <w:rsid w:val="00A42F6F"/>
    <w:rsid w:val="00A42F73"/>
    <w:rsid w:val="00A430DC"/>
    <w:rsid w:val="00A43281"/>
    <w:rsid w:val="00A4348F"/>
    <w:rsid w:val="00A434B3"/>
    <w:rsid w:val="00A436A5"/>
    <w:rsid w:val="00A437DF"/>
    <w:rsid w:val="00A43B7E"/>
    <w:rsid w:val="00A43DE1"/>
    <w:rsid w:val="00A43EDA"/>
    <w:rsid w:val="00A43FAF"/>
    <w:rsid w:val="00A44014"/>
    <w:rsid w:val="00A4405A"/>
    <w:rsid w:val="00A44071"/>
    <w:rsid w:val="00A44103"/>
    <w:rsid w:val="00A441B3"/>
    <w:rsid w:val="00A441DA"/>
    <w:rsid w:val="00A4427D"/>
    <w:rsid w:val="00A44499"/>
    <w:rsid w:val="00A445A4"/>
    <w:rsid w:val="00A44A9A"/>
    <w:rsid w:val="00A44AB5"/>
    <w:rsid w:val="00A44B3C"/>
    <w:rsid w:val="00A44B64"/>
    <w:rsid w:val="00A44CA8"/>
    <w:rsid w:val="00A44DA7"/>
    <w:rsid w:val="00A44E11"/>
    <w:rsid w:val="00A44F15"/>
    <w:rsid w:val="00A44FFC"/>
    <w:rsid w:val="00A4503D"/>
    <w:rsid w:val="00A451F9"/>
    <w:rsid w:val="00A45211"/>
    <w:rsid w:val="00A45422"/>
    <w:rsid w:val="00A454E5"/>
    <w:rsid w:val="00A454FE"/>
    <w:rsid w:val="00A45580"/>
    <w:rsid w:val="00A45815"/>
    <w:rsid w:val="00A45950"/>
    <w:rsid w:val="00A45B91"/>
    <w:rsid w:val="00A45BCB"/>
    <w:rsid w:val="00A45C46"/>
    <w:rsid w:val="00A45C6A"/>
    <w:rsid w:val="00A45D9A"/>
    <w:rsid w:val="00A45E3C"/>
    <w:rsid w:val="00A45EC9"/>
    <w:rsid w:val="00A45ED0"/>
    <w:rsid w:val="00A46037"/>
    <w:rsid w:val="00A4629B"/>
    <w:rsid w:val="00A4656E"/>
    <w:rsid w:val="00A46E11"/>
    <w:rsid w:val="00A471AE"/>
    <w:rsid w:val="00A471CF"/>
    <w:rsid w:val="00A472DC"/>
    <w:rsid w:val="00A473B6"/>
    <w:rsid w:val="00A473F0"/>
    <w:rsid w:val="00A474AB"/>
    <w:rsid w:val="00A474EF"/>
    <w:rsid w:val="00A4763E"/>
    <w:rsid w:val="00A4767A"/>
    <w:rsid w:val="00A477D6"/>
    <w:rsid w:val="00A47969"/>
    <w:rsid w:val="00A47A67"/>
    <w:rsid w:val="00A47B62"/>
    <w:rsid w:val="00A47C18"/>
    <w:rsid w:val="00A47DF1"/>
    <w:rsid w:val="00A47EFD"/>
    <w:rsid w:val="00A47F47"/>
    <w:rsid w:val="00A47FBA"/>
    <w:rsid w:val="00A50035"/>
    <w:rsid w:val="00A50367"/>
    <w:rsid w:val="00A50549"/>
    <w:rsid w:val="00A50653"/>
    <w:rsid w:val="00A506FF"/>
    <w:rsid w:val="00A50736"/>
    <w:rsid w:val="00A50806"/>
    <w:rsid w:val="00A50873"/>
    <w:rsid w:val="00A50CD9"/>
    <w:rsid w:val="00A50D2E"/>
    <w:rsid w:val="00A50DF1"/>
    <w:rsid w:val="00A51079"/>
    <w:rsid w:val="00A511D8"/>
    <w:rsid w:val="00A51222"/>
    <w:rsid w:val="00A51271"/>
    <w:rsid w:val="00A51300"/>
    <w:rsid w:val="00A51374"/>
    <w:rsid w:val="00A513A8"/>
    <w:rsid w:val="00A51763"/>
    <w:rsid w:val="00A517A4"/>
    <w:rsid w:val="00A518D2"/>
    <w:rsid w:val="00A51AA5"/>
    <w:rsid w:val="00A51B65"/>
    <w:rsid w:val="00A51D95"/>
    <w:rsid w:val="00A5209B"/>
    <w:rsid w:val="00A521B3"/>
    <w:rsid w:val="00A5226C"/>
    <w:rsid w:val="00A5229C"/>
    <w:rsid w:val="00A52402"/>
    <w:rsid w:val="00A52636"/>
    <w:rsid w:val="00A526F5"/>
    <w:rsid w:val="00A52804"/>
    <w:rsid w:val="00A52B3D"/>
    <w:rsid w:val="00A52B85"/>
    <w:rsid w:val="00A52B86"/>
    <w:rsid w:val="00A52BE4"/>
    <w:rsid w:val="00A52BED"/>
    <w:rsid w:val="00A52C6C"/>
    <w:rsid w:val="00A52CAF"/>
    <w:rsid w:val="00A52E9B"/>
    <w:rsid w:val="00A52EB8"/>
    <w:rsid w:val="00A52EF1"/>
    <w:rsid w:val="00A53162"/>
    <w:rsid w:val="00A531A4"/>
    <w:rsid w:val="00A531CD"/>
    <w:rsid w:val="00A533CA"/>
    <w:rsid w:val="00A53497"/>
    <w:rsid w:val="00A53734"/>
    <w:rsid w:val="00A537CD"/>
    <w:rsid w:val="00A537CF"/>
    <w:rsid w:val="00A5393D"/>
    <w:rsid w:val="00A539FC"/>
    <w:rsid w:val="00A53B62"/>
    <w:rsid w:val="00A53C25"/>
    <w:rsid w:val="00A53C49"/>
    <w:rsid w:val="00A53CA1"/>
    <w:rsid w:val="00A53CBF"/>
    <w:rsid w:val="00A53CEC"/>
    <w:rsid w:val="00A53D58"/>
    <w:rsid w:val="00A54020"/>
    <w:rsid w:val="00A54041"/>
    <w:rsid w:val="00A540B0"/>
    <w:rsid w:val="00A54298"/>
    <w:rsid w:val="00A5439D"/>
    <w:rsid w:val="00A54452"/>
    <w:rsid w:val="00A5447A"/>
    <w:rsid w:val="00A5466A"/>
    <w:rsid w:val="00A5468A"/>
    <w:rsid w:val="00A54714"/>
    <w:rsid w:val="00A54979"/>
    <w:rsid w:val="00A54AFA"/>
    <w:rsid w:val="00A54B36"/>
    <w:rsid w:val="00A54B9A"/>
    <w:rsid w:val="00A54BE1"/>
    <w:rsid w:val="00A54D4C"/>
    <w:rsid w:val="00A54E6D"/>
    <w:rsid w:val="00A54EE2"/>
    <w:rsid w:val="00A54F71"/>
    <w:rsid w:val="00A550DB"/>
    <w:rsid w:val="00A551ED"/>
    <w:rsid w:val="00A5529A"/>
    <w:rsid w:val="00A55316"/>
    <w:rsid w:val="00A555E4"/>
    <w:rsid w:val="00A55729"/>
    <w:rsid w:val="00A55775"/>
    <w:rsid w:val="00A5584A"/>
    <w:rsid w:val="00A558AF"/>
    <w:rsid w:val="00A559DF"/>
    <w:rsid w:val="00A55A74"/>
    <w:rsid w:val="00A55D51"/>
    <w:rsid w:val="00A55DDB"/>
    <w:rsid w:val="00A55E53"/>
    <w:rsid w:val="00A55F29"/>
    <w:rsid w:val="00A55FD9"/>
    <w:rsid w:val="00A5609B"/>
    <w:rsid w:val="00A561DA"/>
    <w:rsid w:val="00A56367"/>
    <w:rsid w:val="00A56414"/>
    <w:rsid w:val="00A56440"/>
    <w:rsid w:val="00A5649F"/>
    <w:rsid w:val="00A564A9"/>
    <w:rsid w:val="00A5666E"/>
    <w:rsid w:val="00A56674"/>
    <w:rsid w:val="00A56683"/>
    <w:rsid w:val="00A566B1"/>
    <w:rsid w:val="00A5670A"/>
    <w:rsid w:val="00A567F9"/>
    <w:rsid w:val="00A56926"/>
    <w:rsid w:val="00A56962"/>
    <w:rsid w:val="00A56975"/>
    <w:rsid w:val="00A569A9"/>
    <w:rsid w:val="00A569CB"/>
    <w:rsid w:val="00A56A76"/>
    <w:rsid w:val="00A56B27"/>
    <w:rsid w:val="00A56B3C"/>
    <w:rsid w:val="00A56E77"/>
    <w:rsid w:val="00A5703F"/>
    <w:rsid w:val="00A57061"/>
    <w:rsid w:val="00A570BC"/>
    <w:rsid w:val="00A5715E"/>
    <w:rsid w:val="00A57227"/>
    <w:rsid w:val="00A5726A"/>
    <w:rsid w:val="00A57275"/>
    <w:rsid w:val="00A572B4"/>
    <w:rsid w:val="00A572E5"/>
    <w:rsid w:val="00A57324"/>
    <w:rsid w:val="00A57350"/>
    <w:rsid w:val="00A573AD"/>
    <w:rsid w:val="00A574A1"/>
    <w:rsid w:val="00A574CF"/>
    <w:rsid w:val="00A576AD"/>
    <w:rsid w:val="00A5772F"/>
    <w:rsid w:val="00A57746"/>
    <w:rsid w:val="00A57794"/>
    <w:rsid w:val="00A577B3"/>
    <w:rsid w:val="00A5788D"/>
    <w:rsid w:val="00A57B40"/>
    <w:rsid w:val="00A57BAA"/>
    <w:rsid w:val="00A57C17"/>
    <w:rsid w:val="00A57C8C"/>
    <w:rsid w:val="00A57D06"/>
    <w:rsid w:val="00A57D1E"/>
    <w:rsid w:val="00A57DAF"/>
    <w:rsid w:val="00A57F05"/>
    <w:rsid w:val="00A60316"/>
    <w:rsid w:val="00A604A3"/>
    <w:rsid w:val="00A60504"/>
    <w:rsid w:val="00A60855"/>
    <w:rsid w:val="00A60922"/>
    <w:rsid w:val="00A60A80"/>
    <w:rsid w:val="00A60B63"/>
    <w:rsid w:val="00A60BEF"/>
    <w:rsid w:val="00A60C5F"/>
    <w:rsid w:val="00A60C65"/>
    <w:rsid w:val="00A60C93"/>
    <w:rsid w:val="00A60EC8"/>
    <w:rsid w:val="00A610E6"/>
    <w:rsid w:val="00A61273"/>
    <w:rsid w:val="00A6153E"/>
    <w:rsid w:val="00A6186D"/>
    <w:rsid w:val="00A6191E"/>
    <w:rsid w:val="00A61970"/>
    <w:rsid w:val="00A61A6D"/>
    <w:rsid w:val="00A61BF5"/>
    <w:rsid w:val="00A61C4A"/>
    <w:rsid w:val="00A61CDE"/>
    <w:rsid w:val="00A61D83"/>
    <w:rsid w:val="00A61E6A"/>
    <w:rsid w:val="00A61EC3"/>
    <w:rsid w:val="00A61F12"/>
    <w:rsid w:val="00A6208E"/>
    <w:rsid w:val="00A620E2"/>
    <w:rsid w:val="00A6211A"/>
    <w:rsid w:val="00A6215E"/>
    <w:rsid w:val="00A6241D"/>
    <w:rsid w:val="00A6254C"/>
    <w:rsid w:val="00A6257B"/>
    <w:rsid w:val="00A62AA3"/>
    <w:rsid w:val="00A62AE7"/>
    <w:rsid w:val="00A62BAA"/>
    <w:rsid w:val="00A62BAF"/>
    <w:rsid w:val="00A62BB4"/>
    <w:rsid w:val="00A62C90"/>
    <w:rsid w:val="00A62C98"/>
    <w:rsid w:val="00A62DB9"/>
    <w:rsid w:val="00A62DCF"/>
    <w:rsid w:val="00A62E8C"/>
    <w:rsid w:val="00A62E9A"/>
    <w:rsid w:val="00A62F90"/>
    <w:rsid w:val="00A63128"/>
    <w:rsid w:val="00A634A9"/>
    <w:rsid w:val="00A635DE"/>
    <w:rsid w:val="00A6379B"/>
    <w:rsid w:val="00A63B0A"/>
    <w:rsid w:val="00A63C70"/>
    <w:rsid w:val="00A63DAE"/>
    <w:rsid w:val="00A63EE9"/>
    <w:rsid w:val="00A63F30"/>
    <w:rsid w:val="00A63FB5"/>
    <w:rsid w:val="00A63FF8"/>
    <w:rsid w:val="00A64187"/>
    <w:rsid w:val="00A644C5"/>
    <w:rsid w:val="00A64726"/>
    <w:rsid w:val="00A6475C"/>
    <w:rsid w:val="00A64819"/>
    <w:rsid w:val="00A6484B"/>
    <w:rsid w:val="00A6489D"/>
    <w:rsid w:val="00A649F7"/>
    <w:rsid w:val="00A64A0B"/>
    <w:rsid w:val="00A64A4D"/>
    <w:rsid w:val="00A64BF1"/>
    <w:rsid w:val="00A64CF9"/>
    <w:rsid w:val="00A64D43"/>
    <w:rsid w:val="00A64E5A"/>
    <w:rsid w:val="00A64E61"/>
    <w:rsid w:val="00A65072"/>
    <w:rsid w:val="00A65085"/>
    <w:rsid w:val="00A65112"/>
    <w:rsid w:val="00A6518F"/>
    <w:rsid w:val="00A651AA"/>
    <w:rsid w:val="00A6529E"/>
    <w:rsid w:val="00A6532D"/>
    <w:rsid w:val="00A65359"/>
    <w:rsid w:val="00A65509"/>
    <w:rsid w:val="00A65621"/>
    <w:rsid w:val="00A65638"/>
    <w:rsid w:val="00A656EB"/>
    <w:rsid w:val="00A65723"/>
    <w:rsid w:val="00A658AF"/>
    <w:rsid w:val="00A658F1"/>
    <w:rsid w:val="00A659A3"/>
    <w:rsid w:val="00A65A6C"/>
    <w:rsid w:val="00A65ACE"/>
    <w:rsid w:val="00A65B00"/>
    <w:rsid w:val="00A65D56"/>
    <w:rsid w:val="00A65DC7"/>
    <w:rsid w:val="00A65DCB"/>
    <w:rsid w:val="00A65F88"/>
    <w:rsid w:val="00A660FB"/>
    <w:rsid w:val="00A661FD"/>
    <w:rsid w:val="00A663E2"/>
    <w:rsid w:val="00A665A1"/>
    <w:rsid w:val="00A66632"/>
    <w:rsid w:val="00A66701"/>
    <w:rsid w:val="00A66727"/>
    <w:rsid w:val="00A668D5"/>
    <w:rsid w:val="00A668F0"/>
    <w:rsid w:val="00A669E1"/>
    <w:rsid w:val="00A66A4B"/>
    <w:rsid w:val="00A66B04"/>
    <w:rsid w:val="00A66C96"/>
    <w:rsid w:val="00A66D47"/>
    <w:rsid w:val="00A66F6D"/>
    <w:rsid w:val="00A6701B"/>
    <w:rsid w:val="00A670F5"/>
    <w:rsid w:val="00A6713E"/>
    <w:rsid w:val="00A6732D"/>
    <w:rsid w:val="00A674AE"/>
    <w:rsid w:val="00A674F3"/>
    <w:rsid w:val="00A67591"/>
    <w:rsid w:val="00A678C2"/>
    <w:rsid w:val="00A6792A"/>
    <w:rsid w:val="00A6796A"/>
    <w:rsid w:val="00A67B7D"/>
    <w:rsid w:val="00A67BFD"/>
    <w:rsid w:val="00A67D9B"/>
    <w:rsid w:val="00A67DD5"/>
    <w:rsid w:val="00A67EDC"/>
    <w:rsid w:val="00A67F60"/>
    <w:rsid w:val="00A70110"/>
    <w:rsid w:val="00A70184"/>
    <w:rsid w:val="00A701F5"/>
    <w:rsid w:val="00A70241"/>
    <w:rsid w:val="00A702C3"/>
    <w:rsid w:val="00A7031B"/>
    <w:rsid w:val="00A70505"/>
    <w:rsid w:val="00A706F3"/>
    <w:rsid w:val="00A70717"/>
    <w:rsid w:val="00A707F3"/>
    <w:rsid w:val="00A708AA"/>
    <w:rsid w:val="00A70986"/>
    <w:rsid w:val="00A709A0"/>
    <w:rsid w:val="00A70A0E"/>
    <w:rsid w:val="00A70ABD"/>
    <w:rsid w:val="00A70CCC"/>
    <w:rsid w:val="00A70E2E"/>
    <w:rsid w:val="00A70E64"/>
    <w:rsid w:val="00A70FDC"/>
    <w:rsid w:val="00A7103F"/>
    <w:rsid w:val="00A71060"/>
    <w:rsid w:val="00A7112A"/>
    <w:rsid w:val="00A71186"/>
    <w:rsid w:val="00A7119C"/>
    <w:rsid w:val="00A71260"/>
    <w:rsid w:val="00A7127F"/>
    <w:rsid w:val="00A712D0"/>
    <w:rsid w:val="00A713FC"/>
    <w:rsid w:val="00A714D5"/>
    <w:rsid w:val="00A7159A"/>
    <w:rsid w:val="00A71765"/>
    <w:rsid w:val="00A717B3"/>
    <w:rsid w:val="00A71B67"/>
    <w:rsid w:val="00A71C40"/>
    <w:rsid w:val="00A71D11"/>
    <w:rsid w:val="00A71D7C"/>
    <w:rsid w:val="00A71E14"/>
    <w:rsid w:val="00A7218B"/>
    <w:rsid w:val="00A7221E"/>
    <w:rsid w:val="00A72251"/>
    <w:rsid w:val="00A725C9"/>
    <w:rsid w:val="00A725D1"/>
    <w:rsid w:val="00A72773"/>
    <w:rsid w:val="00A72889"/>
    <w:rsid w:val="00A7292F"/>
    <w:rsid w:val="00A729D7"/>
    <w:rsid w:val="00A72A1F"/>
    <w:rsid w:val="00A72A78"/>
    <w:rsid w:val="00A72B8A"/>
    <w:rsid w:val="00A72E76"/>
    <w:rsid w:val="00A730A3"/>
    <w:rsid w:val="00A731AD"/>
    <w:rsid w:val="00A731F9"/>
    <w:rsid w:val="00A732E9"/>
    <w:rsid w:val="00A73367"/>
    <w:rsid w:val="00A733AC"/>
    <w:rsid w:val="00A7347B"/>
    <w:rsid w:val="00A734EB"/>
    <w:rsid w:val="00A735C1"/>
    <w:rsid w:val="00A737AE"/>
    <w:rsid w:val="00A7391C"/>
    <w:rsid w:val="00A739B5"/>
    <w:rsid w:val="00A73AC0"/>
    <w:rsid w:val="00A73D27"/>
    <w:rsid w:val="00A73D37"/>
    <w:rsid w:val="00A73D44"/>
    <w:rsid w:val="00A73E46"/>
    <w:rsid w:val="00A73EE3"/>
    <w:rsid w:val="00A7402C"/>
    <w:rsid w:val="00A74090"/>
    <w:rsid w:val="00A74097"/>
    <w:rsid w:val="00A7412E"/>
    <w:rsid w:val="00A74391"/>
    <w:rsid w:val="00A7446E"/>
    <w:rsid w:val="00A7448B"/>
    <w:rsid w:val="00A744C6"/>
    <w:rsid w:val="00A745BB"/>
    <w:rsid w:val="00A747C3"/>
    <w:rsid w:val="00A747CE"/>
    <w:rsid w:val="00A74855"/>
    <w:rsid w:val="00A74AD7"/>
    <w:rsid w:val="00A74BF9"/>
    <w:rsid w:val="00A74D38"/>
    <w:rsid w:val="00A74D54"/>
    <w:rsid w:val="00A74F97"/>
    <w:rsid w:val="00A75005"/>
    <w:rsid w:val="00A7505F"/>
    <w:rsid w:val="00A753B4"/>
    <w:rsid w:val="00A7550A"/>
    <w:rsid w:val="00A75519"/>
    <w:rsid w:val="00A7561A"/>
    <w:rsid w:val="00A7562E"/>
    <w:rsid w:val="00A759CF"/>
    <w:rsid w:val="00A75A06"/>
    <w:rsid w:val="00A75B03"/>
    <w:rsid w:val="00A75B0C"/>
    <w:rsid w:val="00A75B7C"/>
    <w:rsid w:val="00A75BFC"/>
    <w:rsid w:val="00A75C03"/>
    <w:rsid w:val="00A75CC9"/>
    <w:rsid w:val="00A75CCF"/>
    <w:rsid w:val="00A75D3B"/>
    <w:rsid w:val="00A75DCB"/>
    <w:rsid w:val="00A7618D"/>
    <w:rsid w:val="00A763C4"/>
    <w:rsid w:val="00A76431"/>
    <w:rsid w:val="00A76968"/>
    <w:rsid w:val="00A76BBB"/>
    <w:rsid w:val="00A76C25"/>
    <w:rsid w:val="00A76E36"/>
    <w:rsid w:val="00A76FD4"/>
    <w:rsid w:val="00A770D4"/>
    <w:rsid w:val="00A77299"/>
    <w:rsid w:val="00A7742C"/>
    <w:rsid w:val="00A77463"/>
    <w:rsid w:val="00A77577"/>
    <w:rsid w:val="00A775F8"/>
    <w:rsid w:val="00A7765A"/>
    <w:rsid w:val="00A777AF"/>
    <w:rsid w:val="00A778B2"/>
    <w:rsid w:val="00A77909"/>
    <w:rsid w:val="00A77975"/>
    <w:rsid w:val="00A77A1D"/>
    <w:rsid w:val="00A77BB9"/>
    <w:rsid w:val="00A77E54"/>
    <w:rsid w:val="00A80139"/>
    <w:rsid w:val="00A80294"/>
    <w:rsid w:val="00A802CF"/>
    <w:rsid w:val="00A802D5"/>
    <w:rsid w:val="00A804B3"/>
    <w:rsid w:val="00A80502"/>
    <w:rsid w:val="00A805BF"/>
    <w:rsid w:val="00A80674"/>
    <w:rsid w:val="00A80675"/>
    <w:rsid w:val="00A8071C"/>
    <w:rsid w:val="00A8073F"/>
    <w:rsid w:val="00A80978"/>
    <w:rsid w:val="00A80B0D"/>
    <w:rsid w:val="00A80BF1"/>
    <w:rsid w:val="00A80CBE"/>
    <w:rsid w:val="00A81105"/>
    <w:rsid w:val="00A81147"/>
    <w:rsid w:val="00A81162"/>
    <w:rsid w:val="00A81241"/>
    <w:rsid w:val="00A81245"/>
    <w:rsid w:val="00A812B3"/>
    <w:rsid w:val="00A81605"/>
    <w:rsid w:val="00A816FF"/>
    <w:rsid w:val="00A8183A"/>
    <w:rsid w:val="00A81B89"/>
    <w:rsid w:val="00A81D11"/>
    <w:rsid w:val="00A81FA2"/>
    <w:rsid w:val="00A81FDE"/>
    <w:rsid w:val="00A81FF6"/>
    <w:rsid w:val="00A82074"/>
    <w:rsid w:val="00A8207A"/>
    <w:rsid w:val="00A82133"/>
    <w:rsid w:val="00A82185"/>
    <w:rsid w:val="00A821ED"/>
    <w:rsid w:val="00A82380"/>
    <w:rsid w:val="00A8249B"/>
    <w:rsid w:val="00A82590"/>
    <w:rsid w:val="00A82607"/>
    <w:rsid w:val="00A826AE"/>
    <w:rsid w:val="00A828C9"/>
    <w:rsid w:val="00A82A62"/>
    <w:rsid w:val="00A82C91"/>
    <w:rsid w:val="00A82D5C"/>
    <w:rsid w:val="00A82E51"/>
    <w:rsid w:val="00A82E9D"/>
    <w:rsid w:val="00A82F9D"/>
    <w:rsid w:val="00A8311D"/>
    <w:rsid w:val="00A832C3"/>
    <w:rsid w:val="00A8338F"/>
    <w:rsid w:val="00A83403"/>
    <w:rsid w:val="00A8358E"/>
    <w:rsid w:val="00A83714"/>
    <w:rsid w:val="00A83761"/>
    <w:rsid w:val="00A83849"/>
    <w:rsid w:val="00A839E9"/>
    <w:rsid w:val="00A83A7E"/>
    <w:rsid w:val="00A83B4E"/>
    <w:rsid w:val="00A83B91"/>
    <w:rsid w:val="00A83CAE"/>
    <w:rsid w:val="00A83D66"/>
    <w:rsid w:val="00A83DE6"/>
    <w:rsid w:val="00A83E27"/>
    <w:rsid w:val="00A83E9A"/>
    <w:rsid w:val="00A83EAB"/>
    <w:rsid w:val="00A83EE0"/>
    <w:rsid w:val="00A83F15"/>
    <w:rsid w:val="00A83F7A"/>
    <w:rsid w:val="00A84080"/>
    <w:rsid w:val="00A840CA"/>
    <w:rsid w:val="00A84128"/>
    <w:rsid w:val="00A8438D"/>
    <w:rsid w:val="00A844F0"/>
    <w:rsid w:val="00A84598"/>
    <w:rsid w:val="00A8461B"/>
    <w:rsid w:val="00A8468A"/>
    <w:rsid w:val="00A846D6"/>
    <w:rsid w:val="00A847A4"/>
    <w:rsid w:val="00A847CB"/>
    <w:rsid w:val="00A847D8"/>
    <w:rsid w:val="00A84897"/>
    <w:rsid w:val="00A848AA"/>
    <w:rsid w:val="00A849EC"/>
    <w:rsid w:val="00A84B17"/>
    <w:rsid w:val="00A84CCF"/>
    <w:rsid w:val="00A84EF8"/>
    <w:rsid w:val="00A84F68"/>
    <w:rsid w:val="00A84FB3"/>
    <w:rsid w:val="00A851AB"/>
    <w:rsid w:val="00A8533B"/>
    <w:rsid w:val="00A8543B"/>
    <w:rsid w:val="00A85588"/>
    <w:rsid w:val="00A855A9"/>
    <w:rsid w:val="00A85859"/>
    <w:rsid w:val="00A85901"/>
    <w:rsid w:val="00A85CCC"/>
    <w:rsid w:val="00A85CFE"/>
    <w:rsid w:val="00A85DC1"/>
    <w:rsid w:val="00A85E1B"/>
    <w:rsid w:val="00A85E80"/>
    <w:rsid w:val="00A85EB6"/>
    <w:rsid w:val="00A85FE3"/>
    <w:rsid w:val="00A86051"/>
    <w:rsid w:val="00A8625F"/>
    <w:rsid w:val="00A86409"/>
    <w:rsid w:val="00A86527"/>
    <w:rsid w:val="00A86603"/>
    <w:rsid w:val="00A8660B"/>
    <w:rsid w:val="00A866E9"/>
    <w:rsid w:val="00A867C9"/>
    <w:rsid w:val="00A8680B"/>
    <w:rsid w:val="00A86938"/>
    <w:rsid w:val="00A86993"/>
    <w:rsid w:val="00A869BA"/>
    <w:rsid w:val="00A869C8"/>
    <w:rsid w:val="00A86A1A"/>
    <w:rsid w:val="00A86A39"/>
    <w:rsid w:val="00A86B01"/>
    <w:rsid w:val="00A86B1C"/>
    <w:rsid w:val="00A86BF0"/>
    <w:rsid w:val="00A86D0F"/>
    <w:rsid w:val="00A86F46"/>
    <w:rsid w:val="00A86FEA"/>
    <w:rsid w:val="00A86FF4"/>
    <w:rsid w:val="00A87105"/>
    <w:rsid w:val="00A87198"/>
    <w:rsid w:val="00A872F4"/>
    <w:rsid w:val="00A87340"/>
    <w:rsid w:val="00A87546"/>
    <w:rsid w:val="00A876E3"/>
    <w:rsid w:val="00A879C0"/>
    <w:rsid w:val="00A87AB4"/>
    <w:rsid w:val="00A87CB6"/>
    <w:rsid w:val="00A87D47"/>
    <w:rsid w:val="00A87D6C"/>
    <w:rsid w:val="00A87EF0"/>
    <w:rsid w:val="00A87F8E"/>
    <w:rsid w:val="00A87FAE"/>
    <w:rsid w:val="00A9008C"/>
    <w:rsid w:val="00A90151"/>
    <w:rsid w:val="00A90256"/>
    <w:rsid w:val="00A90566"/>
    <w:rsid w:val="00A905DF"/>
    <w:rsid w:val="00A9066B"/>
    <w:rsid w:val="00A90913"/>
    <w:rsid w:val="00A90B57"/>
    <w:rsid w:val="00A90CCB"/>
    <w:rsid w:val="00A90CD7"/>
    <w:rsid w:val="00A90D13"/>
    <w:rsid w:val="00A90D9A"/>
    <w:rsid w:val="00A90EE4"/>
    <w:rsid w:val="00A90F1E"/>
    <w:rsid w:val="00A90F96"/>
    <w:rsid w:val="00A91244"/>
    <w:rsid w:val="00A91551"/>
    <w:rsid w:val="00A918F2"/>
    <w:rsid w:val="00A918F3"/>
    <w:rsid w:val="00A91ABF"/>
    <w:rsid w:val="00A91AC6"/>
    <w:rsid w:val="00A91CA8"/>
    <w:rsid w:val="00A91D0A"/>
    <w:rsid w:val="00A91E50"/>
    <w:rsid w:val="00A9211A"/>
    <w:rsid w:val="00A921FB"/>
    <w:rsid w:val="00A92492"/>
    <w:rsid w:val="00A9272B"/>
    <w:rsid w:val="00A927CE"/>
    <w:rsid w:val="00A927D3"/>
    <w:rsid w:val="00A92814"/>
    <w:rsid w:val="00A92846"/>
    <w:rsid w:val="00A9295F"/>
    <w:rsid w:val="00A92A16"/>
    <w:rsid w:val="00A92AEC"/>
    <w:rsid w:val="00A92B0E"/>
    <w:rsid w:val="00A92B1F"/>
    <w:rsid w:val="00A92B30"/>
    <w:rsid w:val="00A92BBC"/>
    <w:rsid w:val="00A92C6A"/>
    <w:rsid w:val="00A931A7"/>
    <w:rsid w:val="00A9345F"/>
    <w:rsid w:val="00A9349A"/>
    <w:rsid w:val="00A934FF"/>
    <w:rsid w:val="00A9359B"/>
    <w:rsid w:val="00A936B7"/>
    <w:rsid w:val="00A936D3"/>
    <w:rsid w:val="00A93988"/>
    <w:rsid w:val="00A939E3"/>
    <w:rsid w:val="00A93A20"/>
    <w:rsid w:val="00A93A21"/>
    <w:rsid w:val="00A93AFB"/>
    <w:rsid w:val="00A93B2E"/>
    <w:rsid w:val="00A93C19"/>
    <w:rsid w:val="00A93D3E"/>
    <w:rsid w:val="00A93D8F"/>
    <w:rsid w:val="00A93DE7"/>
    <w:rsid w:val="00A93E4A"/>
    <w:rsid w:val="00A93F48"/>
    <w:rsid w:val="00A93FC4"/>
    <w:rsid w:val="00A94169"/>
    <w:rsid w:val="00A944FE"/>
    <w:rsid w:val="00A94677"/>
    <w:rsid w:val="00A94860"/>
    <w:rsid w:val="00A94970"/>
    <w:rsid w:val="00A94D3C"/>
    <w:rsid w:val="00A94EB1"/>
    <w:rsid w:val="00A950CE"/>
    <w:rsid w:val="00A951C8"/>
    <w:rsid w:val="00A951D0"/>
    <w:rsid w:val="00A952F6"/>
    <w:rsid w:val="00A95332"/>
    <w:rsid w:val="00A9534C"/>
    <w:rsid w:val="00A9536A"/>
    <w:rsid w:val="00A9545C"/>
    <w:rsid w:val="00A9550F"/>
    <w:rsid w:val="00A9569F"/>
    <w:rsid w:val="00A95736"/>
    <w:rsid w:val="00A95859"/>
    <w:rsid w:val="00A959A2"/>
    <w:rsid w:val="00A959C1"/>
    <w:rsid w:val="00A95A64"/>
    <w:rsid w:val="00A95A81"/>
    <w:rsid w:val="00A95AFC"/>
    <w:rsid w:val="00A95B20"/>
    <w:rsid w:val="00A95C2E"/>
    <w:rsid w:val="00A95C82"/>
    <w:rsid w:val="00A95CDE"/>
    <w:rsid w:val="00A95CF1"/>
    <w:rsid w:val="00A95D18"/>
    <w:rsid w:val="00A95DB4"/>
    <w:rsid w:val="00A95F45"/>
    <w:rsid w:val="00A9604B"/>
    <w:rsid w:val="00A9608B"/>
    <w:rsid w:val="00A96105"/>
    <w:rsid w:val="00A96107"/>
    <w:rsid w:val="00A9615A"/>
    <w:rsid w:val="00A96188"/>
    <w:rsid w:val="00A962F9"/>
    <w:rsid w:val="00A96300"/>
    <w:rsid w:val="00A963F1"/>
    <w:rsid w:val="00A9651E"/>
    <w:rsid w:val="00A96709"/>
    <w:rsid w:val="00A96761"/>
    <w:rsid w:val="00A96773"/>
    <w:rsid w:val="00A968B6"/>
    <w:rsid w:val="00A96A2E"/>
    <w:rsid w:val="00A96A79"/>
    <w:rsid w:val="00A96B6A"/>
    <w:rsid w:val="00A96BDB"/>
    <w:rsid w:val="00A96C4E"/>
    <w:rsid w:val="00A96C9A"/>
    <w:rsid w:val="00A96F71"/>
    <w:rsid w:val="00A970A6"/>
    <w:rsid w:val="00A97214"/>
    <w:rsid w:val="00A97328"/>
    <w:rsid w:val="00A97412"/>
    <w:rsid w:val="00A974C5"/>
    <w:rsid w:val="00A9756C"/>
    <w:rsid w:val="00A97657"/>
    <w:rsid w:val="00A978BE"/>
    <w:rsid w:val="00A97909"/>
    <w:rsid w:val="00A9792E"/>
    <w:rsid w:val="00A9794F"/>
    <w:rsid w:val="00A97BEF"/>
    <w:rsid w:val="00A97C3B"/>
    <w:rsid w:val="00A97D2D"/>
    <w:rsid w:val="00A97D66"/>
    <w:rsid w:val="00A97F4F"/>
    <w:rsid w:val="00A97F5A"/>
    <w:rsid w:val="00AA001F"/>
    <w:rsid w:val="00AA00B0"/>
    <w:rsid w:val="00AA00F3"/>
    <w:rsid w:val="00AA0489"/>
    <w:rsid w:val="00AA04B4"/>
    <w:rsid w:val="00AA05F9"/>
    <w:rsid w:val="00AA06C8"/>
    <w:rsid w:val="00AA0734"/>
    <w:rsid w:val="00AA07AE"/>
    <w:rsid w:val="00AA07D8"/>
    <w:rsid w:val="00AA0809"/>
    <w:rsid w:val="00AA090F"/>
    <w:rsid w:val="00AA0AF4"/>
    <w:rsid w:val="00AA0B2D"/>
    <w:rsid w:val="00AA0B53"/>
    <w:rsid w:val="00AA0BA9"/>
    <w:rsid w:val="00AA0D1C"/>
    <w:rsid w:val="00AA10EB"/>
    <w:rsid w:val="00AA115B"/>
    <w:rsid w:val="00AA11D1"/>
    <w:rsid w:val="00AA1247"/>
    <w:rsid w:val="00AA1257"/>
    <w:rsid w:val="00AA163B"/>
    <w:rsid w:val="00AA1712"/>
    <w:rsid w:val="00AA172A"/>
    <w:rsid w:val="00AA18E4"/>
    <w:rsid w:val="00AA1918"/>
    <w:rsid w:val="00AA19F0"/>
    <w:rsid w:val="00AA1BE2"/>
    <w:rsid w:val="00AA1C99"/>
    <w:rsid w:val="00AA1D24"/>
    <w:rsid w:val="00AA1DE8"/>
    <w:rsid w:val="00AA1E35"/>
    <w:rsid w:val="00AA1F29"/>
    <w:rsid w:val="00AA1F5C"/>
    <w:rsid w:val="00AA206B"/>
    <w:rsid w:val="00AA21CE"/>
    <w:rsid w:val="00AA21E0"/>
    <w:rsid w:val="00AA2351"/>
    <w:rsid w:val="00AA2438"/>
    <w:rsid w:val="00AA2949"/>
    <w:rsid w:val="00AA2A61"/>
    <w:rsid w:val="00AA2B1D"/>
    <w:rsid w:val="00AA2F5F"/>
    <w:rsid w:val="00AA2FD6"/>
    <w:rsid w:val="00AA2FE0"/>
    <w:rsid w:val="00AA31E4"/>
    <w:rsid w:val="00AA327C"/>
    <w:rsid w:val="00AA33A7"/>
    <w:rsid w:val="00AA3425"/>
    <w:rsid w:val="00AA3451"/>
    <w:rsid w:val="00AA3569"/>
    <w:rsid w:val="00AA35C8"/>
    <w:rsid w:val="00AA3618"/>
    <w:rsid w:val="00AA362E"/>
    <w:rsid w:val="00AA36B3"/>
    <w:rsid w:val="00AA3721"/>
    <w:rsid w:val="00AA38F3"/>
    <w:rsid w:val="00AA3A75"/>
    <w:rsid w:val="00AA3D18"/>
    <w:rsid w:val="00AA3DAF"/>
    <w:rsid w:val="00AA3E39"/>
    <w:rsid w:val="00AA3E44"/>
    <w:rsid w:val="00AA3EE2"/>
    <w:rsid w:val="00AA40FC"/>
    <w:rsid w:val="00AA411A"/>
    <w:rsid w:val="00AA442F"/>
    <w:rsid w:val="00AA44BC"/>
    <w:rsid w:val="00AA48E8"/>
    <w:rsid w:val="00AA49D9"/>
    <w:rsid w:val="00AA4ADB"/>
    <w:rsid w:val="00AA4B16"/>
    <w:rsid w:val="00AA4B1E"/>
    <w:rsid w:val="00AA4CF7"/>
    <w:rsid w:val="00AA4D54"/>
    <w:rsid w:val="00AA4DD6"/>
    <w:rsid w:val="00AA5231"/>
    <w:rsid w:val="00AA529E"/>
    <w:rsid w:val="00AA532A"/>
    <w:rsid w:val="00AA5389"/>
    <w:rsid w:val="00AA539C"/>
    <w:rsid w:val="00AA5688"/>
    <w:rsid w:val="00AA56CF"/>
    <w:rsid w:val="00AA5795"/>
    <w:rsid w:val="00AA589E"/>
    <w:rsid w:val="00AA5BB6"/>
    <w:rsid w:val="00AA5EDB"/>
    <w:rsid w:val="00AA5F06"/>
    <w:rsid w:val="00AA5F6E"/>
    <w:rsid w:val="00AA6141"/>
    <w:rsid w:val="00AA6363"/>
    <w:rsid w:val="00AA647F"/>
    <w:rsid w:val="00AA64DA"/>
    <w:rsid w:val="00AA6506"/>
    <w:rsid w:val="00AA6522"/>
    <w:rsid w:val="00AA689B"/>
    <w:rsid w:val="00AA6917"/>
    <w:rsid w:val="00AA6B02"/>
    <w:rsid w:val="00AA6C51"/>
    <w:rsid w:val="00AA6C8C"/>
    <w:rsid w:val="00AA6D1D"/>
    <w:rsid w:val="00AA6D52"/>
    <w:rsid w:val="00AA6D86"/>
    <w:rsid w:val="00AA6E14"/>
    <w:rsid w:val="00AA6EE8"/>
    <w:rsid w:val="00AA6EFF"/>
    <w:rsid w:val="00AA6F88"/>
    <w:rsid w:val="00AA7114"/>
    <w:rsid w:val="00AA73D3"/>
    <w:rsid w:val="00AA7A27"/>
    <w:rsid w:val="00AA7B38"/>
    <w:rsid w:val="00AA7C2D"/>
    <w:rsid w:val="00AA7C3A"/>
    <w:rsid w:val="00AA7E7A"/>
    <w:rsid w:val="00AA7FEA"/>
    <w:rsid w:val="00AB00EB"/>
    <w:rsid w:val="00AB0275"/>
    <w:rsid w:val="00AB0393"/>
    <w:rsid w:val="00AB0475"/>
    <w:rsid w:val="00AB0640"/>
    <w:rsid w:val="00AB0885"/>
    <w:rsid w:val="00AB0A4B"/>
    <w:rsid w:val="00AB0BB5"/>
    <w:rsid w:val="00AB0BC1"/>
    <w:rsid w:val="00AB0BF5"/>
    <w:rsid w:val="00AB0C37"/>
    <w:rsid w:val="00AB0C78"/>
    <w:rsid w:val="00AB0CB0"/>
    <w:rsid w:val="00AB0E06"/>
    <w:rsid w:val="00AB0F41"/>
    <w:rsid w:val="00AB0F98"/>
    <w:rsid w:val="00AB1065"/>
    <w:rsid w:val="00AB10BC"/>
    <w:rsid w:val="00AB10F4"/>
    <w:rsid w:val="00AB117E"/>
    <w:rsid w:val="00AB157D"/>
    <w:rsid w:val="00AB1604"/>
    <w:rsid w:val="00AB1702"/>
    <w:rsid w:val="00AB1944"/>
    <w:rsid w:val="00AB1B9A"/>
    <w:rsid w:val="00AB1D01"/>
    <w:rsid w:val="00AB2030"/>
    <w:rsid w:val="00AB21B0"/>
    <w:rsid w:val="00AB21FB"/>
    <w:rsid w:val="00AB2359"/>
    <w:rsid w:val="00AB23B1"/>
    <w:rsid w:val="00AB23CE"/>
    <w:rsid w:val="00AB2417"/>
    <w:rsid w:val="00AB2579"/>
    <w:rsid w:val="00AB25CA"/>
    <w:rsid w:val="00AB2690"/>
    <w:rsid w:val="00AB26F6"/>
    <w:rsid w:val="00AB26F8"/>
    <w:rsid w:val="00AB2768"/>
    <w:rsid w:val="00AB2771"/>
    <w:rsid w:val="00AB2792"/>
    <w:rsid w:val="00AB2797"/>
    <w:rsid w:val="00AB28E4"/>
    <w:rsid w:val="00AB28F1"/>
    <w:rsid w:val="00AB2930"/>
    <w:rsid w:val="00AB2A49"/>
    <w:rsid w:val="00AB2D17"/>
    <w:rsid w:val="00AB2EB5"/>
    <w:rsid w:val="00AB3196"/>
    <w:rsid w:val="00AB345F"/>
    <w:rsid w:val="00AB34AD"/>
    <w:rsid w:val="00AB34B7"/>
    <w:rsid w:val="00AB3500"/>
    <w:rsid w:val="00AB360C"/>
    <w:rsid w:val="00AB361A"/>
    <w:rsid w:val="00AB3626"/>
    <w:rsid w:val="00AB3659"/>
    <w:rsid w:val="00AB39FF"/>
    <w:rsid w:val="00AB3B1A"/>
    <w:rsid w:val="00AB3CDC"/>
    <w:rsid w:val="00AB3D1C"/>
    <w:rsid w:val="00AB3DDE"/>
    <w:rsid w:val="00AB41B8"/>
    <w:rsid w:val="00AB4262"/>
    <w:rsid w:val="00AB42C6"/>
    <w:rsid w:val="00AB440E"/>
    <w:rsid w:val="00AB4696"/>
    <w:rsid w:val="00AB46C4"/>
    <w:rsid w:val="00AB46E2"/>
    <w:rsid w:val="00AB49DD"/>
    <w:rsid w:val="00AB49FA"/>
    <w:rsid w:val="00AB4A33"/>
    <w:rsid w:val="00AB4BC0"/>
    <w:rsid w:val="00AB4BCC"/>
    <w:rsid w:val="00AB4DB1"/>
    <w:rsid w:val="00AB4DED"/>
    <w:rsid w:val="00AB4DF9"/>
    <w:rsid w:val="00AB4F3A"/>
    <w:rsid w:val="00AB4F95"/>
    <w:rsid w:val="00AB4FD9"/>
    <w:rsid w:val="00AB5088"/>
    <w:rsid w:val="00AB50DE"/>
    <w:rsid w:val="00AB5315"/>
    <w:rsid w:val="00AB5335"/>
    <w:rsid w:val="00AB53E8"/>
    <w:rsid w:val="00AB541C"/>
    <w:rsid w:val="00AB54C2"/>
    <w:rsid w:val="00AB5515"/>
    <w:rsid w:val="00AB58E7"/>
    <w:rsid w:val="00AB5D1C"/>
    <w:rsid w:val="00AB5DBD"/>
    <w:rsid w:val="00AB6119"/>
    <w:rsid w:val="00AB612C"/>
    <w:rsid w:val="00AB6271"/>
    <w:rsid w:val="00AB62D8"/>
    <w:rsid w:val="00AB6463"/>
    <w:rsid w:val="00AB647B"/>
    <w:rsid w:val="00AB656C"/>
    <w:rsid w:val="00AB667E"/>
    <w:rsid w:val="00AB697B"/>
    <w:rsid w:val="00AB6DB5"/>
    <w:rsid w:val="00AB6EDA"/>
    <w:rsid w:val="00AB7090"/>
    <w:rsid w:val="00AB7145"/>
    <w:rsid w:val="00AB7198"/>
    <w:rsid w:val="00AB7405"/>
    <w:rsid w:val="00AB745D"/>
    <w:rsid w:val="00AB75FF"/>
    <w:rsid w:val="00AB7621"/>
    <w:rsid w:val="00AB7676"/>
    <w:rsid w:val="00AB76E6"/>
    <w:rsid w:val="00AB7726"/>
    <w:rsid w:val="00AB798D"/>
    <w:rsid w:val="00AB7A63"/>
    <w:rsid w:val="00AB7B8E"/>
    <w:rsid w:val="00AB7C0D"/>
    <w:rsid w:val="00AB7C39"/>
    <w:rsid w:val="00AB7FF4"/>
    <w:rsid w:val="00AC021C"/>
    <w:rsid w:val="00AC051E"/>
    <w:rsid w:val="00AC0D6D"/>
    <w:rsid w:val="00AC0F23"/>
    <w:rsid w:val="00AC1017"/>
    <w:rsid w:val="00AC11BC"/>
    <w:rsid w:val="00AC12AC"/>
    <w:rsid w:val="00AC133F"/>
    <w:rsid w:val="00AC1363"/>
    <w:rsid w:val="00AC13E4"/>
    <w:rsid w:val="00AC1405"/>
    <w:rsid w:val="00AC1494"/>
    <w:rsid w:val="00AC17FF"/>
    <w:rsid w:val="00AC18CA"/>
    <w:rsid w:val="00AC1BA1"/>
    <w:rsid w:val="00AC1BF6"/>
    <w:rsid w:val="00AC1CC1"/>
    <w:rsid w:val="00AC1D22"/>
    <w:rsid w:val="00AC1F6F"/>
    <w:rsid w:val="00AC1FF3"/>
    <w:rsid w:val="00AC2103"/>
    <w:rsid w:val="00AC211D"/>
    <w:rsid w:val="00AC215B"/>
    <w:rsid w:val="00AC21BD"/>
    <w:rsid w:val="00AC25B8"/>
    <w:rsid w:val="00AC262B"/>
    <w:rsid w:val="00AC2667"/>
    <w:rsid w:val="00AC268E"/>
    <w:rsid w:val="00AC2794"/>
    <w:rsid w:val="00AC282A"/>
    <w:rsid w:val="00AC28E6"/>
    <w:rsid w:val="00AC28EF"/>
    <w:rsid w:val="00AC2951"/>
    <w:rsid w:val="00AC2991"/>
    <w:rsid w:val="00AC29A9"/>
    <w:rsid w:val="00AC2B5B"/>
    <w:rsid w:val="00AC2DA4"/>
    <w:rsid w:val="00AC2E75"/>
    <w:rsid w:val="00AC3020"/>
    <w:rsid w:val="00AC3028"/>
    <w:rsid w:val="00AC30D1"/>
    <w:rsid w:val="00AC3198"/>
    <w:rsid w:val="00AC31B7"/>
    <w:rsid w:val="00AC3325"/>
    <w:rsid w:val="00AC3439"/>
    <w:rsid w:val="00AC3630"/>
    <w:rsid w:val="00AC37FE"/>
    <w:rsid w:val="00AC3894"/>
    <w:rsid w:val="00AC3951"/>
    <w:rsid w:val="00AC39F0"/>
    <w:rsid w:val="00AC3AAD"/>
    <w:rsid w:val="00AC3B7C"/>
    <w:rsid w:val="00AC3D87"/>
    <w:rsid w:val="00AC402F"/>
    <w:rsid w:val="00AC40F6"/>
    <w:rsid w:val="00AC410C"/>
    <w:rsid w:val="00AC4114"/>
    <w:rsid w:val="00AC4367"/>
    <w:rsid w:val="00AC4382"/>
    <w:rsid w:val="00AC4550"/>
    <w:rsid w:val="00AC4607"/>
    <w:rsid w:val="00AC4627"/>
    <w:rsid w:val="00AC4964"/>
    <w:rsid w:val="00AC4A41"/>
    <w:rsid w:val="00AC4AFB"/>
    <w:rsid w:val="00AC4B68"/>
    <w:rsid w:val="00AC4F11"/>
    <w:rsid w:val="00AC4F7B"/>
    <w:rsid w:val="00AC4F7C"/>
    <w:rsid w:val="00AC5170"/>
    <w:rsid w:val="00AC51A4"/>
    <w:rsid w:val="00AC51D9"/>
    <w:rsid w:val="00AC5597"/>
    <w:rsid w:val="00AC5642"/>
    <w:rsid w:val="00AC5647"/>
    <w:rsid w:val="00AC587D"/>
    <w:rsid w:val="00AC59DE"/>
    <w:rsid w:val="00AC5A98"/>
    <w:rsid w:val="00AC5C42"/>
    <w:rsid w:val="00AC5CAF"/>
    <w:rsid w:val="00AC5CB3"/>
    <w:rsid w:val="00AC5CFA"/>
    <w:rsid w:val="00AC5E0B"/>
    <w:rsid w:val="00AC5EC7"/>
    <w:rsid w:val="00AC5EEF"/>
    <w:rsid w:val="00AC625F"/>
    <w:rsid w:val="00AC664F"/>
    <w:rsid w:val="00AC68EA"/>
    <w:rsid w:val="00AC6907"/>
    <w:rsid w:val="00AC6952"/>
    <w:rsid w:val="00AC697B"/>
    <w:rsid w:val="00AC6A68"/>
    <w:rsid w:val="00AC6ABB"/>
    <w:rsid w:val="00AC6B54"/>
    <w:rsid w:val="00AC6DC7"/>
    <w:rsid w:val="00AC6FD9"/>
    <w:rsid w:val="00AC72D6"/>
    <w:rsid w:val="00AC7508"/>
    <w:rsid w:val="00AC7635"/>
    <w:rsid w:val="00AC76A8"/>
    <w:rsid w:val="00AC78F2"/>
    <w:rsid w:val="00AC798B"/>
    <w:rsid w:val="00AC7B5B"/>
    <w:rsid w:val="00AC7C50"/>
    <w:rsid w:val="00AC7C72"/>
    <w:rsid w:val="00AC7DCB"/>
    <w:rsid w:val="00AD00D9"/>
    <w:rsid w:val="00AD0118"/>
    <w:rsid w:val="00AD01B9"/>
    <w:rsid w:val="00AD0227"/>
    <w:rsid w:val="00AD0421"/>
    <w:rsid w:val="00AD050D"/>
    <w:rsid w:val="00AD05BD"/>
    <w:rsid w:val="00AD0639"/>
    <w:rsid w:val="00AD078C"/>
    <w:rsid w:val="00AD088A"/>
    <w:rsid w:val="00AD08C6"/>
    <w:rsid w:val="00AD09A7"/>
    <w:rsid w:val="00AD0A38"/>
    <w:rsid w:val="00AD0B0C"/>
    <w:rsid w:val="00AD0B24"/>
    <w:rsid w:val="00AD0D8E"/>
    <w:rsid w:val="00AD0DBC"/>
    <w:rsid w:val="00AD0E75"/>
    <w:rsid w:val="00AD0F30"/>
    <w:rsid w:val="00AD0FC8"/>
    <w:rsid w:val="00AD124C"/>
    <w:rsid w:val="00AD12AE"/>
    <w:rsid w:val="00AD12E0"/>
    <w:rsid w:val="00AD1336"/>
    <w:rsid w:val="00AD133E"/>
    <w:rsid w:val="00AD1385"/>
    <w:rsid w:val="00AD13A9"/>
    <w:rsid w:val="00AD1403"/>
    <w:rsid w:val="00AD15EE"/>
    <w:rsid w:val="00AD16B4"/>
    <w:rsid w:val="00AD183C"/>
    <w:rsid w:val="00AD1915"/>
    <w:rsid w:val="00AD19BE"/>
    <w:rsid w:val="00AD19D4"/>
    <w:rsid w:val="00AD19D9"/>
    <w:rsid w:val="00AD1A39"/>
    <w:rsid w:val="00AD1A46"/>
    <w:rsid w:val="00AD1AA2"/>
    <w:rsid w:val="00AD1B9F"/>
    <w:rsid w:val="00AD1CF7"/>
    <w:rsid w:val="00AD1D0E"/>
    <w:rsid w:val="00AD1D6C"/>
    <w:rsid w:val="00AD1FA9"/>
    <w:rsid w:val="00AD20E0"/>
    <w:rsid w:val="00AD2150"/>
    <w:rsid w:val="00AD224E"/>
    <w:rsid w:val="00AD2343"/>
    <w:rsid w:val="00AD2374"/>
    <w:rsid w:val="00AD23E2"/>
    <w:rsid w:val="00AD274F"/>
    <w:rsid w:val="00AD2955"/>
    <w:rsid w:val="00AD2986"/>
    <w:rsid w:val="00AD2AB3"/>
    <w:rsid w:val="00AD2C5C"/>
    <w:rsid w:val="00AD2E84"/>
    <w:rsid w:val="00AD2EBA"/>
    <w:rsid w:val="00AD2EC0"/>
    <w:rsid w:val="00AD304A"/>
    <w:rsid w:val="00AD3199"/>
    <w:rsid w:val="00AD3217"/>
    <w:rsid w:val="00AD3336"/>
    <w:rsid w:val="00AD3337"/>
    <w:rsid w:val="00AD342D"/>
    <w:rsid w:val="00AD36A5"/>
    <w:rsid w:val="00AD36B4"/>
    <w:rsid w:val="00AD36BF"/>
    <w:rsid w:val="00AD36C6"/>
    <w:rsid w:val="00AD3740"/>
    <w:rsid w:val="00AD3782"/>
    <w:rsid w:val="00AD37D3"/>
    <w:rsid w:val="00AD391E"/>
    <w:rsid w:val="00AD3946"/>
    <w:rsid w:val="00AD395A"/>
    <w:rsid w:val="00AD3991"/>
    <w:rsid w:val="00AD3B32"/>
    <w:rsid w:val="00AD3B58"/>
    <w:rsid w:val="00AD3C85"/>
    <w:rsid w:val="00AD40AD"/>
    <w:rsid w:val="00AD410C"/>
    <w:rsid w:val="00AD4172"/>
    <w:rsid w:val="00AD41C1"/>
    <w:rsid w:val="00AD424E"/>
    <w:rsid w:val="00AD4259"/>
    <w:rsid w:val="00AD427A"/>
    <w:rsid w:val="00AD448F"/>
    <w:rsid w:val="00AD44F5"/>
    <w:rsid w:val="00AD4642"/>
    <w:rsid w:val="00AD4753"/>
    <w:rsid w:val="00AD4834"/>
    <w:rsid w:val="00AD4907"/>
    <w:rsid w:val="00AD495D"/>
    <w:rsid w:val="00AD4A90"/>
    <w:rsid w:val="00AD4AF9"/>
    <w:rsid w:val="00AD4C42"/>
    <w:rsid w:val="00AD4C44"/>
    <w:rsid w:val="00AD4D54"/>
    <w:rsid w:val="00AD4F92"/>
    <w:rsid w:val="00AD51D0"/>
    <w:rsid w:val="00AD5302"/>
    <w:rsid w:val="00AD55AB"/>
    <w:rsid w:val="00AD564E"/>
    <w:rsid w:val="00AD5754"/>
    <w:rsid w:val="00AD5770"/>
    <w:rsid w:val="00AD58F4"/>
    <w:rsid w:val="00AD5909"/>
    <w:rsid w:val="00AD59A5"/>
    <w:rsid w:val="00AD5A8D"/>
    <w:rsid w:val="00AD5B92"/>
    <w:rsid w:val="00AD5C61"/>
    <w:rsid w:val="00AD6087"/>
    <w:rsid w:val="00AD6112"/>
    <w:rsid w:val="00AD618C"/>
    <w:rsid w:val="00AD67C2"/>
    <w:rsid w:val="00AD69BB"/>
    <w:rsid w:val="00AD6B2C"/>
    <w:rsid w:val="00AD6B76"/>
    <w:rsid w:val="00AD6BC8"/>
    <w:rsid w:val="00AD6D62"/>
    <w:rsid w:val="00AD6DEB"/>
    <w:rsid w:val="00AD6F0B"/>
    <w:rsid w:val="00AD6FB0"/>
    <w:rsid w:val="00AD6FDC"/>
    <w:rsid w:val="00AD7059"/>
    <w:rsid w:val="00AD706C"/>
    <w:rsid w:val="00AD7271"/>
    <w:rsid w:val="00AD74F1"/>
    <w:rsid w:val="00AD7549"/>
    <w:rsid w:val="00AD75D4"/>
    <w:rsid w:val="00AD7659"/>
    <w:rsid w:val="00AD76DA"/>
    <w:rsid w:val="00AD77AF"/>
    <w:rsid w:val="00AD78E3"/>
    <w:rsid w:val="00AD78E6"/>
    <w:rsid w:val="00AD7968"/>
    <w:rsid w:val="00AD7A30"/>
    <w:rsid w:val="00AD7A65"/>
    <w:rsid w:val="00AD7B95"/>
    <w:rsid w:val="00AD7CFA"/>
    <w:rsid w:val="00AD7F6A"/>
    <w:rsid w:val="00AD7F6E"/>
    <w:rsid w:val="00AD7FAE"/>
    <w:rsid w:val="00AE0129"/>
    <w:rsid w:val="00AE024B"/>
    <w:rsid w:val="00AE02B5"/>
    <w:rsid w:val="00AE0309"/>
    <w:rsid w:val="00AE0521"/>
    <w:rsid w:val="00AE052E"/>
    <w:rsid w:val="00AE058A"/>
    <w:rsid w:val="00AE05B7"/>
    <w:rsid w:val="00AE0831"/>
    <w:rsid w:val="00AE0865"/>
    <w:rsid w:val="00AE0977"/>
    <w:rsid w:val="00AE09A3"/>
    <w:rsid w:val="00AE0A46"/>
    <w:rsid w:val="00AE0AAC"/>
    <w:rsid w:val="00AE0ACE"/>
    <w:rsid w:val="00AE0AD3"/>
    <w:rsid w:val="00AE0B0B"/>
    <w:rsid w:val="00AE0E54"/>
    <w:rsid w:val="00AE0F3D"/>
    <w:rsid w:val="00AE0FB4"/>
    <w:rsid w:val="00AE0FE0"/>
    <w:rsid w:val="00AE125B"/>
    <w:rsid w:val="00AE12AF"/>
    <w:rsid w:val="00AE132F"/>
    <w:rsid w:val="00AE1400"/>
    <w:rsid w:val="00AE1436"/>
    <w:rsid w:val="00AE14EE"/>
    <w:rsid w:val="00AE16C5"/>
    <w:rsid w:val="00AE16F9"/>
    <w:rsid w:val="00AE183B"/>
    <w:rsid w:val="00AE1840"/>
    <w:rsid w:val="00AE19B1"/>
    <w:rsid w:val="00AE19B8"/>
    <w:rsid w:val="00AE19E8"/>
    <w:rsid w:val="00AE1B56"/>
    <w:rsid w:val="00AE1C1C"/>
    <w:rsid w:val="00AE1C96"/>
    <w:rsid w:val="00AE1D9E"/>
    <w:rsid w:val="00AE1DCD"/>
    <w:rsid w:val="00AE1F00"/>
    <w:rsid w:val="00AE1F5E"/>
    <w:rsid w:val="00AE20A2"/>
    <w:rsid w:val="00AE2126"/>
    <w:rsid w:val="00AE23EE"/>
    <w:rsid w:val="00AE23F6"/>
    <w:rsid w:val="00AE23F9"/>
    <w:rsid w:val="00AE252D"/>
    <w:rsid w:val="00AE26C4"/>
    <w:rsid w:val="00AE26EB"/>
    <w:rsid w:val="00AE28E8"/>
    <w:rsid w:val="00AE29DD"/>
    <w:rsid w:val="00AE2C3B"/>
    <w:rsid w:val="00AE2DF1"/>
    <w:rsid w:val="00AE2E67"/>
    <w:rsid w:val="00AE2FB4"/>
    <w:rsid w:val="00AE3004"/>
    <w:rsid w:val="00AE30AB"/>
    <w:rsid w:val="00AE30EA"/>
    <w:rsid w:val="00AE3142"/>
    <w:rsid w:val="00AE32FD"/>
    <w:rsid w:val="00AE330C"/>
    <w:rsid w:val="00AE345F"/>
    <w:rsid w:val="00AE35E9"/>
    <w:rsid w:val="00AE38AD"/>
    <w:rsid w:val="00AE3B03"/>
    <w:rsid w:val="00AE3B61"/>
    <w:rsid w:val="00AE3C2A"/>
    <w:rsid w:val="00AE3C33"/>
    <w:rsid w:val="00AE3FFA"/>
    <w:rsid w:val="00AE40BB"/>
    <w:rsid w:val="00AE4180"/>
    <w:rsid w:val="00AE41B9"/>
    <w:rsid w:val="00AE41DA"/>
    <w:rsid w:val="00AE4572"/>
    <w:rsid w:val="00AE463C"/>
    <w:rsid w:val="00AE47A1"/>
    <w:rsid w:val="00AE47D2"/>
    <w:rsid w:val="00AE4866"/>
    <w:rsid w:val="00AE48EE"/>
    <w:rsid w:val="00AE4C43"/>
    <w:rsid w:val="00AE4E17"/>
    <w:rsid w:val="00AE4ECF"/>
    <w:rsid w:val="00AE4ED1"/>
    <w:rsid w:val="00AE4F18"/>
    <w:rsid w:val="00AE50AB"/>
    <w:rsid w:val="00AE5182"/>
    <w:rsid w:val="00AE528A"/>
    <w:rsid w:val="00AE52F7"/>
    <w:rsid w:val="00AE5494"/>
    <w:rsid w:val="00AE5622"/>
    <w:rsid w:val="00AE5655"/>
    <w:rsid w:val="00AE5671"/>
    <w:rsid w:val="00AE587F"/>
    <w:rsid w:val="00AE5A7C"/>
    <w:rsid w:val="00AE5AC3"/>
    <w:rsid w:val="00AE5B1A"/>
    <w:rsid w:val="00AE5CA9"/>
    <w:rsid w:val="00AE5D72"/>
    <w:rsid w:val="00AE5E2F"/>
    <w:rsid w:val="00AE5EC2"/>
    <w:rsid w:val="00AE5F65"/>
    <w:rsid w:val="00AE5FA8"/>
    <w:rsid w:val="00AE607B"/>
    <w:rsid w:val="00AE6134"/>
    <w:rsid w:val="00AE61C6"/>
    <w:rsid w:val="00AE6204"/>
    <w:rsid w:val="00AE62E5"/>
    <w:rsid w:val="00AE63F1"/>
    <w:rsid w:val="00AE6417"/>
    <w:rsid w:val="00AE67CB"/>
    <w:rsid w:val="00AE682A"/>
    <w:rsid w:val="00AE6905"/>
    <w:rsid w:val="00AE69C7"/>
    <w:rsid w:val="00AE6A17"/>
    <w:rsid w:val="00AE6C0F"/>
    <w:rsid w:val="00AE6CB9"/>
    <w:rsid w:val="00AE6F1D"/>
    <w:rsid w:val="00AE7040"/>
    <w:rsid w:val="00AE70DB"/>
    <w:rsid w:val="00AE70FB"/>
    <w:rsid w:val="00AE7116"/>
    <w:rsid w:val="00AE718D"/>
    <w:rsid w:val="00AE7432"/>
    <w:rsid w:val="00AE74DC"/>
    <w:rsid w:val="00AE7523"/>
    <w:rsid w:val="00AE7524"/>
    <w:rsid w:val="00AE752D"/>
    <w:rsid w:val="00AE7539"/>
    <w:rsid w:val="00AE75AF"/>
    <w:rsid w:val="00AE7612"/>
    <w:rsid w:val="00AE77BB"/>
    <w:rsid w:val="00AE7A28"/>
    <w:rsid w:val="00AE7A41"/>
    <w:rsid w:val="00AE7BED"/>
    <w:rsid w:val="00AE7D8E"/>
    <w:rsid w:val="00AE7E26"/>
    <w:rsid w:val="00AE7F27"/>
    <w:rsid w:val="00AE7FE2"/>
    <w:rsid w:val="00AF005F"/>
    <w:rsid w:val="00AF0105"/>
    <w:rsid w:val="00AF02D5"/>
    <w:rsid w:val="00AF02F6"/>
    <w:rsid w:val="00AF0329"/>
    <w:rsid w:val="00AF03C3"/>
    <w:rsid w:val="00AF04CB"/>
    <w:rsid w:val="00AF0549"/>
    <w:rsid w:val="00AF05BF"/>
    <w:rsid w:val="00AF073E"/>
    <w:rsid w:val="00AF0782"/>
    <w:rsid w:val="00AF08A6"/>
    <w:rsid w:val="00AF08B3"/>
    <w:rsid w:val="00AF0C6E"/>
    <w:rsid w:val="00AF0DA8"/>
    <w:rsid w:val="00AF102A"/>
    <w:rsid w:val="00AF10FD"/>
    <w:rsid w:val="00AF1149"/>
    <w:rsid w:val="00AF11BC"/>
    <w:rsid w:val="00AF1262"/>
    <w:rsid w:val="00AF1281"/>
    <w:rsid w:val="00AF15B7"/>
    <w:rsid w:val="00AF15CD"/>
    <w:rsid w:val="00AF1681"/>
    <w:rsid w:val="00AF1759"/>
    <w:rsid w:val="00AF17D9"/>
    <w:rsid w:val="00AF1828"/>
    <w:rsid w:val="00AF190C"/>
    <w:rsid w:val="00AF1A27"/>
    <w:rsid w:val="00AF1A61"/>
    <w:rsid w:val="00AF1D99"/>
    <w:rsid w:val="00AF1DAA"/>
    <w:rsid w:val="00AF1E5E"/>
    <w:rsid w:val="00AF1EF7"/>
    <w:rsid w:val="00AF21C5"/>
    <w:rsid w:val="00AF2232"/>
    <w:rsid w:val="00AF2531"/>
    <w:rsid w:val="00AF2543"/>
    <w:rsid w:val="00AF279B"/>
    <w:rsid w:val="00AF28A2"/>
    <w:rsid w:val="00AF2A29"/>
    <w:rsid w:val="00AF2AA8"/>
    <w:rsid w:val="00AF2DC0"/>
    <w:rsid w:val="00AF2DD9"/>
    <w:rsid w:val="00AF2E15"/>
    <w:rsid w:val="00AF2FE1"/>
    <w:rsid w:val="00AF310E"/>
    <w:rsid w:val="00AF31EC"/>
    <w:rsid w:val="00AF3296"/>
    <w:rsid w:val="00AF32CC"/>
    <w:rsid w:val="00AF3519"/>
    <w:rsid w:val="00AF3533"/>
    <w:rsid w:val="00AF3704"/>
    <w:rsid w:val="00AF379A"/>
    <w:rsid w:val="00AF38D4"/>
    <w:rsid w:val="00AF38F5"/>
    <w:rsid w:val="00AF3911"/>
    <w:rsid w:val="00AF39B5"/>
    <w:rsid w:val="00AF39CC"/>
    <w:rsid w:val="00AF3AF3"/>
    <w:rsid w:val="00AF3BD9"/>
    <w:rsid w:val="00AF3D93"/>
    <w:rsid w:val="00AF3DB1"/>
    <w:rsid w:val="00AF3F95"/>
    <w:rsid w:val="00AF404B"/>
    <w:rsid w:val="00AF4158"/>
    <w:rsid w:val="00AF416A"/>
    <w:rsid w:val="00AF416F"/>
    <w:rsid w:val="00AF41A3"/>
    <w:rsid w:val="00AF4211"/>
    <w:rsid w:val="00AF4365"/>
    <w:rsid w:val="00AF4698"/>
    <w:rsid w:val="00AF479F"/>
    <w:rsid w:val="00AF4913"/>
    <w:rsid w:val="00AF49FD"/>
    <w:rsid w:val="00AF4C22"/>
    <w:rsid w:val="00AF4E2C"/>
    <w:rsid w:val="00AF50AF"/>
    <w:rsid w:val="00AF51D0"/>
    <w:rsid w:val="00AF527E"/>
    <w:rsid w:val="00AF5284"/>
    <w:rsid w:val="00AF52AB"/>
    <w:rsid w:val="00AF5428"/>
    <w:rsid w:val="00AF5439"/>
    <w:rsid w:val="00AF55DA"/>
    <w:rsid w:val="00AF5615"/>
    <w:rsid w:val="00AF5744"/>
    <w:rsid w:val="00AF5788"/>
    <w:rsid w:val="00AF57CF"/>
    <w:rsid w:val="00AF5825"/>
    <w:rsid w:val="00AF585B"/>
    <w:rsid w:val="00AF587E"/>
    <w:rsid w:val="00AF5C03"/>
    <w:rsid w:val="00AF5C50"/>
    <w:rsid w:val="00AF5C9D"/>
    <w:rsid w:val="00AF5D46"/>
    <w:rsid w:val="00AF66CD"/>
    <w:rsid w:val="00AF6776"/>
    <w:rsid w:val="00AF6812"/>
    <w:rsid w:val="00AF6846"/>
    <w:rsid w:val="00AF68E0"/>
    <w:rsid w:val="00AF6965"/>
    <w:rsid w:val="00AF69A4"/>
    <w:rsid w:val="00AF69A9"/>
    <w:rsid w:val="00AF69B7"/>
    <w:rsid w:val="00AF6A68"/>
    <w:rsid w:val="00AF6B50"/>
    <w:rsid w:val="00AF6BDF"/>
    <w:rsid w:val="00AF6CFF"/>
    <w:rsid w:val="00AF6EDF"/>
    <w:rsid w:val="00AF6F2B"/>
    <w:rsid w:val="00AF6FF5"/>
    <w:rsid w:val="00AF7175"/>
    <w:rsid w:val="00AF720E"/>
    <w:rsid w:val="00AF72EA"/>
    <w:rsid w:val="00AF73B4"/>
    <w:rsid w:val="00AF7512"/>
    <w:rsid w:val="00AF7738"/>
    <w:rsid w:val="00AF79CD"/>
    <w:rsid w:val="00AF7B1A"/>
    <w:rsid w:val="00AF7E02"/>
    <w:rsid w:val="00AF7E43"/>
    <w:rsid w:val="00AF7E6F"/>
    <w:rsid w:val="00AF7F3F"/>
    <w:rsid w:val="00AF7F97"/>
    <w:rsid w:val="00B000DB"/>
    <w:rsid w:val="00B0051A"/>
    <w:rsid w:val="00B00636"/>
    <w:rsid w:val="00B006CC"/>
    <w:rsid w:val="00B007C1"/>
    <w:rsid w:val="00B00977"/>
    <w:rsid w:val="00B0098B"/>
    <w:rsid w:val="00B00AE1"/>
    <w:rsid w:val="00B00B16"/>
    <w:rsid w:val="00B00B60"/>
    <w:rsid w:val="00B00C08"/>
    <w:rsid w:val="00B00DEB"/>
    <w:rsid w:val="00B00E0E"/>
    <w:rsid w:val="00B00E58"/>
    <w:rsid w:val="00B00EB7"/>
    <w:rsid w:val="00B00F02"/>
    <w:rsid w:val="00B00F40"/>
    <w:rsid w:val="00B01003"/>
    <w:rsid w:val="00B010D0"/>
    <w:rsid w:val="00B01124"/>
    <w:rsid w:val="00B011C0"/>
    <w:rsid w:val="00B01278"/>
    <w:rsid w:val="00B0134D"/>
    <w:rsid w:val="00B0163F"/>
    <w:rsid w:val="00B016AF"/>
    <w:rsid w:val="00B017F5"/>
    <w:rsid w:val="00B01BB4"/>
    <w:rsid w:val="00B01CA9"/>
    <w:rsid w:val="00B01CC9"/>
    <w:rsid w:val="00B01F25"/>
    <w:rsid w:val="00B01FB9"/>
    <w:rsid w:val="00B021C4"/>
    <w:rsid w:val="00B023FD"/>
    <w:rsid w:val="00B02404"/>
    <w:rsid w:val="00B02AAA"/>
    <w:rsid w:val="00B02B2A"/>
    <w:rsid w:val="00B02C4D"/>
    <w:rsid w:val="00B02CD0"/>
    <w:rsid w:val="00B0306E"/>
    <w:rsid w:val="00B034A4"/>
    <w:rsid w:val="00B0364E"/>
    <w:rsid w:val="00B03811"/>
    <w:rsid w:val="00B03812"/>
    <w:rsid w:val="00B03893"/>
    <w:rsid w:val="00B03A33"/>
    <w:rsid w:val="00B03AE1"/>
    <w:rsid w:val="00B03EE4"/>
    <w:rsid w:val="00B03F52"/>
    <w:rsid w:val="00B040AB"/>
    <w:rsid w:val="00B04135"/>
    <w:rsid w:val="00B04252"/>
    <w:rsid w:val="00B0429D"/>
    <w:rsid w:val="00B04339"/>
    <w:rsid w:val="00B044BC"/>
    <w:rsid w:val="00B04910"/>
    <w:rsid w:val="00B04E0E"/>
    <w:rsid w:val="00B04E1D"/>
    <w:rsid w:val="00B04E63"/>
    <w:rsid w:val="00B050B4"/>
    <w:rsid w:val="00B05195"/>
    <w:rsid w:val="00B0532F"/>
    <w:rsid w:val="00B05386"/>
    <w:rsid w:val="00B054CB"/>
    <w:rsid w:val="00B05528"/>
    <w:rsid w:val="00B055A7"/>
    <w:rsid w:val="00B055AA"/>
    <w:rsid w:val="00B055F4"/>
    <w:rsid w:val="00B05685"/>
    <w:rsid w:val="00B0580C"/>
    <w:rsid w:val="00B05963"/>
    <w:rsid w:val="00B0596C"/>
    <w:rsid w:val="00B05C19"/>
    <w:rsid w:val="00B05C89"/>
    <w:rsid w:val="00B05D58"/>
    <w:rsid w:val="00B060C0"/>
    <w:rsid w:val="00B06348"/>
    <w:rsid w:val="00B06706"/>
    <w:rsid w:val="00B06829"/>
    <w:rsid w:val="00B0687D"/>
    <w:rsid w:val="00B06B2A"/>
    <w:rsid w:val="00B06C6D"/>
    <w:rsid w:val="00B06D39"/>
    <w:rsid w:val="00B06D6E"/>
    <w:rsid w:val="00B06F06"/>
    <w:rsid w:val="00B06FD5"/>
    <w:rsid w:val="00B07006"/>
    <w:rsid w:val="00B07095"/>
    <w:rsid w:val="00B07107"/>
    <w:rsid w:val="00B071D1"/>
    <w:rsid w:val="00B073A1"/>
    <w:rsid w:val="00B07721"/>
    <w:rsid w:val="00B07776"/>
    <w:rsid w:val="00B0780A"/>
    <w:rsid w:val="00B07826"/>
    <w:rsid w:val="00B07963"/>
    <w:rsid w:val="00B07C33"/>
    <w:rsid w:val="00B07C9A"/>
    <w:rsid w:val="00B07CC2"/>
    <w:rsid w:val="00B07D76"/>
    <w:rsid w:val="00B07E5A"/>
    <w:rsid w:val="00B07FB1"/>
    <w:rsid w:val="00B1027F"/>
    <w:rsid w:val="00B10386"/>
    <w:rsid w:val="00B103D5"/>
    <w:rsid w:val="00B104A3"/>
    <w:rsid w:val="00B104C1"/>
    <w:rsid w:val="00B105CF"/>
    <w:rsid w:val="00B1062D"/>
    <w:rsid w:val="00B10653"/>
    <w:rsid w:val="00B10690"/>
    <w:rsid w:val="00B106F2"/>
    <w:rsid w:val="00B10755"/>
    <w:rsid w:val="00B10853"/>
    <w:rsid w:val="00B10998"/>
    <w:rsid w:val="00B10A2A"/>
    <w:rsid w:val="00B10BE5"/>
    <w:rsid w:val="00B10C4D"/>
    <w:rsid w:val="00B10D1C"/>
    <w:rsid w:val="00B10D4E"/>
    <w:rsid w:val="00B10E35"/>
    <w:rsid w:val="00B10F88"/>
    <w:rsid w:val="00B10FCA"/>
    <w:rsid w:val="00B113B0"/>
    <w:rsid w:val="00B11559"/>
    <w:rsid w:val="00B117E8"/>
    <w:rsid w:val="00B11B22"/>
    <w:rsid w:val="00B11B77"/>
    <w:rsid w:val="00B11BD3"/>
    <w:rsid w:val="00B11CC2"/>
    <w:rsid w:val="00B11E77"/>
    <w:rsid w:val="00B11F41"/>
    <w:rsid w:val="00B11F6E"/>
    <w:rsid w:val="00B11F80"/>
    <w:rsid w:val="00B1200A"/>
    <w:rsid w:val="00B120B2"/>
    <w:rsid w:val="00B12194"/>
    <w:rsid w:val="00B12383"/>
    <w:rsid w:val="00B12461"/>
    <w:rsid w:val="00B1251F"/>
    <w:rsid w:val="00B12536"/>
    <w:rsid w:val="00B1254D"/>
    <w:rsid w:val="00B1255B"/>
    <w:rsid w:val="00B12646"/>
    <w:rsid w:val="00B127A0"/>
    <w:rsid w:val="00B12818"/>
    <w:rsid w:val="00B1294D"/>
    <w:rsid w:val="00B12A6E"/>
    <w:rsid w:val="00B12C59"/>
    <w:rsid w:val="00B12D6A"/>
    <w:rsid w:val="00B12E9B"/>
    <w:rsid w:val="00B130CA"/>
    <w:rsid w:val="00B130E4"/>
    <w:rsid w:val="00B13195"/>
    <w:rsid w:val="00B13324"/>
    <w:rsid w:val="00B1369D"/>
    <w:rsid w:val="00B136BE"/>
    <w:rsid w:val="00B137DD"/>
    <w:rsid w:val="00B139DE"/>
    <w:rsid w:val="00B13BEE"/>
    <w:rsid w:val="00B13C7C"/>
    <w:rsid w:val="00B13CBD"/>
    <w:rsid w:val="00B13CCA"/>
    <w:rsid w:val="00B13E82"/>
    <w:rsid w:val="00B1402F"/>
    <w:rsid w:val="00B14100"/>
    <w:rsid w:val="00B14125"/>
    <w:rsid w:val="00B1415F"/>
    <w:rsid w:val="00B14257"/>
    <w:rsid w:val="00B14304"/>
    <w:rsid w:val="00B14509"/>
    <w:rsid w:val="00B1479E"/>
    <w:rsid w:val="00B147E7"/>
    <w:rsid w:val="00B14922"/>
    <w:rsid w:val="00B1492F"/>
    <w:rsid w:val="00B14A6D"/>
    <w:rsid w:val="00B14A7B"/>
    <w:rsid w:val="00B14B50"/>
    <w:rsid w:val="00B14C74"/>
    <w:rsid w:val="00B14E27"/>
    <w:rsid w:val="00B15077"/>
    <w:rsid w:val="00B1517B"/>
    <w:rsid w:val="00B15297"/>
    <w:rsid w:val="00B15300"/>
    <w:rsid w:val="00B15304"/>
    <w:rsid w:val="00B153B8"/>
    <w:rsid w:val="00B153E8"/>
    <w:rsid w:val="00B153F4"/>
    <w:rsid w:val="00B1565D"/>
    <w:rsid w:val="00B157E1"/>
    <w:rsid w:val="00B1580F"/>
    <w:rsid w:val="00B15812"/>
    <w:rsid w:val="00B158D8"/>
    <w:rsid w:val="00B1596F"/>
    <w:rsid w:val="00B15A5D"/>
    <w:rsid w:val="00B15AA8"/>
    <w:rsid w:val="00B15ABC"/>
    <w:rsid w:val="00B15AED"/>
    <w:rsid w:val="00B15C3E"/>
    <w:rsid w:val="00B15CC8"/>
    <w:rsid w:val="00B15E32"/>
    <w:rsid w:val="00B15E86"/>
    <w:rsid w:val="00B15F8B"/>
    <w:rsid w:val="00B16119"/>
    <w:rsid w:val="00B161C2"/>
    <w:rsid w:val="00B162A1"/>
    <w:rsid w:val="00B163EF"/>
    <w:rsid w:val="00B16425"/>
    <w:rsid w:val="00B16430"/>
    <w:rsid w:val="00B1656F"/>
    <w:rsid w:val="00B16592"/>
    <w:rsid w:val="00B16612"/>
    <w:rsid w:val="00B16671"/>
    <w:rsid w:val="00B16767"/>
    <w:rsid w:val="00B1687A"/>
    <w:rsid w:val="00B16908"/>
    <w:rsid w:val="00B169BF"/>
    <w:rsid w:val="00B16AEB"/>
    <w:rsid w:val="00B16BAA"/>
    <w:rsid w:val="00B16C0A"/>
    <w:rsid w:val="00B17101"/>
    <w:rsid w:val="00B1728D"/>
    <w:rsid w:val="00B1735D"/>
    <w:rsid w:val="00B1754C"/>
    <w:rsid w:val="00B1765D"/>
    <w:rsid w:val="00B1775F"/>
    <w:rsid w:val="00B1789B"/>
    <w:rsid w:val="00B178BF"/>
    <w:rsid w:val="00B17983"/>
    <w:rsid w:val="00B17BF7"/>
    <w:rsid w:val="00B17C4E"/>
    <w:rsid w:val="00B17D6C"/>
    <w:rsid w:val="00B17ECA"/>
    <w:rsid w:val="00B17F50"/>
    <w:rsid w:val="00B17FFC"/>
    <w:rsid w:val="00B20037"/>
    <w:rsid w:val="00B203C0"/>
    <w:rsid w:val="00B203E0"/>
    <w:rsid w:val="00B20402"/>
    <w:rsid w:val="00B2065E"/>
    <w:rsid w:val="00B208DD"/>
    <w:rsid w:val="00B20982"/>
    <w:rsid w:val="00B20A50"/>
    <w:rsid w:val="00B20B81"/>
    <w:rsid w:val="00B20BB6"/>
    <w:rsid w:val="00B20CD2"/>
    <w:rsid w:val="00B20CFC"/>
    <w:rsid w:val="00B20D25"/>
    <w:rsid w:val="00B20E33"/>
    <w:rsid w:val="00B20ECF"/>
    <w:rsid w:val="00B20F36"/>
    <w:rsid w:val="00B21087"/>
    <w:rsid w:val="00B211E3"/>
    <w:rsid w:val="00B21222"/>
    <w:rsid w:val="00B21378"/>
    <w:rsid w:val="00B213AE"/>
    <w:rsid w:val="00B21446"/>
    <w:rsid w:val="00B21731"/>
    <w:rsid w:val="00B21A68"/>
    <w:rsid w:val="00B21AD2"/>
    <w:rsid w:val="00B21B4A"/>
    <w:rsid w:val="00B21BDB"/>
    <w:rsid w:val="00B21DEA"/>
    <w:rsid w:val="00B21DF2"/>
    <w:rsid w:val="00B21E75"/>
    <w:rsid w:val="00B21E7F"/>
    <w:rsid w:val="00B22099"/>
    <w:rsid w:val="00B22269"/>
    <w:rsid w:val="00B222C9"/>
    <w:rsid w:val="00B223DF"/>
    <w:rsid w:val="00B22467"/>
    <w:rsid w:val="00B22483"/>
    <w:rsid w:val="00B22539"/>
    <w:rsid w:val="00B2258A"/>
    <w:rsid w:val="00B22640"/>
    <w:rsid w:val="00B22908"/>
    <w:rsid w:val="00B22BBA"/>
    <w:rsid w:val="00B22CC1"/>
    <w:rsid w:val="00B22CF8"/>
    <w:rsid w:val="00B23002"/>
    <w:rsid w:val="00B2301A"/>
    <w:rsid w:val="00B23085"/>
    <w:rsid w:val="00B23094"/>
    <w:rsid w:val="00B230FC"/>
    <w:rsid w:val="00B23147"/>
    <w:rsid w:val="00B23258"/>
    <w:rsid w:val="00B2352A"/>
    <w:rsid w:val="00B235DF"/>
    <w:rsid w:val="00B23603"/>
    <w:rsid w:val="00B236CD"/>
    <w:rsid w:val="00B236D4"/>
    <w:rsid w:val="00B2373B"/>
    <w:rsid w:val="00B23743"/>
    <w:rsid w:val="00B2383C"/>
    <w:rsid w:val="00B23844"/>
    <w:rsid w:val="00B23884"/>
    <w:rsid w:val="00B2395B"/>
    <w:rsid w:val="00B239A2"/>
    <w:rsid w:val="00B23B13"/>
    <w:rsid w:val="00B23F52"/>
    <w:rsid w:val="00B242EA"/>
    <w:rsid w:val="00B244B7"/>
    <w:rsid w:val="00B244C4"/>
    <w:rsid w:val="00B2470D"/>
    <w:rsid w:val="00B247C3"/>
    <w:rsid w:val="00B2485D"/>
    <w:rsid w:val="00B24972"/>
    <w:rsid w:val="00B249E1"/>
    <w:rsid w:val="00B24B3F"/>
    <w:rsid w:val="00B24BB1"/>
    <w:rsid w:val="00B24BC8"/>
    <w:rsid w:val="00B24C22"/>
    <w:rsid w:val="00B24CEC"/>
    <w:rsid w:val="00B24EB1"/>
    <w:rsid w:val="00B24F9C"/>
    <w:rsid w:val="00B24FF9"/>
    <w:rsid w:val="00B24FFA"/>
    <w:rsid w:val="00B2505D"/>
    <w:rsid w:val="00B2567E"/>
    <w:rsid w:val="00B256FA"/>
    <w:rsid w:val="00B257E4"/>
    <w:rsid w:val="00B25844"/>
    <w:rsid w:val="00B259F3"/>
    <w:rsid w:val="00B25B45"/>
    <w:rsid w:val="00B25B84"/>
    <w:rsid w:val="00B25C13"/>
    <w:rsid w:val="00B25C31"/>
    <w:rsid w:val="00B25CA8"/>
    <w:rsid w:val="00B25E53"/>
    <w:rsid w:val="00B25F35"/>
    <w:rsid w:val="00B2601D"/>
    <w:rsid w:val="00B260C2"/>
    <w:rsid w:val="00B26162"/>
    <w:rsid w:val="00B262DF"/>
    <w:rsid w:val="00B26311"/>
    <w:rsid w:val="00B263BC"/>
    <w:rsid w:val="00B26408"/>
    <w:rsid w:val="00B265EF"/>
    <w:rsid w:val="00B266A3"/>
    <w:rsid w:val="00B26A6D"/>
    <w:rsid w:val="00B26C1A"/>
    <w:rsid w:val="00B26D82"/>
    <w:rsid w:val="00B26D88"/>
    <w:rsid w:val="00B26D95"/>
    <w:rsid w:val="00B26DA3"/>
    <w:rsid w:val="00B26DBB"/>
    <w:rsid w:val="00B26E00"/>
    <w:rsid w:val="00B26E5F"/>
    <w:rsid w:val="00B26E72"/>
    <w:rsid w:val="00B2704E"/>
    <w:rsid w:val="00B270CB"/>
    <w:rsid w:val="00B2714C"/>
    <w:rsid w:val="00B2717C"/>
    <w:rsid w:val="00B2727A"/>
    <w:rsid w:val="00B273A7"/>
    <w:rsid w:val="00B2753C"/>
    <w:rsid w:val="00B275AA"/>
    <w:rsid w:val="00B276AB"/>
    <w:rsid w:val="00B276CA"/>
    <w:rsid w:val="00B27A9F"/>
    <w:rsid w:val="00B27B5F"/>
    <w:rsid w:val="00B27BC3"/>
    <w:rsid w:val="00B27C83"/>
    <w:rsid w:val="00B27DA3"/>
    <w:rsid w:val="00B27DD3"/>
    <w:rsid w:val="00B27DDB"/>
    <w:rsid w:val="00B27E06"/>
    <w:rsid w:val="00B27EA6"/>
    <w:rsid w:val="00B27F4D"/>
    <w:rsid w:val="00B3026D"/>
    <w:rsid w:val="00B302FA"/>
    <w:rsid w:val="00B30345"/>
    <w:rsid w:val="00B3043C"/>
    <w:rsid w:val="00B304D2"/>
    <w:rsid w:val="00B30741"/>
    <w:rsid w:val="00B30812"/>
    <w:rsid w:val="00B3081E"/>
    <w:rsid w:val="00B30A29"/>
    <w:rsid w:val="00B30B24"/>
    <w:rsid w:val="00B30B47"/>
    <w:rsid w:val="00B30BA9"/>
    <w:rsid w:val="00B30CB5"/>
    <w:rsid w:val="00B30CE2"/>
    <w:rsid w:val="00B30D06"/>
    <w:rsid w:val="00B30D20"/>
    <w:rsid w:val="00B30D60"/>
    <w:rsid w:val="00B30E3F"/>
    <w:rsid w:val="00B30F7A"/>
    <w:rsid w:val="00B31156"/>
    <w:rsid w:val="00B3134B"/>
    <w:rsid w:val="00B3137C"/>
    <w:rsid w:val="00B31468"/>
    <w:rsid w:val="00B3150C"/>
    <w:rsid w:val="00B3151D"/>
    <w:rsid w:val="00B316B9"/>
    <w:rsid w:val="00B31734"/>
    <w:rsid w:val="00B31871"/>
    <w:rsid w:val="00B31B85"/>
    <w:rsid w:val="00B31CA4"/>
    <w:rsid w:val="00B31CFB"/>
    <w:rsid w:val="00B31E49"/>
    <w:rsid w:val="00B3208E"/>
    <w:rsid w:val="00B3235E"/>
    <w:rsid w:val="00B3250C"/>
    <w:rsid w:val="00B325DE"/>
    <w:rsid w:val="00B326DF"/>
    <w:rsid w:val="00B32722"/>
    <w:rsid w:val="00B327FB"/>
    <w:rsid w:val="00B32886"/>
    <w:rsid w:val="00B3299C"/>
    <w:rsid w:val="00B329C4"/>
    <w:rsid w:val="00B32AAC"/>
    <w:rsid w:val="00B32B6F"/>
    <w:rsid w:val="00B32D6C"/>
    <w:rsid w:val="00B32DFD"/>
    <w:rsid w:val="00B32E54"/>
    <w:rsid w:val="00B330AF"/>
    <w:rsid w:val="00B33102"/>
    <w:rsid w:val="00B33280"/>
    <w:rsid w:val="00B332E3"/>
    <w:rsid w:val="00B333F5"/>
    <w:rsid w:val="00B33442"/>
    <w:rsid w:val="00B334A6"/>
    <w:rsid w:val="00B335CD"/>
    <w:rsid w:val="00B336C5"/>
    <w:rsid w:val="00B33957"/>
    <w:rsid w:val="00B339E3"/>
    <w:rsid w:val="00B33A83"/>
    <w:rsid w:val="00B33AF9"/>
    <w:rsid w:val="00B33BB0"/>
    <w:rsid w:val="00B33C04"/>
    <w:rsid w:val="00B33C43"/>
    <w:rsid w:val="00B33C8A"/>
    <w:rsid w:val="00B33C92"/>
    <w:rsid w:val="00B33CF7"/>
    <w:rsid w:val="00B33D8A"/>
    <w:rsid w:val="00B33DE4"/>
    <w:rsid w:val="00B33ED5"/>
    <w:rsid w:val="00B34048"/>
    <w:rsid w:val="00B3406C"/>
    <w:rsid w:val="00B340AD"/>
    <w:rsid w:val="00B340BC"/>
    <w:rsid w:val="00B341B9"/>
    <w:rsid w:val="00B34406"/>
    <w:rsid w:val="00B345A3"/>
    <w:rsid w:val="00B34602"/>
    <w:rsid w:val="00B34646"/>
    <w:rsid w:val="00B34683"/>
    <w:rsid w:val="00B346F3"/>
    <w:rsid w:val="00B348D4"/>
    <w:rsid w:val="00B34A29"/>
    <w:rsid w:val="00B34A66"/>
    <w:rsid w:val="00B34BFA"/>
    <w:rsid w:val="00B34C13"/>
    <w:rsid w:val="00B34CB6"/>
    <w:rsid w:val="00B34D96"/>
    <w:rsid w:val="00B34D9B"/>
    <w:rsid w:val="00B34DD9"/>
    <w:rsid w:val="00B3532B"/>
    <w:rsid w:val="00B35385"/>
    <w:rsid w:val="00B35410"/>
    <w:rsid w:val="00B35499"/>
    <w:rsid w:val="00B35655"/>
    <w:rsid w:val="00B3565F"/>
    <w:rsid w:val="00B35756"/>
    <w:rsid w:val="00B35832"/>
    <w:rsid w:val="00B35836"/>
    <w:rsid w:val="00B35AAB"/>
    <w:rsid w:val="00B35AE8"/>
    <w:rsid w:val="00B35E49"/>
    <w:rsid w:val="00B35F10"/>
    <w:rsid w:val="00B35F56"/>
    <w:rsid w:val="00B35F9B"/>
    <w:rsid w:val="00B360E7"/>
    <w:rsid w:val="00B3621D"/>
    <w:rsid w:val="00B3635B"/>
    <w:rsid w:val="00B36495"/>
    <w:rsid w:val="00B364DC"/>
    <w:rsid w:val="00B367D2"/>
    <w:rsid w:val="00B36958"/>
    <w:rsid w:val="00B36981"/>
    <w:rsid w:val="00B36A10"/>
    <w:rsid w:val="00B36A16"/>
    <w:rsid w:val="00B36B4B"/>
    <w:rsid w:val="00B36B9B"/>
    <w:rsid w:val="00B36C83"/>
    <w:rsid w:val="00B36E2C"/>
    <w:rsid w:val="00B36F9B"/>
    <w:rsid w:val="00B37215"/>
    <w:rsid w:val="00B37303"/>
    <w:rsid w:val="00B37366"/>
    <w:rsid w:val="00B3749D"/>
    <w:rsid w:val="00B376ED"/>
    <w:rsid w:val="00B378AA"/>
    <w:rsid w:val="00B378D3"/>
    <w:rsid w:val="00B37BDA"/>
    <w:rsid w:val="00B37C7F"/>
    <w:rsid w:val="00B4000B"/>
    <w:rsid w:val="00B40093"/>
    <w:rsid w:val="00B403A0"/>
    <w:rsid w:val="00B403AE"/>
    <w:rsid w:val="00B4049B"/>
    <w:rsid w:val="00B40582"/>
    <w:rsid w:val="00B40847"/>
    <w:rsid w:val="00B408AA"/>
    <w:rsid w:val="00B40AD9"/>
    <w:rsid w:val="00B40B13"/>
    <w:rsid w:val="00B40CE4"/>
    <w:rsid w:val="00B40D1A"/>
    <w:rsid w:val="00B40D21"/>
    <w:rsid w:val="00B40D40"/>
    <w:rsid w:val="00B40D48"/>
    <w:rsid w:val="00B40E68"/>
    <w:rsid w:val="00B40FFF"/>
    <w:rsid w:val="00B4128D"/>
    <w:rsid w:val="00B412C6"/>
    <w:rsid w:val="00B41349"/>
    <w:rsid w:val="00B41351"/>
    <w:rsid w:val="00B4154B"/>
    <w:rsid w:val="00B416AB"/>
    <w:rsid w:val="00B417B3"/>
    <w:rsid w:val="00B417FC"/>
    <w:rsid w:val="00B41874"/>
    <w:rsid w:val="00B418A0"/>
    <w:rsid w:val="00B418D5"/>
    <w:rsid w:val="00B41982"/>
    <w:rsid w:val="00B41A7D"/>
    <w:rsid w:val="00B41C26"/>
    <w:rsid w:val="00B41CAD"/>
    <w:rsid w:val="00B42001"/>
    <w:rsid w:val="00B4202C"/>
    <w:rsid w:val="00B42064"/>
    <w:rsid w:val="00B423B9"/>
    <w:rsid w:val="00B4249C"/>
    <w:rsid w:val="00B4252D"/>
    <w:rsid w:val="00B425CF"/>
    <w:rsid w:val="00B42933"/>
    <w:rsid w:val="00B42A65"/>
    <w:rsid w:val="00B42AE8"/>
    <w:rsid w:val="00B42BB5"/>
    <w:rsid w:val="00B42CF1"/>
    <w:rsid w:val="00B42E61"/>
    <w:rsid w:val="00B42F3D"/>
    <w:rsid w:val="00B430AC"/>
    <w:rsid w:val="00B43213"/>
    <w:rsid w:val="00B43214"/>
    <w:rsid w:val="00B43239"/>
    <w:rsid w:val="00B4333B"/>
    <w:rsid w:val="00B43417"/>
    <w:rsid w:val="00B43500"/>
    <w:rsid w:val="00B4357A"/>
    <w:rsid w:val="00B435B7"/>
    <w:rsid w:val="00B4361A"/>
    <w:rsid w:val="00B437F5"/>
    <w:rsid w:val="00B438A5"/>
    <w:rsid w:val="00B43B33"/>
    <w:rsid w:val="00B43BE8"/>
    <w:rsid w:val="00B43D15"/>
    <w:rsid w:val="00B43D9B"/>
    <w:rsid w:val="00B43EFE"/>
    <w:rsid w:val="00B43F48"/>
    <w:rsid w:val="00B43FF5"/>
    <w:rsid w:val="00B440CD"/>
    <w:rsid w:val="00B440E6"/>
    <w:rsid w:val="00B44219"/>
    <w:rsid w:val="00B443CC"/>
    <w:rsid w:val="00B44514"/>
    <w:rsid w:val="00B44550"/>
    <w:rsid w:val="00B44584"/>
    <w:rsid w:val="00B4481F"/>
    <w:rsid w:val="00B44922"/>
    <w:rsid w:val="00B449C4"/>
    <w:rsid w:val="00B44AD6"/>
    <w:rsid w:val="00B44AE0"/>
    <w:rsid w:val="00B44B8A"/>
    <w:rsid w:val="00B44BD2"/>
    <w:rsid w:val="00B44C19"/>
    <w:rsid w:val="00B44C52"/>
    <w:rsid w:val="00B44D25"/>
    <w:rsid w:val="00B44D53"/>
    <w:rsid w:val="00B44D76"/>
    <w:rsid w:val="00B450C3"/>
    <w:rsid w:val="00B452B7"/>
    <w:rsid w:val="00B45436"/>
    <w:rsid w:val="00B456E2"/>
    <w:rsid w:val="00B45703"/>
    <w:rsid w:val="00B45735"/>
    <w:rsid w:val="00B4575D"/>
    <w:rsid w:val="00B4579C"/>
    <w:rsid w:val="00B4582B"/>
    <w:rsid w:val="00B4592C"/>
    <w:rsid w:val="00B45A55"/>
    <w:rsid w:val="00B45D2F"/>
    <w:rsid w:val="00B45E20"/>
    <w:rsid w:val="00B45E5A"/>
    <w:rsid w:val="00B45E93"/>
    <w:rsid w:val="00B45EF4"/>
    <w:rsid w:val="00B45F9B"/>
    <w:rsid w:val="00B46017"/>
    <w:rsid w:val="00B4601A"/>
    <w:rsid w:val="00B460B0"/>
    <w:rsid w:val="00B460DB"/>
    <w:rsid w:val="00B460E3"/>
    <w:rsid w:val="00B46153"/>
    <w:rsid w:val="00B46261"/>
    <w:rsid w:val="00B4655A"/>
    <w:rsid w:val="00B46861"/>
    <w:rsid w:val="00B46978"/>
    <w:rsid w:val="00B46C6B"/>
    <w:rsid w:val="00B46D96"/>
    <w:rsid w:val="00B46E3A"/>
    <w:rsid w:val="00B46EF3"/>
    <w:rsid w:val="00B47234"/>
    <w:rsid w:val="00B47442"/>
    <w:rsid w:val="00B47725"/>
    <w:rsid w:val="00B4780F"/>
    <w:rsid w:val="00B47A3B"/>
    <w:rsid w:val="00B47B55"/>
    <w:rsid w:val="00B47B74"/>
    <w:rsid w:val="00B47C7B"/>
    <w:rsid w:val="00B47C81"/>
    <w:rsid w:val="00B47D6F"/>
    <w:rsid w:val="00B50090"/>
    <w:rsid w:val="00B500E0"/>
    <w:rsid w:val="00B5021E"/>
    <w:rsid w:val="00B50408"/>
    <w:rsid w:val="00B50422"/>
    <w:rsid w:val="00B50669"/>
    <w:rsid w:val="00B50680"/>
    <w:rsid w:val="00B506A1"/>
    <w:rsid w:val="00B506B7"/>
    <w:rsid w:val="00B507EE"/>
    <w:rsid w:val="00B508A0"/>
    <w:rsid w:val="00B509B1"/>
    <w:rsid w:val="00B50ADD"/>
    <w:rsid w:val="00B50C0D"/>
    <w:rsid w:val="00B50C1A"/>
    <w:rsid w:val="00B50DC4"/>
    <w:rsid w:val="00B50F94"/>
    <w:rsid w:val="00B50FCE"/>
    <w:rsid w:val="00B510A7"/>
    <w:rsid w:val="00B510B7"/>
    <w:rsid w:val="00B51396"/>
    <w:rsid w:val="00B513EB"/>
    <w:rsid w:val="00B51516"/>
    <w:rsid w:val="00B51529"/>
    <w:rsid w:val="00B516A6"/>
    <w:rsid w:val="00B51856"/>
    <w:rsid w:val="00B51B05"/>
    <w:rsid w:val="00B51B0B"/>
    <w:rsid w:val="00B51B9B"/>
    <w:rsid w:val="00B51BBD"/>
    <w:rsid w:val="00B51E16"/>
    <w:rsid w:val="00B52155"/>
    <w:rsid w:val="00B52161"/>
    <w:rsid w:val="00B521F9"/>
    <w:rsid w:val="00B52263"/>
    <w:rsid w:val="00B522B0"/>
    <w:rsid w:val="00B524C8"/>
    <w:rsid w:val="00B52562"/>
    <w:rsid w:val="00B525DF"/>
    <w:rsid w:val="00B526CA"/>
    <w:rsid w:val="00B52731"/>
    <w:rsid w:val="00B5286E"/>
    <w:rsid w:val="00B52B2C"/>
    <w:rsid w:val="00B52BD0"/>
    <w:rsid w:val="00B52C80"/>
    <w:rsid w:val="00B52D83"/>
    <w:rsid w:val="00B52DB5"/>
    <w:rsid w:val="00B52DB8"/>
    <w:rsid w:val="00B52E49"/>
    <w:rsid w:val="00B5302D"/>
    <w:rsid w:val="00B53185"/>
    <w:rsid w:val="00B531AD"/>
    <w:rsid w:val="00B531BD"/>
    <w:rsid w:val="00B531C1"/>
    <w:rsid w:val="00B531EC"/>
    <w:rsid w:val="00B5325E"/>
    <w:rsid w:val="00B532BD"/>
    <w:rsid w:val="00B5331A"/>
    <w:rsid w:val="00B53494"/>
    <w:rsid w:val="00B53525"/>
    <w:rsid w:val="00B5356D"/>
    <w:rsid w:val="00B536D0"/>
    <w:rsid w:val="00B53764"/>
    <w:rsid w:val="00B5378A"/>
    <w:rsid w:val="00B53841"/>
    <w:rsid w:val="00B53861"/>
    <w:rsid w:val="00B5388E"/>
    <w:rsid w:val="00B53CA8"/>
    <w:rsid w:val="00B53CF4"/>
    <w:rsid w:val="00B53D26"/>
    <w:rsid w:val="00B53F48"/>
    <w:rsid w:val="00B54267"/>
    <w:rsid w:val="00B5440E"/>
    <w:rsid w:val="00B5448E"/>
    <w:rsid w:val="00B544B0"/>
    <w:rsid w:val="00B5458F"/>
    <w:rsid w:val="00B54609"/>
    <w:rsid w:val="00B54619"/>
    <w:rsid w:val="00B54813"/>
    <w:rsid w:val="00B54844"/>
    <w:rsid w:val="00B548BC"/>
    <w:rsid w:val="00B54AB6"/>
    <w:rsid w:val="00B54D20"/>
    <w:rsid w:val="00B54E55"/>
    <w:rsid w:val="00B54EF7"/>
    <w:rsid w:val="00B5503F"/>
    <w:rsid w:val="00B55053"/>
    <w:rsid w:val="00B5515D"/>
    <w:rsid w:val="00B55298"/>
    <w:rsid w:val="00B552BF"/>
    <w:rsid w:val="00B5534E"/>
    <w:rsid w:val="00B553E8"/>
    <w:rsid w:val="00B55622"/>
    <w:rsid w:val="00B55840"/>
    <w:rsid w:val="00B5585E"/>
    <w:rsid w:val="00B558BB"/>
    <w:rsid w:val="00B55A4D"/>
    <w:rsid w:val="00B55B28"/>
    <w:rsid w:val="00B55DE7"/>
    <w:rsid w:val="00B55E9D"/>
    <w:rsid w:val="00B56097"/>
    <w:rsid w:val="00B5614F"/>
    <w:rsid w:val="00B56351"/>
    <w:rsid w:val="00B568A1"/>
    <w:rsid w:val="00B56A93"/>
    <w:rsid w:val="00B56B38"/>
    <w:rsid w:val="00B56B60"/>
    <w:rsid w:val="00B56B62"/>
    <w:rsid w:val="00B56BA3"/>
    <w:rsid w:val="00B56EBA"/>
    <w:rsid w:val="00B57123"/>
    <w:rsid w:val="00B572DE"/>
    <w:rsid w:val="00B5736F"/>
    <w:rsid w:val="00B57485"/>
    <w:rsid w:val="00B57594"/>
    <w:rsid w:val="00B57722"/>
    <w:rsid w:val="00B578D4"/>
    <w:rsid w:val="00B57BB7"/>
    <w:rsid w:val="00B57C09"/>
    <w:rsid w:val="00B57D0F"/>
    <w:rsid w:val="00B57D73"/>
    <w:rsid w:val="00B57DCB"/>
    <w:rsid w:val="00B57E1C"/>
    <w:rsid w:val="00B57EE9"/>
    <w:rsid w:val="00B600E0"/>
    <w:rsid w:val="00B601CE"/>
    <w:rsid w:val="00B60281"/>
    <w:rsid w:val="00B6039B"/>
    <w:rsid w:val="00B603C0"/>
    <w:rsid w:val="00B6061B"/>
    <w:rsid w:val="00B6065D"/>
    <w:rsid w:val="00B607EB"/>
    <w:rsid w:val="00B608A9"/>
    <w:rsid w:val="00B60A16"/>
    <w:rsid w:val="00B60A8A"/>
    <w:rsid w:val="00B60B52"/>
    <w:rsid w:val="00B60D12"/>
    <w:rsid w:val="00B60F51"/>
    <w:rsid w:val="00B612C3"/>
    <w:rsid w:val="00B6142F"/>
    <w:rsid w:val="00B61463"/>
    <w:rsid w:val="00B6178F"/>
    <w:rsid w:val="00B618BD"/>
    <w:rsid w:val="00B619F7"/>
    <w:rsid w:val="00B61A5F"/>
    <w:rsid w:val="00B61A87"/>
    <w:rsid w:val="00B61B1E"/>
    <w:rsid w:val="00B61B8F"/>
    <w:rsid w:val="00B61C67"/>
    <w:rsid w:val="00B61DE6"/>
    <w:rsid w:val="00B61EC5"/>
    <w:rsid w:val="00B61F0B"/>
    <w:rsid w:val="00B61F56"/>
    <w:rsid w:val="00B6205E"/>
    <w:rsid w:val="00B62124"/>
    <w:rsid w:val="00B62452"/>
    <w:rsid w:val="00B624F4"/>
    <w:rsid w:val="00B625B2"/>
    <w:rsid w:val="00B625D0"/>
    <w:rsid w:val="00B62651"/>
    <w:rsid w:val="00B62660"/>
    <w:rsid w:val="00B626DB"/>
    <w:rsid w:val="00B6272C"/>
    <w:rsid w:val="00B627BB"/>
    <w:rsid w:val="00B6281E"/>
    <w:rsid w:val="00B628DD"/>
    <w:rsid w:val="00B62A52"/>
    <w:rsid w:val="00B62BD4"/>
    <w:rsid w:val="00B62CF4"/>
    <w:rsid w:val="00B62FD3"/>
    <w:rsid w:val="00B630A2"/>
    <w:rsid w:val="00B6312C"/>
    <w:rsid w:val="00B63144"/>
    <w:rsid w:val="00B63161"/>
    <w:rsid w:val="00B631C3"/>
    <w:rsid w:val="00B631F5"/>
    <w:rsid w:val="00B63224"/>
    <w:rsid w:val="00B632D0"/>
    <w:rsid w:val="00B63319"/>
    <w:rsid w:val="00B63417"/>
    <w:rsid w:val="00B634EA"/>
    <w:rsid w:val="00B636B7"/>
    <w:rsid w:val="00B63757"/>
    <w:rsid w:val="00B6389B"/>
    <w:rsid w:val="00B639AE"/>
    <w:rsid w:val="00B63B03"/>
    <w:rsid w:val="00B63CE7"/>
    <w:rsid w:val="00B63FA5"/>
    <w:rsid w:val="00B6408D"/>
    <w:rsid w:val="00B640A3"/>
    <w:rsid w:val="00B6432A"/>
    <w:rsid w:val="00B64413"/>
    <w:rsid w:val="00B64415"/>
    <w:rsid w:val="00B6445E"/>
    <w:rsid w:val="00B64525"/>
    <w:rsid w:val="00B648DC"/>
    <w:rsid w:val="00B64970"/>
    <w:rsid w:val="00B64AA4"/>
    <w:rsid w:val="00B64C3D"/>
    <w:rsid w:val="00B64D6C"/>
    <w:rsid w:val="00B64E19"/>
    <w:rsid w:val="00B64F38"/>
    <w:rsid w:val="00B65043"/>
    <w:rsid w:val="00B65111"/>
    <w:rsid w:val="00B651C4"/>
    <w:rsid w:val="00B651E0"/>
    <w:rsid w:val="00B651E4"/>
    <w:rsid w:val="00B65238"/>
    <w:rsid w:val="00B6536E"/>
    <w:rsid w:val="00B65373"/>
    <w:rsid w:val="00B653EF"/>
    <w:rsid w:val="00B654B2"/>
    <w:rsid w:val="00B65535"/>
    <w:rsid w:val="00B65659"/>
    <w:rsid w:val="00B6573A"/>
    <w:rsid w:val="00B65856"/>
    <w:rsid w:val="00B65877"/>
    <w:rsid w:val="00B65890"/>
    <w:rsid w:val="00B658A6"/>
    <w:rsid w:val="00B65917"/>
    <w:rsid w:val="00B659F4"/>
    <w:rsid w:val="00B65ABD"/>
    <w:rsid w:val="00B65C4F"/>
    <w:rsid w:val="00B65D3D"/>
    <w:rsid w:val="00B65D62"/>
    <w:rsid w:val="00B65DAA"/>
    <w:rsid w:val="00B65E77"/>
    <w:rsid w:val="00B65FEB"/>
    <w:rsid w:val="00B662D7"/>
    <w:rsid w:val="00B662DA"/>
    <w:rsid w:val="00B6636A"/>
    <w:rsid w:val="00B663E4"/>
    <w:rsid w:val="00B66573"/>
    <w:rsid w:val="00B66599"/>
    <w:rsid w:val="00B66628"/>
    <w:rsid w:val="00B66A50"/>
    <w:rsid w:val="00B66B16"/>
    <w:rsid w:val="00B66B2F"/>
    <w:rsid w:val="00B66B6C"/>
    <w:rsid w:val="00B66C6D"/>
    <w:rsid w:val="00B66F14"/>
    <w:rsid w:val="00B673E0"/>
    <w:rsid w:val="00B6750F"/>
    <w:rsid w:val="00B675BA"/>
    <w:rsid w:val="00B6765D"/>
    <w:rsid w:val="00B676BB"/>
    <w:rsid w:val="00B67771"/>
    <w:rsid w:val="00B677DB"/>
    <w:rsid w:val="00B67905"/>
    <w:rsid w:val="00B67B45"/>
    <w:rsid w:val="00B67C4E"/>
    <w:rsid w:val="00B67CA3"/>
    <w:rsid w:val="00B67D9B"/>
    <w:rsid w:val="00B67EFF"/>
    <w:rsid w:val="00B67F0C"/>
    <w:rsid w:val="00B67FD4"/>
    <w:rsid w:val="00B703C7"/>
    <w:rsid w:val="00B703D9"/>
    <w:rsid w:val="00B703E2"/>
    <w:rsid w:val="00B70512"/>
    <w:rsid w:val="00B707E9"/>
    <w:rsid w:val="00B70A18"/>
    <w:rsid w:val="00B70AA8"/>
    <w:rsid w:val="00B70B8A"/>
    <w:rsid w:val="00B70C81"/>
    <w:rsid w:val="00B7103A"/>
    <w:rsid w:val="00B71124"/>
    <w:rsid w:val="00B711CC"/>
    <w:rsid w:val="00B71278"/>
    <w:rsid w:val="00B7131E"/>
    <w:rsid w:val="00B7136B"/>
    <w:rsid w:val="00B713FE"/>
    <w:rsid w:val="00B71458"/>
    <w:rsid w:val="00B716F1"/>
    <w:rsid w:val="00B717F2"/>
    <w:rsid w:val="00B71990"/>
    <w:rsid w:val="00B71A24"/>
    <w:rsid w:val="00B71ABF"/>
    <w:rsid w:val="00B71B4C"/>
    <w:rsid w:val="00B71ED1"/>
    <w:rsid w:val="00B71F47"/>
    <w:rsid w:val="00B720EC"/>
    <w:rsid w:val="00B721F5"/>
    <w:rsid w:val="00B7225D"/>
    <w:rsid w:val="00B72324"/>
    <w:rsid w:val="00B72633"/>
    <w:rsid w:val="00B728FF"/>
    <w:rsid w:val="00B7295D"/>
    <w:rsid w:val="00B72B25"/>
    <w:rsid w:val="00B72BB8"/>
    <w:rsid w:val="00B72C80"/>
    <w:rsid w:val="00B72CA2"/>
    <w:rsid w:val="00B72DAB"/>
    <w:rsid w:val="00B72E32"/>
    <w:rsid w:val="00B72F65"/>
    <w:rsid w:val="00B72F6D"/>
    <w:rsid w:val="00B732D2"/>
    <w:rsid w:val="00B7341B"/>
    <w:rsid w:val="00B734AE"/>
    <w:rsid w:val="00B7357A"/>
    <w:rsid w:val="00B73922"/>
    <w:rsid w:val="00B73986"/>
    <w:rsid w:val="00B73BAE"/>
    <w:rsid w:val="00B73BF2"/>
    <w:rsid w:val="00B73C40"/>
    <w:rsid w:val="00B73C68"/>
    <w:rsid w:val="00B73CAE"/>
    <w:rsid w:val="00B73EC2"/>
    <w:rsid w:val="00B73F10"/>
    <w:rsid w:val="00B73F4B"/>
    <w:rsid w:val="00B74067"/>
    <w:rsid w:val="00B7412A"/>
    <w:rsid w:val="00B74635"/>
    <w:rsid w:val="00B747D8"/>
    <w:rsid w:val="00B749FB"/>
    <w:rsid w:val="00B74A3D"/>
    <w:rsid w:val="00B74C08"/>
    <w:rsid w:val="00B74C84"/>
    <w:rsid w:val="00B74CE4"/>
    <w:rsid w:val="00B74D95"/>
    <w:rsid w:val="00B74E5E"/>
    <w:rsid w:val="00B74F7F"/>
    <w:rsid w:val="00B74FBF"/>
    <w:rsid w:val="00B75051"/>
    <w:rsid w:val="00B75106"/>
    <w:rsid w:val="00B751F4"/>
    <w:rsid w:val="00B75247"/>
    <w:rsid w:val="00B7529D"/>
    <w:rsid w:val="00B75485"/>
    <w:rsid w:val="00B7548E"/>
    <w:rsid w:val="00B754EB"/>
    <w:rsid w:val="00B756CC"/>
    <w:rsid w:val="00B758DC"/>
    <w:rsid w:val="00B7591D"/>
    <w:rsid w:val="00B75B08"/>
    <w:rsid w:val="00B75EA4"/>
    <w:rsid w:val="00B76015"/>
    <w:rsid w:val="00B76166"/>
    <w:rsid w:val="00B761A8"/>
    <w:rsid w:val="00B761C5"/>
    <w:rsid w:val="00B76203"/>
    <w:rsid w:val="00B762B4"/>
    <w:rsid w:val="00B7648B"/>
    <w:rsid w:val="00B765F8"/>
    <w:rsid w:val="00B7663C"/>
    <w:rsid w:val="00B7668F"/>
    <w:rsid w:val="00B766C8"/>
    <w:rsid w:val="00B766DD"/>
    <w:rsid w:val="00B766FB"/>
    <w:rsid w:val="00B7671F"/>
    <w:rsid w:val="00B767BA"/>
    <w:rsid w:val="00B76874"/>
    <w:rsid w:val="00B769A9"/>
    <w:rsid w:val="00B769FA"/>
    <w:rsid w:val="00B76A1A"/>
    <w:rsid w:val="00B76BA1"/>
    <w:rsid w:val="00B76BC3"/>
    <w:rsid w:val="00B76C05"/>
    <w:rsid w:val="00B76C5F"/>
    <w:rsid w:val="00B76C7E"/>
    <w:rsid w:val="00B76EFD"/>
    <w:rsid w:val="00B77079"/>
    <w:rsid w:val="00B770A7"/>
    <w:rsid w:val="00B7727B"/>
    <w:rsid w:val="00B7782B"/>
    <w:rsid w:val="00B77925"/>
    <w:rsid w:val="00B77959"/>
    <w:rsid w:val="00B7795B"/>
    <w:rsid w:val="00B77A89"/>
    <w:rsid w:val="00B77C84"/>
    <w:rsid w:val="00B77EC0"/>
    <w:rsid w:val="00B77F2D"/>
    <w:rsid w:val="00B77F3F"/>
    <w:rsid w:val="00B80074"/>
    <w:rsid w:val="00B8022F"/>
    <w:rsid w:val="00B80432"/>
    <w:rsid w:val="00B80738"/>
    <w:rsid w:val="00B808CD"/>
    <w:rsid w:val="00B80931"/>
    <w:rsid w:val="00B8096A"/>
    <w:rsid w:val="00B809AA"/>
    <w:rsid w:val="00B80A89"/>
    <w:rsid w:val="00B80C01"/>
    <w:rsid w:val="00B80DF1"/>
    <w:rsid w:val="00B80E80"/>
    <w:rsid w:val="00B80F8A"/>
    <w:rsid w:val="00B81015"/>
    <w:rsid w:val="00B81047"/>
    <w:rsid w:val="00B8122B"/>
    <w:rsid w:val="00B81320"/>
    <w:rsid w:val="00B814DC"/>
    <w:rsid w:val="00B8160C"/>
    <w:rsid w:val="00B816E8"/>
    <w:rsid w:val="00B816F6"/>
    <w:rsid w:val="00B81758"/>
    <w:rsid w:val="00B819F7"/>
    <w:rsid w:val="00B81C81"/>
    <w:rsid w:val="00B81CAC"/>
    <w:rsid w:val="00B81DAF"/>
    <w:rsid w:val="00B81DD0"/>
    <w:rsid w:val="00B81F53"/>
    <w:rsid w:val="00B8206A"/>
    <w:rsid w:val="00B8210B"/>
    <w:rsid w:val="00B82160"/>
    <w:rsid w:val="00B821EB"/>
    <w:rsid w:val="00B825F8"/>
    <w:rsid w:val="00B826F5"/>
    <w:rsid w:val="00B82AA2"/>
    <w:rsid w:val="00B82D4B"/>
    <w:rsid w:val="00B82E3B"/>
    <w:rsid w:val="00B82E53"/>
    <w:rsid w:val="00B82ED4"/>
    <w:rsid w:val="00B83251"/>
    <w:rsid w:val="00B8326C"/>
    <w:rsid w:val="00B832E6"/>
    <w:rsid w:val="00B833BE"/>
    <w:rsid w:val="00B833F2"/>
    <w:rsid w:val="00B83425"/>
    <w:rsid w:val="00B83542"/>
    <w:rsid w:val="00B83565"/>
    <w:rsid w:val="00B8359F"/>
    <w:rsid w:val="00B83700"/>
    <w:rsid w:val="00B83873"/>
    <w:rsid w:val="00B838B7"/>
    <w:rsid w:val="00B83A35"/>
    <w:rsid w:val="00B83B51"/>
    <w:rsid w:val="00B83B8F"/>
    <w:rsid w:val="00B83BDA"/>
    <w:rsid w:val="00B83D89"/>
    <w:rsid w:val="00B83DE5"/>
    <w:rsid w:val="00B83E3D"/>
    <w:rsid w:val="00B83E60"/>
    <w:rsid w:val="00B84133"/>
    <w:rsid w:val="00B841A7"/>
    <w:rsid w:val="00B8420E"/>
    <w:rsid w:val="00B8422A"/>
    <w:rsid w:val="00B84393"/>
    <w:rsid w:val="00B84425"/>
    <w:rsid w:val="00B844C3"/>
    <w:rsid w:val="00B844EC"/>
    <w:rsid w:val="00B84588"/>
    <w:rsid w:val="00B84869"/>
    <w:rsid w:val="00B84885"/>
    <w:rsid w:val="00B848CD"/>
    <w:rsid w:val="00B84A84"/>
    <w:rsid w:val="00B84B60"/>
    <w:rsid w:val="00B84CC2"/>
    <w:rsid w:val="00B84E51"/>
    <w:rsid w:val="00B84F5E"/>
    <w:rsid w:val="00B84FBD"/>
    <w:rsid w:val="00B85142"/>
    <w:rsid w:val="00B851AD"/>
    <w:rsid w:val="00B85271"/>
    <w:rsid w:val="00B8536A"/>
    <w:rsid w:val="00B853E9"/>
    <w:rsid w:val="00B85533"/>
    <w:rsid w:val="00B85749"/>
    <w:rsid w:val="00B8578C"/>
    <w:rsid w:val="00B857C3"/>
    <w:rsid w:val="00B857F7"/>
    <w:rsid w:val="00B858E1"/>
    <w:rsid w:val="00B85C4F"/>
    <w:rsid w:val="00B85C64"/>
    <w:rsid w:val="00B86008"/>
    <w:rsid w:val="00B8627E"/>
    <w:rsid w:val="00B862EC"/>
    <w:rsid w:val="00B86315"/>
    <w:rsid w:val="00B86607"/>
    <w:rsid w:val="00B866FD"/>
    <w:rsid w:val="00B8690E"/>
    <w:rsid w:val="00B86915"/>
    <w:rsid w:val="00B869EA"/>
    <w:rsid w:val="00B86A57"/>
    <w:rsid w:val="00B86BE0"/>
    <w:rsid w:val="00B86CF1"/>
    <w:rsid w:val="00B86E18"/>
    <w:rsid w:val="00B86FF9"/>
    <w:rsid w:val="00B872B4"/>
    <w:rsid w:val="00B873D5"/>
    <w:rsid w:val="00B87553"/>
    <w:rsid w:val="00B876BD"/>
    <w:rsid w:val="00B87714"/>
    <w:rsid w:val="00B87859"/>
    <w:rsid w:val="00B87A0D"/>
    <w:rsid w:val="00B87BDB"/>
    <w:rsid w:val="00B87E66"/>
    <w:rsid w:val="00B87EC1"/>
    <w:rsid w:val="00B900AE"/>
    <w:rsid w:val="00B90172"/>
    <w:rsid w:val="00B90339"/>
    <w:rsid w:val="00B904D9"/>
    <w:rsid w:val="00B905AF"/>
    <w:rsid w:val="00B90634"/>
    <w:rsid w:val="00B906D9"/>
    <w:rsid w:val="00B907AD"/>
    <w:rsid w:val="00B90860"/>
    <w:rsid w:val="00B90923"/>
    <w:rsid w:val="00B9092C"/>
    <w:rsid w:val="00B90951"/>
    <w:rsid w:val="00B90B19"/>
    <w:rsid w:val="00B90B38"/>
    <w:rsid w:val="00B90B4C"/>
    <w:rsid w:val="00B90C19"/>
    <w:rsid w:val="00B90D59"/>
    <w:rsid w:val="00B90F70"/>
    <w:rsid w:val="00B91051"/>
    <w:rsid w:val="00B9112A"/>
    <w:rsid w:val="00B911B2"/>
    <w:rsid w:val="00B911C6"/>
    <w:rsid w:val="00B9122C"/>
    <w:rsid w:val="00B91281"/>
    <w:rsid w:val="00B91297"/>
    <w:rsid w:val="00B9150A"/>
    <w:rsid w:val="00B9169E"/>
    <w:rsid w:val="00B91730"/>
    <w:rsid w:val="00B91825"/>
    <w:rsid w:val="00B91879"/>
    <w:rsid w:val="00B91905"/>
    <w:rsid w:val="00B91A8F"/>
    <w:rsid w:val="00B91BF8"/>
    <w:rsid w:val="00B91C50"/>
    <w:rsid w:val="00B91CBA"/>
    <w:rsid w:val="00B91D47"/>
    <w:rsid w:val="00B91E03"/>
    <w:rsid w:val="00B9207E"/>
    <w:rsid w:val="00B920CE"/>
    <w:rsid w:val="00B925B2"/>
    <w:rsid w:val="00B9262C"/>
    <w:rsid w:val="00B9277C"/>
    <w:rsid w:val="00B92864"/>
    <w:rsid w:val="00B9295B"/>
    <w:rsid w:val="00B929DE"/>
    <w:rsid w:val="00B92A60"/>
    <w:rsid w:val="00B92B2A"/>
    <w:rsid w:val="00B92D39"/>
    <w:rsid w:val="00B92D5A"/>
    <w:rsid w:val="00B92E22"/>
    <w:rsid w:val="00B930D2"/>
    <w:rsid w:val="00B930DC"/>
    <w:rsid w:val="00B931DD"/>
    <w:rsid w:val="00B93269"/>
    <w:rsid w:val="00B9326C"/>
    <w:rsid w:val="00B93362"/>
    <w:rsid w:val="00B9336A"/>
    <w:rsid w:val="00B933BA"/>
    <w:rsid w:val="00B93541"/>
    <w:rsid w:val="00B93696"/>
    <w:rsid w:val="00B936B0"/>
    <w:rsid w:val="00B938F7"/>
    <w:rsid w:val="00B93B7B"/>
    <w:rsid w:val="00B93BEC"/>
    <w:rsid w:val="00B93D97"/>
    <w:rsid w:val="00B93E7D"/>
    <w:rsid w:val="00B93F1C"/>
    <w:rsid w:val="00B93FEE"/>
    <w:rsid w:val="00B9403C"/>
    <w:rsid w:val="00B940A6"/>
    <w:rsid w:val="00B9415E"/>
    <w:rsid w:val="00B9421A"/>
    <w:rsid w:val="00B942FE"/>
    <w:rsid w:val="00B943FE"/>
    <w:rsid w:val="00B9442F"/>
    <w:rsid w:val="00B94432"/>
    <w:rsid w:val="00B94451"/>
    <w:rsid w:val="00B94473"/>
    <w:rsid w:val="00B9487A"/>
    <w:rsid w:val="00B94909"/>
    <w:rsid w:val="00B9491D"/>
    <w:rsid w:val="00B949F9"/>
    <w:rsid w:val="00B94AAF"/>
    <w:rsid w:val="00B94F15"/>
    <w:rsid w:val="00B94F49"/>
    <w:rsid w:val="00B94FA2"/>
    <w:rsid w:val="00B94FD7"/>
    <w:rsid w:val="00B951AC"/>
    <w:rsid w:val="00B95376"/>
    <w:rsid w:val="00B953E2"/>
    <w:rsid w:val="00B95540"/>
    <w:rsid w:val="00B95575"/>
    <w:rsid w:val="00B95600"/>
    <w:rsid w:val="00B9579F"/>
    <w:rsid w:val="00B95857"/>
    <w:rsid w:val="00B959B0"/>
    <w:rsid w:val="00B959D0"/>
    <w:rsid w:val="00B95B00"/>
    <w:rsid w:val="00B95BB9"/>
    <w:rsid w:val="00B95C86"/>
    <w:rsid w:val="00B95CC5"/>
    <w:rsid w:val="00B95CCD"/>
    <w:rsid w:val="00B95F11"/>
    <w:rsid w:val="00B96100"/>
    <w:rsid w:val="00B9617D"/>
    <w:rsid w:val="00B961EC"/>
    <w:rsid w:val="00B961ED"/>
    <w:rsid w:val="00B962E1"/>
    <w:rsid w:val="00B9646E"/>
    <w:rsid w:val="00B96496"/>
    <w:rsid w:val="00B96596"/>
    <w:rsid w:val="00B9659F"/>
    <w:rsid w:val="00B96792"/>
    <w:rsid w:val="00B96A56"/>
    <w:rsid w:val="00B96B13"/>
    <w:rsid w:val="00B96B1A"/>
    <w:rsid w:val="00B96B40"/>
    <w:rsid w:val="00B96E2F"/>
    <w:rsid w:val="00B96EC3"/>
    <w:rsid w:val="00B96FE9"/>
    <w:rsid w:val="00B971E9"/>
    <w:rsid w:val="00B972EC"/>
    <w:rsid w:val="00B973F5"/>
    <w:rsid w:val="00B97444"/>
    <w:rsid w:val="00B97733"/>
    <w:rsid w:val="00B9773B"/>
    <w:rsid w:val="00B978BB"/>
    <w:rsid w:val="00B97A09"/>
    <w:rsid w:val="00B97BCD"/>
    <w:rsid w:val="00B97BDB"/>
    <w:rsid w:val="00B97CF5"/>
    <w:rsid w:val="00B97E2A"/>
    <w:rsid w:val="00B97F29"/>
    <w:rsid w:val="00B97F80"/>
    <w:rsid w:val="00BA0145"/>
    <w:rsid w:val="00BA01F4"/>
    <w:rsid w:val="00BA02C0"/>
    <w:rsid w:val="00BA03B0"/>
    <w:rsid w:val="00BA048F"/>
    <w:rsid w:val="00BA04AC"/>
    <w:rsid w:val="00BA05BD"/>
    <w:rsid w:val="00BA081F"/>
    <w:rsid w:val="00BA0857"/>
    <w:rsid w:val="00BA08C1"/>
    <w:rsid w:val="00BA0900"/>
    <w:rsid w:val="00BA0916"/>
    <w:rsid w:val="00BA099F"/>
    <w:rsid w:val="00BA09F7"/>
    <w:rsid w:val="00BA0A7E"/>
    <w:rsid w:val="00BA0B8F"/>
    <w:rsid w:val="00BA0BAA"/>
    <w:rsid w:val="00BA0D01"/>
    <w:rsid w:val="00BA0E38"/>
    <w:rsid w:val="00BA10A3"/>
    <w:rsid w:val="00BA1264"/>
    <w:rsid w:val="00BA1281"/>
    <w:rsid w:val="00BA1301"/>
    <w:rsid w:val="00BA1317"/>
    <w:rsid w:val="00BA14F2"/>
    <w:rsid w:val="00BA16B3"/>
    <w:rsid w:val="00BA18A0"/>
    <w:rsid w:val="00BA1930"/>
    <w:rsid w:val="00BA1C6B"/>
    <w:rsid w:val="00BA1D3A"/>
    <w:rsid w:val="00BA1D8A"/>
    <w:rsid w:val="00BA1E24"/>
    <w:rsid w:val="00BA1FA6"/>
    <w:rsid w:val="00BA20BA"/>
    <w:rsid w:val="00BA21A5"/>
    <w:rsid w:val="00BA2320"/>
    <w:rsid w:val="00BA234E"/>
    <w:rsid w:val="00BA2520"/>
    <w:rsid w:val="00BA2541"/>
    <w:rsid w:val="00BA2C06"/>
    <w:rsid w:val="00BA2C89"/>
    <w:rsid w:val="00BA2D6A"/>
    <w:rsid w:val="00BA2E88"/>
    <w:rsid w:val="00BA2EC2"/>
    <w:rsid w:val="00BA2EF8"/>
    <w:rsid w:val="00BA2FF0"/>
    <w:rsid w:val="00BA3179"/>
    <w:rsid w:val="00BA31A6"/>
    <w:rsid w:val="00BA32CB"/>
    <w:rsid w:val="00BA32D9"/>
    <w:rsid w:val="00BA32EA"/>
    <w:rsid w:val="00BA32EB"/>
    <w:rsid w:val="00BA34EC"/>
    <w:rsid w:val="00BA3631"/>
    <w:rsid w:val="00BA38E4"/>
    <w:rsid w:val="00BA398D"/>
    <w:rsid w:val="00BA3B30"/>
    <w:rsid w:val="00BA3BF5"/>
    <w:rsid w:val="00BA3CB8"/>
    <w:rsid w:val="00BA3CF9"/>
    <w:rsid w:val="00BA3D37"/>
    <w:rsid w:val="00BA3E65"/>
    <w:rsid w:val="00BA3E94"/>
    <w:rsid w:val="00BA3EF4"/>
    <w:rsid w:val="00BA3F8C"/>
    <w:rsid w:val="00BA3FC5"/>
    <w:rsid w:val="00BA4031"/>
    <w:rsid w:val="00BA4301"/>
    <w:rsid w:val="00BA4391"/>
    <w:rsid w:val="00BA4402"/>
    <w:rsid w:val="00BA4662"/>
    <w:rsid w:val="00BA4742"/>
    <w:rsid w:val="00BA47AD"/>
    <w:rsid w:val="00BA496F"/>
    <w:rsid w:val="00BA4A85"/>
    <w:rsid w:val="00BA4C3F"/>
    <w:rsid w:val="00BA4CB8"/>
    <w:rsid w:val="00BA4D65"/>
    <w:rsid w:val="00BA4D94"/>
    <w:rsid w:val="00BA4DE9"/>
    <w:rsid w:val="00BA4EA9"/>
    <w:rsid w:val="00BA4F74"/>
    <w:rsid w:val="00BA5189"/>
    <w:rsid w:val="00BA5334"/>
    <w:rsid w:val="00BA53FC"/>
    <w:rsid w:val="00BA545C"/>
    <w:rsid w:val="00BA54E4"/>
    <w:rsid w:val="00BA56E2"/>
    <w:rsid w:val="00BA5C6A"/>
    <w:rsid w:val="00BA5EC3"/>
    <w:rsid w:val="00BA5FE0"/>
    <w:rsid w:val="00BA6115"/>
    <w:rsid w:val="00BA62DC"/>
    <w:rsid w:val="00BA6401"/>
    <w:rsid w:val="00BA6613"/>
    <w:rsid w:val="00BA67EA"/>
    <w:rsid w:val="00BA6E5E"/>
    <w:rsid w:val="00BA6F2D"/>
    <w:rsid w:val="00BA6F58"/>
    <w:rsid w:val="00BA6FAF"/>
    <w:rsid w:val="00BA701B"/>
    <w:rsid w:val="00BA70E1"/>
    <w:rsid w:val="00BA7183"/>
    <w:rsid w:val="00BA7271"/>
    <w:rsid w:val="00BA74BC"/>
    <w:rsid w:val="00BA74FB"/>
    <w:rsid w:val="00BA7623"/>
    <w:rsid w:val="00BA77E4"/>
    <w:rsid w:val="00BA782A"/>
    <w:rsid w:val="00BA7B11"/>
    <w:rsid w:val="00BA7C5D"/>
    <w:rsid w:val="00BA7CE0"/>
    <w:rsid w:val="00BA7DCC"/>
    <w:rsid w:val="00BA7DDA"/>
    <w:rsid w:val="00BA7EC1"/>
    <w:rsid w:val="00BA7EEB"/>
    <w:rsid w:val="00BB0049"/>
    <w:rsid w:val="00BB004E"/>
    <w:rsid w:val="00BB0053"/>
    <w:rsid w:val="00BB00EC"/>
    <w:rsid w:val="00BB017B"/>
    <w:rsid w:val="00BB0211"/>
    <w:rsid w:val="00BB021C"/>
    <w:rsid w:val="00BB0352"/>
    <w:rsid w:val="00BB0412"/>
    <w:rsid w:val="00BB045B"/>
    <w:rsid w:val="00BB04C0"/>
    <w:rsid w:val="00BB0567"/>
    <w:rsid w:val="00BB0591"/>
    <w:rsid w:val="00BB05C9"/>
    <w:rsid w:val="00BB05EC"/>
    <w:rsid w:val="00BB081A"/>
    <w:rsid w:val="00BB0987"/>
    <w:rsid w:val="00BB0AF3"/>
    <w:rsid w:val="00BB0CD0"/>
    <w:rsid w:val="00BB0E13"/>
    <w:rsid w:val="00BB0E3B"/>
    <w:rsid w:val="00BB0FB5"/>
    <w:rsid w:val="00BB103A"/>
    <w:rsid w:val="00BB12A8"/>
    <w:rsid w:val="00BB1309"/>
    <w:rsid w:val="00BB1314"/>
    <w:rsid w:val="00BB13A1"/>
    <w:rsid w:val="00BB13E7"/>
    <w:rsid w:val="00BB140A"/>
    <w:rsid w:val="00BB1711"/>
    <w:rsid w:val="00BB17B0"/>
    <w:rsid w:val="00BB1904"/>
    <w:rsid w:val="00BB192D"/>
    <w:rsid w:val="00BB1C7E"/>
    <w:rsid w:val="00BB1DA5"/>
    <w:rsid w:val="00BB1F50"/>
    <w:rsid w:val="00BB2041"/>
    <w:rsid w:val="00BB2094"/>
    <w:rsid w:val="00BB212D"/>
    <w:rsid w:val="00BB2221"/>
    <w:rsid w:val="00BB2245"/>
    <w:rsid w:val="00BB2338"/>
    <w:rsid w:val="00BB2376"/>
    <w:rsid w:val="00BB2428"/>
    <w:rsid w:val="00BB2549"/>
    <w:rsid w:val="00BB2594"/>
    <w:rsid w:val="00BB2716"/>
    <w:rsid w:val="00BB27ED"/>
    <w:rsid w:val="00BB2847"/>
    <w:rsid w:val="00BB28C7"/>
    <w:rsid w:val="00BB2B09"/>
    <w:rsid w:val="00BB2BFC"/>
    <w:rsid w:val="00BB2CA8"/>
    <w:rsid w:val="00BB2CE8"/>
    <w:rsid w:val="00BB2F8A"/>
    <w:rsid w:val="00BB2FB6"/>
    <w:rsid w:val="00BB30C7"/>
    <w:rsid w:val="00BB30DB"/>
    <w:rsid w:val="00BB31B0"/>
    <w:rsid w:val="00BB331E"/>
    <w:rsid w:val="00BB3668"/>
    <w:rsid w:val="00BB3679"/>
    <w:rsid w:val="00BB385C"/>
    <w:rsid w:val="00BB38CB"/>
    <w:rsid w:val="00BB390C"/>
    <w:rsid w:val="00BB3A5C"/>
    <w:rsid w:val="00BB3B85"/>
    <w:rsid w:val="00BB3C21"/>
    <w:rsid w:val="00BB3DFE"/>
    <w:rsid w:val="00BB41C1"/>
    <w:rsid w:val="00BB42AA"/>
    <w:rsid w:val="00BB42DE"/>
    <w:rsid w:val="00BB42EE"/>
    <w:rsid w:val="00BB4301"/>
    <w:rsid w:val="00BB4417"/>
    <w:rsid w:val="00BB4609"/>
    <w:rsid w:val="00BB4633"/>
    <w:rsid w:val="00BB46AB"/>
    <w:rsid w:val="00BB4749"/>
    <w:rsid w:val="00BB48B3"/>
    <w:rsid w:val="00BB491B"/>
    <w:rsid w:val="00BB49C9"/>
    <w:rsid w:val="00BB4BA5"/>
    <w:rsid w:val="00BB4BD2"/>
    <w:rsid w:val="00BB4C80"/>
    <w:rsid w:val="00BB4D56"/>
    <w:rsid w:val="00BB4DB5"/>
    <w:rsid w:val="00BB4DB9"/>
    <w:rsid w:val="00BB4E85"/>
    <w:rsid w:val="00BB4ED6"/>
    <w:rsid w:val="00BB4F99"/>
    <w:rsid w:val="00BB513A"/>
    <w:rsid w:val="00BB52AF"/>
    <w:rsid w:val="00BB538C"/>
    <w:rsid w:val="00BB563B"/>
    <w:rsid w:val="00BB5684"/>
    <w:rsid w:val="00BB57B3"/>
    <w:rsid w:val="00BB57EC"/>
    <w:rsid w:val="00BB5991"/>
    <w:rsid w:val="00BB5A1A"/>
    <w:rsid w:val="00BB5A7C"/>
    <w:rsid w:val="00BB5BD4"/>
    <w:rsid w:val="00BB5EEB"/>
    <w:rsid w:val="00BB5F2C"/>
    <w:rsid w:val="00BB5F8B"/>
    <w:rsid w:val="00BB6017"/>
    <w:rsid w:val="00BB60ED"/>
    <w:rsid w:val="00BB60F3"/>
    <w:rsid w:val="00BB61ED"/>
    <w:rsid w:val="00BB628C"/>
    <w:rsid w:val="00BB6374"/>
    <w:rsid w:val="00BB6564"/>
    <w:rsid w:val="00BB65E6"/>
    <w:rsid w:val="00BB682D"/>
    <w:rsid w:val="00BB6882"/>
    <w:rsid w:val="00BB6C2F"/>
    <w:rsid w:val="00BB6C96"/>
    <w:rsid w:val="00BB6CB4"/>
    <w:rsid w:val="00BB6E8D"/>
    <w:rsid w:val="00BB6FBC"/>
    <w:rsid w:val="00BB6FBD"/>
    <w:rsid w:val="00BB6FD2"/>
    <w:rsid w:val="00BB7119"/>
    <w:rsid w:val="00BB714A"/>
    <w:rsid w:val="00BB7297"/>
    <w:rsid w:val="00BB72B8"/>
    <w:rsid w:val="00BB7397"/>
    <w:rsid w:val="00BB7508"/>
    <w:rsid w:val="00BB7588"/>
    <w:rsid w:val="00BB760B"/>
    <w:rsid w:val="00BB7651"/>
    <w:rsid w:val="00BB7862"/>
    <w:rsid w:val="00BB788C"/>
    <w:rsid w:val="00BB796C"/>
    <w:rsid w:val="00BB7B73"/>
    <w:rsid w:val="00BB7C10"/>
    <w:rsid w:val="00BB7C6F"/>
    <w:rsid w:val="00BB7C93"/>
    <w:rsid w:val="00BB7CBA"/>
    <w:rsid w:val="00BB7D12"/>
    <w:rsid w:val="00BB7D71"/>
    <w:rsid w:val="00BB7E6E"/>
    <w:rsid w:val="00BB7FBF"/>
    <w:rsid w:val="00BC0045"/>
    <w:rsid w:val="00BC0205"/>
    <w:rsid w:val="00BC0224"/>
    <w:rsid w:val="00BC02D6"/>
    <w:rsid w:val="00BC0387"/>
    <w:rsid w:val="00BC067D"/>
    <w:rsid w:val="00BC091A"/>
    <w:rsid w:val="00BC0961"/>
    <w:rsid w:val="00BC09A3"/>
    <w:rsid w:val="00BC0CFC"/>
    <w:rsid w:val="00BC0DCE"/>
    <w:rsid w:val="00BC0DE1"/>
    <w:rsid w:val="00BC0E40"/>
    <w:rsid w:val="00BC1043"/>
    <w:rsid w:val="00BC127C"/>
    <w:rsid w:val="00BC13C6"/>
    <w:rsid w:val="00BC142E"/>
    <w:rsid w:val="00BC1485"/>
    <w:rsid w:val="00BC172E"/>
    <w:rsid w:val="00BC1849"/>
    <w:rsid w:val="00BC1894"/>
    <w:rsid w:val="00BC18FA"/>
    <w:rsid w:val="00BC19B0"/>
    <w:rsid w:val="00BC1A3C"/>
    <w:rsid w:val="00BC1B10"/>
    <w:rsid w:val="00BC1B5C"/>
    <w:rsid w:val="00BC1BD9"/>
    <w:rsid w:val="00BC1C4B"/>
    <w:rsid w:val="00BC1D09"/>
    <w:rsid w:val="00BC1D2F"/>
    <w:rsid w:val="00BC1DC4"/>
    <w:rsid w:val="00BC1EF4"/>
    <w:rsid w:val="00BC1F08"/>
    <w:rsid w:val="00BC210C"/>
    <w:rsid w:val="00BC219C"/>
    <w:rsid w:val="00BC2349"/>
    <w:rsid w:val="00BC27F2"/>
    <w:rsid w:val="00BC29A5"/>
    <w:rsid w:val="00BC2A85"/>
    <w:rsid w:val="00BC2BFA"/>
    <w:rsid w:val="00BC2DE2"/>
    <w:rsid w:val="00BC2E7D"/>
    <w:rsid w:val="00BC2F2D"/>
    <w:rsid w:val="00BC2F95"/>
    <w:rsid w:val="00BC3066"/>
    <w:rsid w:val="00BC317F"/>
    <w:rsid w:val="00BC3181"/>
    <w:rsid w:val="00BC3364"/>
    <w:rsid w:val="00BC33E2"/>
    <w:rsid w:val="00BC3463"/>
    <w:rsid w:val="00BC3599"/>
    <w:rsid w:val="00BC37BF"/>
    <w:rsid w:val="00BC37CA"/>
    <w:rsid w:val="00BC384F"/>
    <w:rsid w:val="00BC3866"/>
    <w:rsid w:val="00BC38F0"/>
    <w:rsid w:val="00BC3977"/>
    <w:rsid w:val="00BC3995"/>
    <w:rsid w:val="00BC39DA"/>
    <w:rsid w:val="00BC39DF"/>
    <w:rsid w:val="00BC3ACB"/>
    <w:rsid w:val="00BC3C13"/>
    <w:rsid w:val="00BC3D2F"/>
    <w:rsid w:val="00BC3D69"/>
    <w:rsid w:val="00BC3F75"/>
    <w:rsid w:val="00BC3F96"/>
    <w:rsid w:val="00BC4091"/>
    <w:rsid w:val="00BC4146"/>
    <w:rsid w:val="00BC435A"/>
    <w:rsid w:val="00BC4728"/>
    <w:rsid w:val="00BC4836"/>
    <w:rsid w:val="00BC48F9"/>
    <w:rsid w:val="00BC4910"/>
    <w:rsid w:val="00BC493E"/>
    <w:rsid w:val="00BC4983"/>
    <w:rsid w:val="00BC4C61"/>
    <w:rsid w:val="00BC4EF0"/>
    <w:rsid w:val="00BC4FF1"/>
    <w:rsid w:val="00BC4FF9"/>
    <w:rsid w:val="00BC5466"/>
    <w:rsid w:val="00BC54F8"/>
    <w:rsid w:val="00BC56A2"/>
    <w:rsid w:val="00BC56DA"/>
    <w:rsid w:val="00BC581B"/>
    <w:rsid w:val="00BC5849"/>
    <w:rsid w:val="00BC5974"/>
    <w:rsid w:val="00BC5B84"/>
    <w:rsid w:val="00BC5C0E"/>
    <w:rsid w:val="00BC5D1A"/>
    <w:rsid w:val="00BC5EEA"/>
    <w:rsid w:val="00BC5F1D"/>
    <w:rsid w:val="00BC6009"/>
    <w:rsid w:val="00BC60C4"/>
    <w:rsid w:val="00BC6143"/>
    <w:rsid w:val="00BC62D2"/>
    <w:rsid w:val="00BC6543"/>
    <w:rsid w:val="00BC6606"/>
    <w:rsid w:val="00BC6700"/>
    <w:rsid w:val="00BC6751"/>
    <w:rsid w:val="00BC67A0"/>
    <w:rsid w:val="00BC69CF"/>
    <w:rsid w:val="00BC6A21"/>
    <w:rsid w:val="00BC6AE4"/>
    <w:rsid w:val="00BC6B60"/>
    <w:rsid w:val="00BC6B85"/>
    <w:rsid w:val="00BC6BDF"/>
    <w:rsid w:val="00BC6CF6"/>
    <w:rsid w:val="00BC6E1D"/>
    <w:rsid w:val="00BC6FAA"/>
    <w:rsid w:val="00BC6FBF"/>
    <w:rsid w:val="00BC6FF4"/>
    <w:rsid w:val="00BC7074"/>
    <w:rsid w:val="00BC7185"/>
    <w:rsid w:val="00BC71F8"/>
    <w:rsid w:val="00BC7232"/>
    <w:rsid w:val="00BC72ED"/>
    <w:rsid w:val="00BC7454"/>
    <w:rsid w:val="00BC74C2"/>
    <w:rsid w:val="00BC757E"/>
    <w:rsid w:val="00BC7589"/>
    <w:rsid w:val="00BC7635"/>
    <w:rsid w:val="00BC76DF"/>
    <w:rsid w:val="00BC772C"/>
    <w:rsid w:val="00BC7838"/>
    <w:rsid w:val="00BC791D"/>
    <w:rsid w:val="00BC7C1B"/>
    <w:rsid w:val="00BC7E9D"/>
    <w:rsid w:val="00BD0089"/>
    <w:rsid w:val="00BD0154"/>
    <w:rsid w:val="00BD05B7"/>
    <w:rsid w:val="00BD09A9"/>
    <w:rsid w:val="00BD0B5A"/>
    <w:rsid w:val="00BD0F8B"/>
    <w:rsid w:val="00BD1156"/>
    <w:rsid w:val="00BD1193"/>
    <w:rsid w:val="00BD1215"/>
    <w:rsid w:val="00BD1245"/>
    <w:rsid w:val="00BD1356"/>
    <w:rsid w:val="00BD154C"/>
    <w:rsid w:val="00BD1598"/>
    <w:rsid w:val="00BD16EF"/>
    <w:rsid w:val="00BD1719"/>
    <w:rsid w:val="00BD173B"/>
    <w:rsid w:val="00BD17D8"/>
    <w:rsid w:val="00BD190D"/>
    <w:rsid w:val="00BD1A8C"/>
    <w:rsid w:val="00BD1DDE"/>
    <w:rsid w:val="00BD1E68"/>
    <w:rsid w:val="00BD1F83"/>
    <w:rsid w:val="00BD1FCD"/>
    <w:rsid w:val="00BD201F"/>
    <w:rsid w:val="00BD2063"/>
    <w:rsid w:val="00BD20A9"/>
    <w:rsid w:val="00BD214E"/>
    <w:rsid w:val="00BD231C"/>
    <w:rsid w:val="00BD23B0"/>
    <w:rsid w:val="00BD251F"/>
    <w:rsid w:val="00BD2524"/>
    <w:rsid w:val="00BD2525"/>
    <w:rsid w:val="00BD2558"/>
    <w:rsid w:val="00BD25C6"/>
    <w:rsid w:val="00BD260B"/>
    <w:rsid w:val="00BD265F"/>
    <w:rsid w:val="00BD2774"/>
    <w:rsid w:val="00BD2A07"/>
    <w:rsid w:val="00BD2AD4"/>
    <w:rsid w:val="00BD2C69"/>
    <w:rsid w:val="00BD2F02"/>
    <w:rsid w:val="00BD2F21"/>
    <w:rsid w:val="00BD30F0"/>
    <w:rsid w:val="00BD310E"/>
    <w:rsid w:val="00BD3292"/>
    <w:rsid w:val="00BD32A6"/>
    <w:rsid w:val="00BD32CC"/>
    <w:rsid w:val="00BD3347"/>
    <w:rsid w:val="00BD3509"/>
    <w:rsid w:val="00BD3551"/>
    <w:rsid w:val="00BD358A"/>
    <w:rsid w:val="00BD38D1"/>
    <w:rsid w:val="00BD39A6"/>
    <w:rsid w:val="00BD3A57"/>
    <w:rsid w:val="00BD3B28"/>
    <w:rsid w:val="00BD3D32"/>
    <w:rsid w:val="00BD3D40"/>
    <w:rsid w:val="00BD4449"/>
    <w:rsid w:val="00BD4457"/>
    <w:rsid w:val="00BD44B8"/>
    <w:rsid w:val="00BD44C5"/>
    <w:rsid w:val="00BD45F9"/>
    <w:rsid w:val="00BD476D"/>
    <w:rsid w:val="00BD48B7"/>
    <w:rsid w:val="00BD48F2"/>
    <w:rsid w:val="00BD48FB"/>
    <w:rsid w:val="00BD4973"/>
    <w:rsid w:val="00BD49CE"/>
    <w:rsid w:val="00BD4A5C"/>
    <w:rsid w:val="00BD4A95"/>
    <w:rsid w:val="00BD4C08"/>
    <w:rsid w:val="00BD4C22"/>
    <w:rsid w:val="00BD4C96"/>
    <w:rsid w:val="00BD4D0C"/>
    <w:rsid w:val="00BD4E3B"/>
    <w:rsid w:val="00BD4E60"/>
    <w:rsid w:val="00BD5126"/>
    <w:rsid w:val="00BD540B"/>
    <w:rsid w:val="00BD54B8"/>
    <w:rsid w:val="00BD5587"/>
    <w:rsid w:val="00BD5653"/>
    <w:rsid w:val="00BD56B8"/>
    <w:rsid w:val="00BD56E5"/>
    <w:rsid w:val="00BD572F"/>
    <w:rsid w:val="00BD5B03"/>
    <w:rsid w:val="00BD5B10"/>
    <w:rsid w:val="00BD5BB3"/>
    <w:rsid w:val="00BD5BE6"/>
    <w:rsid w:val="00BD5BFC"/>
    <w:rsid w:val="00BD5C7E"/>
    <w:rsid w:val="00BD5CB8"/>
    <w:rsid w:val="00BD5D28"/>
    <w:rsid w:val="00BD6068"/>
    <w:rsid w:val="00BD6326"/>
    <w:rsid w:val="00BD6429"/>
    <w:rsid w:val="00BD64F1"/>
    <w:rsid w:val="00BD65A1"/>
    <w:rsid w:val="00BD65C8"/>
    <w:rsid w:val="00BD666D"/>
    <w:rsid w:val="00BD6695"/>
    <w:rsid w:val="00BD66E4"/>
    <w:rsid w:val="00BD6840"/>
    <w:rsid w:val="00BD68A9"/>
    <w:rsid w:val="00BD6A8C"/>
    <w:rsid w:val="00BD6B4D"/>
    <w:rsid w:val="00BD6D43"/>
    <w:rsid w:val="00BD6ED5"/>
    <w:rsid w:val="00BD6EFF"/>
    <w:rsid w:val="00BD6F25"/>
    <w:rsid w:val="00BD6F44"/>
    <w:rsid w:val="00BD72FB"/>
    <w:rsid w:val="00BD7300"/>
    <w:rsid w:val="00BD7599"/>
    <w:rsid w:val="00BD7650"/>
    <w:rsid w:val="00BD7689"/>
    <w:rsid w:val="00BD768D"/>
    <w:rsid w:val="00BD78A6"/>
    <w:rsid w:val="00BD78B8"/>
    <w:rsid w:val="00BD798C"/>
    <w:rsid w:val="00BD7A7E"/>
    <w:rsid w:val="00BD7BD8"/>
    <w:rsid w:val="00BD7D15"/>
    <w:rsid w:val="00BD7E04"/>
    <w:rsid w:val="00BD7EF4"/>
    <w:rsid w:val="00BE00A3"/>
    <w:rsid w:val="00BE02DF"/>
    <w:rsid w:val="00BE04D5"/>
    <w:rsid w:val="00BE0515"/>
    <w:rsid w:val="00BE062A"/>
    <w:rsid w:val="00BE063D"/>
    <w:rsid w:val="00BE0805"/>
    <w:rsid w:val="00BE08F5"/>
    <w:rsid w:val="00BE09DA"/>
    <w:rsid w:val="00BE0A30"/>
    <w:rsid w:val="00BE0B51"/>
    <w:rsid w:val="00BE0BA5"/>
    <w:rsid w:val="00BE0BCC"/>
    <w:rsid w:val="00BE0D9E"/>
    <w:rsid w:val="00BE0EF1"/>
    <w:rsid w:val="00BE1186"/>
    <w:rsid w:val="00BE1692"/>
    <w:rsid w:val="00BE175F"/>
    <w:rsid w:val="00BE1771"/>
    <w:rsid w:val="00BE187F"/>
    <w:rsid w:val="00BE1A5E"/>
    <w:rsid w:val="00BE1AEA"/>
    <w:rsid w:val="00BE1B0A"/>
    <w:rsid w:val="00BE1B8F"/>
    <w:rsid w:val="00BE1B9A"/>
    <w:rsid w:val="00BE1EBE"/>
    <w:rsid w:val="00BE1F09"/>
    <w:rsid w:val="00BE1FB7"/>
    <w:rsid w:val="00BE23F0"/>
    <w:rsid w:val="00BE24E1"/>
    <w:rsid w:val="00BE274D"/>
    <w:rsid w:val="00BE2B69"/>
    <w:rsid w:val="00BE2CE4"/>
    <w:rsid w:val="00BE2D0D"/>
    <w:rsid w:val="00BE2D15"/>
    <w:rsid w:val="00BE2F65"/>
    <w:rsid w:val="00BE3159"/>
    <w:rsid w:val="00BE3314"/>
    <w:rsid w:val="00BE33F7"/>
    <w:rsid w:val="00BE3642"/>
    <w:rsid w:val="00BE372C"/>
    <w:rsid w:val="00BE3CA6"/>
    <w:rsid w:val="00BE3F50"/>
    <w:rsid w:val="00BE3F7D"/>
    <w:rsid w:val="00BE42C9"/>
    <w:rsid w:val="00BE4479"/>
    <w:rsid w:val="00BE45AF"/>
    <w:rsid w:val="00BE464C"/>
    <w:rsid w:val="00BE466D"/>
    <w:rsid w:val="00BE48AC"/>
    <w:rsid w:val="00BE4BDF"/>
    <w:rsid w:val="00BE4FD5"/>
    <w:rsid w:val="00BE51E3"/>
    <w:rsid w:val="00BE5255"/>
    <w:rsid w:val="00BE5362"/>
    <w:rsid w:val="00BE537E"/>
    <w:rsid w:val="00BE54AD"/>
    <w:rsid w:val="00BE54F9"/>
    <w:rsid w:val="00BE560C"/>
    <w:rsid w:val="00BE5693"/>
    <w:rsid w:val="00BE570A"/>
    <w:rsid w:val="00BE5769"/>
    <w:rsid w:val="00BE59DC"/>
    <w:rsid w:val="00BE5A10"/>
    <w:rsid w:val="00BE5ABE"/>
    <w:rsid w:val="00BE5C23"/>
    <w:rsid w:val="00BE5C27"/>
    <w:rsid w:val="00BE5C2D"/>
    <w:rsid w:val="00BE5DF6"/>
    <w:rsid w:val="00BE5F1A"/>
    <w:rsid w:val="00BE5F6A"/>
    <w:rsid w:val="00BE611C"/>
    <w:rsid w:val="00BE632C"/>
    <w:rsid w:val="00BE6350"/>
    <w:rsid w:val="00BE64D8"/>
    <w:rsid w:val="00BE693E"/>
    <w:rsid w:val="00BE6AD9"/>
    <w:rsid w:val="00BE6D02"/>
    <w:rsid w:val="00BE6F6E"/>
    <w:rsid w:val="00BE6FDF"/>
    <w:rsid w:val="00BE7041"/>
    <w:rsid w:val="00BE70E2"/>
    <w:rsid w:val="00BE7469"/>
    <w:rsid w:val="00BE7543"/>
    <w:rsid w:val="00BE7704"/>
    <w:rsid w:val="00BE776E"/>
    <w:rsid w:val="00BE78B0"/>
    <w:rsid w:val="00BE7948"/>
    <w:rsid w:val="00BE7982"/>
    <w:rsid w:val="00BE79AE"/>
    <w:rsid w:val="00BE7AA4"/>
    <w:rsid w:val="00BE7B36"/>
    <w:rsid w:val="00BE7C12"/>
    <w:rsid w:val="00BE7D4B"/>
    <w:rsid w:val="00BE7FC8"/>
    <w:rsid w:val="00BF0049"/>
    <w:rsid w:val="00BF01BF"/>
    <w:rsid w:val="00BF025A"/>
    <w:rsid w:val="00BF038B"/>
    <w:rsid w:val="00BF046E"/>
    <w:rsid w:val="00BF05DE"/>
    <w:rsid w:val="00BF069C"/>
    <w:rsid w:val="00BF073D"/>
    <w:rsid w:val="00BF077B"/>
    <w:rsid w:val="00BF0839"/>
    <w:rsid w:val="00BF083E"/>
    <w:rsid w:val="00BF087E"/>
    <w:rsid w:val="00BF090D"/>
    <w:rsid w:val="00BF0A2A"/>
    <w:rsid w:val="00BF0B21"/>
    <w:rsid w:val="00BF0D36"/>
    <w:rsid w:val="00BF0D89"/>
    <w:rsid w:val="00BF0E60"/>
    <w:rsid w:val="00BF0EEB"/>
    <w:rsid w:val="00BF0EF2"/>
    <w:rsid w:val="00BF0F1C"/>
    <w:rsid w:val="00BF0FF0"/>
    <w:rsid w:val="00BF11A0"/>
    <w:rsid w:val="00BF135A"/>
    <w:rsid w:val="00BF1533"/>
    <w:rsid w:val="00BF16FA"/>
    <w:rsid w:val="00BF17B6"/>
    <w:rsid w:val="00BF17BF"/>
    <w:rsid w:val="00BF1883"/>
    <w:rsid w:val="00BF1899"/>
    <w:rsid w:val="00BF19C4"/>
    <w:rsid w:val="00BF1B72"/>
    <w:rsid w:val="00BF1E94"/>
    <w:rsid w:val="00BF1F7D"/>
    <w:rsid w:val="00BF1FC4"/>
    <w:rsid w:val="00BF201F"/>
    <w:rsid w:val="00BF2090"/>
    <w:rsid w:val="00BF2121"/>
    <w:rsid w:val="00BF2178"/>
    <w:rsid w:val="00BF222B"/>
    <w:rsid w:val="00BF2249"/>
    <w:rsid w:val="00BF22F5"/>
    <w:rsid w:val="00BF25EC"/>
    <w:rsid w:val="00BF267C"/>
    <w:rsid w:val="00BF2879"/>
    <w:rsid w:val="00BF2A53"/>
    <w:rsid w:val="00BF2A8B"/>
    <w:rsid w:val="00BF2B17"/>
    <w:rsid w:val="00BF2B2B"/>
    <w:rsid w:val="00BF2B66"/>
    <w:rsid w:val="00BF2BBA"/>
    <w:rsid w:val="00BF2D48"/>
    <w:rsid w:val="00BF2E36"/>
    <w:rsid w:val="00BF32C8"/>
    <w:rsid w:val="00BF359D"/>
    <w:rsid w:val="00BF35D4"/>
    <w:rsid w:val="00BF37AE"/>
    <w:rsid w:val="00BF38ED"/>
    <w:rsid w:val="00BF390A"/>
    <w:rsid w:val="00BF3A64"/>
    <w:rsid w:val="00BF3A93"/>
    <w:rsid w:val="00BF3A95"/>
    <w:rsid w:val="00BF3BE4"/>
    <w:rsid w:val="00BF3CF0"/>
    <w:rsid w:val="00BF3D81"/>
    <w:rsid w:val="00BF3DC6"/>
    <w:rsid w:val="00BF3E89"/>
    <w:rsid w:val="00BF407C"/>
    <w:rsid w:val="00BF4097"/>
    <w:rsid w:val="00BF413D"/>
    <w:rsid w:val="00BF4143"/>
    <w:rsid w:val="00BF41DB"/>
    <w:rsid w:val="00BF41F1"/>
    <w:rsid w:val="00BF4243"/>
    <w:rsid w:val="00BF4254"/>
    <w:rsid w:val="00BF42E4"/>
    <w:rsid w:val="00BF4683"/>
    <w:rsid w:val="00BF48C8"/>
    <w:rsid w:val="00BF4A2E"/>
    <w:rsid w:val="00BF4AEB"/>
    <w:rsid w:val="00BF4B3A"/>
    <w:rsid w:val="00BF4C90"/>
    <w:rsid w:val="00BF4E36"/>
    <w:rsid w:val="00BF4EB0"/>
    <w:rsid w:val="00BF4F3E"/>
    <w:rsid w:val="00BF4F58"/>
    <w:rsid w:val="00BF50B8"/>
    <w:rsid w:val="00BF50FE"/>
    <w:rsid w:val="00BF52B4"/>
    <w:rsid w:val="00BF52E4"/>
    <w:rsid w:val="00BF541D"/>
    <w:rsid w:val="00BF54CD"/>
    <w:rsid w:val="00BF5500"/>
    <w:rsid w:val="00BF578C"/>
    <w:rsid w:val="00BF57A5"/>
    <w:rsid w:val="00BF5863"/>
    <w:rsid w:val="00BF59CF"/>
    <w:rsid w:val="00BF5F19"/>
    <w:rsid w:val="00BF60E3"/>
    <w:rsid w:val="00BF6156"/>
    <w:rsid w:val="00BF61C5"/>
    <w:rsid w:val="00BF61F0"/>
    <w:rsid w:val="00BF63AA"/>
    <w:rsid w:val="00BF645B"/>
    <w:rsid w:val="00BF64C5"/>
    <w:rsid w:val="00BF6533"/>
    <w:rsid w:val="00BF659A"/>
    <w:rsid w:val="00BF65FB"/>
    <w:rsid w:val="00BF67E9"/>
    <w:rsid w:val="00BF682B"/>
    <w:rsid w:val="00BF68C8"/>
    <w:rsid w:val="00BF69BF"/>
    <w:rsid w:val="00BF6AE3"/>
    <w:rsid w:val="00BF6B4A"/>
    <w:rsid w:val="00BF6B70"/>
    <w:rsid w:val="00BF6BA7"/>
    <w:rsid w:val="00BF6C21"/>
    <w:rsid w:val="00BF6D5D"/>
    <w:rsid w:val="00BF6D7B"/>
    <w:rsid w:val="00BF710F"/>
    <w:rsid w:val="00BF7118"/>
    <w:rsid w:val="00BF72EE"/>
    <w:rsid w:val="00BF73BB"/>
    <w:rsid w:val="00BF759C"/>
    <w:rsid w:val="00BF7664"/>
    <w:rsid w:val="00BF76A6"/>
    <w:rsid w:val="00BF77D5"/>
    <w:rsid w:val="00BF787D"/>
    <w:rsid w:val="00BF794C"/>
    <w:rsid w:val="00BF7A51"/>
    <w:rsid w:val="00BF7DDA"/>
    <w:rsid w:val="00BF7E28"/>
    <w:rsid w:val="00BF7F4A"/>
    <w:rsid w:val="00BF7F9C"/>
    <w:rsid w:val="00BF7FC5"/>
    <w:rsid w:val="00C0005B"/>
    <w:rsid w:val="00C00190"/>
    <w:rsid w:val="00C00439"/>
    <w:rsid w:val="00C004B6"/>
    <w:rsid w:val="00C00539"/>
    <w:rsid w:val="00C0090F"/>
    <w:rsid w:val="00C00A14"/>
    <w:rsid w:val="00C00B0A"/>
    <w:rsid w:val="00C00B76"/>
    <w:rsid w:val="00C00B86"/>
    <w:rsid w:val="00C00B92"/>
    <w:rsid w:val="00C00C99"/>
    <w:rsid w:val="00C00DAD"/>
    <w:rsid w:val="00C00DDC"/>
    <w:rsid w:val="00C01076"/>
    <w:rsid w:val="00C010B9"/>
    <w:rsid w:val="00C011C9"/>
    <w:rsid w:val="00C011D4"/>
    <w:rsid w:val="00C012FF"/>
    <w:rsid w:val="00C01301"/>
    <w:rsid w:val="00C01406"/>
    <w:rsid w:val="00C01466"/>
    <w:rsid w:val="00C014CF"/>
    <w:rsid w:val="00C014F0"/>
    <w:rsid w:val="00C01547"/>
    <w:rsid w:val="00C01558"/>
    <w:rsid w:val="00C016A3"/>
    <w:rsid w:val="00C017E2"/>
    <w:rsid w:val="00C017FA"/>
    <w:rsid w:val="00C019CF"/>
    <w:rsid w:val="00C01AA2"/>
    <w:rsid w:val="00C01AE8"/>
    <w:rsid w:val="00C01C9D"/>
    <w:rsid w:val="00C01D76"/>
    <w:rsid w:val="00C01E68"/>
    <w:rsid w:val="00C01F06"/>
    <w:rsid w:val="00C01F34"/>
    <w:rsid w:val="00C020B5"/>
    <w:rsid w:val="00C0223A"/>
    <w:rsid w:val="00C0238B"/>
    <w:rsid w:val="00C023AE"/>
    <w:rsid w:val="00C02426"/>
    <w:rsid w:val="00C024B3"/>
    <w:rsid w:val="00C0257A"/>
    <w:rsid w:val="00C0278E"/>
    <w:rsid w:val="00C027D1"/>
    <w:rsid w:val="00C0286B"/>
    <w:rsid w:val="00C02B7E"/>
    <w:rsid w:val="00C02BDD"/>
    <w:rsid w:val="00C02DF1"/>
    <w:rsid w:val="00C03082"/>
    <w:rsid w:val="00C0312A"/>
    <w:rsid w:val="00C03358"/>
    <w:rsid w:val="00C033E8"/>
    <w:rsid w:val="00C0351D"/>
    <w:rsid w:val="00C0353F"/>
    <w:rsid w:val="00C03566"/>
    <w:rsid w:val="00C035B7"/>
    <w:rsid w:val="00C03668"/>
    <w:rsid w:val="00C036A2"/>
    <w:rsid w:val="00C03769"/>
    <w:rsid w:val="00C037B8"/>
    <w:rsid w:val="00C03B09"/>
    <w:rsid w:val="00C03C16"/>
    <w:rsid w:val="00C03CD3"/>
    <w:rsid w:val="00C03D43"/>
    <w:rsid w:val="00C03E37"/>
    <w:rsid w:val="00C03F77"/>
    <w:rsid w:val="00C03FDD"/>
    <w:rsid w:val="00C04162"/>
    <w:rsid w:val="00C041F4"/>
    <w:rsid w:val="00C04206"/>
    <w:rsid w:val="00C04258"/>
    <w:rsid w:val="00C04438"/>
    <w:rsid w:val="00C044B4"/>
    <w:rsid w:val="00C044D3"/>
    <w:rsid w:val="00C04522"/>
    <w:rsid w:val="00C0455D"/>
    <w:rsid w:val="00C045C3"/>
    <w:rsid w:val="00C0463D"/>
    <w:rsid w:val="00C04642"/>
    <w:rsid w:val="00C04652"/>
    <w:rsid w:val="00C046E1"/>
    <w:rsid w:val="00C04751"/>
    <w:rsid w:val="00C047D1"/>
    <w:rsid w:val="00C047EC"/>
    <w:rsid w:val="00C04977"/>
    <w:rsid w:val="00C04A3F"/>
    <w:rsid w:val="00C04AD3"/>
    <w:rsid w:val="00C04B67"/>
    <w:rsid w:val="00C04B6A"/>
    <w:rsid w:val="00C04B9C"/>
    <w:rsid w:val="00C04C3C"/>
    <w:rsid w:val="00C04E06"/>
    <w:rsid w:val="00C04E31"/>
    <w:rsid w:val="00C04E3C"/>
    <w:rsid w:val="00C051E5"/>
    <w:rsid w:val="00C05251"/>
    <w:rsid w:val="00C05313"/>
    <w:rsid w:val="00C05419"/>
    <w:rsid w:val="00C0563D"/>
    <w:rsid w:val="00C0566E"/>
    <w:rsid w:val="00C0566F"/>
    <w:rsid w:val="00C05735"/>
    <w:rsid w:val="00C05784"/>
    <w:rsid w:val="00C05830"/>
    <w:rsid w:val="00C05879"/>
    <w:rsid w:val="00C05899"/>
    <w:rsid w:val="00C05ADC"/>
    <w:rsid w:val="00C05C07"/>
    <w:rsid w:val="00C05C14"/>
    <w:rsid w:val="00C05C31"/>
    <w:rsid w:val="00C0613F"/>
    <w:rsid w:val="00C061AF"/>
    <w:rsid w:val="00C062A3"/>
    <w:rsid w:val="00C06442"/>
    <w:rsid w:val="00C064DC"/>
    <w:rsid w:val="00C06547"/>
    <w:rsid w:val="00C065BC"/>
    <w:rsid w:val="00C066DF"/>
    <w:rsid w:val="00C068A7"/>
    <w:rsid w:val="00C068BD"/>
    <w:rsid w:val="00C06B2F"/>
    <w:rsid w:val="00C06C2E"/>
    <w:rsid w:val="00C06C49"/>
    <w:rsid w:val="00C06EC7"/>
    <w:rsid w:val="00C0715D"/>
    <w:rsid w:val="00C0716A"/>
    <w:rsid w:val="00C07326"/>
    <w:rsid w:val="00C073ED"/>
    <w:rsid w:val="00C07494"/>
    <w:rsid w:val="00C07511"/>
    <w:rsid w:val="00C075FD"/>
    <w:rsid w:val="00C07625"/>
    <w:rsid w:val="00C076E4"/>
    <w:rsid w:val="00C0772D"/>
    <w:rsid w:val="00C07815"/>
    <w:rsid w:val="00C07A29"/>
    <w:rsid w:val="00C07A54"/>
    <w:rsid w:val="00C07A80"/>
    <w:rsid w:val="00C07CE4"/>
    <w:rsid w:val="00C07D94"/>
    <w:rsid w:val="00C07E65"/>
    <w:rsid w:val="00C10183"/>
    <w:rsid w:val="00C1020E"/>
    <w:rsid w:val="00C1023A"/>
    <w:rsid w:val="00C10397"/>
    <w:rsid w:val="00C1059F"/>
    <w:rsid w:val="00C105EA"/>
    <w:rsid w:val="00C1064F"/>
    <w:rsid w:val="00C10711"/>
    <w:rsid w:val="00C10B54"/>
    <w:rsid w:val="00C10D4B"/>
    <w:rsid w:val="00C10DB0"/>
    <w:rsid w:val="00C10EE0"/>
    <w:rsid w:val="00C10EE5"/>
    <w:rsid w:val="00C10EF4"/>
    <w:rsid w:val="00C10FAD"/>
    <w:rsid w:val="00C10FB6"/>
    <w:rsid w:val="00C1100C"/>
    <w:rsid w:val="00C11157"/>
    <w:rsid w:val="00C11394"/>
    <w:rsid w:val="00C114E7"/>
    <w:rsid w:val="00C11631"/>
    <w:rsid w:val="00C11701"/>
    <w:rsid w:val="00C117BE"/>
    <w:rsid w:val="00C11924"/>
    <w:rsid w:val="00C11A8B"/>
    <w:rsid w:val="00C11AFD"/>
    <w:rsid w:val="00C11B22"/>
    <w:rsid w:val="00C11B2E"/>
    <w:rsid w:val="00C11B4D"/>
    <w:rsid w:val="00C11B52"/>
    <w:rsid w:val="00C11CA7"/>
    <w:rsid w:val="00C11E24"/>
    <w:rsid w:val="00C11E7C"/>
    <w:rsid w:val="00C11E95"/>
    <w:rsid w:val="00C12077"/>
    <w:rsid w:val="00C12186"/>
    <w:rsid w:val="00C121D5"/>
    <w:rsid w:val="00C1259A"/>
    <w:rsid w:val="00C125A3"/>
    <w:rsid w:val="00C1266A"/>
    <w:rsid w:val="00C127D3"/>
    <w:rsid w:val="00C1284D"/>
    <w:rsid w:val="00C128A3"/>
    <w:rsid w:val="00C12910"/>
    <w:rsid w:val="00C12986"/>
    <w:rsid w:val="00C12AED"/>
    <w:rsid w:val="00C12B16"/>
    <w:rsid w:val="00C12C0A"/>
    <w:rsid w:val="00C12CA7"/>
    <w:rsid w:val="00C12D9E"/>
    <w:rsid w:val="00C12E26"/>
    <w:rsid w:val="00C12EFF"/>
    <w:rsid w:val="00C12F16"/>
    <w:rsid w:val="00C12F23"/>
    <w:rsid w:val="00C1306B"/>
    <w:rsid w:val="00C13130"/>
    <w:rsid w:val="00C132FD"/>
    <w:rsid w:val="00C133DE"/>
    <w:rsid w:val="00C1342E"/>
    <w:rsid w:val="00C134C6"/>
    <w:rsid w:val="00C134DF"/>
    <w:rsid w:val="00C135F5"/>
    <w:rsid w:val="00C1361C"/>
    <w:rsid w:val="00C13629"/>
    <w:rsid w:val="00C13640"/>
    <w:rsid w:val="00C136D7"/>
    <w:rsid w:val="00C1383B"/>
    <w:rsid w:val="00C13895"/>
    <w:rsid w:val="00C13BBD"/>
    <w:rsid w:val="00C13CE1"/>
    <w:rsid w:val="00C13D2A"/>
    <w:rsid w:val="00C13DCE"/>
    <w:rsid w:val="00C13E7C"/>
    <w:rsid w:val="00C13EF9"/>
    <w:rsid w:val="00C13EFA"/>
    <w:rsid w:val="00C14016"/>
    <w:rsid w:val="00C14018"/>
    <w:rsid w:val="00C14096"/>
    <w:rsid w:val="00C1409A"/>
    <w:rsid w:val="00C1438C"/>
    <w:rsid w:val="00C1440E"/>
    <w:rsid w:val="00C144DC"/>
    <w:rsid w:val="00C145D4"/>
    <w:rsid w:val="00C1461F"/>
    <w:rsid w:val="00C146F5"/>
    <w:rsid w:val="00C147C8"/>
    <w:rsid w:val="00C14C8D"/>
    <w:rsid w:val="00C14D1B"/>
    <w:rsid w:val="00C14E11"/>
    <w:rsid w:val="00C150BB"/>
    <w:rsid w:val="00C150EF"/>
    <w:rsid w:val="00C152F9"/>
    <w:rsid w:val="00C15357"/>
    <w:rsid w:val="00C1547D"/>
    <w:rsid w:val="00C154F2"/>
    <w:rsid w:val="00C154F3"/>
    <w:rsid w:val="00C15502"/>
    <w:rsid w:val="00C15511"/>
    <w:rsid w:val="00C15566"/>
    <w:rsid w:val="00C155E7"/>
    <w:rsid w:val="00C15641"/>
    <w:rsid w:val="00C15642"/>
    <w:rsid w:val="00C1575F"/>
    <w:rsid w:val="00C15765"/>
    <w:rsid w:val="00C15C2E"/>
    <w:rsid w:val="00C15D71"/>
    <w:rsid w:val="00C15EF5"/>
    <w:rsid w:val="00C15F03"/>
    <w:rsid w:val="00C15F45"/>
    <w:rsid w:val="00C15FD1"/>
    <w:rsid w:val="00C1617D"/>
    <w:rsid w:val="00C1628C"/>
    <w:rsid w:val="00C164E3"/>
    <w:rsid w:val="00C16728"/>
    <w:rsid w:val="00C168A6"/>
    <w:rsid w:val="00C168A8"/>
    <w:rsid w:val="00C169CA"/>
    <w:rsid w:val="00C16A08"/>
    <w:rsid w:val="00C16AC3"/>
    <w:rsid w:val="00C16BA4"/>
    <w:rsid w:val="00C16C9C"/>
    <w:rsid w:val="00C16E59"/>
    <w:rsid w:val="00C16E8E"/>
    <w:rsid w:val="00C16F4C"/>
    <w:rsid w:val="00C16F95"/>
    <w:rsid w:val="00C17144"/>
    <w:rsid w:val="00C17261"/>
    <w:rsid w:val="00C1749E"/>
    <w:rsid w:val="00C17618"/>
    <w:rsid w:val="00C17697"/>
    <w:rsid w:val="00C176F1"/>
    <w:rsid w:val="00C1779B"/>
    <w:rsid w:val="00C178D1"/>
    <w:rsid w:val="00C178F9"/>
    <w:rsid w:val="00C179DF"/>
    <w:rsid w:val="00C17A6E"/>
    <w:rsid w:val="00C17A8B"/>
    <w:rsid w:val="00C17B40"/>
    <w:rsid w:val="00C17CFF"/>
    <w:rsid w:val="00C17ECC"/>
    <w:rsid w:val="00C17EDA"/>
    <w:rsid w:val="00C20036"/>
    <w:rsid w:val="00C20179"/>
    <w:rsid w:val="00C201B5"/>
    <w:rsid w:val="00C201BE"/>
    <w:rsid w:val="00C201E1"/>
    <w:rsid w:val="00C20258"/>
    <w:rsid w:val="00C20398"/>
    <w:rsid w:val="00C20556"/>
    <w:rsid w:val="00C2058A"/>
    <w:rsid w:val="00C206D9"/>
    <w:rsid w:val="00C206F7"/>
    <w:rsid w:val="00C20741"/>
    <w:rsid w:val="00C2084E"/>
    <w:rsid w:val="00C20957"/>
    <w:rsid w:val="00C209B9"/>
    <w:rsid w:val="00C20BC1"/>
    <w:rsid w:val="00C20C01"/>
    <w:rsid w:val="00C20C02"/>
    <w:rsid w:val="00C20C12"/>
    <w:rsid w:val="00C20CF6"/>
    <w:rsid w:val="00C20EA7"/>
    <w:rsid w:val="00C20FDC"/>
    <w:rsid w:val="00C210A4"/>
    <w:rsid w:val="00C21194"/>
    <w:rsid w:val="00C211A4"/>
    <w:rsid w:val="00C21349"/>
    <w:rsid w:val="00C21490"/>
    <w:rsid w:val="00C21719"/>
    <w:rsid w:val="00C2178D"/>
    <w:rsid w:val="00C21806"/>
    <w:rsid w:val="00C21871"/>
    <w:rsid w:val="00C218D6"/>
    <w:rsid w:val="00C21997"/>
    <w:rsid w:val="00C219A9"/>
    <w:rsid w:val="00C21A86"/>
    <w:rsid w:val="00C21AAE"/>
    <w:rsid w:val="00C21B2F"/>
    <w:rsid w:val="00C21E31"/>
    <w:rsid w:val="00C221A0"/>
    <w:rsid w:val="00C221E3"/>
    <w:rsid w:val="00C22215"/>
    <w:rsid w:val="00C22236"/>
    <w:rsid w:val="00C22263"/>
    <w:rsid w:val="00C22289"/>
    <w:rsid w:val="00C223AD"/>
    <w:rsid w:val="00C223E9"/>
    <w:rsid w:val="00C22583"/>
    <w:rsid w:val="00C22664"/>
    <w:rsid w:val="00C226F0"/>
    <w:rsid w:val="00C22721"/>
    <w:rsid w:val="00C227B7"/>
    <w:rsid w:val="00C227F4"/>
    <w:rsid w:val="00C22A0A"/>
    <w:rsid w:val="00C22E20"/>
    <w:rsid w:val="00C22F49"/>
    <w:rsid w:val="00C230C4"/>
    <w:rsid w:val="00C230F4"/>
    <w:rsid w:val="00C2313A"/>
    <w:rsid w:val="00C23423"/>
    <w:rsid w:val="00C234C0"/>
    <w:rsid w:val="00C2360B"/>
    <w:rsid w:val="00C236CB"/>
    <w:rsid w:val="00C23788"/>
    <w:rsid w:val="00C23858"/>
    <w:rsid w:val="00C238D1"/>
    <w:rsid w:val="00C239BC"/>
    <w:rsid w:val="00C23A9D"/>
    <w:rsid w:val="00C23CF5"/>
    <w:rsid w:val="00C23D17"/>
    <w:rsid w:val="00C23D51"/>
    <w:rsid w:val="00C23F33"/>
    <w:rsid w:val="00C23F60"/>
    <w:rsid w:val="00C23F9A"/>
    <w:rsid w:val="00C2417E"/>
    <w:rsid w:val="00C2426E"/>
    <w:rsid w:val="00C2429D"/>
    <w:rsid w:val="00C242A6"/>
    <w:rsid w:val="00C24404"/>
    <w:rsid w:val="00C2451A"/>
    <w:rsid w:val="00C245F6"/>
    <w:rsid w:val="00C246C9"/>
    <w:rsid w:val="00C246D2"/>
    <w:rsid w:val="00C24713"/>
    <w:rsid w:val="00C2477E"/>
    <w:rsid w:val="00C24815"/>
    <w:rsid w:val="00C24E58"/>
    <w:rsid w:val="00C24E5C"/>
    <w:rsid w:val="00C24EE6"/>
    <w:rsid w:val="00C25062"/>
    <w:rsid w:val="00C25211"/>
    <w:rsid w:val="00C25385"/>
    <w:rsid w:val="00C25446"/>
    <w:rsid w:val="00C25793"/>
    <w:rsid w:val="00C2581F"/>
    <w:rsid w:val="00C25887"/>
    <w:rsid w:val="00C25916"/>
    <w:rsid w:val="00C25982"/>
    <w:rsid w:val="00C25B71"/>
    <w:rsid w:val="00C25C46"/>
    <w:rsid w:val="00C25CDC"/>
    <w:rsid w:val="00C25D3D"/>
    <w:rsid w:val="00C25D70"/>
    <w:rsid w:val="00C25EE0"/>
    <w:rsid w:val="00C25F71"/>
    <w:rsid w:val="00C25F8E"/>
    <w:rsid w:val="00C2613C"/>
    <w:rsid w:val="00C2618E"/>
    <w:rsid w:val="00C2642D"/>
    <w:rsid w:val="00C2643E"/>
    <w:rsid w:val="00C26546"/>
    <w:rsid w:val="00C265AA"/>
    <w:rsid w:val="00C265EA"/>
    <w:rsid w:val="00C266C5"/>
    <w:rsid w:val="00C26738"/>
    <w:rsid w:val="00C2682F"/>
    <w:rsid w:val="00C2698B"/>
    <w:rsid w:val="00C269C5"/>
    <w:rsid w:val="00C26D93"/>
    <w:rsid w:val="00C26E28"/>
    <w:rsid w:val="00C26F68"/>
    <w:rsid w:val="00C27091"/>
    <w:rsid w:val="00C2711A"/>
    <w:rsid w:val="00C27166"/>
    <w:rsid w:val="00C27338"/>
    <w:rsid w:val="00C27710"/>
    <w:rsid w:val="00C2773B"/>
    <w:rsid w:val="00C2786D"/>
    <w:rsid w:val="00C27871"/>
    <w:rsid w:val="00C279E2"/>
    <w:rsid w:val="00C27C9D"/>
    <w:rsid w:val="00C27D34"/>
    <w:rsid w:val="00C27D8F"/>
    <w:rsid w:val="00C27EBF"/>
    <w:rsid w:val="00C30042"/>
    <w:rsid w:val="00C30258"/>
    <w:rsid w:val="00C3044A"/>
    <w:rsid w:val="00C3055A"/>
    <w:rsid w:val="00C30611"/>
    <w:rsid w:val="00C30656"/>
    <w:rsid w:val="00C3066C"/>
    <w:rsid w:val="00C307CF"/>
    <w:rsid w:val="00C3091D"/>
    <w:rsid w:val="00C309AC"/>
    <w:rsid w:val="00C30A74"/>
    <w:rsid w:val="00C30DB8"/>
    <w:rsid w:val="00C30E38"/>
    <w:rsid w:val="00C311E7"/>
    <w:rsid w:val="00C31276"/>
    <w:rsid w:val="00C3144E"/>
    <w:rsid w:val="00C316FB"/>
    <w:rsid w:val="00C318B1"/>
    <w:rsid w:val="00C3199B"/>
    <w:rsid w:val="00C31BFE"/>
    <w:rsid w:val="00C31C3A"/>
    <w:rsid w:val="00C31D19"/>
    <w:rsid w:val="00C31E23"/>
    <w:rsid w:val="00C32455"/>
    <w:rsid w:val="00C326F9"/>
    <w:rsid w:val="00C328A2"/>
    <w:rsid w:val="00C32BE5"/>
    <w:rsid w:val="00C32CB2"/>
    <w:rsid w:val="00C32D4D"/>
    <w:rsid w:val="00C32E04"/>
    <w:rsid w:val="00C32E3F"/>
    <w:rsid w:val="00C32EA5"/>
    <w:rsid w:val="00C32EBA"/>
    <w:rsid w:val="00C32F18"/>
    <w:rsid w:val="00C33075"/>
    <w:rsid w:val="00C33159"/>
    <w:rsid w:val="00C331FB"/>
    <w:rsid w:val="00C3332D"/>
    <w:rsid w:val="00C333BC"/>
    <w:rsid w:val="00C334D0"/>
    <w:rsid w:val="00C335FD"/>
    <w:rsid w:val="00C33664"/>
    <w:rsid w:val="00C3371B"/>
    <w:rsid w:val="00C3376F"/>
    <w:rsid w:val="00C33840"/>
    <w:rsid w:val="00C3387E"/>
    <w:rsid w:val="00C339EE"/>
    <w:rsid w:val="00C33A24"/>
    <w:rsid w:val="00C33B4F"/>
    <w:rsid w:val="00C33B59"/>
    <w:rsid w:val="00C33C38"/>
    <w:rsid w:val="00C33D0D"/>
    <w:rsid w:val="00C33D56"/>
    <w:rsid w:val="00C33E1E"/>
    <w:rsid w:val="00C33E8E"/>
    <w:rsid w:val="00C33FA1"/>
    <w:rsid w:val="00C3429E"/>
    <w:rsid w:val="00C34528"/>
    <w:rsid w:val="00C3464E"/>
    <w:rsid w:val="00C346A7"/>
    <w:rsid w:val="00C3474C"/>
    <w:rsid w:val="00C34778"/>
    <w:rsid w:val="00C347D6"/>
    <w:rsid w:val="00C3485B"/>
    <w:rsid w:val="00C34968"/>
    <w:rsid w:val="00C34A41"/>
    <w:rsid w:val="00C34AD3"/>
    <w:rsid w:val="00C34B23"/>
    <w:rsid w:val="00C34BF6"/>
    <w:rsid w:val="00C34C45"/>
    <w:rsid w:val="00C34DE2"/>
    <w:rsid w:val="00C34E28"/>
    <w:rsid w:val="00C34F49"/>
    <w:rsid w:val="00C34F71"/>
    <w:rsid w:val="00C350EB"/>
    <w:rsid w:val="00C3518C"/>
    <w:rsid w:val="00C352E2"/>
    <w:rsid w:val="00C354B5"/>
    <w:rsid w:val="00C3556D"/>
    <w:rsid w:val="00C357E4"/>
    <w:rsid w:val="00C357FD"/>
    <w:rsid w:val="00C35943"/>
    <w:rsid w:val="00C35970"/>
    <w:rsid w:val="00C359AE"/>
    <w:rsid w:val="00C35B24"/>
    <w:rsid w:val="00C35B5D"/>
    <w:rsid w:val="00C35C73"/>
    <w:rsid w:val="00C35D35"/>
    <w:rsid w:val="00C35DD7"/>
    <w:rsid w:val="00C35EB2"/>
    <w:rsid w:val="00C361DC"/>
    <w:rsid w:val="00C3647A"/>
    <w:rsid w:val="00C369A4"/>
    <w:rsid w:val="00C36A52"/>
    <w:rsid w:val="00C36C05"/>
    <w:rsid w:val="00C36CBF"/>
    <w:rsid w:val="00C36CD8"/>
    <w:rsid w:val="00C36D7D"/>
    <w:rsid w:val="00C36F27"/>
    <w:rsid w:val="00C36FFC"/>
    <w:rsid w:val="00C37250"/>
    <w:rsid w:val="00C37400"/>
    <w:rsid w:val="00C37403"/>
    <w:rsid w:val="00C37501"/>
    <w:rsid w:val="00C375F3"/>
    <w:rsid w:val="00C37A29"/>
    <w:rsid w:val="00C37A7D"/>
    <w:rsid w:val="00C37BD7"/>
    <w:rsid w:val="00C37C6B"/>
    <w:rsid w:val="00C37D55"/>
    <w:rsid w:val="00C37D7D"/>
    <w:rsid w:val="00C37D8D"/>
    <w:rsid w:val="00C37DB5"/>
    <w:rsid w:val="00C37ED1"/>
    <w:rsid w:val="00C400BF"/>
    <w:rsid w:val="00C4016B"/>
    <w:rsid w:val="00C40329"/>
    <w:rsid w:val="00C4041A"/>
    <w:rsid w:val="00C40698"/>
    <w:rsid w:val="00C406A9"/>
    <w:rsid w:val="00C407AF"/>
    <w:rsid w:val="00C407E7"/>
    <w:rsid w:val="00C407EB"/>
    <w:rsid w:val="00C4084A"/>
    <w:rsid w:val="00C408A1"/>
    <w:rsid w:val="00C40A82"/>
    <w:rsid w:val="00C40B8B"/>
    <w:rsid w:val="00C40D01"/>
    <w:rsid w:val="00C40E25"/>
    <w:rsid w:val="00C40FA8"/>
    <w:rsid w:val="00C4104F"/>
    <w:rsid w:val="00C413EF"/>
    <w:rsid w:val="00C4140B"/>
    <w:rsid w:val="00C41432"/>
    <w:rsid w:val="00C41441"/>
    <w:rsid w:val="00C4161E"/>
    <w:rsid w:val="00C418BA"/>
    <w:rsid w:val="00C419CB"/>
    <w:rsid w:val="00C41A09"/>
    <w:rsid w:val="00C41A2B"/>
    <w:rsid w:val="00C41A30"/>
    <w:rsid w:val="00C41ACC"/>
    <w:rsid w:val="00C41AFE"/>
    <w:rsid w:val="00C41BBC"/>
    <w:rsid w:val="00C41E5C"/>
    <w:rsid w:val="00C41F70"/>
    <w:rsid w:val="00C42140"/>
    <w:rsid w:val="00C4246B"/>
    <w:rsid w:val="00C424DC"/>
    <w:rsid w:val="00C425AF"/>
    <w:rsid w:val="00C42628"/>
    <w:rsid w:val="00C42710"/>
    <w:rsid w:val="00C42A5B"/>
    <w:rsid w:val="00C42D64"/>
    <w:rsid w:val="00C42DB5"/>
    <w:rsid w:val="00C42DDF"/>
    <w:rsid w:val="00C42E4E"/>
    <w:rsid w:val="00C42E8D"/>
    <w:rsid w:val="00C42F3F"/>
    <w:rsid w:val="00C430A8"/>
    <w:rsid w:val="00C43222"/>
    <w:rsid w:val="00C4329E"/>
    <w:rsid w:val="00C432BB"/>
    <w:rsid w:val="00C432D4"/>
    <w:rsid w:val="00C43437"/>
    <w:rsid w:val="00C435A5"/>
    <w:rsid w:val="00C4367D"/>
    <w:rsid w:val="00C43A02"/>
    <w:rsid w:val="00C43A47"/>
    <w:rsid w:val="00C43BB4"/>
    <w:rsid w:val="00C43BFB"/>
    <w:rsid w:val="00C43CF2"/>
    <w:rsid w:val="00C43E5C"/>
    <w:rsid w:val="00C43E6E"/>
    <w:rsid w:val="00C441E9"/>
    <w:rsid w:val="00C44286"/>
    <w:rsid w:val="00C442CF"/>
    <w:rsid w:val="00C443E6"/>
    <w:rsid w:val="00C44442"/>
    <w:rsid w:val="00C4444A"/>
    <w:rsid w:val="00C444BC"/>
    <w:rsid w:val="00C44512"/>
    <w:rsid w:val="00C4454B"/>
    <w:rsid w:val="00C44564"/>
    <w:rsid w:val="00C445FE"/>
    <w:rsid w:val="00C4461A"/>
    <w:rsid w:val="00C44682"/>
    <w:rsid w:val="00C44693"/>
    <w:rsid w:val="00C44715"/>
    <w:rsid w:val="00C44C4D"/>
    <w:rsid w:val="00C44C51"/>
    <w:rsid w:val="00C44DC3"/>
    <w:rsid w:val="00C44DF6"/>
    <w:rsid w:val="00C44E87"/>
    <w:rsid w:val="00C44ED0"/>
    <w:rsid w:val="00C45025"/>
    <w:rsid w:val="00C45222"/>
    <w:rsid w:val="00C45387"/>
    <w:rsid w:val="00C45471"/>
    <w:rsid w:val="00C45474"/>
    <w:rsid w:val="00C4559E"/>
    <w:rsid w:val="00C457A3"/>
    <w:rsid w:val="00C457A9"/>
    <w:rsid w:val="00C4592A"/>
    <w:rsid w:val="00C45A53"/>
    <w:rsid w:val="00C45A8C"/>
    <w:rsid w:val="00C45D86"/>
    <w:rsid w:val="00C45ECF"/>
    <w:rsid w:val="00C45F79"/>
    <w:rsid w:val="00C45FED"/>
    <w:rsid w:val="00C461B3"/>
    <w:rsid w:val="00C462BC"/>
    <w:rsid w:val="00C4638E"/>
    <w:rsid w:val="00C465E0"/>
    <w:rsid w:val="00C46645"/>
    <w:rsid w:val="00C46750"/>
    <w:rsid w:val="00C46762"/>
    <w:rsid w:val="00C467D7"/>
    <w:rsid w:val="00C4685B"/>
    <w:rsid w:val="00C468AC"/>
    <w:rsid w:val="00C46921"/>
    <w:rsid w:val="00C4696B"/>
    <w:rsid w:val="00C46A26"/>
    <w:rsid w:val="00C46A9C"/>
    <w:rsid w:val="00C46BDB"/>
    <w:rsid w:val="00C46CAD"/>
    <w:rsid w:val="00C46EC5"/>
    <w:rsid w:val="00C46F26"/>
    <w:rsid w:val="00C46F80"/>
    <w:rsid w:val="00C47135"/>
    <w:rsid w:val="00C474A7"/>
    <w:rsid w:val="00C4751B"/>
    <w:rsid w:val="00C4751C"/>
    <w:rsid w:val="00C4761E"/>
    <w:rsid w:val="00C47659"/>
    <w:rsid w:val="00C4783F"/>
    <w:rsid w:val="00C479BA"/>
    <w:rsid w:val="00C47A5B"/>
    <w:rsid w:val="00C47C1D"/>
    <w:rsid w:val="00C47C3F"/>
    <w:rsid w:val="00C47E5A"/>
    <w:rsid w:val="00C47ED7"/>
    <w:rsid w:val="00C47F7C"/>
    <w:rsid w:val="00C50413"/>
    <w:rsid w:val="00C50617"/>
    <w:rsid w:val="00C5086A"/>
    <w:rsid w:val="00C50971"/>
    <w:rsid w:val="00C50ABE"/>
    <w:rsid w:val="00C50AF4"/>
    <w:rsid w:val="00C50B5D"/>
    <w:rsid w:val="00C50B8F"/>
    <w:rsid w:val="00C50BFA"/>
    <w:rsid w:val="00C50F4C"/>
    <w:rsid w:val="00C50F74"/>
    <w:rsid w:val="00C5106F"/>
    <w:rsid w:val="00C515CC"/>
    <w:rsid w:val="00C515FC"/>
    <w:rsid w:val="00C51665"/>
    <w:rsid w:val="00C51681"/>
    <w:rsid w:val="00C5174F"/>
    <w:rsid w:val="00C51768"/>
    <w:rsid w:val="00C51777"/>
    <w:rsid w:val="00C5186A"/>
    <w:rsid w:val="00C5189E"/>
    <w:rsid w:val="00C51AD1"/>
    <w:rsid w:val="00C51C24"/>
    <w:rsid w:val="00C51DAA"/>
    <w:rsid w:val="00C51E07"/>
    <w:rsid w:val="00C51E90"/>
    <w:rsid w:val="00C51E91"/>
    <w:rsid w:val="00C51F8C"/>
    <w:rsid w:val="00C525E8"/>
    <w:rsid w:val="00C5264D"/>
    <w:rsid w:val="00C52746"/>
    <w:rsid w:val="00C52B0F"/>
    <w:rsid w:val="00C52B96"/>
    <w:rsid w:val="00C52C8F"/>
    <w:rsid w:val="00C52CE8"/>
    <w:rsid w:val="00C52E7E"/>
    <w:rsid w:val="00C52EEF"/>
    <w:rsid w:val="00C52FDF"/>
    <w:rsid w:val="00C52FFD"/>
    <w:rsid w:val="00C5300A"/>
    <w:rsid w:val="00C53010"/>
    <w:rsid w:val="00C53155"/>
    <w:rsid w:val="00C5322D"/>
    <w:rsid w:val="00C532D1"/>
    <w:rsid w:val="00C53426"/>
    <w:rsid w:val="00C534A0"/>
    <w:rsid w:val="00C535DC"/>
    <w:rsid w:val="00C5387E"/>
    <w:rsid w:val="00C5395A"/>
    <w:rsid w:val="00C539EE"/>
    <w:rsid w:val="00C53A5B"/>
    <w:rsid w:val="00C53B81"/>
    <w:rsid w:val="00C53CF9"/>
    <w:rsid w:val="00C53D28"/>
    <w:rsid w:val="00C53D74"/>
    <w:rsid w:val="00C53DA2"/>
    <w:rsid w:val="00C5406A"/>
    <w:rsid w:val="00C540D7"/>
    <w:rsid w:val="00C541CB"/>
    <w:rsid w:val="00C54277"/>
    <w:rsid w:val="00C54307"/>
    <w:rsid w:val="00C543C5"/>
    <w:rsid w:val="00C543CF"/>
    <w:rsid w:val="00C54532"/>
    <w:rsid w:val="00C54575"/>
    <w:rsid w:val="00C5458E"/>
    <w:rsid w:val="00C545C5"/>
    <w:rsid w:val="00C54694"/>
    <w:rsid w:val="00C546E5"/>
    <w:rsid w:val="00C547E6"/>
    <w:rsid w:val="00C547E9"/>
    <w:rsid w:val="00C549A1"/>
    <w:rsid w:val="00C549F6"/>
    <w:rsid w:val="00C54B14"/>
    <w:rsid w:val="00C54BE4"/>
    <w:rsid w:val="00C54C09"/>
    <w:rsid w:val="00C54F13"/>
    <w:rsid w:val="00C551D3"/>
    <w:rsid w:val="00C55227"/>
    <w:rsid w:val="00C554B9"/>
    <w:rsid w:val="00C5552B"/>
    <w:rsid w:val="00C55684"/>
    <w:rsid w:val="00C559A0"/>
    <w:rsid w:val="00C55A7D"/>
    <w:rsid w:val="00C55B08"/>
    <w:rsid w:val="00C55B0D"/>
    <w:rsid w:val="00C55BA7"/>
    <w:rsid w:val="00C55CBF"/>
    <w:rsid w:val="00C55D3B"/>
    <w:rsid w:val="00C560A5"/>
    <w:rsid w:val="00C56175"/>
    <w:rsid w:val="00C561A7"/>
    <w:rsid w:val="00C562A4"/>
    <w:rsid w:val="00C562D2"/>
    <w:rsid w:val="00C5636E"/>
    <w:rsid w:val="00C56375"/>
    <w:rsid w:val="00C56434"/>
    <w:rsid w:val="00C56459"/>
    <w:rsid w:val="00C564C8"/>
    <w:rsid w:val="00C5659F"/>
    <w:rsid w:val="00C5677C"/>
    <w:rsid w:val="00C5682B"/>
    <w:rsid w:val="00C5690D"/>
    <w:rsid w:val="00C56974"/>
    <w:rsid w:val="00C56A5B"/>
    <w:rsid w:val="00C56AB3"/>
    <w:rsid w:val="00C56B2B"/>
    <w:rsid w:val="00C56C50"/>
    <w:rsid w:val="00C56CE4"/>
    <w:rsid w:val="00C56CE5"/>
    <w:rsid w:val="00C56F1C"/>
    <w:rsid w:val="00C56F35"/>
    <w:rsid w:val="00C56F90"/>
    <w:rsid w:val="00C5708D"/>
    <w:rsid w:val="00C570BD"/>
    <w:rsid w:val="00C573B4"/>
    <w:rsid w:val="00C573C5"/>
    <w:rsid w:val="00C575D9"/>
    <w:rsid w:val="00C5765E"/>
    <w:rsid w:val="00C57828"/>
    <w:rsid w:val="00C57983"/>
    <w:rsid w:val="00C57994"/>
    <w:rsid w:val="00C57AA8"/>
    <w:rsid w:val="00C57B7A"/>
    <w:rsid w:val="00C57BCF"/>
    <w:rsid w:val="00C57C7A"/>
    <w:rsid w:val="00C57D6D"/>
    <w:rsid w:val="00C57D9F"/>
    <w:rsid w:val="00C57F87"/>
    <w:rsid w:val="00C600A9"/>
    <w:rsid w:val="00C600E8"/>
    <w:rsid w:val="00C600F9"/>
    <w:rsid w:val="00C60165"/>
    <w:rsid w:val="00C601B0"/>
    <w:rsid w:val="00C60254"/>
    <w:rsid w:val="00C60272"/>
    <w:rsid w:val="00C60285"/>
    <w:rsid w:val="00C602C6"/>
    <w:rsid w:val="00C603E8"/>
    <w:rsid w:val="00C6041B"/>
    <w:rsid w:val="00C6041E"/>
    <w:rsid w:val="00C6068E"/>
    <w:rsid w:val="00C606EF"/>
    <w:rsid w:val="00C6086E"/>
    <w:rsid w:val="00C608AE"/>
    <w:rsid w:val="00C608E9"/>
    <w:rsid w:val="00C60A13"/>
    <w:rsid w:val="00C60A47"/>
    <w:rsid w:val="00C60BA6"/>
    <w:rsid w:val="00C60BFB"/>
    <w:rsid w:val="00C60C14"/>
    <w:rsid w:val="00C60D22"/>
    <w:rsid w:val="00C60DAE"/>
    <w:rsid w:val="00C60DE4"/>
    <w:rsid w:val="00C60E93"/>
    <w:rsid w:val="00C61188"/>
    <w:rsid w:val="00C61239"/>
    <w:rsid w:val="00C613CD"/>
    <w:rsid w:val="00C6166D"/>
    <w:rsid w:val="00C6169B"/>
    <w:rsid w:val="00C616EA"/>
    <w:rsid w:val="00C61852"/>
    <w:rsid w:val="00C61911"/>
    <w:rsid w:val="00C61968"/>
    <w:rsid w:val="00C619E8"/>
    <w:rsid w:val="00C61B55"/>
    <w:rsid w:val="00C61C5A"/>
    <w:rsid w:val="00C61C72"/>
    <w:rsid w:val="00C61CEA"/>
    <w:rsid w:val="00C61DB9"/>
    <w:rsid w:val="00C61F06"/>
    <w:rsid w:val="00C61F31"/>
    <w:rsid w:val="00C61F32"/>
    <w:rsid w:val="00C620A3"/>
    <w:rsid w:val="00C621B4"/>
    <w:rsid w:val="00C6225A"/>
    <w:rsid w:val="00C6226C"/>
    <w:rsid w:val="00C623AA"/>
    <w:rsid w:val="00C623BA"/>
    <w:rsid w:val="00C6250B"/>
    <w:rsid w:val="00C625D2"/>
    <w:rsid w:val="00C62684"/>
    <w:rsid w:val="00C626A3"/>
    <w:rsid w:val="00C6289F"/>
    <w:rsid w:val="00C62AC7"/>
    <w:rsid w:val="00C62AEB"/>
    <w:rsid w:val="00C62C4E"/>
    <w:rsid w:val="00C62DE0"/>
    <w:rsid w:val="00C62E24"/>
    <w:rsid w:val="00C62F8F"/>
    <w:rsid w:val="00C63131"/>
    <w:rsid w:val="00C633DD"/>
    <w:rsid w:val="00C636D2"/>
    <w:rsid w:val="00C63768"/>
    <w:rsid w:val="00C63793"/>
    <w:rsid w:val="00C6397E"/>
    <w:rsid w:val="00C63A9C"/>
    <w:rsid w:val="00C63BA5"/>
    <w:rsid w:val="00C63BCB"/>
    <w:rsid w:val="00C63C86"/>
    <w:rsid w:val="00C63D06"/>
    <w:rsid w:val="00C63DEB"/>
    <w:rsid w:val="00C63EC0"/>
    <w:rsid w:val="00C644C1"/>
    <w:rsid w:val="00C64800"/>
    <w:rsid w:val="00C648E2"/>
    <w:rsid w:val="00C649B5"/>
    <w:rsid w:val="00C64A54"/>
    <w:rsid w:val="00C64AA2"/>
    <w:rsid w:val="00C64B0A"/>
    <w:rsid w:val="00C64BBA"/>
    <w:rsid w:val="00C64C5F"/>
    <w:rsid w:val="00C64CC8"/>
    <w:rsid w:val="00C64CCE"/>
    <w:rsid w:val="00C64D0A"/>
    <w:rsid w:val="00C64E87"/>
    <w:rsid w:val="00C64E9E"/>
    <w:rsid w:val="00C64EB0"/>
    <w:rsid w:val="00C65038"/>
    <w:rsid w:val="00C6506A"/>
    <w:rsid w:val="00C65079"/>
    <w:rsid w:val="00C6507C"/>
    <w:rsid w:val="00C6514A"/>
    <w:rsid w:val="00C65169"/>
    <w:rsid w:val="00C65174"/>
    <w:rsid w:val="00C651B3"/>
    <w:rsid w:val="00C651B4"/>
    <w:rsid w:val="00C6520E"/>
    <w:rsid w:val="00C65238"/>
    <w:rsid w:val="00C65241"/>
    <w:rsid w:val="00C652EE"/>
    <w:rsid w:val="00C65517"/>
    <w:rsid w:val="00C655A5"/>
    <w:rsid w:val="00C655C5"/>
    <w:rsid w:val="00C656CF"/>
    <w:rsid w:val="00C656DA"/>
    <w:rsid w:val="00C657A5"/>
    <w:rsid w:val="00C65A6E"/>
    <w:rsid w:val="00C65B81"/>
    <w:rsid w:val="00C65BA6"/>
    <w:rsid w:val="00C65BF5"/>
    <w:rsid w:val="00C65C40"/>
    <w:rsid w:val="00C65E0A"/>
    <w:rsid w:val="00C65E24"/>
    <w:rsid w:val="00C660D9"/>
    <w:rsid w:val="00C662C9"/>
    <w:rsid w:val="00C66547"/>
    <w:rsid w:val="00C6656B"/>
    <w:rsid w:val="00C665C7"/>
    <w:rsid w:val="00C665C9"/>
    <w:rsid w:val="00C665FC"/>
    <w:rsid w:val="00C6666C"/>
    <w:rsid w:val="00C6680B"/>
    <w:rsid w:val="00C66A70"/>
    <w:rsid w:val="00C66AF8"/>
    <w:rsid w:val="00C66B54"/>
    <w:rsid w:val="00C66BA8"/>
    <w:rsid w:val="00C66BFA"/>
    <w:rsid w:val="00C66C15"/>
    <w:rsid w:val="00C66C4E"/>
    <w:rsid w:val="00C66CCB"/>
    <w:rsid w:val="00C66D17"/>
    <w:rsid w:val="00C66D5F"/>
    <w:rsid w:val="00C66EA0"/>
    <w:rsid w:val="00C66F1D"/>
    <w:rsid w:val="00C67553"/>
    <w:rsid w:val="00C678DC"/>
    <w:rsid w:val="00C67AC3"/>
    <w:rsid w:val="00C67AD0"/>
    <w:rsid w:val="00C67B17"/>
    <w:rsid w:val="00C67B3C"/>
    <w:rsid w:val="00C67B75"/>
    <w:rsid w:val="00C67C5B"/>
    <w:rsid w:val="00C67C7F"/>
    <w:rsid w:val="00C67E90"/>
    <w:rsid w:val="00C67EC2"/>
    <w:rsid w:val="00C700BE"/>
    <w:rsid w:val="00C70170"/>
    <w:rsid w:val="00C7021D"/>
    <w:rsid w:val="00C70470"/>
    <w:rsid w:val="00C70514"/>
    <w:rsid w:val="00C7054B"/>
    <w:rsid w:val="00C7060B"/>
    <w:rsid w:val="00C7065F"/>
    <w:rsid w:val="00C70A2B"/>
    <w:rsid w:val="00C70A58"/>
    <w:rsid w:val="00C70B6A"/>
    <w:rsid w:val="00C70B8D"/>
    <w:rsid w:val="00C70BC8"/>
    <w:rsid w:val="00C70D53"/>
    <w:rsid w:val="00C70D80"/>
    <w:rsid w:val="00C70E29"/>
    <w:rsid w:val="00C70E90"/>
    <w:rsid w:val="00C70EAB"/>
    <w:rsid w:val="00C70EFC"/>
    <w:rsid w:val="00C70F10"/>
    <w:rsid w:val="00C70FBE"/>
    <w:rsid w:val="00C71074"/>
    <w:rsid w:val="00C71259"/>
    <w:rsid w:val="00C71290"/>
    <w:rsid w:val="00C712FA"/>
    <w:rsid w:val="00C71518"/>
    <w:rsid w:val="00C71546"/>
    <w:rsid w:val="00C71688"/>
    <w:rsid w:val="00C7174B"/>
    <w:rsid w:val="00C717B3"/>
    <w:rsid w:val="00C71849"/>
    <w:rsid w:val="00C7196A"/>
    <w:rsid w:val="00C719BA"/>
    <w:rsid w:val="00C71F28"/>
    <w:rsid w:val="00C71F4D"/>
    <w:rsid w:val="00C71F76"/>
    <w:rsid w:val="00C71F82"/>
    <w:rsid w:val="00C71F91"/>
    <w:rsid w:val="00C71FB8"/>
    <w:rsid w:val="00C7216D"/>
    <w:rsid w:val="00C722FD"/>
    <w:rsid w:val="00C7230C"/>
    <w:rsid w:val="00C72360"/>
    <w:rsid w:val="00C724A0"/>
    <w:rsid w:val="00C72566"/>
    <w:rsid w:val="00C72593"/>
    <w:rsid w:val="00C72639"/>
    <w:rsid w:val="00C7276E"/>
    <w:rsid w:val="00C72793"/>
    <w:rsid w:val="00C727C0"/>
    <w:rsid w:val="00C727D1"/>
    <w:rsid w:val="00C72936"/>
    <w:rsid w:val="00C72A57"/>
    <w:rsid w:val="00C72B42"/>
    <w:rsid w:val="00C72D93"/>
    <w:rsid w:val="00C72F43"/>
    <w:rsid w:val="00C72FA0"/>
    <w:rsid w:val="00C73281"/>
    <w:rsid w:val="00C7341B"/>
    <w:rsid w:val="00C73774"/>
    <w:rsid w:val="00C73811"/>
    <w:rsid w:val="00C73820"/>
    <w:rsid w:val="00C73851"/>
    <w:rsid w:val="00C73929"/>
    <w:rsid w:val="00C73A66"/>
    <w:rsid w:val="00C73BFB"/>
    <w:rsid w:val="00C73DB3"/>
    <w:rsid w:val="00C73E5A"/>
    <w:rsid w:val="00C73F29"/>
    <w:rsid w:val="00C73F2B"/>
    <w:rsid w:val="00C73F95"/>
    <w:rsid w:val="00C7402E"/>
    <w:rsid w:val="00C74035"/>
    <w:rsid w:val="00C740E9"/>
    <w:rsid w:val="00C741A8"/>
    <w:rsid w:val="00C74217"/>
    <w:rsid w:val="00C74395"/>
    <w:rsid w:val="00C743FC"/>
    <w:rsid w:val="00C74564"/>
    <w:rsid w:val="00C7480B"/>
    <w:rsid w:val="00C7492D"/>
    <w:rsid w:val="00C74A61"/>
    <w:rsid w:val="00C74B77"/>
    <w:rsid w:val="00C74BC8"/>
    <w:rsid w:val="00C74D49"/>
    <w:rsid w:val="00C74E5F"/>
    <w:rsid w:val="00C74FBF"/>
    <w:rsid w:val="00C75187"/>
    <w:rsid w:val="00C75280"/>
    <w:rsid w:val="00C75419"/>
    <w:rsid w:val="00C7581F"/>
    <w:rsid w:val="00C75847"/>
    <w:rsid w:val="00C75A92"/>
    <w:rsid w:val="00C75AB8"/>
    <w:rsid w:val="00C75ABA"/>
    <w:rsid w:val="00C75AF2"/>
    <w:rsid w:val="00C75AFF"/>
    <w:rsid w:val="00C75B6F"/>
    <w:rsid w:val="00C75BB5"/>
    <w:rsid w:val="00C75C56"/>
    <w:rsid w:val="00C75C7D"/>
    <w:rsid w:val="00C75C92"/>
    <w:rsid w:val="00C75C9B"/>
    <w:rsid w:val="00C75CF7"/>
    <w:rsid w:val="00C75D5F"/>
    <w:rsid w:val="00C75F1D"/>
    <w:rsid w:val="00C75F46"/>
    <w:rsid w:val="00C75F91"/>
    <w:rsid w:val="00C76021"/>
    <w:rsid w:val="00C761C9"/>
    <w:rsid w:val="00C766DF"/>
    <w:rsid w:val="00C767D3"/>
    <w:rsid w:val="00C76819"/>
    <w:rsid w:val="00C76888"/>
    <w:rsid w:val="00C76889"/>
    <w:rsid w:val="00C76A84"/>
    <w:rsid w:val="00C76BF0"/>
    <w:rsid w:val="00C76C6E"/>
    <w:rsid w:val="00C76CEB"/>
    <w:rsid w:val="00C76ED2"/>
    <w:rsid w:val="00C7702B"/>
    <w:rsid w:val="00C773D1"/>
    <w:rsid w:val="00C77564"/>
    <w:rsid w:val="00C7759D"/>
    <w:rsid w:val="00C77613"/>
    <w:rsid w:val="00C77685"/>
    <w:rsid w:val="00C779A2"/>
    <w:rsid w:val="00C77AEF"/>
    <w:rsid w:val="00C77BCD"/>
    <w:rsid w:val="00C77C57"/>
    <w:rsid w:val="00C77D0D"/>
    <w:rsid w:val="00C77D3F"/>
    <w:rsid w:val="00C77D9E"/>
    <w:rsid w:val="00C77DF7"/>
    <w:rsid w:val="00C77E10"/>
    <w:rsid w:val="00C80040"/>
    <w:rsid w:val="00C80149"/>
    <w:rsid w:val="00C80175"/>
    <w:rsid w:val="00C801C3"/>
    <w:rsid w:val="00C80228"/>
    <w:rsid w:val="00C8024E"/>
    <w:rsid w:val="00C8027C"/>
    <w:rsid w:val="00C80333"/>
    <w:rsid w:val="00C8057B"/>
    <w:rsid w:val="00C806F5"/>
    <w:rsid w:val="00C809AC"/>
    <w:rsid w:val="00C809B1"/>
    <w:rsid w:val="00C80D54"/>
    <w:rsid w:val="00C80D65"/>
    <w:rsid w:val="00C80ECD"/>
    <w:rsid w:val="00C81053"/>
    <w:rsid w:val="00C81185"/>
    <w:rsid w:val="00C811BE"/>
    <w:rsid w:val="00C8130B"/>
    <w:rsid w:val="00C81341"/>
    <w:rsid w:val="00C815E6"/>
    <w:rsid w:val="00C81734"/>
    <w:rsid w:val="00C81A0F"/>
    <w:rsid w:val="00C81A3E"/>
    <w:rsid w:val="00C81A45"/>
    <w:rsid w:val="00C81A85"/>
    <w:rsid w:val="00C81B5F"/>
    <w:rsid w:val="00C81D3D"/>
    <w:rsid w:val="00C81EB8"/>
    <w:rsid w:val="00C81EC4"/>
    <w:rsid w:val="00C81FEA"/>
    <w:rsid w:val="00C82003"/>
    <w:rsid w:val="00C8203C"/>
    <w:rsid w:val="00C8219B"/>
    <w:rsid w:val="00C82769"/>
    <w:rsid w:val="00C827F4"/>
    <w:rsid w:val="00C829A1"/>
    <w:rsid w:val="00C82BC6"/>
    <w:rsid w:val="00C82C40"/>
    <w:rsid w:val="00C82D11"/>
    <w:rsid w:val="00C830DA"/>
    <w:rsid w:val="00C8318C"/>
    <w:rsid w:val="00C8336B"/>
    <w:rsid w:val="00C8344B"/>
    <w:rsid w:val="00C8347B"/>
    <w:rsid w:val="00C83686"/>
    <w:rsid w:val="00C83878"/>
    <w:rsid w:val="00C83911"/>
    <w:rsid w:val="00C83937"/>
    <w:rsid w:val="00C83A06"/>
    <w:rsid w:val="00C83A0B"/>
    <w:rsid w:val="00C83BFD"/>
    <w:rsid w:val="00C83C65"/>
    <w:rsid w:val="00C83DC1"/>
    <w:rsid w:val="00C83FB8"/>
    <w:rsid w:val="00C83FCC"/>
    <w:rsid w:val="00C8402F"/>
    <w:rsid w:val="00C840E9"/>
    <w:rsid w:val="00C84123"/>
    <w:rsid w:val="00C84203"/>
    <w:rsid w:val="00C84251"/>
    <w:rsid w:val="00C842FE"/>
    <w:rsid w:val="00C8454C"/>
    <w:rsid w:val="00C845C7"/>
    <w:rsid w:val="00C845DD"/>
    <w:rsid w:val="00C8487F"/>
    <w:rsid w:val="00C848DC"/>
    <w:rsid w:val="00C849F5"/>
    <w:rsid w:val="00C84AA1"/>
    <w:rsid w:val="00C84C1C"/>
    <w:rsid w:val="00C84C6A"/>
    <w:rsid w:val="00C84D69"/>
    <w:rsid w:val="00C84D8B"/>
    <w:rsid w:val="00C84F17"/>
    <w:rsid w:val="00C85231"/>
    <w:rsid w:val="00C85274"/>
    <w:rsid w:val="00C85482"/>
    <w:rsid w:val="00C85673"/>
    <w:rsid w:val="00C85698"/>
    <w:rsid w:val="00C856FA"/>
    <w:rsid w:val="00C85A6A"/>
    <w:rsid w:val="00C85BAE"/>
    <w:rsid w:val="00C85D16"/>
    <w:rsid w:val="00C85D8A"/>
    <w:rsid w:val="00C85E1C"/>
    <w:rsid w:val="00C85E22"/>
    <w:rsid w:val="00C85F57"/>
    <w:rsid w:val="00C85F64"/>
    <w:rsid w:val="00C85F7F"/>
    <w:rsid w:val="00C85FF2"/>
    <w:rsid w:val="00C860AF"/>
    <w:rsid w:val="00C86126"/>
    <w:rsid w:val="00C8683D"/>
    <w:rsid w:val="00C86A83"/>
    <w:rsid w:val="00C86AC6"/>
    <w:rsid w:val="00C86B15"/>
    <w:rsid w:val="00C86B5F"/>
    <w:rsid w:val="00C86BB6"/>
    <w:rsid w:val="00C86E03"/>
    <w:rsid w:val="00C86E1E"/>
    <w:rsid w:val="00C86EB4"/>
    <w:rsid w:val="00C86ED9"/>
    <w:rsid w:val="00C86F72"/>
    <w:rsid w:val="00C86F82"/>
    <w:rsid w:val="00C86FC2"/>
    <w:rsid w:val="00C8728B"/>
    <w:rsid w:val="00C872AA"/>
    <w:rsid w:val="00C872B6"/>
    <w:rsid w:val="00C873C7"/>
    <w:rsid w:val="00C873F6"/>
    <w:rsid w:val="00C874A6"/>
    <w:rsid w:val="00C874CB"/>
    <w:rsid w:val="00C876B6"/>
    <w:rsid w:val="00C87784"/>
    <w:rsid w:val="00C8785B"/>
    <w:rsid w:val="00C878F3"/>
    <w:rsid w:val="00C8790A"/>
    <w:rsid w:val="00C8793C"/>
    <w:rsid w:val="00C87944"/>
    <w:rsid w:val="00C87BF2"/>
    <w:rsid w:val="00C87C82"/>
    <w:rsid w:val="00C87D7A"/>
    <w:rsid w:val="00C87DCE"/>
    <w:rsid w:val="00C87E00"/>
    <w:rsid w:val="00C9003C"/>
    <w:rsid w:val="00C901FA"/>
    <w:rsid w:val="00C905CF"/>
    <w:rsid w:val="00C906DB"/>
    <w:rsid w:val="00C908E0"/>
    <w:rsid w:val="00C909EA"/>
    <w:rsid w:val="00C90AAD"/>
    <w:rsid w:val="00C90AFB"/>
    <w:rsid w:val="00C90B7B"/>
    <w:rsid w:val="00C90B98"/>
    <w:rsid w:val="00C90BE4"/>
    <w:rsid w:val="00C90CAC"/>
    <w:rsid w:val="00C90CAF"/>
    <w:rsid w:val="00C90CB5"/>
    <w:rsid w:val="00C90DD1"/>
    <w:rsid w:val="00C91062"/>
    <w:rsid w:val="00C910AC"/>
    <w:rsid w:val="00C912BF"/>
    <w:rsid w:val="00C91391"/>
    <w:rsid w:val="00C914C3"/>
    <w:rsid w:val="00C91511"/>
    <w:rsid w:val="00C91837"/>
    <w:rsid w:val="00C919C7"/>
    <w:rsid w:val="00C91A57"/>
    <w:rsid w:val="00C91C79"/>
    <w:rsid w:val="00C91CED"/>
    <w:rsid w:val="00C91FDD"/>
    <w:rsid w:val="00C92045"/>
    <w:rsid w:val="00C9212B"/>
    <w:rsid w:val="00C9219A"/>
    <w:rsid w:val="00C92334"/>
    <w:rsid w:val="00C92473"/>
    <w:rsid w:val="00C92497"/>
    <w:rsid w:val="00C924B0"/>
    <w:rsid w:val="00C92553"/>
    <w:rsid w:val="00C92595"/>
    <w:rsid w:val="00C925D2"/>
    <w:rsid w:val="00C92BFE"/>
    <w:rsid w:val="00C92DB9"/>
    <w:rsid w:val="00C92E5B"/>
    <w:rsid w:val="00C92EE0"/>
    <w:rsid w:val="00C931C2"/>
    <w:rsid w:val="00C932F3"/>
    <w:rsid w:val="00C933BC"/>
    <w:rsid w:val="00C933D2"/>
    <w:rsid w:val="00C936F0"/>
    <w:rsid w:val="00C93880"/>
    <w:rsid w:val="00C9392F"/>
    <w:rsid w:val="00C93A22"/>
    <w:rsid w:val="00C940D7"/>
    <w:rsid w:val="00C9419A"/>
    <w:rsid w:val="00C9458D"/>
    <w:rsid w:val="00C9458E"/>
    <w:rsid w:val="00C94663"/>
    <w:rsid w:val="00C94AC6"/>
    <w:rsid w:val="00C94AE5"/>
    <w:rsid w:val="00C94C48"/>
    <w:rsid w:val="00C94C4C"/>
    <w:rsid w:val="00C94C73"/>
    <w:rsid w:val="00C94DBA"/>
    <w:rsid w:val="00C95056"/>
    <w:rsid w:val="00C952BE"/>
    <w:rsid w:val="00C95358"/>
    <w:rsid w:val="00C953DF"/>
    <w:rsid w:val="00C95583"/>
    <w:rsid w:val="00C95706"/>
    <w:rsid w:val="00C95717"/>
    <w:rsid w:val="00C95780"/>
    <w:rsid w:val="00C959CE"/>
    <w:rsid w:val="00C959F9"/>
    <w:rsid w:val="00C95A37"/>
    <w:rsid w:val="00C95B20"/>
    <w:rsid w:val="00C95D3D"/>
    <w:rsid w:val="00C95DBE"/>
    <w:rsid w:val="00C95E4C"/>
    <w:rsid w:val="00C9619E"/>
    <w:rsid w:val="00C961C1"/>
    <w:rsid w:val="00C96228"/>
    <w:rsid w:val="00C9633A"/>
    <w:rsid w:val="00C9635C"/>
    <w:rsid w:val="00C96484"/>
    <w:rsid w:val="00C9677D"/>
    <w:rsid w:val="00C96841"/>
    <w:rsid w:val="00C96901"/>
    <w:rsid w:val="00C9697A"/>
    <w:rsid w:val="00C96D82"/>
    <w:rsid w:val="00C96DBB"/>
    <w:rsid w:val="00C96E8A"/>
    <w:rsid w:val="00C96E8F"/>
    <w:rsid w:val="00C96EAD"/>
    <w:rsid w:val="00C96ED8"/>
    <w:rsid w:val="00C96FF8"/>
    <w:rsid w:val="00C97098"/>
    <w:rsid w:val="00C971F0"/>
    <w:rsid w:val="00C97281"/>
    <w:rsid w:val="00C972F2"/>
    <w:rsid w:val="00C9735A"/>
    <w:rsid w:val="00C974E3"/>
    <w:rsid w:val="00C97685"/>
    <w:rsid w:val="00C97703"/>
    <w:rsid w:val="00C97946"/>
    <w:rsid w:val="00C97A55"/>
    <w:rsid w:val="00C97AF1"/>
    <w:rsid w:val="00C97D86"/>
    <w:rsid w:val="00C97E05"/>
    <w:rsid w:val="00C97F22"/>
    <w:rsid w:val="00C97FEE"/>
    <w:rsid w:val="00CA0032"/>
    <w:rsid w:val="00CA015B"/>
    <w:rsid w:val="00CA01C9"/>
    <w:rsid w:val="00CA03A3"/>
    <w:rsid w:val="00CA0422"/>
    <w:rsid w:val="00CA05E0"/>
    <w:rsid w:val="00CA0801"/>
    <w:rsid w:val="00CA092C"/>
    <w:rsid w:val="00CA0B3F"/>
    <w:rsid w:val="00CA0DE2"/>
    <w:rsid w:val="00CA0F7B"/>
    <w:rsid w:val="00CA11CB"/>
    <w:rsid w:val="00CA11CD"/>
    <w:rsid w:val="00CA1362"/>
    <w:rsid w:val="00CA179D"/>
    <w:rsid w:val="00CA17F6"/>
    <w:rsid w:val="00CA186C"/>
    <w:rsid w:val="00CA1AA0"/>
    <w:rsid w:val="00CA1AFC"/>
    <w:rsid w:val="00CA1CE9"/>
    <w:rsid w:val="00CA1D4D"/>
    <w:rsid w:val="00CA1D63"/>
    <w:rsid w:val="00CA1DA1"/>
    <w:rsid w:val="00CA1E10"/>
    <w:rsid w:val="00CA1FC2"/>
    <w:rsid w:val="00CA2139"/>
    <w:rsid w:val="00CA21B6"/>
    <w:rsid w:val="00CA22A3"/>
    <w:rsid w:val="00CA230B"/>
    <w:rsid w:val="00CA2363"/>
    <w:rsid w:val="00CA24FF"/>
    <w:rsid w:val="00CA2633"/>
    <w:rsid w:val="00CA265A"/>
    <w:rsid w:val="00CA2A0A"/>
    <w:rsid w:val="00CA2A8B"/>
    <w:rsid w:val="00CA2A8F"/>
    <w:rsid w:val="00CA2BF2"/>
    <w:rsid w:val="00CA2BFC"/>
    <w:rsid w:val="00CA2D43"/>
    <w:rsid w:val="00CA2D80"/>
    <w:rsid w:val="00CA2E3A"/>
    <w:rsid w:val="00CA2E68"/>
    <w:rsid w:val="00CA2F9D"/>
    <w:rsid w:val="00CA3048"/>
    <w:rsid w:val="00CA354C"/>
    <w:rsid w:val="00CA3633"/>
    <w:rsid w:val="00CA36B3"/>
    <w:rsid w:val="00CA3745"/>
    <w:rsid w:val="00CA376F"/>
    <w:rsid w:val="00CA394A"/>
    <w:rsid w:val="00CA3A36"/>
    <w:rsid w:val="00CA3A77"/>
    <w:rsid w:val="00CA3B5F"/>
    <w:rsid w:val="00CA3C22"/>
    <w:rsid w:val="00CA3DAF"/>
    <w:rsid w:val="00CA3EFB"/>
    <w:rsid w:val="00CA401A"/>
    <w:rsid w:val="00CA4094"/>
    <w:rsid w:val="00CA4126"/>
    <w:rsid w:val="00CA42F8"/>
    <w:rsid w:val="00CA44DD"/>
    <w:rsid w:val="00CA4707"/>
    <w:rsid w:val="00CA4774"/>
    <w:rsid w:val="00CA47C4"/>
    <w:rsid w:val="00CA4A98"/>
    <w:rsid w:val="00CA4AB6"/>
    <w:rsid w:val="00CA4B5E"/>
    <w:rsid w:val="00CA4B89"/>
    <w:rsid w:val="00CA4BA2"/>
    <w:rsid w:val="00CA4BE0"/>
    <w:rsid w:val="00CA4C0E"/>
    <w:rsid w:val="00CA4CAB"/>
    <w:rsid w:val="00CA4D02"/>
    <w:rsid w:val="00CA4E7E"/>
    <w:rsid w:val="00CA4FE7"/>
    <w:rsid w:val="00CA50AE"/>
    <w:rsid w:val="00CA54C0"/>
    <w:rsid w:val="00CA5514"/>
    <w:rsid w:val="00CA553A"/>
    <w:rsid w:val="00CA55EF"/>
    <w:rsid w:val="00CA56D0"/>
    <w:rsid w:val="00CA57C1"/>
    <w:rsid w:val="00CA5851"/>
    <w:rsid w:val="00CA5922"/>
    <w:rsid w:val="00CA5A5E"/>
    <w:rsid w:val="00CA5A82"/>
    <w:rsid w:val="00CA5CBA"/>
    <w:rsid w:val="00CA5DB9"/>
    <w:rsid w:val="00CA5E4D"/>
    <w:rsid w:val="00CA6057"/>
    <w:rsid w:val="00CA60E8"/>
    <w:rsid w:val="00CA619E"/>
    <w:rsid w:val="00CA6398"/>
    <w:rsid w:val="00CA6462"/>
    <w:rsid w:val="00CA64D6"/>
    <w:rsid w:val="00CA65BB"/>
    <w:rsid w:val="00CA65D0"/>
    <w:rsid w:val="00CA6618"/>
    <w:rsid w:val="00CA6675"/>
    <w:rsid w:val="00CA6711"/>
    <w:rsid w:val="00CA6825"/>
    <w:rsid w:val="00CA69D5"/>
    <w:rsid w:val="00CA69D6"/>
    <w:rsid w:val="00CA6A00"/>
    <w:rsid w:val="00CA6B76"/>
    <w:rsid w:val="00CA6B9D"/>
    <w:rsid w:val="00CA6CC7"/>
    <w:rsid w:val="00CA6D99"/>
    <w:rsid w:val="00CA7308"/>
    <w:rsid w:val="00CA7407"/>
    <w:rsid w:val="00CA74B2"/>
    <w:rsid w:val="00CA75DE"/>
    <w:rsid w:val="00CA7623"/>
    <w:rsid w:val="00CA770C"/>
    <w:rsid w:val="00CA7AC8"/>
    <w:rsid w:val="00CA7C15"/>
    <w:rsid w:val="00CA7C48"/>
    <w:rsid w:val="00CA7C6A"/>
    <w:rsid w:val="00CA7C6D"/>
    <w:rsid w:val="00CA7CAF"/>
    <w:rsid w:val="00CA7D29"/>
    <w:rsid w:val="00CA7D54"/>
    <w:rsid w:val="00CA7F07"/>
    <w:rsid w:val="00CB00B8"/>
    <w:rsid w:val="00CB038A"/>
    <w:rsid w:val="00CB044A"/>
    <w:rsid w:val="00CB060D"/>
    <w:rsid w:val="00CB0697"/>
    <w:rsid w:val="00CB07B7"/>
    <w:rsid w:val="00CB085A"/>
    <w:rsid w:val="00CB089F"/>
    <w:rsid w:val="00CB08DA"/>
    <w:rsid w:val="00CB0932"/>
    <w:rsid w:val="00CB0A3F"/>
    <w:rsid w:val="00CB0A78"/>
    <w:rsid w:val="00CB0ADE"/>
    <w:rsid w:val="00CB0BE0"/>
    <w:rsid w:val="00CB0BEF"/>
    <w:rsid w:val="00CB0DB9"/>
    <w:rsid w:val="00CB0E85"/>
    <w:rsid w:val="00CB1122"/>
    <w:rsid w:val="00CB1160"/>
    <w:rsid w:val="00CB117A"/>
    <w:rsid w:val="00CB134D"/>
    <w:rsid w:val="00CB143A"/>
    <w:rsid w:val="00CB14DB"/>
    <w:rsid w:val="00CB15CC"/>
    <w:rsid w:val="00CB165F"/>
    <w:rsid w:val="00CB16CA"/>
    <w:rsid w:val="00CB16F7"/>
    <w:rsid w:val="00CB17C4"/>
    <w:rsid w:val="00CB17EA"/>
    <w:rsid w:val="00CB1818"/>
    <w:rsid w:val="00CB18AC"/>
    <w:rsid w:val="00CB1908"/>
    <w:rsid w:val="00CB19DA"/>
    <w:rsid w:val="00CB1AAD"/>
    <w:rsid w:val="00CB1B22"/>
    <w:rsid w:val="00CB1BD5"/>
    <w:rsid w:val="00CB1C32"/>
    <w:rsid w:val="00CB1EEC"/>
    <w:rsid w:val="00CB1F59"/>
    <w:rsid w:val="00CB2209"/>
    <w:rsid w:val="00CB2232"/>
    <w:rsid w:val="00CB2345"/>
    <w:rsid w:val="00CB239C"/>
    <w:rsid w:val="00CB2664"/>
    <w:rsid w:val="00CB2821"/>
    <w:rsid w:val="00CB295D"/>
    <w:rsid w:val="00CB2962"/>
    <w:rsid w:val="00CB29B4"/>
    <w:rsid w:val="00CB2B48"/>
    <w:rsid w:val="00CB2DEC"/>
    <w:rsid w:val="00CB2ED0"/>
    <w:rsid w:val="00CB3049"/>
    <w:rsid w:val="00CB3065"/>
    <w:rsid w:val="00CB30F7"/>
    <w:rsid w:val="00CB3255"/>
    <w:rsid w:val="00CB3279"/>
    <w:rsid w:val="00CB3591"/>
    <w:rsid w:val="00CB36C8"/>
    <w:rsid w:val="00CB36CF"/>
    <w:rsid w:val="00CB37C7"/>
    <w:rsid w:val="00CB38C6"/>
    <w:rsid w:val="00CB38DF"/>
    <w:rsid w:val="00CB395B"/>
    <w:rsid w:val="00CB3B68"/>
    <w:rsid w:val="00CB3CB8"/>
    <w:rsid w:val="00CB3CC1"/>
    <w:rsid w:val="00CB3EDC"/>
    <w:rsid w:val="00CB3F17"/>
    <w:rsid w:val="00CB3F89"/>
    <w:rsid w:val="00CB405C"/>
    <w:rsid w:val="00CB4215"/>
    <w:rsid w:val="00CB4224"/>
    <w:rsid w:val="00CB425F"/>
    <w:rsid w:val="00CB4449"/>
    <w:rsid w:val="00CB44CF"/>
    <w:rsid w:val="00CB4502"/>
    <w:rsid w:val="00CB4531"/>
    <w:rsid w:val="00CB4587"/>
    <w:rsid w:val="00CB4625"/>
    <w:rsid w:val="00CB4730"/>
    <w:rsid w:val="00CB4A5A"/>
    <w:rsid w:val="00CB4AF8"/>
    <w:rsid w:val="00CB4B66"/>
    <w:rsid w:val="00CB4E14"/>
    <w:rsid w:val="00CB5116"/>
    <w:rsid w:val="00CB51A2"/>
    <w:rsid w:val="00CB51C2"/>
    <w:rsid w:val="00CB51FD"/>
    <w:rsid w:val="00CB521E"/>
    <w:rsid w:val="00CB5222"/>
    <w:rsid w:val="00CB5462"/>
    <w:rsid w:val="00CB54DF"/>
    <w:rsid w:val="00CB5524"/>
    <w:rsid w:val="00CB552A"/>
    <w:rsid w:val="00CB55CC"/>
    <w:rsid w:val="00CB5638"/>
    <w:rsid w:val="00CB578F"/>
    <w:rsid w:val="00CB5897"/>
    <w:rsid w:val="00CB599C"/>
    <w:rsid w:val="00CB59E3"/>
    <w:rsid w:val="00CB5A77"/>
    <w:rsid w:val="00CB5AF3"/>
    <w:rsid w:val="00CB5BC7"/>
    <w:rsid w:val="00CB5BE2"/>
    <w:rsid w:val="00CB5EC9"/>
    <w:rsid w:val="00CB5F7B"/>
    <w:rsid w:val="00CB63BD"/>
    <w:rsid w:val="00CB6498"/>
    <w:rsid w:val="00CB65E3"/>
    <w:rsid w:val="00CB66E0"/>
    <w:rsid w:val="00CB67EF"/>
    <w:rsid w:val="00CB682F"/>
    <w:rsid w:val="00CB68C7"/>
    <w:rsid w:val="00CB6F36"/>
    <w:rsid w:val="00CB704D"/>
    <w:rsid w:val="00CB7126"/>
    <w:rsid w:val="00CB72D7"/>
    <w:rsid w:val="00CB73E9"/>
    <w:rsid w:val="00CB74E0"/>
    <w:rsid w:val="00CB754E"/>
    <w:rsid w:val="00CB7580"/>
    <w:rsid w:val="00CB75C8"/>
    <w:rsid w:val="00CB76B8"/>
    <w:rsid w:val="00CB7716"/>
    <w:rsid w:val="00CB771E"/>
    <w:rsid w:val="00CB77AE"/>
    <w:rsid w:val="00CB77EC"/>
    <w:rsid w:val="00CB7844"/>
    <w:rsid w:val="00CB78BD"/>
    <w:rsid w:val="00CB7B72"/>
    <w:rsid w:val="00CB7C89"/>
    <w:rsid w:val="00CB7CC5"/>
    <w:rsid w:val="00CB7D68"/>
    <w:rsid w:val="00CB7D6B"/>
    <w:rsid w:val="00CB7DFA"/>
    <w:rsid w:val="00CB7E39"/>
    <w:rsid w:val="00CB7FDE"/>
    <w:rsid w:val="00CC01BC"/>
    <w:rsid w:val="00CC0254"/>
    <w:rsid w:val="00CC028A"/>
    <w:rsid w:val="00CC047E"/>
    <w:rsid w:val="00CC0783"/>
    <w:rsid w:val="00CC079A"/>
    <w:rsid w:val="00CC08BB"/>
    <w:rsid w:val="00CC08DB"/>
    <w:rsid w:val="00CC0C61"/>
    <w:rsid w:val="00CC0CC5"/>
    <w:rsid w:val="00CC0D10"/>
    <w:rsid w:val="00CC0D88"/>
    <w:rsid w:val="00CC0DE8"/>
    <w:rsid w:val="00CC1016"/>
    <w:rsid w:val="00CC1066"/>
    <w:rsid w:val="00CC116C"/>
    <w:rsid w:val="00CC11A4"/>
    <w:rsid w:val="00CC12E3"/>
    <w:rsid w:val="00CC13A7"/>
    <w:rsid w:val="00CC14DC"/>
    <w:rsid w:val="00CC14E3"/>
    <w:rsid w:val="00CC15A3"/>
    <w:rsid w:val="00CC15AA"/>
    <w:rsid w:val="00CC16D3"/>
    <w:rsid w:val="00CC1738"/>
    <w:rsid w:val="00CC193D"/>
    <w:rsid w:val="00CC1996"/>
    <w:rsid w:val="00CC1AB1"/>
    <w:rsid w:val="00CC1CF2"/>
    <w:rsid w:val="00CC1E67"/>
    <w:rsid w:val="00CC1E96"/>
    <w:rsid w:val="00CC1EED"/>
    <w:rsid w:val="00CC1F77"/>
    <w:rsid w:val="00CC209A"/>
    <w:rsid w:val="00CC22ED"/>
    <w:rsid w:val="00CC243E"/>
    <w:rsid w:val="00CC2668"/>
    <w:rsid w:val="00CC26A0"/>
    <w:rsid w:val="00CC283D"/>
    <w:rsid w:val="00CC290B"/>
    <w:rsid w:val="00CC2AA0"/>
    <w:rsid w:val="00CC2ADB"/>
    <w:rsid w:val="00CC2D96"/>
    <w:rsid w:val="00CC2DB6"/>
    <w:rsid w:val="00CC3052"/>
    <w:rsid w:val="00CC30E5"/>
    <w:rsid w:val="00CC3172"/>
    <w:rsid w:val="00CC318D"/>
    <w:rsid w:val="00CC3250"/>
    <w:rsid w:val="00CC33B0"/>
    <w:rsid w:val="00CC33B2"/>
    <w:rsid w:val="00CC33B3"/>
    <w:rsid w:val="00CC366D"/>
    <w:rsid w:val="00CC367A"/>
    <w:rsid w:val="00CC369D"/>
    <w:rsid w:val="00CC374E"/>
    <w:rsid w:val="00CC390B"/>
    <w:rsid w:val="00CC3947"/>
    <w:rsid w:val="00CC3A1D"/>
    <w:rsid w:val="00CC3A57"/>
    <w:rsid w:val="00CC3A69"/>
    <w:rsid w:val="00CC3B39"/>
    <w:rsid w:val="00CC3B55"/>
    <w:rsid w:val="00CC3B70"/>
    <w:rsid w:val="00CC3BAE"/>
    <w:rsid w:val="00CC3BB0"/>
    <w:rsid w:val="00CC3D3C"/>
    <w:rsid w:val="00CC3DC3"/>
    <w:rsid w:val="00CC3DE4"/>
    <w:rsid w:val="00CC4086"/>
    <w:rsid w:val="00CC40F8"/>
    <w:rsid w:val="00CC4456"/>
    <w:rsid w:val="00CC458B"/>
    <w:rsid w:val="00CC459B"/>
    <w:rsid w:val="00CC45DB"/>
    <w:rsid w:val="00CC469C"/>
    <w:rsid w:val="00CC496B"/>
    <w:rsid w:val="00CC4AB7"/>
    <w:rsid w:val="00CC4AD1"/>
    <w:rsid w:val="00CC4FBB"/>
    <w:rsid w:val="00CC4FD3"/>
    <w:rsid w:val="00CC5046"/>
    <w:rsid w:val="00CC514E"/>
    <w:rsid w:val="00CC517C"/>
    <w:rsid w:val="00CC520D"/>
    <w:rsid w:val="00CC523A"/>
    <w:rsid w:val="00CC536E"/>
    <w:rsid w:val="00CC5464"/>
    <w:rsid w:val="00CC5467"/>
    <w:rsid w:val="00CC5537"/>
    <w:rsid w:val="00CC5AE4"/>
    <w:rsid w:val="00CC5B08"/>
    <w:rsid w:val="00CC5B12"/>
    <w:rsid w:val="00CC5B48"/>
    <w:rsid w:val="00CC5BE0"/>
    <w:rsid w:val="00CC5D68"/>
    <w:rsid w:val="00CC5DF9"/>
    <w:rsid w:val="00CC5E28"/>
    <w:rsid w:val="00CC5E5A"/>
    <w:rsid w:val="00CC5EEB"/>
    <w:rsid w:val="00CC5F5B"/>
    <w:rsid w:val="00CC5FEA"/>
    <w:rsid w:val="00CC6120"/>
    <w:rsid w:val="00CC62FE"/>
    <w:rsid w:val="00CC6365"/>
    <w:rsid w:val="00CC63DA"/>
    <w:rsid w:val="00CC6599"/>
    <w:rsid w:val="00CC6622"/>
    <w:rsid w:val="00CC6809"/>
    <w:rsid w:val="00CC688F"/>
    <w:rsid w:val="00CC6A18"/>
    <w:rsid w:val="00CC6A1E"/>
    <w:rsid w:val="00CC6A1F"/>
    <w:rsid w:val="00CC6A22"/>
    <w:rsid w:val="00CC6BC3"/>
    <w:rsid w:val="00CC6C92"/>
    <w:rsid w:val="00CC6EC2"/>
    <w:rsid w:val="00CC6FF0"/>
    <w:rsid w:val="00CC7040"/>
    <w:rsid w:val="00CC7396"/>
    <w:rsid w:val="00CC7612"/>
    <w:rsid w:val="00CC7675"/>
    <w:rsid w:val="00CC76E7"/>
    <w:rsid w:val="00CC771B"/>
    <w:rsid w:val="00CC791D"/>
    <w:rsid w:val="00CC79E2"/>
    <w:rsid w:val="00CC7AC3"/>
    <w:rsid w:val="00CC7EB7"/>
    <w:rsid w:val="00CD021A"/>
    <w:rsid w:val="00CD0339"/>
    <w:rsid w:val="00CD0392"/>
    <w:rsid w:val="00CD03D9"/>
    <w:rsid w:val="00CD0684"/>
    <w:rsid w:val="00CD071B"/>
    <w:rsid w:val="00CD089D"/>
    <w:rsid w:val="00CD0943"/>
    <w:rsid w:val="00CD0B36"/>
    <w:rsid w:val="00CD0ECA"/>
    <w:rsid w:val="00CD0FE2"/>
    <w:rsid w:val="00CD1021"/>
    <w:rsid w:val="00CD114F"/>
    <w:rsid w:val="00CD12BA"/>
    <w:rsid w:val="00CD12DB"/>
    <w:rsid w:val="00CD1363"/>
    <w:rsid w:val="00CD13E9"/>
    <w:rsid w:val="00CD1408"/>
    <w:rsid w:val="00CD1507"/>
    <w:rsid w:val="00CD166F"/>
    <w:rsid w:val="00CD197D"/>
    <w:rsid w:val="00CD1CDD"/>
    <w:rsid w:val="00CD1D4D"/>
    <w:rsid w:val="00CD1D89"/>
    <w:rsid w:val="00CD1D96"/>
    <w:rsid w:val="00CD1E34"/>
    <w:rsid w:val="00CD1EDA"/>
    <w:rsid w:val="00CD2311"/>
    <w:rsid w:val="00CD233B"/>
    <w:rsid w:val="00CD233E"/>
    <w:rsid w:val="00CD2367"/>
    <w:rsid w:val="00CD23FD"/>
    <w:rsid w:val="00CD256B"/>
    <w:rsid w:val="00CD26E2"/>
    <w:rsid w:val="00CD272C"/>
    <w:rsid w:val="00CD2901"/>
    <w:rsid w:val="00CD291C"/>
    <w:rsid w:val="00CD2A97"/>
    <w:rsid w:val="00CD2B65"/>
    <w:rsid w:val="00CD2D7D"/>
    <w:rsid w:val="00CD2EA5"/>
    <w:rsid w:val="00CD2F00"/>
    <w:rsid w:val="00CD2F8E"/>
    <w:rsid w:val="00CD3078"/>
    <w:rsid w:val="00CD30A1"/>
    <w:rsid w:val="00CD3145"/>
    <w:rsid w:val="00CD345F"/>
    <w:rsid w:val="00CD34A6"/>
    <w:rsid w:val="00CD34FB"/>
    <w:rsid w:val="00CD37D4"/>
    <w:rsid w:val="00CD3B14"/>
    <w:rsid w:val="00CD3B22"/>
    <w:rsid w:val="00CD3CEE"/>
    <w:rsid w:val="00CD3E3E"/>
    <w:rsid w:val="00CD3E85"/>
    <w:rsid w:val="00CD3F8E"/>
    <w:rsid w:val="00CD3FAB"/>
    <w:rsid w:val="00CD4208"/>
    <w:rsid w:val="00CD4274"/>
    <w:rsid w:val="00CD475A"/>
    <w:rsid w:val="00CD49B6"/>
    <w:rsid w:val="00CD4AE7"/>
    <w:rsid w:val="00CD4B06"/>
    <w:rsid w:val="00CD4C36"/>
    <w:rsid w:val="00CD4C9E"/>
    <w:rsid w:val="00CD4E5F"/>
    <w:rsid w:val="00CD4F05"/>
    <w:rsid w:val="00CD4F71"/>
    <w:rsid w:val="00CD5092"/>
    <w:rsid w:val="00CD5361"/>
    <w:rsid w:val="00CD5389"/>
    <w:rsid w:val="00CD548C"/>
    <w:rsid w:val="00CD5534"/>
    <w:rsid w:val="00CD5578"/>
    <w:rsid w:val="00CD55A0"/>
    <w:rsid w:val="00CD55D0"/>
    <w:rsid w:val="00CD5625"/>
    <w:rsid w:val="00CD5626"/>
    <w:rsid w:val="00CD5649"/>
    <w:rsid w:val="00CD579C"/>
    <w:rsid w:val="00CD57C1"/>
    <w:rsid w:val="00CD5842"/>
    <w:rsid w:val="00CD58D5"/>
    <w:rsid w:val="00CD5B58"/>
    <w:rsid w:val="00CD5C17"/>
    <w:rsid w:val="00CD5C44"/>
    <w:rsid w:val="00CD5E3C"/>
    <w:rsid w:val="00CD6064"/>
    <w:rsid w:val="00CD60CE"/>
    <w:rsid w:val="00CD60FF"/>
    <w:rsid w:val="00CD61EB"/>
    <w:rsid w:val="00CD633C"/>
    <w:rsid w:val="00CD637C"/>
    <w:rsid w:val="00CD63E7"/>
    <w:rsid w:val="00CD64A7"/>
    <w:rsid w:val="00CD652B"/>
    <w:rsid w:val="00CD662B"/>
    <w:rsid w:val="00CD665C"/>
    <w:rsid w:val="00CD66D7"/>
    <w:rsid w:val="00CD66E3"/>
    <w:rsid w:val="00CD67C4"/>
    <w:rsid w:val="00CD6873"/>
    <w:rsid w:val="00CD69CD"/>
    <w:rsid w:val="00CD69FB"/>
    <w:rsid w:val="00CD6AF6"/>
    <w:rsid w:val="00CD6C00"/>
    <w:rsid w:val="00CD6C04"/>
    <w:rsid w:val="00CD6C5E"/>
    <w:rsid w:val="00CD6D57"/>
    <w:rsid w:val="00CD6D82"/>
    <w:rsid w:val="00CD6E54"/>
    <w:rsid w:val="00CD6F32"/>
    <w:rsid w:val="00CD7015"/>
    <w:rsid w:val="00CD710B"/>
    <w:rsid w:val="00CD715D"/>
    <w:rsid w:val="00CD716E"/>
    <w:rsid w:val="00CD72CF"/>
    <w:rsid w:val="00CD732E"/>
    <w:rsid w:val="00CD7355"/>
    <w:rsid w:val="00CD7400"/>
    <w:rsid w:val="00CD74A7"/>
    <w:rsid w:val="00CD74AC"/>
    <w:rsid w:val="00CD755D"/>
    <w:rsid w:val="00CD75FE"/>
    <w:rsid w:val="00CD7637"/>
    <w:rsid w:val="00CD76C4"/>
    <w:rsid w:val="00CD79C2"/>
    <w:rsid w:val="00CD7B7A"/>
    <w:rsid w:val="00CD7D59"/>
    <w:rsid w:val="00CD7D94"/>
    <w:rsid w:val="00CD7DE4"/>
    <w:rsid w:val="00CD7E83"/>
    <w:rsid w:val="00CD7F44"/>
    <w:rsid w:val="00CE0014"/>
    <w:rsid w:val="00CE001C"/>
    <w:rsid w:val="00CE0042"/>
    <w:rsid w:val="00CE024B"/>
    <w:rsid w:val="00CE04FB"/>
    <w:rsid w:val="00CE05F2"/>
    <w:rsid w:val="00CE05F9"/>
    <w:rsid w:val="00CE082B"/>
    <w:rsid w:val="00CE08EC"/>
    <w:rsid w:val="00CE0A11"/>
    <w:rsid w:val="00CE0A35"/>
    <w:rsid w:val="00CE0BF0"/>
    <w:rsid w:val="00CE0D74"/>
    <w:rsid w:val="00CE0DF9"/>
    <w:rsid w:val="00CE0E4A"/>
    <w:rsid w:val="00CE0E7C"/>
    <w:rsid w:val="00CE0EA7"/>
    <w:rsid w:val="00CE1102"/>
    <w:rsid w:val="00CE1503"/>
    <w:rsid w:val="00CE1520"/>
    <w:rsid w:val="00CE1619"/>
    <w:rsid w:val="00CE1699"/>
    <w:rsid w:val="00CE1726"/>
    <w:rsid w:val="00CE1871"/>
    <w:rsid w:val="00CE18E3"/>
    <w:rsid w:val="00CE1945"/>
    <w:rsid w:val="00CE1983"/>
    <w:rsid w:val="00CE1A66"/>
    <w:rsid w:val="00CE1AF4"/>
    <w:rsid w:val="00CE1D6B"/>
    <w:rsid w:val="00CE1E2A"/>
    <w:rsid w:val="00CE1F55"/>
    <w:rsid w:val="00CE209E"/>
    <w:rsid w:val="00CE216D"/>
    <w:rsid w:val="00CE217B"/>
    <w:rsid w:val="00CE23B6"/>
    <w:rsid w:val="00CE24A9"/>
    <w:rsid w:val="00CE2554"/>
    <w:rsid w:val="00CE25EE"/>
    <w:rsid w:val="00CE2698"/>
    <w:rsid w:val="00CE2741"/>
    <w:rsid w:val="00CE27BE"/>
    <w:rsid w:val="00CE2851"/>
    <w:rsid w:val="00CE2A1C"/>
    <w:rsid w:val="00CE2AAD"/>
    <w:rsid w:val="00CE2B4A"/>
    <w:rsid w:val="00CE2BB1"/>
    <w:rsid w:val="00CE2D20"/>
    <w:rsid w:val="00CE2D2B"/>
    <w:rsid w:val="00CE2D36"/>
    <w:rsid w:val="00CE2D8F"/>
    <w:rsid w:val="00CE2F6F"/>
    <w:rsid w:val="00CE3008"/>
    <w:rsid w:val="00CE30F6"/>
    <w:rsid w:val="00CE3103"/>
    <w:rsid w:val="00CE3125"/>
    <w:rsid w:val="00CE31AD"/>
    <w:rsid w:val="00CE3241"/>
    <w:rsid w:val="00CE3245"/>
    <w:rsid w:val="00CE32AD"/>
    <w:rsid w:val="00CE3387"/>
    <w:rsid w:val="00CE345A"/>
    <w:rsid w:val="00CE37E5"/>
    <w:rsid w:val="00CE3925"/>
    <w:rsid w:val="00CE39E6"/>
    <w:rsid w:val="00CE3B74"/>
    <w:rsid w:val="00CE3C3C"/>
    <w:rsid w:val="00CE3CFF"/>
    <w:rsid w:val="00CE3DB4"/>
    <w:rsid w:val="00CE3DD3"/>
    <w:rsid w:val="00CE3F5B"/>
    <w:rsid w:val="00CE3FA0"/>
    <w:rsid w:val="00CE4032"/>
    <w:rsid w:val="00CE407D"/>
    <w:rsid w:val="00CE40FF"/>
    <w:rsid w:val="00CE415E"/>
    <w:rsid w:val="00CE43AF"/>
    <w:rsid w:val="00CE4410"/>
    <w:rsid w:val="00CE44AD"/>
    <w:rsid w:val="00CE44CB"/>
    <w:rsid w:val="00CE4529"/>
    <w:rsid w:val="00CE4643"/>
    <w:rsid w:val="00CE46AC"/>
    <w:rsid w:val="00CE47E9"/>
    <w:rsid w:val="00CE487A"/>
    <w:rsid w:val="00CE48B2"/>
    <w:rsid w:val="00CE49A0"/>
    <w:rsid w:val="00CE4B4D"/>
    <w:rsid w:val="00CE4BDE"/>
    <w:rsid w:val="00CE4C1A"/>
    <w:rsid w:val="00CE4C5E"/>
    <w:rsid w:val="00CE4C6C"/>
    <w:rsid w:val="00CE4CCA"/>
    <w:rsid w:val="00CE4D3A"/>
    <w:rsid w:val="00CE4DD5"/>
    <w:rsid w:val="00CE4DFE"/>
    <w:rsid w:val="00CE4E87"/>
    <w:rsid w:val="00CE4ECD"/>
    <w:rsid w:val="00CE5022"/>
    <w:rsid w:val="00CE505C"/>
    <w:rsid w:val="00CE5111"/>
    <w:rsid w:val="00CE51D2"/>
    <w:rsid w:val="00CE5235"/>
    <w:rsid w:val="00CE53CC"/>
    <w:rsid w:val="00CE5757"/>
    <w:rsid w:val="00CE5800"/>
    <w:rsid w:val="00CE5975"/>
    <w:rsid w:val="00CE5AA0"/>
    <w:rsid w:val="00CE5AA9"/>
    <w:rsid w:val="00CE5AB0"/>
    <w:rsid w:val="00CE5BFD"/>
    <w:rsid w:val="00CE5C32"/>
    <w:rsid w:val="00CE5CBF"/>
    <w:rsid w:val="00CE5E7E"/>
    <w:rsid w:val="00CE5FF9"/>
    <w:rsid w:val="00CE6192"/>
    <w:rsid w:val="00CE625E"/>
    <w:rsid w:val="00CE63E0"/>
    <w:rsid w:val="00CE6414"/>
    <w:rsid w:val="00CE6442"/>
    <w:rsid w:val="00CE64FD"/>
    <w:rsid w:val="00CE6820"/>
    <w:rsid w:val="00CE6AEE"/>
    <w:rsid w:val="00CE6B8E"/>
    <w:rsid w:val="00CE6D01"/>
    <w:rsid w:val="00CE6D76"/>
    <w:rsid w:val="00CE7082"/>
    <w:rsid w:val="00CE7085"/>
    <w:rsid w:val="00CE70B0"/>
    <w:rsid w:val="00CE70BE"/>
    <w:rsid w:val="00CE7236"/>
    <w:rsid w:val="00CE727F"/>
    <w:rsid w:val="00CE72EF"/>
    <w:rsid w:val="00CE73DA"/>
    <w:rsid w:val="00CE741A"/>
    <w:rsid w:val="00CE74F3"/>
    <w:rsid w:val="00CE76FD"/>
    <w:rsid w:val="00CE77AB"/>
    <w:rsid w:val="00CE794C"/>
    <w:rsid w:val="00CE7CA1"/>
    <w:rsid w:val="00CE7E24"/>
    <w:rsid w:val="00CE7FCF"/>
    <w:rsid w:val="00CF0073"/>
    <w:rsid w:val="00CF00CC"/>
    <w:rsid w:val="00CF0252"/>
    <w:rsid w:val="00CF027E"/>
    <w:rsid w:val="00CF0293"/>
    <w:rsid w:val="00CF02F0"/>
    <w:rsid w:val="00CF0552"/>
    <w:rsid w:val="00CF0559"/>
    <w:rsid w:val="00CF0799"/>
    <w:rsid w:val="00CF07E1"/>
    <w:rsid w:val="00CF0898"/>
    <w:rsid w:val="00CF08C4"/>
    <w:rsid w:val="00CF0910"/>
    <w:rsid w:val="00CF0EB8"/>
    <w:rsid w:val="00CF0ECD"/>
    <w:rsid w:val="00CF0F1F"/>
    <w:rsid w:val="00CF106B"/>
    <w:rsid w:val="00CF125B"/>
    <w:rsid w:val="00CF12F8"/>
    <w:rsid w:val="00CF1565"/>
    <w:rsid w:val="00CF16C1"/>
    <w:rsid w:val="00CF16E9"/>
    <w:rsid w:val="00CF1A47"/>
    <w:rsid w:val="00CF1AC8"/>
    <w:rsid w:val="00CF1B23"/>
    <w:rsid w:val="00CF1B2C"/>
    <w:rsid w:val="00CF1B62"/>
    <w:rsid w:val="00CF1C43"/>
    <w:rsid w:val="00CF1E0C"/>
    <w:rsid w:val="00CF1FC5"/>
    <w:rsid w:val="00CF205E"/>
    <w:rsid w:val="00CF2283"/>
    <w:rsid w:val="00CF22BF"/>
    <w:rsid w:val="00CF22F3"/>
    <w:rsid w:val="00CF232F"/>
    <w:rsid w:val="00CF236A"/>
    <w:rsid w:val="00CF24A4"/>
    <w:rsid w:val="00CF25EA"/>
    <w:rsid w:val="00CF2604"/>
    <w:rsid w:val="00CF28D5"/>
    <w:rsid w:val="00CF28E4"/>
    <w:rsid w:val="00CF291D"/>
    <w:rsid w:val="00CF2BFE"/>
    <w:rsid w:val="00CF2CC9"/>
    <w:rsid w:val="00CF2D57"/>
    <w:rsid w:val="00CF2E9A"/>
    <w:rsid w:val="00CF2EA4"/>
    <w:rsid w:val="00CF32C9"/>
    <w:rsid w:val="00CF347B"/>
    <w:rsid w:val="00CF34BF"/>
    <w:rsid w:val="00CF3514"/>
    <w:rsid w:val="00CF35F0"/>
    <w:rsid w:val="00CF3665"/>
    <w:rsid w:val="00CF3821"/>
    <w:rsid w:val="00CF3827"/>
    <w:rsid w:val="00CF3855"/>
    <w:rsid w:val="00CF3B19"/>
    <w:rsid w:val="00CF3B99"/>
    <w:rsid w:val="00CF3CC6"/>
    <w:rsid w:val="00CF413D"/>
    <w:rsid w:val="00CF4197"/>
    <w:rsid w:val="00CF420B"/>
    <w:rsid w:val="00CF42B6"/>
    <w:rsid w:val="00CF43CE"/>
    <w:rsid w:val="00CF453F"/>
    <w:rsid w:val="00CF4A91"/>
    <w:rsid w:val="00CF4B6E"/>
    <w:rsid w:val="00CF4BC6"/>
    <w:rsid w:val="00CF4D10"/>
    <w:rsid w:val="00CF4DA6"/>
    <w:rsid w:val="00CF4E64"/>
    <w:rsid w:val="00CF4F5F"/>
    <w:rsid w:val="00CF503F"/>
    <w:rsid w:val="00CF516E"/>
    <w:rsid w:val="00CF51FC"/>
    <w:rsid w:val="00CF5314"/>
    <w:rsid w:val="00CF5358"/>
    <w:rsid w:val="00CF53C7"/>
    <w:rsid w:val="00CF553A"/>
    <w:rsid w:val="00CF556B"/>
    <w:rsid w:val="00CF561B"/>
    <w:rsid w:val="00CF587A"/>
    <w:rsid w:val="00CF59C5"/>
    <w:rsid w:val="00CF5B1E"/>
    <w:rsid w:val="00CF5BDC"/>
    <w:rsid w:val="00CF5C8E"/>
    <w:rsid w:val="00CF5CE9"/>
    <w:rsid w:val="00CF61CF"/>
    <w:rsid w:val="00CF6305"/>
    <w:rsid w:val="00CF63B6"/>
    <w:rsid w:val="00CF6488"/>
    <w:rsid w:val="00CF660A"/>
    <w:rsid w:val="00CF663E"/>
    <w:rsid w:val="00CF6874"/>
    <w:rsid w:val="00CF6987"/>
    <w:rsid w:val="00CF6AC2"/>
    <w:rsid w:val="00CF6B7E"/>
    <w:rsid w:val="00CF6DD4"/>
    <w:rsid w:val="00CF6E8A"/>
    <w:rsid w:val="00CF6F1F"/>
    <w:rsid w:val="00CF6FC1"/>
    <w:rsid w:val="00CF7010"/>
    <w:rsid w:val="00CF705A"/>
    <w:rsid w:val="00CF7072"/>
    <w:rsid w:val="00CF70F5"/>
    <w:rsid w:val="00CF71D8"/>
    <w:rsid w:val="00CF7206"/>
    <w:rsid w:val="00CF725F"/>
    <w:rsid w:val="00CF72A5"/>
    <w:rsid w:val="00CF732D"/>
    <w:rsid w:val="00CF7337"/>
    <w:rsid w:val="00CF7529"/>
    <w:rsid w:val="00CF754C"/>
    <w:rsid w:val="00CF7554"/>
    <w:rsid w:val="00CF755A"/>
    <w:rsid w:val="00CF7624"/>
    <w:rsid w:val="00CF7E6F"/>
    <w:rsid w:val="00CF7E75"/>
    <w:rsid w:val="00CF7E94"/>
    <w:rsid w:val="00CF7EEC"/>
    <w:rsid w:val="00CF7F06"/>
    <w:rsid w:val="00CF7F08"/>
    <w:rsid w:val="00D00027"/>
    <w:rsid w:val="00D00127"/>
    <w:rsid w:val="00D0015C"/>
    <w:rsid w:val="00D00316"/>
    <w:rsid w:val="00D003E4"/>
    <w:rsid w:val="00D004EA"/>
    <w:rsid w:val="00D0068E"/>
    <w:rsid w:val="00D0084A"/>
    <w:rsid w:val="00D008B4"/>
    <w:rsid w:val="00D008C5"/>
    <w:rsid w:val="00D009AB"/>
    <w:rsid w:val="00D00A15"/>
    <w:rsid w:val="00D00B97"/>
    <w:rsid w:val="00D00CCA"/>
    <w:rsid w:val="00D0106F"/>
    <w:rsid w:val="00D012E9"/>
    <w:rsid w:val="00D0158D"/>
    <w:rsid w:val="00D01615"/>
    <w:rsid w:val="00D01628"/>
    <w:rsid w:val="00D0167F"/>
    <w:rsid w:val="00D01760"/>
    <w:rsid w:val="00D01771"/>
    <w:rsid w:val="00D0187F"/>
    <w:rsid w:val="00D01B07"/>
    <w:rsid w:val="00D01B3E"/>
    <w:rsid w:val="00D01E86"/>
    <w:rsid w:val="00D01F2C"/>
    <w:rsid w:val="00D01F33"/>
    <w:rsid w:val="00D01F5C"/>
    <w:rsid w:val="00D01F80"/>
    <w:rsid w:val="00D01FC9"/>
    <w:rsid w:val="00D02176"/>
    <w:rsid w:val="00D0230D"/>
    <w:rsid w:val="00D02433"/>
    <w:rsid w:val="00D02459"/>
    <w:rsid w:val="00D02479"/>
    <w:rsid w:val="00D025AA"/>
    <w:rsid w:val="00D026CA"/>
    <w:rsid w:val="00D02726"/>
    <w:rsid w:val="00D02828"/>
    <w:rsid w:val="00D02848"/>
    <w:rsid w:val="00D02992"/>
    <w:rsid w:val="00D029ED"/>
    <w:rsid w:val="00D02A5E"/>
    <w:rsid w:val="00D02C68"/>
    <w:rsid w:val="00D02C81"/>
    <w:rsid w:val="00D02E12"/>
    <w:rsid w:val="00D02E6F"/>
    <w:rsid w:val="00D02F57"/>
    <w:rsid w:val="00D02FD9"/>
    <w:rsid w:val="00D03117"/>
    <w:rsid w:val="00D03187"/>
    <w:rsid w:val="00D0324A"/>
    <w:rsid w:val="00D03303"/>
    <w:rsid w:val="00D03324"/>
    <w:rsid w:val="00D033BE"/>
    <w:rsid w:val="00D033E4"/>
    <w:rsid w:val="00D0341F"/>
    <w:rsid w:val="00D0349F"/>
    <w:rsid w:val="00D034A6"/>
    <w:rsid w:val="00D03520"/>
    <w:rsid w:val="00D0352E"/>
    <w:rsid w:val="00D0369A"/>
    <w:rsid w:val="00D03762"/>
    <w:rsid w:val="00D0376F"/>
    <w:rsid w:val="00D03947"/>
    <w:rsid w:val="00D03C41"/>
    <w:rsid w:val="00D03C8D"/>
    <w:rsid w:val="00D03D47"/>
    <w:rsid w:val="00D03DCD"/>
    <w:rsid w:val="00D03F20"/>
    <w:rsid w:val="00D03FE6"/>
    <w:rsid w:val="00D04010"/>
    <w:rsid w:val="00D041F2"/>
    <w:rsid w:val="00D0437C"/>
    <w:rsid w:val="00D04840"/>
    <w:rsid w:val="00D04983"/>
    <w:rsid w:val="00D04AF0"/>
    <w:rsid w:val="00D04B29"/>
    <w:rsid w:val="00D04C5C"/>
    <w:rsid w:val="00D04DDF"/>
    <w:rsid w:val="00D04E04"/>
    <w:rsid w:val="00D050BF"/>
    <w:rsid w:val="00D05196"/>
    <w:rsid w:val="00D0522B"/>
    <w:rsid w:val="00D05292"/>
    <w:rsid w:val="00D052FF"/>
    <w:rsid w:val="00D0530F"/>
    <w:rsid w:val="00D0542F"/>
    <w:rsid w:val="00D055A6"/>
    <w:rsid w:val="00D055B8"/>
    <w:rsid w:val="00D05642"/>
    <w:rsid w:val="00D05818"/>
    <w:rsid w:val="00D0585B"/>
    <w:rsid w:val="00D059E7"/>
    <w:rsid w:val="00D05A0F"/>
    <w:rsid w:val="00D05A67"/>
    <w:rsid w:val="00D05D86"/>
    <w:rsid w:val="00D05DF8"/>
    <w:rsid w:val="00D05E4D"/>
    <w:rsid w:val="00D0600C"/>
    <w:rsid w:val="00D06054"/>
    <w:rsid w:val="00D0638B"/>
    <w:rsid w:val="00D06483"/>
    <w:rsid w:val="00D064A6"/>
    <w:rsid w:val="00D064A7"/>
    <w:rsid w:val="00D0655C"/>
    <w:rsid w:val="00D0660D"/>
    <w:rsid w:val="00D0665D"/>
    <w:rsid w:val="00D06769"/>
    <w:rsid w:val="00D06828"/>
    <w:rsid w:val="00D06991"/>
    <w:rsid w:val="00D06A9C"/>
    <w:rsid w:val="00D06CE6"/>
    <w:rsid w:val="00D06F91"/>
    <w:rsid w:val="00D0708E"/>
    <w:rsid w:val="00D07238"/>
    <w:rsid w:val="00D07354"/>
    <w:rsid w:val="00D0746E"/>
    <w:rsid w:val="00D076CE"/>
    <w:rsid w:val="00D076F8"/>
    <w:rsid w:val="00D07709"/>
    <w:rsid w:val="00D0773F"/>
    <w:rsid w:val="00D077F3"/>
    <w:rsid w:val="00D07953"/>
    <w:rsid w:val="00D0798E"/>
    <w:rsid w:val="00D07A40"/>
    <w:rsid w:val="00D07E48"/>
    <w:rsid w:val="00D07F20"/>
    <w:rsid w:val="00D07F98"/>
    <w:rsid w:val="00D101A0"/>
    <w:rsid w:val="00D103D8"/>
    <w:rsid w:val="00D105C4"/>
    <w:rsid w:val="00D106EE"/>
    <w:rsid w:val="00D10743"/>
    <w:rsid w:val="00D108F5"/>
    <w:rsid w:val="00D10A6B"/>
    <w:rsid w:val="00D10C06"/>
    <w:rsid w:val="00D10CF1"/>
    <w:rsid w:val="00D10D11"/>
    <w:rsid w:val="00D10D3B"/>
    <w:rsid w:val="00D10E2B"/>
    <w:rsid w:val="00D10E8C"/>
    <w:rsid w:val="00D10F14"/>
    <w:rsid w:val="00D1101F"/>
    <w:rsid w:val="00D11084"/>
    <w:rsid w:val="00D111C3"/>
    <w:rsid w:val="00D1128C"/>
    <w:rsid w:val="00D112CC"/>
    <w:rsid w:val="00D11334"/>
    <w:rsid w:val="00D1158E"/>
    <w:rsid w:val="00D1161C"/>
    <w:rsid w:val="00D11700"/>
    <w:rsid w:val="00D1178F"/>
    <w:rsid w:val="00D11813"/>
    <w:rsid w:val="00D11817"/>
    <w:rsid w:val="00D1195B"/>
    <w:rsid w:val="00D11D65"/>
    <w:rsid w:val="00D11F35"/>
    <w:rsid w:val="00D12017"/>
    <w:rsid w:val="00D12134"/>
    <w:rsid w:val="00D121F8"/>
    <w:rsid w:val="00D1230C"/>
    <w:rsid w:val="00D12414"/>
    <w:rsid w:val="00D12432"/>
    <w:rsid w:val="00D1256D"/>
    <w:rsid w:val="00D125DC"/>
    <w:rsid w:val="00D128BC"/>
    <w:rsid w:val="00D128D3"/>
    <w:rsid w:val="00D129AA"/>
    <w:rsid w:val="00D12ACA"/>
    <w:rsid w:val="00D12C0D"/>
    <w:rsid w:val="00D12D4D"/>
    <w:rsid w:val="00D12E8B"/>
    <w:rsid w:val="00D12EE5"/>
    <w:rsid w:val="00D12F4D"/>
    <w:rsid w:val="00D13028"/>
    <w:rsid w:val="00D13140"/>
    <w:rsid w:val="00D132CE"/>
    <w:rsid w:val="00D132E5"/>
    <w:rsid w:val="00D13383"/>
    <w:rsid w:val="00D134F7"/>
    <w:rsid w:val="00D13568"/>
    <w:rsid w:val="00D1357D"/>
    <w:rsid w:val="00D13580"/>
    <w:rsid w:val="00D135B8"/>
    <w:rsid w:val="00D136D5"/>
    <w:rsid w:val="00D136EF"/>
    <w:rsid w:val="00D1382B"/>
    <w:rsid w:val="00D1390E"/>
    <w:rsid w:val="00D1393D"/>
    <w:rsid w:val="00D13C0F"/>
    <w:rsid w:val="00D13CB6"/>
    <w:rsid w:val="00D13F82"/>
    <w:rsid w:val="00D14049"/>
    <w:rsid w:val="00D1419D"/>
    <w:rsid w:val="00D142DF"/>
    <w:rsid w:val="00D14531"/>
    <w:rsid w:val="00D145AD"/>
    <w:rsid w:val="00D145C8"/>
    <w:rsid w:val="00D145E4"/>
    <w:rsid w:val="00D14816"/>
    <w:rsid w:val="00D1492C"/>
    <w:rsid w:val="00D1497B"/>
    <w:rsid w:val="00D1499D"/>
    <w:rsid w:val="00D149AF"/>
    <w:rsid w:val="00D14ACE"/>
    <w:rsid w:val="00D14C01"/>
    <w:rsid w:val="00D14CC5"/>
    <w:rsid w:val="00D14E66"/>
    <w:rsid w:val="00D150CE"/>
    <w:rsid w:val="00D150D3"/>
    <w:rsid w:val="00D15113"/>
    <w:rsid w:val="00D153E4"/>
    <w:rsid w:val="00D154EB"/>
    <w:rsid w:val="00D15519"/>
    <w:rsid w:val="00D155F7"/>
    <w:rsid w:val="00D157F9"/>
    <w:rsid w:val="00D15865"/>
    <w:rsid w:val="00D158E7"/>
    <w:rsid w:val="00D15952"/>
    <w:rsid w:val="00D159A2"/>
    <w:rsid w:val="00D15B7C"/>
    <w:rsid w:val="00D15B7D"/>
    <w:rsid w:val="00D15B8E"/>
    <w:rsid w:val="00D15BA4"/>
    <w:rsid w:val="00D15C70"/>
    <w:rsid w:val="00D15E82"/>
    <w:rsid w:val="00D15E97"/>
    <w:rsid w:val="00D16082"/>
    <w:rsid w:val="00D160CB"/>
    <w:rsid w:val="00D16445"/>
    <w:rsid w:val="00D16509"/>
    <w:rsid w:val="00D16542"/>
    <w:rsid w:val="00D1657A"/>
    <w:rsid w:val="00D1666D"/>
    <w:rsid w:val="00D16686"/>
    <w:rsid w:val="00D166D4"/>
    <w:rsid w:val="00D166DE"/>
    <w:rsid w:val="00D16D0E"/>
    <w:rsid w:val="00D16D3A"/>
    <w:rsid w:val="00D16EB6"/>
    <w:rsid w:val="00D16F74"/>
    <w:rsid w:val="00D170D9"/>
    <w:rsid w:val="00D1711F"/>
    <w:rsid w:val="00D17316"/>
    <w:rsid w:val="00D1732E"/>
    <w:rsid w:val="00D173C5"/>
    <w:rsid w:val="00D1743E"/>
    <w:rsid w:val="00D1759D"/>
    <w:rsid w:val="00D17719"/>
    <w:rsid w:val="00D177A1"/>
    <w:rsid w:val="00D17820"/>
    <w:rsid w:val="00D17975"/>
    <w:rsid w:val="00D179D5"/>
    <w:rsid w:val="00D17C48"/>
    <w:rsid w:val="00D17CD7"/>
    <w:rsid w:val="00D17CFA"/>
    <w:rsid w:val="00D17EFE"/>
    <w:rsid w:val="00D17FF9"/>
    <w:rsid w:val="00D200F5"/>
    <w:rsid w:val="00D203DB"/>
    <w:rsid w:val="00D205DD"/>
    <w:rsid w:val="00D206F5"/>
    <w:rsid w:val="00D20B20"/>
    <w:rsid w:val="00D20C19"/>
    <w:rsid w:val="00D20D33"/>
    <w:rsid w:val="00D21026"/>
    <w:rsid w:val="00D21177"/>
    <w:rsid w:val="00D21557"/>
    <w:rsid w:val="00D21572"/>
    <w:rsid w:val="00D21693"/>
    <w:rsid w:val="00D21711"/>
    <w:rsid w:val="00D21812"/>
    <w:rsid w:val="00D2184F"/>
    <w:rsid w:val="00D21858"/>
    <w:rsid w:val="00D21AE5"/>
    <w:rsid w:val="00D21BD1"/>
    <w:rsid w:val="00D21C6F"/>
    <w:rsid w:val="00D21E0A"/>
    <w:rsid w:val="00D21E0E"/>
    <w:rsid w:val="00D21F7E"/>
    <w:rsid w:val="00D21F8C"/>
    <w:rsid w:val="00D21FA5"/>
    <w:rsid w:val="00D22063"/>
    <w:rsid w:val="00D222A7"/>
    <w:rsid w:val="00D22A37"/>
    <w:rsid w:val="00D22AAF"/>
    <w:rsid w:val="00D22DDA"/>
    <w:rsid w:val="00D22E91"/>
    <w:rsid w:val="00D23225"/>
    <w:rsid w:val="00D23517"/>
    <w:rsid w:val="00D2366B"/>
    <w:rsid w:val="00D23763"/>
    <w:rsid w:val="00D23950"/>
    <w:rsid w:val="00D239F4"/>
    <w:rsid w:val="00D23AD5"/>
    <w:rsid w:val="00D23C7B"/>
    <w:rsid w:val="00D23E87"/>
    <w:rsid w:val="00D2405F"/>
    <w:rsid w:val="00D24198"/>
    <w:rsid w:val="00D24493"/>
    <w:rsid w:val="00D246D2"/>
    <w:rsid w:val="00D24816"/>
    <w:rsid w:val="00D24853"/>
    <w:rsid w:val="00D24B0A"/>
    <w:rsid w:val="00D24D4B"/>
    <w:rsid w:val="00D24DB5"/>
    <w:rsid w:val="00D24E14"/>
    <w:rsid w:val="00D24FAD"/>
    <w:rsid w:val="00D250BE"/>
    <w:rsid w:val="00D2521B"/>
    <w:rsid w:val="00D252B9"/>
    <w:rsid w:val="00D2547B"/>
    <w:rsid w:val="00D25551"/>
    <w:rsid w:val="00D25557"/>
    <w:rsid w:val="00D256C4"/>
    <w:rsid w:val="00D256C5"/>
    <w:rsid w:val="00D258BE"/>
    <w:rsid w:val="00D25956"/>
    <w:rsid w:val="00D25ADA"/>
    <w:rsid w:val="00D25B92"/>
    <w:rsid w:val="00D25D2F"/>
    <w:rsid w:val="00D25E98"/>
    <w:rsid w:val="00D25F3C"/>
    <w:rsid w:val="00D26096"/>
    <w:rsid w:val="00D2625D"/>
    <w:rsid w:val="00D2629F"/>
    <w:rsid w:val="00D26428"/>
    <w:rsid w:val="00D26542"/>
    <w:rsid w:val="00D26681"/>
    <w:rsid w:val="00D267B6"/>
    <w:rsid w:val="00D26874"/>
    <w:rsid w:val="00D26CD6"/>
    <w:rsid w:val="00D26DD2"/>
    <w:rsid w:val="00D26E5E"/>
    <w:rsid w:val="00D26F7C"/>
    <w:rsid w:val="00D26FCD"/>
    <w:rsid w:val="00D27020"/>
    <w:rsid w:val="00D270E7"/>
    <w:rsid w:val="00D27386"/>
    <w:rsid w:val="00D27468"/>
    <w:rsid w:val="00D2763A"/>
    <w:rsid w:val="00D27709"/>
    <w:rsid w:val="00D2772E"/>
    <w:rsid w:val="00D2793B"/>
    <w:rsid w:val="00D27B51"/>
    <w:rsid w:val="00D27D13"/>
    <w:rsid w:val="00D27DEA"/>
    <w:rsid w:val="00D27ED8"/>
    <w:rsid w:val="00D27F37"/>
    <w:rsid w:val="00D3007B"/>
    <w:rsid w:val="00D3020B"/>
    <w:rsid w:val="00D3023E"/>
    <w:rsid w:val="00D3027C"/>
    <w:rsid w:val="00D3028A"/>
    <w:rsid w:val="00D3044A"/>
    <w:rsid w:val="00D30494"/>
    <w:rsid w:val="00D304F6"/>
    <w:rsid w:val="00D3059C"/>
    <w:rsid w:val="00D3070E"/>
    <w:rsid w:val="00D30791"/>
    <w:rsid w:val="00D309D2"/>
    <w:rsid w:val="00D309E5"/>
    <w:rsid w:val="00D309EB"/>
    <w:rsid w:val="00D30C61"/>
    <w:rsid w:val="00D30CB1"/>
    <w:rsid w:val="00D30CE1"/>
    <w:rsid w:val="00D30DC8"/>
    <w:rsid w:val="00D313C9"/>
    <w:rsid w:val="00D317F6"/>
    <w:rsid w:val="00D31877"/>
    <w:rsid w:val="00D31941"/>
    <w:rsid w:val="00D31A6D"/>
    <w:rsid w:val="00D31B6D"/>
    <w:rsid w:val="00D31B98"/>
    <w:rsid w:val="00D31D2B"/>
    <w:rsid w:val="00D31D5A"/>
    <w:rsid w:val="00D31E3E"/>
    <w:rsid w:val="00D31EF5"/>
    <w:rsid w:val="00D31F79"/>
    <w:rsid w:val="00D31F7C"/>
    <w:rsid w:val="00D32003"/>
    <w:rsid w:val="00D32029"/>
    <w:rsid w:val="00D32122"/>
    <w:rsid w:val="00D32154"/>
    <w:rsid w:val="00D32332"/>
    <w:rsid w:val="00D326C5"/>
    <w:rsid w:val="00D32718"/>
    <w:rsid w:val="00D327B7"/>
    <w:rsid w:val="00D32942"/>
    <w:rsid w:val="00D32944"/>
    <w:rsid w:val="00D3296D"/>
    <w:rsid w:val="00D32C81"/>
    <w:rsid w:val="00D32D22"/>
    <w:rsid w:val="00D330CA"/>
    <w:rsid w:val="00D3316D"/>
    <w:rsid w:val="00D33172"/>
    <w:rsid w:val="00D331A0"/>
    <w:rsid w:val="00D3323B"/>
    <w:rsid w:val="00D3347A"/>
    <w:rsid w:val="00D33632"/>
    <w:rsid w:val="00D336F5"/>
    <w:rsid w:val="00D33715"/>
    <w:rsid w:val="00D337ED"/>
    <w:rsid w:val="00D3385B"/>
    <w:rsid w:val="00D338C9"/>
    <w:rsid w:val="00D339E7"/>
    <w:rsid w:val="00D33AB4"/>
    <w:rsid w:val="00D33AF6"/>
    <w:rsid w:val="00D33CC1"/>
    <w:rsid w:val="00D33DC2"/>
    <w:rsid w:val="00D33DEB"/>
    <w:rsid w:val="00D33F06"/>
    <w:rsid w:val="00D33F70"/>
    <w:rsid w:val="00D33FC7"/>
    <w:rsid w:val="00D34049"/>
    <w:rsid w:val="00D340C7"/>
    <w:rsid w:val="00D340E6"/>
    <w:rsid w:val="00D341A0"/>
    <w:rsid w:val="00D341BF"/>
    <w:rsid w:val="00D34253"/>
    <w:rsid w:val="00D342B1"/>
    <w:rsid w:val="00D343EF"/>
    <w:rsid w:val="00D3445D"/>
    <w:rsid w:val="00D344FE"/>
    <w:rsid w:val="00D34513"/>
    <w:rsid w:val="00D346B0"/>
    <w:rsid w:val="00D34AEB"/>
    <w:rsid w:val="00D351CF"/>
    <w:rsid w:val="00D351DD"/>
    <w:rsid w:val="00D3526D"/>
    <w:rsid w:val="00D352BA"/>
    <w:rsid w:val="00D352BB"/>
    <w:rsid w:val="00D35303"/>
    <w:rsid w:val="00D35567"/>
    <w:rsid w:val="00D3564A"/>
    <w:rsid w:val="00D35743"/>
    <w:rsid w:val="00D357C5"/>
    <w:rsid w:val="00D3580C"/>
    <w:rsid w:val="00D35818"/>
    <w:rsid w:val="00D358AB"/>
    <w:rsid w:val="00D358B3"/>
    <w:rsid w:val="00D35AC2"/>
    <w:rsid w:val="00D35EF8"/>
    <w:rsid w:val="00D35F5D"/>
    <w:rsid w:val="00D36009"/>
    <w:rsid w:val="00D360B1"/>
    <w:rsid w:val="00D3617E"/>
    <w:rsid w:val="00D36418"/>
    <w:rsid w:val="00D36656"/>
    <w:rsid w:val="00D36BD5"/>
    <w:rsid w:val="00D36BE6"/>
    <w:rsid w:val="00D36D66"/>
    <w:rsid w:val="00D36FE4"/>
    <w:rsid w:val="00D37003"/>
    <w:rsid w:val="00D3718C"/>
    <w:rsid w:val="00D373FB"/>
    <w:rsid w:val="00D3745B"/>
    <w:rsid w:val="00D37608"/>
    <w:rsid w:val="00D37613"/>
    <w:rsid w:val="00D37662"/>
    <w:rsid w:val="00D376E2"/>
    <w:rsid w:val="00D376F4"/>
    <w:rsid w:val="00D37882"/>
    <w:rsid w:val="00D37913"/>
    <w:rsid w:val="00D37924"/>
    <w:rsid w:val="00D37B23"/>
    <w:rsid w:val="00D37B75"/>
    <w:rsid w:val="00D37D26"/>
    <w:rsid w:val="00D37E76"/>
    <w:rsid w:val="00D37F1E"/>
    <w:rsid w:val="00D40209"/>
    <w:rsid w:val="00D40355"/>
    <w:rsid w:val="00D4049C"/>
    <w:rsid w:val="00D4067B"/>
    <w:rsid w:val="00D406FE"/>
    <w:rsid w:val="00D407A5"/>
    <w:rsid w:val="00D40B18"/>
    <w:rsid w:val="00D40BE7"/>
    <w:rsid w:val="00D40C0F"/>
    <w:rsid w:val="00D40D8C"/>
    <w:rsid w:val="00D40EB5"/>
    <w:rsid w:val="00D40F18"/>
    <w:rsid w:val="00D40FE8"/>
    <w:rsid w:val="00D4108C"/>
    <w:rsid w:val="00D412A0"/>
    <w:rsid w:val="00D41519"/>
    <w:rsid w:val="00D41529"/>
    <w:rsid w:val="00D415D7"/>
    <w:rsid w:val="00D4169A"/>
    <w:rsid w:val="00D416C1"/>
    <w:rsid w:val="00D4180B"/>
    <w:rsid w:val="00D41859"/>
    <w:rsid w:val="00D41899"/>
    <w:rsid w:val="00D41968"/>
    <w:rsid w:val="00D41A2A"/>
    <w:rsid w:val="00D41A75"/>
    <w:rsid w:val="00D41AF1"/>
    <w:rsid w:val="00D41B9B"/>
    <w:rsid w:val="00D41BB6"/>
    <w:rsid w:val="00D41C5A"/>
    <w:rsid w:val="00D41DDC"/>
    <w:rsid w:val="00D41E63"/>
    <w:rsid w:val="00D41F33"/>
    <w:rsid w:val="00D41F4F"/>
    <w:rsid w:val="00D41FE6"/>
    <w:rsid w:val="00D42175"/>
    <w:rsid w:val="00D42206"/>
    <w:rsid w:val="00D42420"/>
    <w:rsid w:val="00D42548"/>
    <w:rsid w:val="00D42673"/>
    <w:rsid w:val="00D426E8"/>
    <w:rsid w:val="00D42750"/>
    <w:rsid w:val="00D4289E"/>
    <w:rsid w:val="00D429A6"/>
    <w:rsid w:val="00D42C37"/>
    <w:rsid w:val="00D42C6C"/>
    <w:rsid w:val="00D42CF8"/>
    <w:rsid w:val="00D42D34"/>
    <w:rsid w:val="00D42E6E"/>
    <w:rsid w:val="00D42EDF"/>
    <w:rsid w:val="00D42F52"/>
    <w:rsid w:val="00D42FA0"/>
    <w:rsid w:val="00D42FA1"/>
    <w:rsid w:val="00D42FA5"/>
    <w:rsid w:val="00D42FCE"/>
    <w:rsid w:val="00D43033"/>
    <w:rsid w:val="00D4309C"/>
    <w:rsid w:val="00D430CA"/>
    <w:rsid w:val="00D433E2"/>
    <w:rsid w:val="00D43431"/>
    <w:rsid w:val="00D434D4"/>
    <w:rsid w:val="00D434E2"/>
    <w:rsid w:val="00D43564"/>
    <w:rsid w:val="00D435FD"/>
    <w:rsid w:val="00D43925"/>
    <w:rsid w:val="00D4396E"/>
    <w:rsid w:val="00D43A63"/>
    <w:rsid w:val="00D43C2E"/>
    <w:rsid w:val="00D43CAC"/>
    <w:rsid w:val="00D43EE5"/>
    <w:rsid w:val="00D43F04"/>
    <w:rsid w:val="00D43F23"/>
    <w:rsid w:val="00D43FFA"/>
    <w:rsid w:val="00D44416"/>
    <w:rsid w:val="00D44504"/>
    <w:rsid w:val="00D44524"/>
    <w:rsid w:val="00D44595"/>
    <w:rsid w:val="00D44702"/>
    <w:rsid w:val="00D4478E"/>
    <w:rsid w:val="00D448D0"/>
    <w:rsid w:val="00D44907"/>
    <w:rsid w:val="00D44997"/>
    <w:rsid w:val="00D449B1"/>
    <w:rsid w:val="00D44A43"/>
    <w:rsid w:val="00D44C21"/>
    <w:rsid w:val="00D44C83"/>
    <w:rsid w:val="00D45157"/>
    <w:rsid w:val="00D451B8"/>
    <w:rsid w:val="00D45479"/>
    <w:rsid w:val="00D454C2"/>
    <w:rsid w:val="00D4550A"/>
    <w:rsid w:val="00D45824"/>
    <w:rsid w:val="00D45898"/>
    <w:rsid w:val="00D458BF"/>
    <w:rsid w:val="00D45B9A"/>
    <w:rsid w:val="00D45C86"/>
    <w:rsid w:val="00D45D62"/>
    <w:rsid w:val="00D460A4"/>
    <w:rsid w:val="00D460BF"/>
    <w:rsid w:val="00D460C8"/>
    <w:rsid w:val="00D46390"/>
    <w:rsid w:val="00D46467"/>
    <w:rsid w:val="00D46536"/>
    <w:rsid w:val="00D467F8"/>
    <w:rsid w:val="00D46C91"/>
    <w:rsid w:val="00D46FD9"/>
    <w:rsid w:val="00D472B0"/>
    <w:rsid w:val="00D472B2"/>
    <w:rsid w:val="00D472FF"/>
    <w:rsid w:val="00D473EA"/>
    <w:rsid w:val="00D4744F"/>
    <w:rsid w:val="00D475B8"/>
    <w:rsid w:val="00D476DA"/>
    <w:rsid w:val="00D47723"/>
    <w:rsid w:val="00D47734"/>
    <w:rsid w:val="00D477D2"/>
    <w:rsid w:val="00D47810"/>
    <w:rsid w:val="00D47846"/>
    <w:rsid w:val="00D479F0"/>
    <w:rsid w:val="00D47B41"/>
    <w:rsid w:val="00D47B5A"/>
    <w:rsid w:val="00D47CB3"/>
    <w:rsid w:val="00D47D10"/>
    <w:rsid w:val="00D47DE1"/>
    <w:rsid w:val="00D47DFE"/>
    <w:rsid w:val="00D47ECE"/>
    <w:rsid w:val="00D47EFF"/>
    <w:rsid w:val="00D50311"/>
    <w:rsid w:val="00D50454"/>
    <w:rsid w:val="00D50990"/>
    <w:rsid w:val="00D50A2F"/>
    <w:rsid w:val="00D50AED"/>
    <w:rsid w:val="00D50BB9"/>
    <w:rsid w:val="00D50C5D"/>
    <w:rsid w:val="00D50D5E"/>
    <w:rsid w:val="00D50DC5"/>
    <w:rsid w:val="00D50E28"/>
    <w:rsid w:val="00D50E6A"/>
    <w:rsid w:val="00D50F4B"/>
    <w:rsid w:val="00D50F71"/>
    <w:rsid w:val="00D510A7"/>
    <w:rsid w:val="00D514C2"/>
    <w:rsid w:val="00D514E7"/>
    <w:rsid w:val="00D518E9"/>
    <w:rsid w:val="00D51AB2"/>
    <w:rsid w:val="00D51B72"/>
    <w:rsid w:val="00D52017"/>
    <w:rsid w:val="00D520D2"/>
    <w:rsid w:val="00D5216D"/>
    <w:rsid w:val="00D521AF"/>
    <w:rsid w:val="00D52218"/>
    <w:rsid w:val="00D52275"/>
    <w:rsid w:val="00D523E1"/>
    <w:rsid w:val="00D5241D"/>
    <w:rsid w:val="00D524B3"/>
    <w:rsid w:val="00D524F5"/>
    <w:rsid w:val="00D5252B"/>
    <w:rsid w:val="00D5259F"/>
    <w:rsid w:val="00D5260E"/>
    <w:rsid w:val="00D5262D"/>
    <w:rsid w:val="00D5265C"/>
    <w:rsid w:val="00D5269C"/>
    <w:rsid w:val="00D526CA"/>
    <w:rsid w:val="00D526F1"/>
    <w:rsid w:val="00D527B1"/>
    <w:rsid w:val="00D52828"/>
    <w:rsid w:val="00D528B5"/>
    <w:rsid w:val="00D52A66"/>
    <w:rsid w:val="00D52BCF"/>
    <w:rsid w:val="00D52CEB"/>
    <w:rsid w:val="00D52F8E"/>
    <w:rsid w:val="00D530CB"/>
    <w:rsid w:val="00D53214"/>
    <w:rsid w:val="00D53279"/>
    <w:rsid w:val="00D53372"/>
    <w:rsid w:val="00D53499"/>
    <w:rsid w:val="00D53693"/>
    <w:rsid w:val="00D53712"/>
    <w:rsid w:val="00D5387C"/>
    <w:rsid w:val="00D538DA"/>
    <w:rsid w:val="00D538FA"/>
    <w:rsid w:val="00D53BAB"/>
    <w:rsid w:val="00D53C92"/>
    <w:rsid w:val="00D53D13"/>
    <w:rsid w:val="00D53DA7"/>
    <w:rsid w:val="00D53E40"/>
    <w:rsid w:val="00D53F31"/>
    <w:rsid w:val="00D53F3F"/>
    <w:rsid w:val="00D53FE2"/>
    <w:rsid w:val="00D5424A"/>
    <w:rsid w:val="00D5427E"/>
    <w:rsid w:val="00D543CE"/>
    <w:rsid w:val="00D543DE"/>
    <w:rsid w:val="00D54408"/>
    <w:rsid w:val="00D54433"/>
    <w:rsid w:val="00D545EA"/>
    <w:rsid w:val="00D54765"/>
    <w:rsid w:val="00D547CC"/>
    <w:rsid w:val="00D54999"/>
    <w:rsid w:val="00D54B02"/>
    <w:rsid w:val="00D54B16"/>
    <w:rsid w:val="00D54D4F"/>
    <w:rsid w:val="00D54ED1"/>
    <w:rsid w:val="00D55022"/>
    <w:rsid w:val="00D553D8"/>
    <w:rsid w:val="00D5543B"/>
    <w:rsid w:val="00D554C9"/>
    <w:rsid w:val="00D555AE"/>
    <w:rsid w:val="00D55811"/>
    <w:rsid w:val="00D55837"/>
    <w:rsid w:val="00D55925"/>
    <w:rsid w:val="00D55A54"/>
    <w:rsid w:val="00D55AEC"/>
    <w:rsid w:val="00D55B0A"/>
    <w:rsid w:val="00D55B5C"/>
    <w:rsid w:val="00D55B79"/>
    <w:rsid w:val="00D55CBF"/>
    <w:rsid w:val="00D55DA4"/>
    <w:rsid w:val="00D55DED"/>
    <w:rsid w:val="00D55DFE"/>
    <w:rsid w:val="00D55E20"/>
    <w:rsid w:val="00D55E37"/>
    <w:rsid w:val="00D56171"/>
    <w:rsid w:val="00D56179"/>
    <w:rsid w:val="00D562EB"/>
    <w:rsid w:val="00D56354"/>
    <w:rsid w:val="00D5665A"/>
    <w:rsid w:val="00D5672B"/>
    <w:rsid w:val="00D5675D"/>
    <w:rsid w:val="00D56765"/>
    <w:rsid w:val="00D568CB"/>
    <w:rsid w:val="00D56901"/>
    <w:rsid w:val="00D569B3"/>
    <w:rsid w:val="00D56A88"/>
    <w:rsid w:val="00D56AEF"/>
    <w:rsid w:val="00D56BC6"/>
    <w:rsid w:val="00D56C20"/>
    <w:rsid w:val="00D56C86"/>
    <w:rsid w:val="00D56D16"/>
    <w:rsid w:val="00D56D4E"/>
    <w:rsid w:val="00D56EBD"/>
    <w:rsid w:val="00D56F19"/>
    <w:rsid w:val="00D57129"/>
    <w:rsid w:val="00D574AE"/>
    <w:rsid w:val="00D57636"/>
    <w:rsid w:val="00D576FA"/>
    <w:rsid w:val="00D57775"/>
    <w:rsid w:val="00D5791B"/>
    <w:rsid w:val="00D579B8"/>
    <w:rsid w:val="00D57A74"/>
    <w:rsid w:val="00D57AFB"/>
    <w:rsid w:val="00D57EA0"/>
    <w:rsid w:val="00D57F2A"/>
    <w:rsid w:val="00D6010D"/>
    <w:rsid w:val="00D6011D"/>
    <w:rsid w:val="00D601A9"/>
    <w:rsid w:val="00D602E9"/>
    <w:rsid w:val="00D60511"/>
    <w:rsid w:val="00D6051E"/>
    <w:rsid w:val="00D605B3"/>
    <w:rsid w:val="00D60649"/>
    <w:rsid w:val="00D60658"/>
    <w:rsid w:val="00D60717"/>
    <w:rsid w:val="00D60863"/>
    <w:rsid w:val="00D6097E"/>
    <w:rsid w:val="00D60A97"/>
    <w:rsid w:val="00D60AC3"/>
    <w:rsid w:val="00D60DB3"/>
    <w:rsid w:val="00D60E6B"/>
    <w:rsid w:val="00D60F13"/>
    <w:rsid w:val="00D60F58"/>
    <w:rsid w:val="00D61229"/>
    <w:rsid w:val="00D61355"/>
    <w:rsid w:val="00D614D5"/>
    <w:rsid w:val="00D614F2"/>
    <w:rsid w:val="00D61658"/>
    <w:rsid w:val="00D616C2"/>
    <w:rsid w:val="00D616CC"/>
    <w:rsid w:val="00D617EC"/>
    <w:rsid w:val="00D6186B"/>
    <w:rsid w:val="00D61A83"/>
    <w:rsid w:val="00D61AEC"/>
    <w:rsid w:val="00D61C0C"/>
    <w:rsid w:val="00D61C0D"/>
    <w:rsid w:val="00D61C53"/>
    <w:rsid w:val="00D61CF3"/>
    <w:rsid w:val="00D61D6F"/>
    <w:rsid w:val="00D61DB9"/>
    <w:rsid w:val="00D61DE8"/>
    <w:rsid w:val="00D61E88"/>
    <w:rsid w:val="00D6211B"/>
    <w:rsid w:val="00D621C8"/>
    <w:rsid w:val="00D621DC"/>
    <w:rsid w:val="00D62240"/>
    <w:rsid w:val="00D625AF"/>
    <w:rsid w:val="00D62620"/>
    <w:rsid w:val="00D6262D"/>
    <w:rsid w:val="00D626A2"/>
    <w:rsid w:val="00D62853"/>
    <w:rsid w:val="00D629FD"/>
    <w:rsid w:val="00D62B66"/>
    <w:rsid w:val="00D62BAE"/>
    <w:rsid w:val="00D62BB7"/>
    <w:rsid w:val="00D62E36"/>
    <w:rsid w:val="00D62FF4"/>
    <w:rsid w:val="00D63039"/>
    <w:rsid w:val="00D63043"/>
    <w:rsid w:val="00D6313A"/>
    <w:rsid w:val="00D63251"/>
    <w:rsid w:val="00D63418"/>
    <w:rsid w:val="00D63593"/>
    <w:rsid w:val="00D6372E"/>
    <w:rsid w:val="00D63933"/>
    <w:rsid w:val="00D63967"/>
    <w:rsid w:val="00D639AE"/>
    <w:rsid w:val="00D63B31"/>
    <w:rsid w:val="00D63BBB"/>
    <w:rsid w:val="00D63CD3"/>
    <w:rsid w:val="00D63CFD"/>
    <w:rsid w:val="00D63DEE"/>
    <w:rsid w:val="00D63EF7"/>
    <w:rsid w:val="00D63FD6"/>
    <w:rsid w:val="00D64179"/>
    <w:rsid w:val="00D642BD"/>
    <w:rsid w:val="00D64390"/>
    <w:rsid w:val="00D64394"/>
    <w:rsid w:val="00D643C9"/>
    <w:rsid w:val="00D644B9"/>
    <w:rsid w:val="00D6451C"/>
    <w:rsid w:val="00D64852"/>
    <w:rsid w:val="00D6499F"/>
    <w:rsid w:val="00D64B6A"/>
    <w:rsid w:val="00D64C00"/>
    <w:rsid w:val="00D64DB0"/>
    <w:rsid w:val="00D64F29"/>
    <w:rsid w:val="00D64FAE"/>
    <w:rsid w:val="00D6508A"/>
    <w:rsid w:val="00D650A0"/>
    <w:rsid w:val="00D65133"/>
    <w:rsid w:val="00D651E3"/>
    <w:rsid w:val="00D65269"/>
    <w:rsid w:val="00D65406"/>
    <w:rsid w:val="00D6547B"/>
    <w:rsid w:val="00D654A5"/>
    <w:rsid w:val="00D655F3"/>
    <w:rsid w:val="00D658F3"/>
    <w:rsid w:val="00D65942"/>
    <w:rsid w:val="00D65968"/>
    <w:rsid w:val="00D6598D"/>
    <w:rsid w:val="00D65A86"/>
    <w:rsid w:val="00D65FA7"/>
    <w:rsid w:val="00D66016"/>
    <w:rsid w:val="00D66027"/>
    <w:rsid w:val="00D660DA"/>
    <w:rsid w:val="00D66181"/>
    <w:rsid w:val="00D6625D"/>
    <w:rsid w:val="00D662C1"/>
    <w:rsid w:val="00D6650A"/>
    <w:rsid w:val="00D666E1"/>
    <w:rsid w:val="00D66777"/>
    <w:rsid w:val="00D66781"/>
    <w:rsid w:val="00D66818"/>
    <w:rsid w:val="00D668D6"/>
    <w:rsid w:val="00D66917"/>
    <w:rsid w:val="00D66922"/>
    <w:rsid w:val="00D66AA9"/>
    <w:rsid w:val="00D66ACC"/>
    <w:rsid w:val="00D66B3F"/>
    <w:rsid w:val="00D66C2C"/>
    <w:rsid w:val="00D66C9C"/>
    <w:rsid w:val="00D66FB9"/>
    <w:rsid w:val="00D6703A"/>
    <w:rsid w:val="00D67100"/>
    <w:rsid w:val="00D67259"/>
    <w:rsid w:val="00D67384"/>
    <w:rsid w:val="00D673E9"/>
    <w:rsid w:val="00D67559"/>
    <w:rsid w:val="00D67689"/>
    <w:rsid w:val="00D67921"/>
    <w:rsid w:val="00D679F8"/>
    <w:rsid w:val="00D67E90"/>
    <w:rsid w:val="00D7015D"/>
    <w:rsid w:val="00D70174"/>
    <w:rsid w:val="00D70213"/>
    <w:rsid w:val="00D7022B"/>
    <w:rsid w:val="00D7030A"/>
    <w:rsid w:val="00D7045D"/>
    <w:rsid w:val="00D70473"/>
    <w:rsid w:val="00D7050D"/>
    <w:rsid w:val="00D7055C"/>
    <w:rsid w:val="00D7055E"/>
    <w:rsid w:val="00D70585"/>
    <w:rsid w:val="00D70610"/>
    <w:rsid w:val="00D707CD"/>
    <w:rsid w:val="00D70867"/>
    <w:rsid w:val="00D70E15"/>
    <w:rsid w:val="00D70E53"/>
    <w:rsid w:val="00D70E82"/>
    <w:rsid w:val="00D70E9A"/>
    <w:rsid w:val="00D71005"/>
    <w:rsid w:val="00D710D6"/>
    <w:rsid w:val="00D71204"/>
    <w:rsid w:val="00D71546"/>
    <w:rsid w:val="00D71579"/>
    <w:rsid w:val="00D717ED"/>
    <w:rsid w:val="00D71A56"/>
    <w:rsid w:val="00D71A5E"/>
    <w:rsid w:val="00D71AD9"/>
    <w:rsid w:val="00D71C08"/>
    <w:rsid w:val="00D71D9A"/>
    <w:rsid w:val="00D71E18"/>
    <w:rsid w:val="00D71FDE"/>
    <w:rsid w:val="00D72159"/>
    <w:rsid w:val="00D721A3"/>
    <w:rsid w:val="00D721F5"/>
    <w:rsid w:val="00D7267E"/>
    <w:rsid w:val="00D72715"/>
    <w:rsid w:val="00D72C4F"/>
    <w:rsid w:val="00D72D55"/>
    <w:rsid w:val="00D72ED3"/>
    <w:rsid w:val="00D72F7A"/>
    <w:rsid w:val="00D72F95"/>
    <w:rsid w:val="00D73084"/>
    <w:rsid w:val="00D730DE"/>
    <w:rsid w:val="00D7321C"/>
    <w:rsid w:val="00D73374"/>
    <w:rsid w:val="00D7337A"/>
    <w:rsid w:val="00D735E2"/>
    <w:rsid w:val="00D73787"/>
    <w:rsid w:val="00D73982"/>
    <w:rsid w:val="00D739EA"/>
    <w:rsid w:val="00D742B6"/>
    <w:rsid w:val="00D743B7"/>
    <w:rsid w:val="00D74402"/>
    <w:rsid w:val="00D7441C"/>
    <w:rsid w:val="00D7449E"/>
    <w:rsid w:val="00D744DC"/>
    <w:rsid w:val="00D744DD"/>
    <w:rsid w:val="00D74597"/>
    <w:rsid w:val="00D749B2"/>
    <w:rsid w:val="00D74A0D"/>
    <w:rsid w:val="00D74C2D"/>
    <w:rsid w:val="00D74CEA"/>
    <w:rsid w:val="00D74E65"/>
    <w:rsid w:val="00D74ECA"/>
    <w:rsid w:val="00D74F2F"/>
    <w:rsid w:val="00D74F58"/>
    <w:rsid w:val="00D75098"/>
    <w:rsid w:val="00D75353"/>
    <w:rsid w:val="00D7535E"/>
    <w:rsid w:val="00D75481"/>
    <w:rsid w:val="00D75663"/>
    <w:rsid w:val="00D75672"/>
    <w:rsid w:val="00D75793"/>
    <w:rsid w:val="00D75A41"/>
    <w:rsid w:val="00D75BC2"/>
    <w:rsid w:val="00D75C49"/>
    <w:rsid w:val="00D75F59"/>
    <w:rsid w:val="00D75F76"/>
    <w:rsid w:val="00D7600D"/>
    <w:rsid w:val="00D76268"/>
    <w:rsid w:val="00D762A0"/>
    <w:rsid w:val="00D7633C"/>
    <w:rsid w:val="00D764A9"/>
    <w:rsid w:val="00D764E8"/>
    <w:rsid w:val="00D765EE"/>
    <w:rsid w:val="00D765F4"/>
    <w:rsid w:val="00D7678E"/>
    <w:rsid w:val="00D7684B"/>
    <w:rsid w:val="00D768ED"/>
    <w:rsid w:val="00D769B1"/>
    <w:rsid w:val="00D76AA8"/>
    <w:rsid w:val="00D76BB9"/>
    <w:rsid w:val="00D76C51"/>
    <w:rsid w:val="00D76C7C"/>
    <w:rsid w:val="00D76DD8"/>
    <w:rsid w:val="00D76DFA"/>
    <w:rsid w:val="00D76EE6"/>
    <w:rsid w:val="00D76F22"/>
    <w:rsid w:val="00D7717E"/>
    <w:rsid w:val="00D77297"/>
    <w:rsid w:val="00D772AA"/>
    <w:rsid w:val="00D773CB"/>
    <w:rsid w:val="00D7766A"/>
    <w:rsid w:val="00D776A1"/>
    <w:rsid w:val="00D7777F"/>
    <w:rsid w:val="00D778E8"/>
    <w:rsid w:val="00D77A40"/>
    <w:rsid w:val="00D77CD5"/>
    <w:rsid w:val="00D77EAA"/>
    <w:rsid w:val="00D77FAE"/>
    <w:rsid w:val="00D80012"/>
    <w:rsid w:val="00D802FC"/>
    <w:rsid w:val="00D80393"/>
    <w:rsid w:val="00D804ED"/>
    <w:rsid w:val="00D80508"/>
    <w:rsid w:val="00D8051B"/>
    <w:rsid w:val="00D80581"/>
    <w:rsid w:val="00D80649"/>
    <w:rsid w:val="00D806A0"/>
    <w:rsid w:val="00D806EB"/>
    <w:rsid w:val="00D808B1"/>
    <w:rsid w:val="00D808BC"/>
    <w:rsid w:val="00D8093F"/>
    <w:rsid w:val="00D80B04"/>
    <w:rsid w:val="00D80BA8"/>
    <w:rsid w:val="00D80E2D"/>
    <w:rsid w:val="00D810B1"/>
    <w:rsid w:val="00D8126F"/>
    <w:rsid w:val="00D81275"/>
    <w:rsid w:val="00D812D3"/>
    <w:rsid w:val="00D81351"/>
    <w:rsid w:val="00D813A5"/>
    <w:rsid w:val="00D813D4"/>
    <w:rsid w:val="00D81493"/>
    <w:rsid w:val="00D814F6"/>
    <w:rsid w:val="00D816D1"/>
    <w:rsid w:val="00D819CD"/>
    <w:rsid w:val="00D81A73"/>
    <w:rsid w:val="00D81B05"/>
    <w:rsid w:val="00D81C62"/>
    <w:rsid w:val="00D81C9A"/>
    <w:rsid w:val="00D81CB4"/>
    <w:rsid w:val="00D81E14"/>
    <w:rsid w:val="00D81EF6"/>
    <w:rsid w:val="00D81F3E"/>
    <w:rsid w:val="00D81F5D"/>
    <w:rsid w:val="00D8225B"/>
    <w:rsid w:val="00D8247C"/>
    <w:rsid w:val="00D82687"/>
    <w:rsid w:val="00D828DB"/>
    <w:rsid w:val="00D82B4C"/>
    <w:rsid w:val="00D82D6B"/>
    <w:rsid w:val="00D8313A"/>
    <w:rsid w:val="00D836AC"/>
    <w:rsid w:val="00D83923"/>
    <w:rsid w:val="00D839F4"/>
    <w:rsid w:val="00D83AB2"/>
    <w:rsid w:val="00D83C15"/>
    <w:rsid w:val="00D83CFB"/>
    <w:rsid w:val="00D83E40"/>
    <w:rsid w:val="00D83E47"/>
    <w:rsid w:val="00D83EEF"/>
    <w:rsid w:val="00D83F7C"/>
    <w:rsid w:val="00D84001"/>
    <w:rsid w:val="00D840E0"/>
    <w:rsid w:val="00D841EB"/>
    <w:rsid w:val="00D84473"/>
    <w:rsid w:val="00D8473B"/>
    <w:rsid w:val="00D84752"/>
    <w:rsid w:val="00D84904"/>
    <w:rsid w:val="00D84A10"/>
    <w:rsid w:val="00D84D7F"/>
    <w:rsid w:val="00D84E04"/>
    <w:rsid w:val="00D84E31"/>
    <w:rsid w:val="00D84EF0"/>
    <w:rsid w:val="00D850E0"/>
    <w:rsid w:val="00D850F3"/>
    <w:rsid w:val="00D852E4"/>
    <w:rsid w:val="00D85342"/>
    <w:rsid w:val="00D85408"/>
    <w:rsid w:val="00D8563D"/>
    <w:rsid w:val="00D8582F"/>
    <w:rsid w:val="00D8590A"/>
    <w:rsid w:val="00D85D6B"/>
    <w:rsid w:val="00D86003"/>
    <w:rsid w:val="00D86213"/>
    <w:rsid w:val="00D8621B"/>
    <w:rsid w:val="00D8624B"/>
    <w:rsid w:val="00D86326"/>
    <w:rsid w:val="00D86554"/>
    <w:rsid w:val="00D865DB"/>
    <w:rsid w:val="00D86630"/>
    <w:rsid w:val="00D86957"/>
    <w:rsid w:val="00D86A8D"/>
    <w:rsid w:val="00D86AF0"/>
    <w:rsid w:val="00D86B7F"/>
    <w:rsid w:val="00D86C9E"/>
    <w:rsid w:val="00D86CA1"/>
    <w:rsid w:val="00D86EBD"/>
    <w:rsid w:val="00D86EFE"/>
    <w:rsid w:val="00D86F33"/>
    <w:rsid w:val="00D86F6F"/>
    <w:rsid w:val="00D8707D"/>
    <w:rsid w:val="00D8727C"/>
    <w:rsid w:val="00D87280"/>
    <w:rsid w:val="00D8774C"/>
    <w:rsid w:val="00D878D0"/>
    <w:rsid w:val="00D879FC"/>
    <w:rsid w:val="00D87A19"/>
    <w:rsid w:val="00D87AF3"/>
    <w:rsid w:val="00D87B0F"/>
    <w:rsid w:val="00D87B98"/>
    <w:rsid w:val="00D87C0D"/>
    <w:rsid w:val="00D87E51"/>
    <w:rsid w:val="00D87E7E"/>
    <w:rsid w:val="00D87EB6"/>
    <w:rsid w:val="00D87FA6"/>
    <w:rsid w:val="00D90098"/>
    <w:rsid w:val="00D9009F"/>
    <w:rsid w:val="00D900FC"/>
    <w:rsid w:val="00D90131"/>
    <w:rsid w:val="00D903DB"/>
    <w:rsid w:val="00D9053D"/>
    <w:rsid w:val="00D90605"/>
    <w:rsid w:val="00D90686"/>
    <w:rsid w:val="00D909B7"/>
    <w:rsid w:val="00D90AE7"/>
    <w:rsid w:val="00D90B5B"/>
    <w:rsid w:val="00D90F09"/>
    <w:rsid w:val="00D90F10"/>
    <w:rsid w:val="00D90F14"/>
    <w:rsid w:val="00D91042"/>
    <w:rsid w:val="00D91045"/>
    <w:rsid w:val="00D9132B"/>
    <w:rsid w:val="00D913CC"/>
    <w:rsid w:val="00D91459"/>
    <w:rsid w:val="00D914C9"/>
    <w:rsid w:val="00D91536"/>
    <w:rsid w:val="00D91550"/>
    <w:rsid w:val="00D91552"/>
    <w:rsid w:val="00D915E2"/>
    <w:rsid w:val="00D916DA"/>
    <w:rsid w:val="00D9179E"/>
    <w:rsid w:val="00D91C16"/>
    <w:rsid w:val="00D91D32"/>
    <w:rsid w:val="00D91E03"/>
    <w:rsid w:val="00D91FC5"/>
    <w:rsid w:val="00D91FE7"/>
    <w:rsid w:val="00D92132"/>
    <w:rsid w:val="00D92581"/>
    <w:rsid w:val="00D9274D"/>
    <w:rsid w:val="00D927BD"/>
    <w:rsid w:val="00D927EC"/>
    <w:rsid w:val="00D9285C"/>
    <w:rsid w:val="00D928DA"/>
    <w:rsid w:val="00D929C2"/>
    <w:rsid w:val="00D92B07"/>
    <w:rsid w:val="00D92B53"/>
    <w:rsid w:val="00D92C38"/>
    <w:rsid w:val="00D92C6C"/>
    <w:rsid w:val="00D92D89"/>
    <w:rsid w:val="00D92F57"/>
    <w:rsid w:val="00D92F99"/>
    <w:rsid w:val="00D92F9A"/>
    <w:rsid w:val="00D92FE1"/>
    <w:rsid w:val="00D93106"/>
    <w:rsid w:val="00D9314A"/>
    <w:rsid w:val="00D93179"/>
    <w:rsid w:val="00D93211"/>
    <w:rsid w:val="00D93397"/>
    <w:rsid w:val="00D93481"/>
    <w:rsid w:val="00D936FC"/>
    <w:rsid w:val="00D93739"/>
    <w:rsid w:val="00D937B5"/>
    <w:rsid w:val="00D93A5E"/>
    <w:rsid w:val="00D93B8C"/>
    <w:rsid w:val="00D93CEC"/>
    <w:rsid w:val="00D93D87"/>
    <w:rsid w:val="00D93DD1"/>
    <w:rsid w:val="00D93E66"/>
    <w:rsid w:val="00D9419D"/>
    <w:rsid w:val="00D94274"/>
    <w:rsid w:val="00D94311"/>
    <w:rsid w:val="00D9435F"/>
    <w:rsid w:val="00D94488"/>
    <w:rsid w:val="00D944BB"/>
    <w:rsid w:val="00D94633"/>
    <w:rsid w:val="00D947CE"/>
    <w:rsid w:val="00D94AA7"/>
    <w:rsid w:val="00D94C4C"/>
    <w:rsid w:val="00D94CB9"/>
    <w:rsid w:val="00D94D02"/>
    <w:rsid w:val="00D94D0D"/>
    <w:rsid w:val="00D94DC3"/>
    <w:rsid w:val="00D94EC6"/>
    <w:rsid w:val="00D94F44"/>
    <w:rsid w:val="00D94FA0"/>
    <w:rsid w:val="00D9504E"/>
    <w:rsid w:val="00D950AD"/>
    <w:rsid w:val="00D9525C"/>
    <w:rsid w:val="00D95454"/>
    <w:rsid w:val="00D95521"/>
    <w:rsid w:val="00D95864"/>
    <w:rsid w:val="00D958D5"/>
    <w:rsid w:val="00D9599C"/>
    <w:rsid w:val="00D959EF"/>
    <w:rsid w:val="00D95A3C"/>
    <w:rsid w:val="00D95BC6"/>
    <w:rsid w:val="00D95C75"/>
    <w:rsid w:val="00D95D0C"/>
    <w:rsid w:val="00D96035"/>
    <w:rsid w:val="00D9619F"/>
    <w:rsid w:val="00D961F6"/>
    <w:rsid w:val="00D96425"/>
    <w:rsid w:val="00D965B9"/>
    <w:rsid w:val="00D96663"/>
    <w:rsid w:val="00D9668C"/>
    <w:rsid w:val="00D9677E"/>
    <w:rsid w:val="00D967BD"/>
    <w:rsid w:val="00D968EE"/>
    <w:rsid w:val="00D9699C"/>
    <w:rsid w:val="00D969FB"/>
    <w:rsid w:val="00D96D95"/>
    <w:rsid w:val="00D96F65"/>
    <w:rsid w:val="00D96FE0"/>
    <w:rsid w:val="00D971A5"/>
    <w:rsid w:val="00D971EC"/>
    <w:rsid w:val="00D972DF"/>
    <w:rsid w:val="00D974F7"/>
    <w:rsid w:val="00D97841"/>
    <w:rsid w:val="00D97926"/>
    <w:rsid w:val="00D97934"/>
    <w:rsid w:val="00D97A1E"/>
    <w:rsid w:val="00D97B13"/>
    <w:rsid w:val="00D97B8F"/>
    <w:rsid w:val="00D97DC1"/>
    <w:rsid w:val="00D97E06"/>
    <w:rsid w:val="00DA0137"/>
    <w:rsid w:val="00DA022D"/>
    <w:rsid w:val="00DA02E6"/>
    <w:rsid w:val="00DA03E7"/>
    <w:rsid w:val="00DA0472"/>
    <w:rsid w:val="00DA0474"/>
    <w:rsid w:val="00DA04F9"/>
    <w:rsid w:val="00DA05C2"/>
    <w:rsid w:val="00DA067A"/>
    <w:rsid w:val="00DA067C"/>
    <w:rsid w:val="00DA08CB"/>
    <w:rsid w:val="00DA0A83"/>
    <w:rsid w:val="00DA0AA4"/>
    <w:rsid w:val="00DA0AE4"/>
    <w:rsid w:val="00DA0E0D"/>
    <w:rsid w:val="00DA0E5B"/>
    <w:rsid w:val="00DA0F0C"/>
    <w:rsid w:val="00DA136C"/>
    <w:rsid w:val="00DA1638"/>
    <w:rsid w:val="00DA1680"/>
    <w:rsid w:val="00DA16A2"/>
    <w:rsid w:val="00DA16B2"/>
    <w:rsid w:val="00DA1741"/>
    <w:rsid w:val="00DA18D0"/>
    <w:rsid w:val="00DA1BF9"/>
    <w:rsid w:val="00DA1C03"/>
    <w:rsid w:val="00DA1CAE"/>
    <w:rsid w:val="00DA1D2C"/>
    <w:rsid w:val="00DA1E0B"/>
    <w:rsid w:val="00DA1E50"/>
    <w:rsid w:val="00DA1ED2"/>
    <w:rsid w:val="00DA204F"/>
    <w:rsid w:val="00DA20A0"/>
    <w:rsid w:val="00DA20C2"/>
    <w:rsid w:val="00DA214A"/>
    <w:rsid w:val="00DA216C"/>
    <w:rsid w:val="00DA21C6"/>
    <w:rsid w:val="00DA2260"/>
    <w:rsid w:val="00DA2301"/>
    <w:rsid w:val="00DA235A"/>
    <w:rsid w:val="00DA2393"/>
    <w:rsid w:val="00DA244E"/>
    <w:rsid w:val="00DA255C"/>
    <w:rsid w:val="00DA256E"/>
    <w:rsid w:val="00DA2681"/>
    <w:rsid w:val="00DA26B8"/>
    <w:rsid w:val="00DA27F3"/>
    <w:rsid w:val="00DA28EE"/>
    <w:rsid w:val="00DA296D"/>
    <w:rsid w:val="00DA2AC7"/>
    <w:rsid w:val="00DA2B19"/>
    <w:rsid w:val="00DA2B6B"/>
    <w:rsid w:val="00DA2CE6"/>
    <w:rsid w:val="00DA2F15"/>
    <w:rsid w:val="00DA2F73"/>
    <w:rsid w:val="00DA2FF9"/>
    <w:rsid w:val="00DA3017"/>
    <w:rsid w:val="00DA30DF"/>
    <w:rsid w:val="00DA3BF1"/>
    <w:rsid w:val="00DA3DE1"/>
    <w:rsid w:val="00DA3E22"/>
    <w:rsid w:val="00DA3E5F"/>
    <w:rsid w:val="00DA3E94"/>
    <w:rsid w:val="00DA3F0F"/>
    <w:rsid w:val="00DA3F18"/>
    <w:rsid w:val="00DA3FF2"/>
    <w:rsid w:val="00DA4312"/>
    <w:rsid w:val="00DA433D"/>
    <w:rsid w:val="00DA4428"/>
    <w:rsid w:val="00DA457D"/>
    <w:rsid w:val="00DA460D"/>
    <w:rsid w:val="00DA4740"/>
    <w:rsid w:val="00DA48E9"/>
    <w:rsid w:val="00DA48F6"/>
    <w:rsid w:val="00DA4974"/>
    <w:rsid w:val="00DA4BA6"/>
    <w:rsid w:val="00DA4D93"/>
    <w:rsid w:val="00DA4EC1"/>
    <w:rsid w:val="00DA4F18"/>
    <w:rsid w:val="00DA4F8E"/>
    <w:rsid w:val="00DA52CE"/>
    <w:rsid w:val="00DA5365"/>
    <w:rsid w:val="00DA539F"/>
    <w:rsid w:val="00DA5484"/>
    <w:rsid w:val="00DA5524"/>
    <w:rsid w:val="00DA562E"/>
    <w:rsid w:val="00DA5A13"/>
    <w:rsid w:val="00DA5A5E"/>
    <w:rsid w:val="00DA5A7F"/>
    <w:rsid w:val="00DA5AD9"/>
    <w:rsid w:val="00DA5B17"/>
    <w:rsid w:val="00DA5C63"/>
    <w:rsid w:val="00DA5C65"/>
    <w:rsid w:val="00DA5C95"/>
    <w:rsid w:val="00DA5D88"/>
    <w:rsid w:val="00DA5F98"/>
    <w:rsid w:val="00DA611A"/>
    <w:rsid w:val="00DA61BE"/>
    <w:rsid w:val="00DA61D5"/>
    <w:rsid w:val="00DA61FB"/>
    <w:rsid w:val="00DA635D"/>
    <w:rsid w:val="00DA6426"/>
    <w:rsid w:val="00DA6751"/>
    <w:rsid w:val="00DA67FB"/>
    <w:rsid w:val="00DA6919"/>
    <w:rsid w:val="00DA6AA0"/>
    <w:rsid w:val="00DA6E43"/>
    <w:rsid w:val="00DA70F6"/>
    <w:rsid w:val="00DA710C"/>
    <w:rsid w:val="00DA7123"/>
    <w:rsid w:val="00DA716E"/>
    <w:rsid w:val="00DA71BE"/>
    <w:rsid w:val="00DA7203"/>
    <w:rsid w:val="00DA72A1"/>
    <w:rsid w:val="00DA7477"/>
    <w:rsid w:val="00DA753A"/>
    <w:rsid w:val="00DA7597"/>
    <w:rsid w:val="00DA77D4"/>
    <w:rsid w:val="00DA78A5"/>
    <w:rsid w:val="00DA798C"/>
    <w:rsid w:val="00DA7B36"/>
    <w:rsid w:val="00DA7BE9"/>
    <w:rsid w:val="00DA7E7B"/>
    <w:rsid w:val="00DA7E8D"/>
    <w:rsid w:val="00DA7F80"/>
    <w:rsid w:val="00DA7FD7"/>
    <w:rsid w:val="00DB004F"/>
    <w:rsid w:val="00DB0059"/>
    <w:rsid w:val="00DB02CC"/>
    <w:rsid w:val="00DB0467"/>
    <w:rsid w:val="00DB048D"/>
    <w:rsid w:val="00DB0C6B"/>
    <w:rsid w:val="00DB0D0B"/>
    <w:rsid w:val="00DB0D9B"/>
    <w:rsid w:val="00DB0DB5"/>
    <w:rsid w:val="00DB0ECA"/>
    <w:rsid w:val="00DB0F86"/>
    <w:rsid w:val="00DB103C"/>
    <w:rsid w:val="00DB10EB"/>
    <w:rsid w:val="00DB1140"/>
    <w:rsid w:val="00DB13EE"/>
    <w:rsid w:val="00DB140E"/>
    <w:rsid w:val="00DB163A"/>
    <w:rsid w:val="00DB167D"/>
    <w:rsid w:val="00DB17C3"/>
    <w:rsid w:val="00DB182C"/>
    <w:rsid w:val="00DB184B"/>
    <w:rsid w:val="00DB18F4"/>
    <w:rsid w:val="00DB197B"/>
    <w:rsid w:val="00DB19BF"/>
    <w:rsid w:val="00DB1AB0"/>
    <w:rsid w:val="00DB1BA6"/>
    <w:rsid w:val="00DB1CAA"/>
    <w:rsid w:val="00DB1CBA"/>
    <w:rsid w:val="00DB1E81"/>
    <w:rsid w:val="00DB2076"/>
    <w:rsid w:val="00DB21F1"/>
    <w:rsid w:val="00DB23ED"/>
    <w:rsid w:val="00DB25A3"/>
    <w:rsid w:val="00DB25AF"/>
    <w:rsid w:val="00DB25C9"/>
    <w:rsid w:val="00DB25FF"/>
    <w:rsid w:val="00DB2961"/>
    <w:rsid w:val="00DB2999"/>
    <w:rsid w:val="00DB29AD"/>
    <w:rsid w:val="00DB2A9F"/>
    <w:rsid w:val="00DB2B35"/>
    <w:rsid w:val="00DB2B5A"/>
    <w:rsid w:val="00DB2C5D"/>
    <w:rsid w:val="00DB2D20"/>
    <w:rsid w:val="00DB2DBC"/>
    <w:rsid w:val="00DB2E0D"/>
    <w:rsid w:val="00DB2F71"/>
    <w:rsid w:val="00DB2FC1"/>
    <w:rsid w:val="00DB327F"/>
    <w:rsid w:val="00DB32E8"/>
    <w:rsid w:val="00DB337C"/>
    <w:rsid w:val="00DB35DE"/>
    <w:rsid w:val="00DB361B"/>
    <w:rsid w:val="00DB36D0"/>
    <w:rsid w:val="00DB36F1"/>
    <w:rsid w:val="00DB3916"/>
    <w:rsid w:val="00DB399F"/>
    <w:rsid w:val="00DB39D7"/>
    <w:rsid w:val="00DB3BA5"/>
    <w:rsid w:val="00DB3CB3"/>
    <w:rsid w:val="00DB3CC6"/>
    <w:rsid w:val="00DB3CEE"/>
    <w:rsid w:val="00DB3CF3"/>
    <w:rsid w:val="00DB3D92"/>
    <w:rsid w:val="00DB3F11"/>
    <w:rsid w:val="00DB3F5D"/>
    <w:rsid w:val="00DB4251"/>
    <w:rsid w:val="00DB429E"/>
    <w:rsid w:val="00DB442B"/>
    <w:rsid w:val="00DB44D9"/>
    <w:rsid w:val="00DB4567"/>
    <w:rsid w:val="00DB458B"/>
    <w:rsid w:val="00DB4809"/>
    <w:rsid w:val="00DB4A80"/>
    <w:rsid w:val="00DB4B06"/>
    <w:rsid w:val="00DB4B66"/>
    <w:rsid w:val="00DB4BD1"/>
    <w:rsid w:val="00DB4BE7"/>
    <w:rsid w:val="00DB4DF1"/>
    <w:rsid w:val="00DB4E81"/>
    <w:rsid w:val="00DB4F49"/>
    <w:rsid w:val="00DB4F4A"/>
    <w:rsid w:val="00DB4FD9"/>
    <w:rsid w:val="00DB5084"/>
    <w:rsid w:val="00DB508B"/>
    <w:rsid w:val="00DB50D3"/>
    <w:rsid w:val="00DB515D"/>
    <w:rsid w:val="00DB545C"/>
    <w:rsid w:val="00DB5574"/>
    <w:rsid w:val="00DB5578"/>
    <w:rsid w:val="00DB55BA"/>
    <w:rsid w:val="00DB56A9"/>
    <w:rsid w:val="00DB575E"/>
    <w:rsid w:val="00DB577A"/>
    <w:rsid w:val="00DB57F8"/>
    <w:rsid w:val="00DB5832"/>
    <w:rsid w:val="00DB590E"/>
    <w:rsid w:val="00DB5911"/>
    <w:rsid w:val="00DB5BC6"/>
    <w:rsid w:val="00DB5C20"/>
    <w:rsid w:val="00DB5CC9"/>
    <w:rsid w:val="00DB5CEC"/>
    <w:rsid w:val="00DB5EBE"/>
    <w:rsid w:val="00DB5F57"/>
    <w:rsid w:val="00DB5F81"/>
    <w:rsid w:val="00DB5F91"/>
    <w:rsid w:val="00DB5F93"/>
    <w:rsid w:val="00DB605D"/>
    <w:rsid w:val="00DB60C4"/>
    <w:rsid w:val="00DB63AF"/>
    <w:rsid w:val="00DB63C0"/>
    <w:rsid w:val="00DB63FC"/>
    <w:rsid w:val="00DB641F"/>
    <w:rsid w:val="00DB6472"/>
    <w:rsid w:val="00DB64E0"/>
    <w:rsid w:val="00DB65D4"/>
    <w:rsid w:val="00DB66EC"/>
    <w:rsid w:val="00DB6783"/>
    <w:rsid w:val="00DB6917"/>
    <w:rsid w:val="00DB69ED"/>
    <w:rsid w:val="00DB6BFC"/>
    <w:rsid w:val="00DB6DA4"/>
    <w:rsid w:val="00DB73BE"/>
    <w:rsid w:val="00DB749D"/>
    <w:rsid w:val="00DB74E7"/>
    <w:rsid w:val="00DB768C"/>
    <w:rsid w:val="00DB76C1"/>
    <w:rsid w:val="00DB78FC"/>
    <w:rsid w:val="00DB7987"/>
    <w:rsid w:val="00DB7BCF"/>
    <w:rsid w:val="00DB7C1A"/>
    <w:rsid w:val="00DB7CD1"/>
    <w:rsid w:val="00DB7DA4"/>
    <w:rsid w:val="00DB7E89"/>
    <w:rsid w:val="00DB7E8D"/>
    <w:rsid w:val="00DB7EAE"/>
    <w:rsid w:val="00DB7EE0"/>
    <w:rsid w:val="00DB7FD5"/>
    <w:rsid w:val="00DC0503"/>
    <w:rsid w:val="00DC0554"/>
    <w:rsid w:val="00DC0687"/>
    <w:rsid w:val="00DC0734"/>
    <w:rsid w:val="00DC0751"/>
    <w:rsid w:val="00DC0772"/>
    <w:rsid w:val="00DC09BF"/>
    <w:rsid w:val="00DC09FF"/>
    <w:rsid w:val="00DC0ACB"/>
    <w:rsid w:val="00DC0C6A"/>
    <w:rsid w:val="00DC0CCC"/>
    <w:rsid w:val="00DC0EAE"/>
    <w:rsid w:val="00DC0FDF"/>
    <w:rsid w:val="00DC1012"/>
    <w:rsid w:val="00DC1133"/>
    <w:rsid w:val="00DC11CE"/>
    <w:rsid w:val="00DC13E2"/>
    <w:rsid w:val="00DC145A"/>
    <w:rsid w:val="00DC14FD"/>
    <w:rsid w:val="00DC1563"/>
    <w:rsid w:val="00DC15C1"/>
    <w:rsid w:val="00DC15CF"/>
    <w:rsid w:val="00DC16F8"/>
    <w:rsid w:val="00DC18D8"/>
    <w:rsid w:val="00DC19D7"/>
    <w:rsid w:val="00DC1B37"/>
    <w:rsid w:val="00DC1EB0"/>
    <w:rsid w:val="00DC1EEF"/>
    <w:rsid w:val="00DC23CE"/>
    <w:rsid w:val="00DC23E5"/>
    <w:rsid w:val="00DC24B3"/>
    <w:rsid w:val="00DC256C"/>
    <w:rsid w:val="00DC25B8"/>
    <w:rsid w:val="00DC25EA"/>
    <w:rsid w:val="00DC279F"/>
    <w:rsid w:val="00DC292E"/>
    <w:rsid w:val="00DC2A88"/>
    <w:rsid w:val="00DC2BA2"/>
    <w:rsid w:val="00DC2C72"/>
    <w:rsid w:val="00DC2E4F"/>
    <w:rsid w:val="00DC3044"/>
    <w:rsid w:val="00DC30FA"/>
    <w:rsid w:val="00DC3329"/>
    <w:rsid w:val="00DC3416"/>
    <w:rsid w:val="00DC354B"/>
    <w:rsid w:val="00DC356B"/>
    <w:rsid w:val="00DC3587"/>
    <w:rsid w:val="00DC36D9"/>
    <w:rsid w:val="00DC3793"/>
    <w:rsid w:val="00DC37EE"/>
    <w:rsid w:val="00DC3898"/>
    <w:rsid w:val="00DC3908"/>
    <w:rsid w:val="00DC3A42"/>
    <w:rsid w:val="00DC3A72"/>
    <w:rsid w:val="00DC3C1D"/>
    <w:rsid w:val="00DC3CC3"/>
    <w:rsid w:val="00DC3CF1"/>
    <w:rsid w:val="00DC3DE1"/>
    <w:rsid w:val="00DC3FDE"/>
    <w:rsid w:val="00DC40A7"/>
    <w:rsid w:val="00DC4211"/>
    <w:rsid w:val="00DC431C"/>
    <w:rsid w:val="00DC43D2"/>
    <w:rsid w:val="00DC4470"/>
    <w:rsid w:val="00DC44A5"/>
    <w:rsid w:val="00DC44D8"/>
    <w:rsid w:val="00DC455F"/>
    <w:rsid w:val="00DC45E3"/>
    <w:rsid w:val="00DC4605"/>
    <w:rsid w:val="00DC4720"/>
    <w:rsid w:val="00DC4974"/>
    <w:rsid w:val="00DC49E8"/>
    <w:rsid w:val="00DC49FD"/>
    <w:rsid w:val="00DC4DC1"/>
    <w:rsid w:val="00DC4F76"/>
    <w:rsid w:val="00DC5494"/>
    <w:rsid w:val="00DC58A4"/>
    <w:rsid w:val="00DC58B5"/>
    <w:rsid w:val="00DC5AB7"/>
    <w:rsid w:val="00DC5CE2"/>
    <w:rsid w:val="00DC5D11"/>
    <w:rsid w:val="00DC5D78"/>
    <w:rsid w:val="00DC5DFF"/>
    <w:rsid w:val="00DC5F98"/>
    <w:rsid w:val="00DC6003"/>
    <w:rsid w:val="00DC628E"/>
    <w:rsid w:val="00DC6327"/>
    <w:rsid w:val="00DC6629"/>
    <w:rsid w:val="00DC6725"/>
    <w:rsid w:val="00DC6778"/>
    <w:rsid w:val="00DC6885"/>
    <w:rsid w:val="00DC6900"/>
    <w:rsid w:val="00DC694F"/>
    <w:rsid w:val="00DC6C6C"/>
    <w:rsid w:val="00DC6E94"/>
    <w:rsid w:val="00DC6F3D"/>
    <w:rsid w:val="00DC6F5B"/>
    <w:rsid w:val="00DC721C"/>
    <w:rsid w:val="00DC7296"/>
    <w:rsid w:val="00DC73BC"/>
    <w:rsid w:val="00DC74CB"/>
    <w:rsid w:val="00DC75E2"/>
    <w:rsid w:val="00DC7601"/>
    <w:rsid w:val="00DC7616"/>
    <w:rsid w:val="00DC76E4"/>
    <w:rsid w:val="00DC77F3"/>
    <w:rsid w:val="00DC7899"/>
    <w:rsid w:val="00DC7B5E"/>
    <w:rsid w:val="00DC7BBB"/>
    <w:rsid w:val="00DC7C34"/>
    <w:rsid w:val="00DC7CA9"/>
    <w:rsid w:val="00DC7E9C"/>
    <w:rsid w:val="00DC7F22"/>
    <w:rsid w:val="00DC7F44"/>
    <w:rsid w:val="00DD00A9"/>
    <w:rsid w:val="00DD0342"/>
    <w:rsid w:val="00DD03EB"/>
    <w:rsid w:val="00DD0656"/>
    <w:rsid w:val="00DD06DB"/>
    <w:rsid w:val="00DD0C7D"/>
    <w:rsid w:val="00DD0EBF"/>
    <w:rsid w:val="00DD134A"/>
    <w:rsid w:val="00DD160B"/>
    <w:rsid w:val="00DD1614"/>
    <w:rsid w:val="00DD1711"/>
    <w:rsid w:val="00DD1AA5"/>
    <w:rsid w:val="00DD1B84"/>
    <w:rsid w:val="00DD1D46"/>
    <w:rsid w:val="00DD1FB7"/>
    <w:rsid w:val="00DD2090"/>
    <w:rsid w:val="00DD2095"/>
    <w:rsid w:val="00DD22F2"/>
    <w:rsid w:val="00DD2645"/>
    <w:rsid w:val="00DD26D2"/>
    <w:rsid w:val="00DD27C4"/>
    <w:rsid w:val="00DD27CA"/>
    <w:rsid w:val="00DD28C1"/>
    <w:rsid w:val="00DD2971"/>
    <w:rsid w:val="00DD2BA0"/>
    <w:rsid w:val="00DD2C86"/>
    <w:rsid w:val="00DD2D56"/>
    <w:rsid w:val="00DD2EB9"/>
    <w:rsid w:val="00DD2EC6"/>
    <w:rsid w:val="00DD2F94"/>
    <w:rsid w:val="00DD310E"/>
    <w:rsid w:val="00DD3172"/>
    <w:rsid w:val="00DD33C3"/>
    <w:rsid w:val="00DD346B"/>
    <w:rsid w:val="00DD35CD"/>
    <w:rsid w:val="00DD38B0"/>
    <w:rsid w:val="00DD3974"/>
    <w:rsid w:val="00DD3AE5"/>
    <w:rsid w:val="00DD3D95"/>
    <w:rsid w:val="00DD3DDE"/>
    <w:rsid w:val="00DD3E34"/>
    <w:rsid w:val="00DD3E9E"/>
    <w:rsid w:val="00DD3F95"/>
    <w:rsid w:val="00DD3FC5"/>
    <w:rsid w:val="00DD407A"/>
    <w:rsid w:val="00DD40BE"/>
    <w:rsid w:val="00DD40DA"/>
    <w:rsid w:val="00DD4132"/>
    <w:rsid w:val="00DD414F"/>
    <w:rsid w:val="00DD42F6"/>
    <w:rsid w:val="00DD4877"/>
    <w:rsid w:val="00DD4AA8"/>
    <w:rsid w:val="00DD4F10"/>
    <w:rsid w:val="00DD4F4F"/>
    <w:rsid w:val="00DD519E"/>
    <w:rsid w:val="00DD5278"/>
    <w:rsid w:val="00DD53A7"/>
    <w:rsid w:val="00DD574F"/>
    <w:rsid w:val="00DD57A4"/>
    <w:rsid w:val="00DD57F4"/>
    <w:rsid w:val="00DD58EE"/>
    <w:rsid w:val="00DD5995"/>
    <w:rsid w:val="00DD5A0A"/>
    <w:rsid w:val="00DD5B49"/>
    <w:rsid w:val="00DD5B4E"/>
    <w:rsid w:val="00DD61DC"/>
    <w:rsid w:val="00DD6473"/>
    <w:rsid w:val="00DD64E2"/>
    <w:rsid w:val="00DD65EF"/>
    <w:rsid w:val="00DD6624"/>
    <w:rsid w:val="00DD6847"/>
    <w:rsid w:val="00DD6C7E"/>
    <w:rsid w:val="00DD6CA2"/>
    <w:rsid w:val="00DD6D31"/>
    <w:rsid w:val="00DD6D3C"/>
    <w:rsid w:val="00DD6EFC"/>
    <w:rsid w:val="00DD7006"/>
    <w:rsid w:val="00DD7071"/>
    <w:rsid w:val="00DD7205"/>
    <w:rsid w:val="00DD7246"/>
    <w:rsid w:val="00DD751B"/>
    <w:rsid w:val="00DD753F"/>
    <w:rsid w:val="00DD76CF"/>
    <w:rsid w:val="00DD7762"/>
    <w:rsid w:val="00DD77FA"/>
    <w:rsid w:val="00DD789E"/>
    <w:rsid w:val="00DD7AD9"/>
    <w:rsid w:val="00DD7C24"/>
    <w:rsid w:val="00DD7CF3"/>
    <w:rsid w:val="00DD7DBC"/>
    <w:rsid w:val="00DD7E77"/>
    <w:rsid w:val="00DD7EE3"/>
    <w:rsid w:val="00DD7F63"/>
    <w:rsid w:val="00DE0206"/>
    <w:rsid w:val="00DE02A8"/>
    <w:rsid w:val="00DE03F7"/>
    <w:rsid w:val="00DE0492"/>
    <w:rsid w:val="00DE04B4"/>
    <w:rsid w:val="00DE04E7"/>
    <w:rsid w:val="00DE0752"/>
    <w:rsid w:val="00DE0A16"/>
    <w:rsid w:val="00DE0BDF"/>
    <w:rsid w:val="00DE0CD0"/>
    <w:rsid w:val="00DE0D20"/>
    <w:rsid w:val="00DE0DCC"/>
    <w:rsid w:val="00DE0E3D"/>
    <w:rsid w:val="00DE102E"/>
    <w:rsid w:val="00DE115B"/>
    <w:rsid w:val="00DE1274"/>
    <w:rsid w:val="00DE12D8"/>
    <w:rsid w:val="00DE157E"/>
    <w:rsid w:val="00DE15A7"/>
    <w:rsid w:val="00DE1605"/>
    <w:rsid w:val="00DE16E9"/>
    <w:rsid w:val="00DE16FA"/>
    <w:rsid w:val="00DE1777"/>
    <w:rsid w:val="00DE19FE"/>
    <w:rsid w:val="00DE1A69"/>
    <w:rsid w:val="00DE1BE2"/>
    <w:rsid w:val="00DE1D23"/>
    <w:rsid w:val="00DE1F1B"/>
    <w:rsid w:val="00DE1FDF"/>
    <w:rsid w:val="00DE2065"/>
    <w:rsid w:val="00DE218B"/>
    <w:rsid w:val="00DE229B"/>
    <w:rsid w:val="00DE22C4"/>
    <w:rsid w:val="00DE23C0"/>
    <w:rsid w:val="00DE2414"/>
    <w:rsid w:val="00DE2474"/>
    <w:rsid w:val="00DE2576"/>
    <w:rsid w:val="00DE2701"/>
    <w:rsid w:val="00DE272B"/>
    <w:rsid w:val="00DE283B"/>
    <w:rsid w:val="00DE28A5"/>
    <w:rsid w:val="00DE28AD"/>
    <w:rsid w:val="00DE28B1"/>
    <w:rsid w:val="00DE28C0"/>
    <w:rsid w:val="00DE2937"/>
    <w:rsid w:val="00DE2A33"/>
    <w:rsid w:val="00DE2B39"/>
    <w:rsid w:val="00DE2B63"/>
    <w:rsid w:val="00DE2C65"/>
    <w:rsid w:val="00DE2D2E"/>
    <w:rsid w:val="00DE2D73"/>
    <w:rsid w:val="00DE2E36"/>
    <w:rsid w:val="00DE3008"/>
    <w:rsid w:val="00DE30EB"/>
    <w:rsid w:val="00DE3102"/>
    <w:rsid w:val="00DE313A"/>
    <w:rsid w:val="00DE3229"/>
    <w:rsid w:val="00DE3252"/>
    <w:rsid w:val="00DE326A"/>
    <w:rsid w:val="00DE3318"/>
    <w:rsid w:val="00DE334C"/>
    <w:rsid w:val="00DE338E"/>
    <w:rsid w:val="00DE3398"/>
    <w:rsid w:val="00DE33C1"/>
    <w:rsid w:val="00DE3479"/>
    <w:rsid w:val="00DE3684"/>
    <w:rsid w:val="00DE36F7"/>
    <w:rsid w:val="00DE37BC"/>
    <w:rsid w:val="00DE384A"/>
    <w:rsid w:val="00DE3A4D"/>
    <w:rsid w:val="00DE3A71"/>
    <w:rsid w:val="00DE3AD4"/>
    <w:rsid w:val="00DE3BA4"/>
    <w:rsid w:val="00DE3C5E"/>
    <w:rsid w:val="00DE3FA0"/>
    <w:rsid w:val="00DE4032"/>
    <w:rsid w:val="00DE405E"/>
    <w:rsid w:val="00DE413E"/>
    <w:rsid w:val="00DE4331"/>
    <w:rsid w:val="00DE4568"/>
    <w:rsid w:val="00DE459E"/>
    <w:rsid w:val="00DE4663"/>
    <w:rsid w:val="00DE468E"/>
    <w:rsid w:val="00DE4795"/>
    <w:rsid w:val="00DE4798"/>
    <w:rsid w:val="00DE47F1"/>
    <w:rsid w:val="00DE4933"/>
    <w:rsid w:val="00DE49E2"/>
    <w:rsid w:val="00DE4A34"/>
    <w:rsid w:val="00DE4B17"/>
    <w:rsid w:val="00DE4B60"/>
    <w:rsid w:val="00DE4BCD"/>
    <w:rsid w:val="00DE4E30"/>
    <w:rsid w:val="00DE4F92"/>
    <w:rsid w:val="00DE51EC"/>
    <w:rsid w:val="00DE5211"/>
    <w:rsid w:val="00DE5255"/>
    <w:rsid w:val="00DE53DB"/>
    <w:rsid w:val="00DE5423"/>
    <w:rsid w:val="00DE5559"/>
    <w:rsid w:val="00DE563B"/>
    <w:rsid w:val="00DE5A48"/>
    <w:rsid w:val="00DE5AFC"/>
    <w:rsid w:val="00DE5BC7"/>
    <w:rsid w:val="00DE5D45"/>
    <w:rsid w:val="00DE5DA2"/>
    <w:rsid w:val="00DE5E1D"/>
    <w:rsid w:val="00DE5F34"/>
    <w:rsid w:val="00DE5F7B"/>
    <w:rsid w:val="00DE5FF1"/>
    <w:rsid w:val="00DE6009"/>
    <w:rsid w:val="00DE6088"/>
    <w:rsid w:val="00DE60E5"/>
    <w:rsid w:val="00DE6179"/>
    <w:rsid w:val="00DE62E0"/>
    <w:rsid w:val="00DE6304"/>
    <w:rsid w:val="00DE634D"/>
    <w:rsid w:val="00DE6436"/>
    <w:rsid w:val="00DE6565"/>
    <w:rsid w:val="00DE6633"/>
    <w:rsid w:val="00DE66EB"/>
    <w:rsid w:val="00DE6779"/>
    <w:rsid w:val="00DE6828"/>
    <w:rsid w:val="00DE68B1"/>
    <w:rsid w:val="00DE69B0"/>
    <w:rsid w:val="00DE6A2F"/>
    <w:rsid w:val="00DE6ADD"/>
    <w:rsid w:val="00DE6AE1"/>
    <w:rsid w:val="00DE6B69"/>
    <w:rsid w:val="00DE6C30"/>
    <w:rsid w:val="00DE6CA5"/>
    <w:rsid w:val="00DE6D17"/>
    <w:rsid w:val="00DE6D70"/>
    <w:rsid w:val="00DE6DF2"/>
    <w:rsid w:val="00DE6E24"/>
    <w:rsid w:val="00DE6F42"/>
    <w:rsid w:val="00DE721C"/>
    <w:rsid w:val="00DE7229"/>
    <w:rsid w:val="00DE7242"/>
    <w:rsid w:val="00DE729E"/>
    <w:rsid w:val="00DE730C"/>
    <w:rsid w:val="00DE7312"/>
    <w:rsid w:val="00DE738B"/>
    <w:rsid w:val="00DE7565"/>
    <w:rsid w:val="00DE7576"/>
    <w:rsid w:val="00DE78B1"/>
    <w:rsid w:val="00DE78E3"/>
    <w:rsid w:val="00DE7A24"/>
    <w:rsid w:val="00DE7B22"/>
    <w:rsid w:val="00DE7BEE"/>
    <w:rsid w:val="00DE7C88"/>
    <w:rsid w:val="00DE7DA9"/>
    <w:rsid w:val="00DE7E9D"/>
    <w:rsid w:val="00DE7ED7"/>
    <w:rsid w:val="00DE7F4B"/>
    <w:rsid w:val="00DE7FC8"/>
    <w:rsid w:val="00DF00C0"/>
    <w:rsid w:val="00DF030F"/>
    <w:rsid w:val="00DF048D"/>
    <w:rsid w:val="00DF063F"/>
    <w:rsid w:val="00DF06FD"/>
    <w:rsid w:val="00DF0768"/>
    <w:rsid w:val="00DF07FD"/>
    <w:rsid w:val="00DF084B"/>
    <w:rsid w:val="00DF09B1"/>
    <w:rsid w:val="00DF0A28"/>
    <w:rsid w:val="00DF0AD8"/>
    <w:rsid w:val="00DF0AEF"/>
    <w:rsid w:val="00DF0BD6"/>
    <w:rsid w:val="00DF0E46"/>
    <w:rsid w:val="00DF0E50"/>
    <w:rsid w:val="00DF0F9A"/>
    <w:rsid w:val="00DF11DE"/>
    <w:rsid w:val="00DF135C"/>
    <w:rsid w:val="00DF1395"/>
    <w:rsid w:val="00DF1462"/>
    <w:rsid w:val="00DF1490"/>
    <w:rsid w:val="00DF14C5"/>
    <w:rsid w:val="00DF15A3"/>
    <w:rsid w:val="00DF1663"/>
    <w:rsid w:val="00DF17F8"/>
    <w:rsid w:val="00DF190C"/>
    <w:rsid w:val="00DF1A53"/>
    <w:rsid w:val="00DF1B19"/>
    <w:rsid w:val="00DF1CBF"/>
    <w:rsid w:val="00DF1CD9"/>
    <w:rsid w:val="00DF1D6C"/>
    <w:rsid w:val="00DF1DDA"/>
    <w:rsid w:val="00DF1E43"/>
    <w:rsid w:val="00DF1E56"/>
    <w:rsid w:val="00DF1EBA"/>
    <w:rsid w:val="00DF1F19"/>
    <w:rsid w:val="00DF1F6A"/>
    <w:rsid w:val="00DF20F7"/>
    <w:rsid w:val="00DF215D"/>
    <w:rsid w:val="00DF23EC"/>
    <w:rsid w:val="00DF246B"/>
    <w:rsid w:val="00DF256D"/>
    <w:rsid w:val="00DF2730"/>
    <w:rsid w:val="00DF292B"/>
    <w:rsid w:val="00DF29F3"/>
    <w:rsid w:val="00DF2A7E"/>
    <w:rsid w:val="00DF2AAA"/>
    <w:rsid w:val="00DF2C94"/>
    <w:rsid w:val="00DF2DE3"/>
    <w:rsid w:val="00DF2E99"/>
    <w:rsid w:val="00DF34C7"/>
    <w:rsid w:val="00DF357A"/>
    <w:rsid w:val="00DF365B"/>
    <w:rsid w:val="00DF394B"/>
    <w:rsid w:val="00DF3980"/>
    <w:rsid w:val="00DF39DD"/>
    <w:rsid w:val="00DF3B2A"/>
    <w:rsid w:val="00DF3E06"/>
    <w:rsid w:val="00DF3EC5"/>
    <w:rsid w:val="00DF3EEF"/>
    <w:rsid w:val="00DF3F1E"/>
    <w:rsid w:val="00DF4281"/>
    <w:rsid w:val="00DF4329"/>
    <w:rsid w:val="00DF4443"/>
    <w:rsid w:val="00DF448C"/>
    <w:rsid w:val="00DF455A"/>
    <w:rsid w:val="00DF47E6"/>
    <w:rsid w:val="00DF481B"/>
    <w:rsid w:val="00DF4991"/>
    <w:rsid w:val="00DF4B08"/>
    <w:rsid w:val="00DF4B31"/>
    <w:rsid w:val="00DF4D2F"/>
    <w:rsid w:val="00DF4E3E"/>
    <w:rsid w:val="00DF53E8"/>
    <w:rsid w:val="00DF549E"/>
    <w:rsid w:val="00DF555E"/>
    <w:rsid w:val="00DF569A"/>
    <w:rsid w:val="00DF57B8"/>
    <w:rsid w:val="00DF57D9"/>
    <w:rsid w:val="00DF5896"/>
    <w:rsid w:val="00DF58B0"/>
    <w:rsid w:val="00DF58BB"/>
    <w:rsid w:val="00DF5990"/>
    <w:rsid w:val="00DF59BE"/>
    <w:rsid w:val="00DF5BFB"/>
    <w:rsid w:val="00DF5CA6"/>
    <w:rsid w:val="00DF5DD1"/>
    <w:rsid w:val="00DF5E3D"/>
    <w:rsid w:val="00DF5EF6"/>
    <w:rsid w:val="00DF5F44"/>
    <w:rsid w:val="00DF6033"/>
    <w:rsid w:val="00DF60A6"/>
    <w:rsid w:val="00DF60B9"/>
    <w:rsid w:val="00DF6114"/>
    <w:rsid w:val="00DF618F"/>
    <w:rsid w:val="00DF6299"/>
    <w:rsid w:val="00DF635E"/>
    <w:rsid w:val="00DF63B7"/>
    <w:rsid w:val="00DF6490"/>
    <w:rsid w:val="00DF65B2"/>
    <w:rsid w:val="00DF666B"/>
    <w:rsid w:val="00DF6946"/>
    <w:rsid w:val="00DF6A58"/>
    <w:rsid w:val="00DF6B35"/>
    <w:rsid w:val="00DF6BA7"/>
    <w:rsid w:val="00DF6CEF"/>
    <w:rsid w:val="00DF6D83"/>
    <w:rsid w:val="00DF6EC5"/>
    <w:rsid w:val="00DF6F1B"/>
    <w:rsid w:val="00DF7137"/>
    <w:rsid w:val="00DF73E2"/>
    <w:rsid w:val="00DF7477"/>
    <w:rsid w:val="00DF75F7"/>
    <w:rsid w:val="00DF77D4"/>
    <w:rsid w:val="00DF77F8"/>
    <w:rsid w:val="00DF783C"/>
    <w:rsid w:val="00DF7956"/>
    <w:rsid w:val="00DF798E"/>
    <w:rsid w:val="00DF7A40"/>
    <w:rsid w:val="00DF7ABD"/>
    <w:rsid w:val="00DF7D51"/>
    <w:rsid w:val="00DF7E01"/>
    <w:rsid w:val="00DF7EA2"/>
    <w:rsid w:val="00DF7EC4"/>
    <w:rsid w:val="00DF7F30"/>
    <w:rsid w:val="00DF7F82"/>
    <w:rsid w:val="00E000B7"/>
    <w:rsid w:val="00E00157"/>
    <w:rsid w:val="00E00175"/>
    <w:rsid w:val="00E00212"/>
    <w:rsid w:val="00E002F4"/>
    <w:rsid w:val="00E00615"/>
    <w:rsid w:val="00E00694"/>
    <w:rsid w:val="00E00888"/>
    <w:rsid w:val="00E008B8"/>
    <w:rsid w:val="00E008E0"/>
    <w:rsid w:val="00E00971"/>
    <w:rsid w:val="00E00987"/>
    <w:rsid w:val="00E00AA3"/>
    <w:rsid w:val="00E00B99"/>
    <w:rsid w:val="00E00C0C"/>
    <w:rsid w:val="00E01036"/>
    <w:rsid w:val="00E010CD"/>
    <w:rsid w:val="00E011A5"/>
    <w:rsid w:val="00E011D3"/>
    <w:rsid w:val="00E01521"/>
    <w:rsid w:val="00E01525"/>
    <w:rsid w:val="00E0153E"/>
    <w:rsid w:val="00E0158B"/>
    <w:rsid w:val="00E01793"/>
    <w:rsid w:val="00E01856"/>
    <w:rsid w:val="00E018F1"/>
    <w:rsid w:val="00E0191A"/>
    <w:rsid w:val="00E01A12"/>
    <w:rsid w:val="00E01AA3"/>
    <w:rsid w:val="00E01C5C"/>
    <w:rsid w:val="00E01DCA"/>
    <w:rsid w:val="00E01E55"/>
    <w:rsid w:val="00E022A1"/>
    <w:rsid w:val="00E0237F"/>
    <w:rsid w:val="00E0243C"/>
    <w:rsid w:val="00E0244C"/>
    <w:rsid w:val="00E02756"/>
    <w:rsid w:val="00E02772"/>
    <w:rsid w:val="00E027D6"/>
    <w:rsid w:val="00E028CE"/>
    <w:rsid w:val="00E02AF9"/>
    <w:rsid w:val="00E02B5B"/>
    <w:rsid w:val="00E02BB0"/>
    <w:rsid w:val="00E02C24"/>
    <w:rsid w:val="00E02D0E"/>
    <w:rsid w:val="00E02D64"/>
    <w:rsid w:val="00E02DC1"/>
    <w:rsid w:val="00E02ECB"/>
    <w:rsid w:val="00E0302D"/>
    <w:rsid w:val="00E030F8"/>
    <w:rsid w:val="00E03439"/>
    <w:rsid w:val="00E0343C"/>
    <w:rsid w:val="00E03672"/>
    <w:rsid w:val="00E037C3"/>
    <w:rsid w:val="00E037D5"/>
    <w:rsid w:val="00E03866"/>
    <w:rsid w:val="00E03A92"/>
    <w:rsid w:val="00E03B1D"/>
    <w:rsid w:val="00E03B8D"/>
    <w:rsid w:val="00E03BD5"/>
    <w:rsid w:val="00E03C3B"/>
    <w:rsid w:val="00E03E15"/>
    <w:rsid w:val="00E03E2C"/>
    <w:rsid w:val="00E03E4A"/>
    <w:rsid w:val="00E041B1"/>
    <w:rsid w:val="00E0429E"/>
    <w:rsid w:val="00E042C1"/>
    <w:rsid w:val="00E04367"/>
    <w:rsid w:val="00E043E1"/>
    <w:rsid w:val="00E0453D"/>
    <w:rsid w:val="00E046C6"/>
    <w:rsid w:val="00E04855"/>
    <w:rsid w:val="00E048BB"/>
    <w:rsid w:val="00E04B41"/>
    <w:rsid w:val="00E04BEE"/>
    <w:rsid w:val="00E04DEA"/>
    <w:rsid w:val="00E04ECC"/>
    <w:rsid w:val="00E05051"/>
    <w:rsid w:val="00E05156"/>
    <w:rsid w:val="00E05199"/>
    <w:rsid w:val="00E053B7"/>
    <w:rsid w:val="00E053C1"/>
    <w:rsid w:val="00E054D2"/>
    <w:rsid w:val="00E054F4"/>
    <w:rsid w:val="00E05572"/>
    <w:rsid w:val="00E05687"/>
    <w:rsid w:val="00E057AF"/>
    <w:rsid w:val="00E05828"/>
    <w:rsid w:val="00E0595A"/>
    <w:rsid w:val="00E0595E"/>
    <w:rsid w:val="00E05B05"/>
    <w:rsid w:val="00E05C14"/>
    <w:rsid w:val="00E05C15"/>
    <w:rsid w:val="00E05D8B"/>
    <w:rsid w:val="00E05DE4"/>
    <w:rsid w:val="00E05EC4"/>
    <w:rsid w:val="00E05FA6"/>
    <w:rsid w:val="00E060D4"/>
    <w:rsid w:val="00E0640C"/>
    <w:rsid w:val="00E06495"/>
    <w:rsid w:val="00E066BF"/>
    <w:rsid w:val="00E0676D"/>
    <w:rsid w:val="00E06783"/>
    <w:rsid w:val="00E069A3"/>
    <w:rsid w:val="00E06A14"/>
    <w:rsid w:val="00E06A16"/>
    <w:rsid w:val="00E06AAE"/>
    <w:rsid w:val="00E06B8B"/>
    <w:rsid w:val="00E06C62"/>
    <w:rsid w:val="00E07149"/>
    <w:rsid w:val="00E072FA"/>
    <w:rsid w:val="00E07430"/>
    <w:rsid w:val="00E0748A"/>
    <w:rsid w:val="00E074C5"/>
    <w:rsid w:val="00E0773E"/>
    <w:rsid w:val="00E077E3"/>
    <w:rsid w:val="00E077FF"/>
    <w:rsid w:val="00E07871"/>
    <w:rsid w:val="00E078ED"/>
    <w:rsid w:val="00E07B26"/>
    <w:rsid w:val="00E07ECD"/>
    <w:rsid w:val="00E07FD8"/>
    <w:rsid w:val="00E100ED"/>
    <w:rsid w:val="00E101BD"/>
    <w:rsid w:val="00E1024C"/>
    <w:rsid w:val="00E1025C"/>
    <w:rsid w:val="00E10364"/>
    <w:rsid w:val="00E10639"/>
    <w:rsid w:val="00E10888"/>
    <w:rsid w:val="00E108D5"/>
    <w:rsid w:val="00E10BB9"/>
    <w:rsid w:val="00E10C56"/>
    <w:rsid w:val="00E10E3D"/>
    <w:rsid w:val="00E10EC1"/>
    <w:rsid w:val="00E11032"/>
    <w:rsid w:val="00E1130F"/>
    <w:rsid w:val="00E1131C"/>
    <w:rsid w:val="00E11415"/>
    <w:rsid w:val="00E11564"/>
    <w:rsid w:val="00E115BD"/>
    <w:rsid w:val="00E11782"/>
    <w:rsid w:val="00E117C4"/>
    <w:rsid w:val="00E1182D"/>
    <w:rsid w:val="00E11884"/>
    <w:rsid w:val="00E11A48"/>
    <w:rsid w:val="00E11ADB"/>
    <w:rsid w:val="00E11C53"/>
    <w:rsid w:val="00E11D2B"/>
    <w:rsid w:val="00E11D87"/>
    <w:rsid w:val="00E122AD"/>
    <w:rsid w:val="00E12415"/>
    <w:rsid w:val="00E1243B"/>
    <w:rsid w:val="00E12451"/>
    <w:rsid w:val="00E124FD"/>
    <w:rsid w:val="00E12535"/>
    <w:rsid w:val="00E1254E"/>
    <w:rsid w:val="00E125D1"/>
    <w:rsid w:val="00E1262D"/>
    <w:rsid w:val="00E1267D"/>
    <w:rsid w:val="00E12719"/>
    <w:rsid w:val="00E12726"/>
    <w:rsid w:val="00E12838"/>
    <w:rsid w:val="00E12986"/>
    <w:rsid w:val="00E12A0C"/>
    <w:rsid w:val="00E12A1D"/>
    <w:rsid w:val="00E12CFA"/>
    <w:rsid w:val="00E12D5B"/>
    <w:rsid w:val="00E12E18"/>
    <w:rsid w:val="00E12E81"/>
    <w:rsid w:val="00E12FCE"/>
    <w:rsid w:val="00E130A4"/>
    <w:rsid w:val="00E130D3"/>
    <w:rsid w:val="00E1332C"/>
    <w:rsid w:val="00E13424"/>
    <w:rsid w:val="00E134E3"/>
    <w:rsid w:val="00E1362B"/>
    <w:rsid w:val="00E13662"/>
    <w:rsid w:val="00E1369C"/>
    <w:rsid w:val="00E1377B"/>
    <w:rsid w:val="00E137EC"/>
    <w:rsid w:val="00E138A0"/>
    <w:rsid w:val="00E13E55"/>
    <w:rsid w:val="00E13F5C"/>
    <w:rsid w:val="00E140E7"/>
    <w:rsid w:val="00E14121"/>
    <w:rsid w:val="00E142D4"/>
    <w:rsid w:val="00E1438F"/>
    <w:rsid w:val="00E143A1"/>
    <w:rsid w:val="00E144C5"/>
    <w:rsid w:val="00E14554"/>
    <w:rsid w:val="00E1462F"/>
    <w:rsid w:val="00E14875"/>
    <w:rsid w:val="00E14884"/>
    <w:rsid w:val="00E14A63"/>
    <w:rsid w:val="00E14B7E"/>
    <w:rsid w:val="00E14CF7"/>
    <w:rsid w:val="00E14D7F"/>
    <w:rsid w:val="00E1505B"/>
    <w:rsid w:val="00E15194"/>
    <w:rsid w:val="00E1535E"/>
    <w:rsid w:val="00E1548F"/>
    <w:rsid w:val="00E156E8"/>
    <w:rsid w:val="00E1587E"/>
    <w:rsid w:val="00E158B1"/>
    <w:rsid w:val="00E15A2F"/>
    <w:rsid w:val="00E15BD0"/>
    <w:rsid w:val="00E15C13"/>
    <w:rsid w:val="00E15C43"/>
    <w:rsid w:val="00E15DC4"/>
    <w:rsid w:val="00E15F0C"/>
    <w:rsid w:val="00E1612A"/>
    <w:rsid w:val="00E1617C"/>
    <w:rsid w:val="00E16184"/>
    <w:rsid w:val="00E1620B"/>
    <w:rsid w:val="00E16213"/>
    <w:rsid w:val="00E162AA"/>
    <w:rsid w:val="00E16305"/>
    <w:rsid w:val="00E1640F"/>
    <w:rsid w:val="00E16426"/>
    <w:rsid w:val="00E1647B"/>
    <w:rsid w:val="00E1650F"/>
    <w:rsid w:val="00E16571"/>
    <w:rsid w:val="00E165EF"/>
    <w:rsid w:val="00E16A59"/>
    <w:rsid w:val="00E16BB4"/>
    <w:rsid w:val="00E16CD4"/>
    <w:rsid w:val="00E16D40"/>
    <w:rsid w:val="00E170DB"/>
    <w:rsid w:val="00E174C0"/>
    <w:rsid w:val="00E174D6"/>
    <w:rsid w:val="00E17686"/>
    <w:rsid w:val="00E176ED"/>
    <w:rsid w:val="00E1771D"/>
    <w:rsid w:val="00E17767"/>
    <w:rsid w:val="00E1783B"/>
    <w:rsid w:val="00E1795F"/>
    <w:rsid w:val="00E17A3B"/>
    <w:rsid w:val="00E17A51"/>
    <w:rsid w:val="00E17C06"/>
    <w:rsid w:val="00E17D29"/>
    <w:rsid w:val="00E17D6B"/>
    <w:rsid w:val="00E202CF"/>
    <w:rsid w:val="00E203AE"/>
    <w:rsid w:val="00E205E7"/>
    <w:rsid w:val="00E205F7"/>
    <w:rsid w:val="00E20A56"/>
    <w:rsid w:val="00E20AE9"/>
    <w:rsid w:val="00E20AF9"/>
    <w:rsid w:val="00E20B42"/>
    <w:rsid w:val="00E20B7B"/>
    <w:rsid w:val="00E20C68"/>
    <w:rsid w:val="00E20D82"/>
    <w:rsid w:val="00E20E6E"/>
    <w:rsid w:val="00E21012"/>
    <w:rsid w:val="00E2103B"/>
    <w:rsid w:val="00E2104C"/>
    <w:rsid w:val="00E21181"/>
    <w:rsid w:val="00E21190"/>
    <w:rsid w:val="00E211D8"/>
    <w:rsid w:val="00E2120D"/>
    <w:rsid w:val="00E213C7"/>
    <w:rsid w:val="00E2146C"/>
    <w:rsid w:val="00E21824"/>
    <w:rsid w:val="00E2183D"/>
    <w:rsid w:val="00E2190A"/>
    <w:rsid w:val="00E219B4"/>
    <w:rsid w:val="00E219F4"/>
    <w:rsid w:val="00E21BA4"/>
    <w:rsid w:val="00E21D27"/>
    <w:rsid w:val="00E21E96"/>
    <w:rsid w:val="00E22197"/>
    <w:rsid w:val="00E2229C"/>
    <w:rsid w:val="00E222DF"/>
    <w:rsid w:val="00E222E5"/>
    <w:rsid w:val="00E22344"/>
    <w:rsid w:val="00E2255D"/>
    <w:rsid w:val="00E22665"/>
    <w:rsid w:val="00E2299B"/>
    <w:rsid w:val="00E22ADA"/>
    <w:rsid w:val="00E22AFE"/>
    <w:rsid w:val="00E22B6F"/>
    <w:rsid w:val="00E22C45"/>
    <w:rsid w:val="00E22E35"/>
    <w:rsid w:val="00E22F0C"/>
    <w:rsid w:val="00E22FE2"/>
    <w:rsid w:val="00E230A4"/>
    <w:rsid w:val="00E230ED"/>
    <w:rsid w:val="00E23118"/>
    <w:rsid w:val="00E231E5"/>
    <w:rsid w:val="00E23238"/>
    <w:rsid w:val="00E233BD"/>
    <w:rsid w:val="00E2346B"/>
    <w:rsid w:val="00E2364E"/>
    <w:rsid w:val="00E23664"/>
    <w:rsid w:val="00E23680"/>
    <w:rsid w:val="00E237B2"/>
    <w:rsid w:val="00E23866"/>
    <w:rsid w:val="00E239D2"/>
    <w:rsid w:val="00E23A93"/>
    <w:rsid w:val="00E23ABA"/>
    <w:rsid w:val="00E23AD0"/>
    <w:rsid w:val="00E23B0E"/>
    <w:rsid w:val="00E23B7B"/>
    <w:rsid w:val="00E23C74"/>
    <w:rsid w:val="00E23D70"/>
    <w:rsid w:val="00E23DAC"/>
    <w:rsid w:val="00E23DAE"/>
    <w:rsid w:val="00E23E4A"/>
    <w:rsid w:val="00E23F3C"/>
    <w:rsid w:val="00E23F8A"/>
    <w:rsid w:val="00E23FCD"/>
    <w:rsid w:val="00E24040"/>
    <w:rsid w:val="00E242B3"/>
    <w:rsid w:val="00E24356"/>
    <w:rsid w:val="00E24400"/>
    <w:rsid w:val="00E24464"/>
    <w:rsid w:val="00E244F3"/>
    <w:rsid w:val="00E245FE"/>
    <w:rsid w:val="00E2472D"/>
    <w:rsid w:val="00E2496B"/>
    <w:rsid w:val="00E24B63"/>
    <w:rsid w:val="00E24C06"/>
    <w:rsid w:val="00E24DC0"/>
    <w:rsid w:val="00E25080"/>
    <w:rsid w:val="00E2513E"/>
    <w:rsid w:val="00E252DD"/>
    <w:rsid w:val="00E25474"/>
    <w:rsid w:val="00E2552F"/>
    <w:rsid w:val="00E256A6"/>
    <w:rsid w:val="00E2583D"/>
    <w:rsid w:val="00E259A4"/>
    <w:rsid w:val="00E25F00"/>
    <w:rsid w:val="00E25F55"/>
    <w:rsid w:val="00E25FA7"/>
    <w:rsid w:val="00E26055"/>
    <w:rsid w:val="00E26970"/>
    <w:rsid w:val="00E26C82"/>
    <w:rsid w:val="00E26D20"/>
    <w:rsid w:val="00E26DD5"/>
    <w:rsid w:val="00E26E0C"/>
    <w:rsid w:val="00E26FCB"/>
    <w:rsid w:val="00E2721F"/>
    <w:rsid w:val="00E27315"/>
    <w:rsid w:val="00E27767"/>
    <w:rsid w:val="00E27855"/>
    <w:rsid w:val="00E278CD"/>
    <w:rsid w:val="00E27A8A"/>
    <w:rsid w:val="00E27AB2"/>
    <w:rsid w:val="00E27AC0"/>
    <w:rsid w:val="00E27C7E"/>
    <w:rsid w:val="00E27ECE"/>
    <w:rsid w:val="00E27F59"/>
    <w:rsid w:val="00E27F6C"/>
    <w:rsid w:val="00E3001D"/>
    <w:rsid w:val="00E30175"/>
    <w:rsid w:val="00E30202"/>
    <w:rsid w:val="00E302B7"/>
    <w:rsid w:val="00E302BC"/>
    <w:rsid w:val="00E302E6"/>
    <w:rsid w:val="00E304F5"/>
    <w:rsid w:val="00E304FA"/>
    <w:rsid w:val="00E30656"/>
    <w:rsid w:val="00E306C2"/>
    <w:rsid w:val="00E3076A"/>
    <w:rsid w:val="00E3088A"/>
    <w:rsid w:val="00E309DF"/>
    <w:rsid w:val="00E30A96"/>
    <w:rsid w:val="00E30AEE"/>
    <w:rsid w:val="00E30BD5"/>
    <w:rsid w:val="00E30C2E"/>
    <w:rsid w:val="00E30C67"/>
    <w:rsid w:val="00E30C9D"/>
    <w:rsid w:val="00E30EDA"/>
    <w:rsid w:val="00E30F53"/>
    <w:rsid w:val="00E30FD5"/>
    <w:rsid w:val="00E31028"/>
    <w:rsid w:val="00E310A8"/>
    <w:rsid w:val="00E310EB"/>
    <w:rsid w:val="00E31479"/>
    <w:rsid w:val="00E315DB"/>
    <w:rsid w:val="00E31716"/>
    <w:rsid w:val="00E31760"/>
    <w:rsid w:val="00E31798"/>
    <w:rsid w:val="00E31799"/>
    <w:rsid w:val="00E317B5"/>
    <w:rsid w:val="00E31808"/>
    <w:rsid w:val="00E3184A"/>
    <w:rsid w:val="00E319FB"/>
    <w:rsid w:val="00E31A4C"/>
    <w:rsid w:val="00E31A89"/>
    <w:rsid w:val="00E31BFA"/>
    <w:rsid w:val="00E31C04"/>
    <w:rsid w:val="00E31DC1"/>
    <w:rsid w:val="00E31E98"/>
    <w:rsid w:val="00E31F19"/>
    <w:rsid w:val="00E31FD1"/>
    <w:rsid w:val="00E3208C"/>
    <w:rsid w:val="00E32238"/>
    <w:rsid w:val="00E322C4"/>
    <w:rsid w:val="00E32339"/>
    <w:rsid w:val="00E32540"/>
    <w:rsid w:val="00E325EA"/>
    <w:rsid w:val="00E325F5"/>
    <w:rsid w:val="00E32756"/>
    <w:rsid w:val="00E32759"/>
    <w:rsid w:val="00E32966"/>
    <w:rsid w:val="00E3296C"/>
    <w:rsid w:val="00E32AC9"/>
    <w:rsid w:val="00E32B54"/>
    <w:rsid w:val="00E32BA0"/>
    <w:rsid w:val="00E32C26"/>
    <w:rsid w:val="00E32CE7"/>
    <w:rsid w:val="00E32EDF"/>
    <w:rsid w:val="00E32EE5"/>
    <w:rsid w:val="00E32F8C"/>
    <w:rsid w:val="00E32F93"/>
    <w:rsid w:val="00E32F97"/>
    <w:rsid w:val="00E330C1"/>
    <w:rsid w:val="00E331C9"/>
    <w:rsid w:val="00E335A0"/>
    <w:rsid w:val="00E33680"/>
    <w:rsid w:val="00E3382D"/>
    <w:rsid w:val="00E33995"/>
    <w:rsid w:val="00E339C8"/>
    <w:rsid w:val="00E339CC"/>
    <w:rsid w:val="00E33B3E"/>
    <w:rsid w:val="00E33B7E"/>
    <w:rsid w:val="00E33C0C"/>
    <w:rsid w:val="00E33E74"/>
    <w:rsid w:val="00E33EB1"/>
    <w:rsid w:val="00E34127"/>
    <w:rsid w:val="00E34139"/>
    <w:rsid w:val="00E34264"/>
    <w:rsid w:val="00E3429B"/>
    <w:rsid w:val="00E3436D"/>
    <w:rsid w:val="00E343C0"/>
    <w:rsid w:val="00E34AF3"/>
    <w:rsid w:val="00E34C3E"/>
    <w:rsid w:val="00E34DC5"/>
    <w:rsid w:val="00E34E8E"/>
    <w:rsid w:val="00E34EF4"/>
    <w:rsid w:val="00E34F37"/>
    <w:rsid w:val="00E34FA3"/>
    <w:rsid w:val="00E35029"/>
    <w:rsid w:val="00E35108"/>
    <w:rsid w:val="00E351B5"/>
    <w:rsid w:val="00E3528A"/>
    <w:rsid w:val="00E352FD"/>
    <w:rsid w:val="00E3532F"/>
    <w:rsid w:val="00E35375"/>
    <w:rsid w:val="00E3547D"/>
    <w:rsid w:val="00E35497"/>
    <w:rsid w:val="00E354FE"/>
    <w:rsid w:val="00E35802"/>
    <w:rsid w:val="00E35C12"/>
    <w:rsid w:val="00E35F00"/>
    <w:rsid w:val="00E36160"/>
    <w:rsid w:val="00E3625F"/>
    <w:rsid w:val="00E362AD"/>
    <w:rsid w:val="00E362FA"/>
    <w:rsid w:val="00E363A4"/>
    <w:rsid w:val="00E36664"/>
    <w:rsid w:val="00E3670A"/>
    <w:rsid w:val="00E36770"/>
    <w:rsid w:val="00E367EA"/>
    <w:rsid w:val="00E368F4"/>
    <w:rsid w:val="00E36A18"/>
    <w:rsid w:val="00E36A23"/>
    <w:rsid w:val="00E36B29"/>
    <w:rsid w:val="00E36BBB"/>
    <w:rsid w:val="00E36C53"/>
    <w:rsid w:val="00E36C86"/>
    <w:rsid w:val="00E36CAF"/>
    <w:rsid w:val="00E36D91"/>
    <w:rsid w:val="00E36FE1"/>
    <w:rsid w:val="00E370F8"/>
    <w:rsid w:val="00E3719D"/>
    <w:rsid w:val="00E371B1"/>
    <w:rsid w:val="00E37239"/>
    <w:rsid w:val="00E37314"/>
    <w:rsid w:val="00E37453"/>
    <w:rsid w:val="00E374B5"/>
    <w:rsid w:val="00E37510"/>
    <w:rsid w:val="00E37559"/>
    <w:rsid w:val="00E375CD"/>
    <w:rsid w:val="00E375DD"/>
    <w:rsid w:val="00E37608"/>
    <w:rsid w:val="00E37780"/>
    <w:rsid w:val="00E377BA"/>
    <w:rsid w:val="00E37818"/>
    <w:rsid w:val="00E37892"/>
    <w:rsid w:val="00E37965"/>
    <w:rsid w:val="00E379F7"/>
    <w:rsid w:val="00E379FD"/>
    <w:rsid w:val="00E37A75"/>
    <w:rsid w:val="00E37B32"/>
    <w:rsid w:val="00E37B92"/>
    <w:rsid w:val="00E37C3F"/>
    <w:rsid w:val="00E37C6F"/>
    <w:rsid w:val="00E37C8F"/>
    <w:rsid w:val="00E37E4F"/>
    <w:rsid w:val="00E37F12"/>
    <w:rsid w:val="00E40029"/>
    <w:rsid w:val="00E4022F"/>
    <w:rsid w:val="00E4063B"/>
    <w:rsid w:val="00E407D6"/>
    <w:rsid w:val="00E409B4"/>
    <w:rsid w:val="00E40BB8"/>
    <w:rsid w:val="00E40CD7"/>
    <w:rsid w:val="00E4117B"/>
    <w:rsid w:val="00E41305"/>
    <w:rsid w:val="00E4156A"/>
    <w:rsid w:val="00E415A0"/>
    <w:rsid w:val="00E415A5"/>
    <w:rsid w:val="00E4180F"/>
    <w:rsid w:val="00E418C3"/>
    <w:rsid w:val="00E41A4B"/>
    <w:rsid w:val="00E41C66"/>
    <w:rsid w:val="00E41CF2"/>
    <w:rsid w:val="00E41FBE"/>
    <w:rsid w:val="00E41FCE"/>
    <w:rsid w:val="00E4200E"/>
    <w:rsid w:val="00E420B1"/>
    <w:rsid w:val="00E42190"/>
    <w:rsid w:val="00E42327"/>
    <w:rsid w:val="00E42352"/>
    <w:rsid w:val="00E4253D"/>
    <w:rsid w:val="00E4267B"/>
    <w:rsid w:val="00E427A1"/>
    <w:rsid w:val="00E42858"/>
    <w:rsid w:val="00E42906"/>
    <w:rsid w:val="00E4291F"/>
    <w:rsid w:val="00E4297A"/>
    <w:rsid w:val="00E429D8"/>
    <w:rsid w:val="00E42BA0"/>
    <w:rsid w:val="00E42C10"/>
    <w:rsid w:val="00E42ED6"/>
    <w:rsid w:val="00E42F31"/>
    <w:rsid w:val="00E42FE9"/>
    <w:rsid w:val="00E43038"/>
    <w:rsid w:val="00E43177"/>
    <w:rsid w:val="00E431A2"/>
    <w:rsid w:val="00E43241"/>
    <w:rsid w:val="00E43296"/>
    <w:rsid w:val="00E43298"/>
    <w:rsid w:val="00E433ED"/>
    <w:rsid w:val="00E43443"/>
    <w:rsid w:val="00E434B6"/>
    <w:rsid w:val="00E43554"/>
    <w:rsid w:val="00E43711"/>
    <w:rsid w:val="00E4371C"/>
    <w:rsid w:val="00E4386A"/>
    <w:rsid w:val="00E438C7"/>
    <w:rsid w:val="00E43B62"/>
    <w:rsid w:val="00E43B7F"/>
    <w:rsid w:val="00E43CF0"/>
    <w:rsid w:val="00E43ED1"/>
    <w:rsid w:val="00E43F2F"/>
    <w:rsid w:val="00E43F8A"/>
    <w:rsid w:val="00E44060"/>
    <w:rsid w:val="00E440E2"/>
    <w:rsid w:val="00E44147"/>
    <w:rsid w:val="00E44174"/>
    <w:rsid w:val="00E44493"/>
    <w:rsid w:val="00E444BD"/>
    <w:rsid w:val="00E44545"/>
    <w:rsid w:val="00E445A6"/>
    <w:rsid w:val="00E446E2"/>
    <w:rsid w:val="00E44781"/>
    <w:rsid w:val="00E44804"/>
    <w:rsid w:val="00E44B25"/>
    <w:rsid w:val="00E44C3D"/>
    <w:rsid w:val="00E44D90"/>
    <w:rsid w:val="00E44EBC"/>
    <w:rsid w:val="00E450E8"/>
    <w:rsid w:val="00E4515F"/>
    <w:rsid w:val="00E451F5"/>
    <w:rsid w:val="00E45424"/>
    <w:rsid w:val="00E45552"/>
    <w:rsid w:val="00E45568"/>
    <w:rsid w:val="00E455A4"/>
    <w:rsid w:val="00E4570C"/>
    <w:rsid w:val="00E4589E"/>
    <w:rsid w:val="00E4593A"/>
    <w:rsid w:val="00E4598C"/>
    <w:rsid w:val="00E459DC"/>
    <w:rsid w:val="00E45A82"/>
    <w:rsid w:val="00E45B0B"/>
    <w:rsid w:val="00E45B31"/>
    <w:rsid w:val="00E45B9C"/>
    <w:rsid w:val="00E45C2E"/>
    <w:rsid w:val="00E45DA3"/>
    <w:rsid w:val="00E45DC9"/>
    <w:rsid w:val="00E45DF9"/>
    <w:rsid w:val="00E45E9D"/>
    <w:rsid w:val="00E45F92"/>
    <w:rsid w:val="00E460E6"/>
    <w:rsid w:val="00E46280"/>
    <w:rsid w:val="00E46420"/>
    <w:rsid w:val="00E464CF"/>
    <w:rsid w:val="00E465C1"/>
    <w:rsid w:val="00E466D5"/>
    <w:rsid w:val="00E4674F"/>
    <w:rsid w:val="00E46778"/>
    <w:rsid w:val="00E46902"/>
    <w:rsid w:val="00E46CFA"/>
    <w:rsid w:val="00E46D21"/>
    <w:rsid w:val="00E46D25"/>
    <w:rsid w:val="00E46DEA"/>
    <w:rsid w:val="00E46E1E"/>
    <w:rsid w:val="00E46E2F"/>
    <w:rsid w:val="00E46EA1"/>
    <w:rsid w:val="00E47007"/>
    <w:rsid w:val="00E4704F"/>
    <w:rsid w:val="00E470E7"/>
    <w:rsid w:val="00E47107"/>
    <w:rsid w:val="00E473B6"/>
    <w:rsid w:val="00E47430"/>
    <w:rsid w:val="00E47455"/>
    <w:rsid w:val="00E47490"/>
    <w:rsid w:val="00E4774C"/>
    <w:rsid w:val="00E47B6B"/>
    <w:rsid w:val="00E47B7C"/>
    <w:rsid w:val="00E47BE8"/>
    <w:rsid w:val="00E47C85"/>
    <w:rsid w:val="00E47E47"/>
    <w:rsid w:val="00E47E85"/>
    <w:rsid w:val="00E50136"/>
    <w:rsid w:val="00E501BB"/>
    <w:rsid w:val="00E501CA"/>
    <w:rsid w:val="00E5046E"/>
    <w:rsid w:val="00E504F0"/>
    <w:rsid w:val="00E506C3"/>
    <w:rsid w:val="00E50720"/>
    <w:rsid w:val="00E50764"/>
    <w:rsid w:val="00E507B7"/>
    <w:rsid w:val="00E508FF"/>
    <w:rsid w:val="00E509B5"/>
    <w:rsid w:val="00E50A03"/>
    <w:rsid w:val="00E50A5E"/>
    <w:rsid w:val="00E50AC6"/>
    <w:rsid w:val="00E50B40"/>
    <w:rsid w:val="00E50BEC"/>
    <w:rsid w:val="00E50BFF"/>
    <w:rsid w:val="00E50D00"/>
    <w:rsid w:val="00E50DD4"/>
    <w:rsid w:val="00E5102B"/>
    <w:rsid w:val="00E511C2"/>
    <w:rsid w:val="00E514D0"/>
    <w:rsid w:val="00E5151A"/>
    <w:rsid w:val="00E51537"/>
    <w:rsid w:val="00E51546"/>
    <w:rsid w:val="00E515AE"/>
    <w:rsid w:val="00E5168B"/>
    <w:rsid w:val="00E517E5"/>
    <w:rsid w:val="00E51882"/>
    <w:rsid w:val="00E51B7D"/>
    <w:rsid w:val="00E51D49"/>
    <w:rsid w:val="00E51E90"/>
    <w:rsid w:val="00E51F27"/>
    <w:rsid w:val="00E51F6D"/>
    <w:rsid w:val="00E52099"/>
    <w:rsid w:val="00E520F2"/>
    <w:rsid w:val="00E52104"/>
    <w:rsid w:val="00E52792"/>
    <w:rsid w:val="00E527A3"/>
    <w:rsid w:val="00E527E2"/>
    <w:rsid w:val="00E528E9"/>
    <w:rsid w:val="00E5291B"/>
    <w:rsid w:val="00E52989"/>
    <w:rsid w:val="00E529D9"/>
    <w:rsid w:val="00E529DF"/>
    <w:rsid w:val="00E52AC9"/>
    <w:rsid w:val="00E52CA6"/>
    <w:rsid w:val="00E52DF7"/>
    <w:rsid w:val="00E52F17"/>
    <w:rsid w:val="00E52F3B"/>
    <w:rsid w:val="00E5301F"/>
    <w:rsid w:val="00E5316A"/>
    <w:rsid w:val="00E531EA"/>
    <w:rsid w:val="00E5329A"/>
    <w:rsid w:val="00E5335E"/>
    <w:rsid w:val="00E533FF"/>
    <w:rsid w:val="00E5351C"/>
    <w:rsid w:val="00E5367E"/>
    <w:rsid w:val="00E536FC"/>
    <w:rsid w:val="00E53A88"/>
    <w:rsid w:val="00E53B79"/>
    <w:rsid w:val="00E53BB5"/>
    <w:rsid w:val="00E53BDD"/>
    <w:rsid w:val="00E53CD2"/>
    <w:rsid w:val="00E53DFC"/>
    <w:rsid w:val="00E53F8C"/>
    <w:rsid w:val="00E541DC"/>
    <w:rsid w:val="00E542E2"/>
    <w:rsid w:val="00E543FB"/>
    <w:rsid w:val="00E54411"/>
    <w:rsid w:val="00E544C6"/>
    <w:rsid w:val="00E54610"/>
    <w:rsid w:val="00E5464F"/>
    <w:rsid w:val="00E546B6"/>
    <w:rsid w:val="00E546D4"/>
    <w:rsid w:val="00E546E9"/>
    <w:rsid w:val="00E54739"/>
    <w:rsid w:val="00E54846"/>
    <w:rsid w:val="00E54872"/>
    <w:rsid w:val="00E548DF"/>
    <w:rsid w:val="00E5495C"/>
    <w:rsid w:val="00E54963"/>
    <w:rsid w:val="00E549D1"/>
    <w:rsid w:val="00E54A42"/>
    <w:rsid w:val="00E54A8E"/>
    <w:rsid w:val="00E54AA5"/>
    <w:rsid w:val="00E54ACD"/>
    <w:rsid w:val="00E54B2B"/>
    <w:rsid w:val="00E54B74"/>
    <w:rsid w:val="00E54E0F"/>
    <w:rsid w:val="00E54E43"/>
    <w:rsid w:val="00E54F8B"/>
    <w:rsid w:val="00E550B3"/>
    <w:rsid w:val="00E551DC"/>
    <w:rsid w:val="00E552D7"/>
    <w:rsid w:val="00E553AE"/>
    <w:rsid w:val="00E553BA"/>
    <w:rsid w:val="00E55620"/>
    <w:rsid w:val="00E556F9"/>
    <w:rsid w:val="00E55732"/>
    <w:rsid w:val="00E55A1D"/>
    <w:rsid w:val="00E55A4D"/>
    <w:rsid w:val="00E55AD3"/>
    <w:rsid w:val="00E55AFA"/>
    <w:rsid w:val="00E55B0D"/>
    <w:rsid w:val="00E55E4A"/>
    <w:rsid w:val="00E55E83"/>
    <w:rsid w:val="00E55FE6"/>
    <w:rsid w:val="00E5604C"/>
    <w:rsid w:val="00E560B5"/>
    <w:rsid w:val="00E561CD"/>
    <w:rsid w:val="00E56234"/>
    <w:rsid w:val="00E5623F"/>
    <w:rsid w:val="00E564B0"/>
    <w:rsid w:val="00E566DC"/>
    <w:rsid w:val="00E56706"/>
    <w:rsid w:val="00E56753"/>
    <w:rsid w:val="00E56841"/>
    <w:rsid w:val="00E568A7"/>
    <w:rsid w:val="00E568C2"/>
    <w:rsid w:val="00E56933"/>
    <w:rsid w:val="00E569FF"/>
    <w:rsid w:val="00E56D1F"/>
    <w:rsid w:val="00E56F56"/>
    <w:rsid w:val="00E5709F"/>
    <w:rsid w:val="00E570CE"/>
    <w:rsid w:val="00E5713A"/>
    <w:rsid w:val="00E57184"/>
    <w:rsid w:val="00E573D4"/>
    <w:rsid w:val="00E574D9"/>
    <w:rsid w:val="00E574F4"/>
    <w:rsid w:val="00E57737"/>
    <w:rsid w:val="00E57987"/>
    <w:rsid w:val="00E57AD3"/>
    <w:rsid w:val="00E57AF7"/>
    <w:rsid w:val="00E57B36"/>
    <w:rsid w:val="00E57C37"/>
    <w:rsid w:val="00E57C5D"/>
    <w:rsid w:val="00E57E52"/>
    <w:rsid w:val="00E57EBE"/>
    <w:rsid w:val="00E57EED"/>
    <w:rsid w:val="00E57F75"/>
    <w:rsid w:val="00E57FCF"/>
    <w:rsid w:val="00E601F7"/>
    <w:rsid w:val="00E60228"/>
    <w:rsid w:val="00E6025D"/>
    <w:rsid w:val="00E60279"/>
    <w:rsid w:val="00E603CF"/>
    <w:rsid w:val="00E6043B"/>
    <w:rsid w:val="00E604AC"/>
    <w:rsid w:val="00E60512"/>
    <w:rsid w:val="00E6077C"/>
    <w:rsid w:val="00E607FB"/>
    <w:rsid w:val="00E6081A"/>
    <w:rsid w:val="00E609AA"/>
    <w:rsid w:val="00E60A0F"/>
    <w:rsid w:val="00E60A26"/>
    <w:rsid w:val="00E60A69"/>
    <w:rsid w:val="00E60DE3"/>
    <w:rsid w:val="00E60F51"/>
    <w:rsid w:val="00E6108D"/>
    <w:rsid w:val="00E61123"/>
    <w:rsid w:val="00E6117C"/>
    <w:rsid w:val="00E6120F"/>
    <w:rsid w:val="00E612CF"/>
    <w:rsid w:val="00E6135A"/>
    <w:rsid w:val="00E614B4"/>
    <w:rsid w:val="00E615A9"/>
    <w:rsid w:val="00E615CA"/>
    <w:rsid w:val="00E61632"/>
    <w:rsid w:val="00E616A0"/>
    <w:rsid w:val="00E616DD"/>
    <w:rsid w:val="00E61786"/>
    <w:rsid w:val="00E6179D"/>
    <w:rsid w:val="00E61DB5"/>
    <w:rsid w:val="00E61EB8"/>
    <w:rsid w:val="00E61F75"/>
    <w:rsid w:val="00E62249"/>
    <w:rsid w:val="00E62268"/>
    <w:rsid w:val="00E622B7"/>
    <w:rsid w:val="00E6250C"/>
    <w:rsid w:val="00E626A6"/>
    <w:rsid w:val="00E62756"/>
    <w:rsid w:val="00E627B1"/>
    <w:rsid w:val="00E62906"/>
    <w:rsid w:val="00E62946"/>
    <w:rsid w:val="00E62ADE"/>
    <w:rsid w:val="00E62B05"/>
    <w:rsid w:val="00E62B28"/>
    <w:rsid w:val="00E62B62"/>
    <w:rsid w:val="00E63138"/>
    <w:rsid w:val="00E63161"/>
    <w:rsid w:val="00E63162"/>
    <w:rsid w:val="00E631DA"/>
    <w:rsid w:val="00E63319"/>
    <w:rsid w:val="00E633DA"/>
    <w:rsid w:val="00E635D7"/>
    <w:rsid w:val="00E63658"/>
    <w:rsid w:val="00E63669"/>
    <w:rsid w:val="00E6372C"/>
    <w:rsid w:val="00E63A1C"/>
    <w:rsid w:val="00E63D0C"/>
    <w:rsid w:val="00E63E2E"/>
    <w:rsid w:val="00E63E7D"/>
    <w:rsid w:val="00E641FE"/>
    <w:rsid w:val="00E642E7"/>
    <w:rsid w:val="00E64522"/>
    <w:rsid w:val="00E645ED"/>
    <w:rsid w:val="00E645F5"/>
    <w:rsid w:val="00E64653"/>
    <w:rsid w:val="00E64668"/>
    <w:rsid w:val="00E646EF"/>
    <w:rsid w:val="00E64887"/>
    <w:rsid w:val="00E64D6F"/>
    <w:rsid w:val="00E64E61"/>
    <w:rsid w:val="00E64FAF"/>
    <w:rsid w:val="00E65049"/>
    <w:rsid w:val="00E65266"/>
    <w:rsid w:val="00E652D0"/>
    <w:rsid w:val="00E65342"/>
    <w:rsid w:val="00E654E6"/>
    <w:rsid w:val="00E65576"/>
    <w:rsid w:val="00E65907"/>
    <w:rsid w:val="00E6590D"/>
    <w:rsid w:val="00E6592E"/>
    <w:rsid w:val="00E65B45"/>
    <w:rsid w:val="00E65B5A"/>
    <w:rsid w:val="00E65DA3"/>
    <w:rsid w:val="00E661B6"/>
    <w:rsid w:val="00E66387"/>
    <w:rsid w:val="00E66430"/>
    <w:rsid w:val="00E6652D"/>
    <w:rsid w:val="00E666D8"/>
    <w:rsid w:val="00E6675A"/>
    <w:rsid w:val="00E66794"/>
    <w:rsid w:val="00E667E5"/>
    <w:rsid w:val="00E66848"/>
    <w:rsid w:val="00E668DE"/>
    <w:rsid w:val="00E669E4"/>
    <w:rsid w:val="00E66AE8"/>
    <w:rsid w:val="00E66AFE"/>
    <w:rsid w:val="00E66B29"/>
    <w:rsid w:val="00E66BC9"/>
    <w:rsid w:val="00E66C99"/>
    <w:rsid w:val="00E66DE6"/>
    <w:rsid w:val="00E66E38"/>
    <w:rsid w:val="00E66E66"/>
    <w:rsid w:val="00E66EF0"/>
    <w:rsid w:val="00E66FB6"/>
    <w:rsid w:val="00E67650"/>
    <w:rsid w:val="00E67736"/>
    <w:rsid w:val="00E67A20"/>
    <w:rsid w:val="00E67B0A"/>
    <w:rsid w:val="00E67BAE"/>
    <w:rsid w:val="00E67C94"/>
    <w:rsid w:val="00E67CC6"/>
    <w:rsid w:val="00E67E10"/>
    <w:rsid w:val="00E67E71"/>
    <w:rsid w:val="00E67E80"/>
    <w:rsid w:val="00E67ECA"/>
    <w:rsid w:val="00E67F40"/>
    <w:rsid w:val="00E70264"/>
    <w:rsid w:val="00E70298"/>
    <w:rsid w:val="00E7048B"/>
    <w:rsid w:val="00E70490"/>
    <w:rsid w:val="00E704F2"/>
    <w:rsid w:val="00E706BD"/>
    <w:rsid w:val="00E706E9"/>
    <w:rsid w:val="00E70778"/>
    <w:rsid w:val="00E707D1"/>
    <w:rsid w:val="00E70871"/>
    <w:rsid w:val="00E70AAD"/>
    <w:rsid w:val="00E70AE9"/>
    <w:rsid w:val="00E70B6E"/>
    <w:rsid w:val="00E70B75"/>
    <w:rsid w:val="00E70B97"/>
    <w:rsid w:val="00E70D0E"/>
    <w:rsid w:val="00E70DBB"/>
    <w:rsid w:val="00E70DD7"/>
    <w:rsid w:val="00E70E0C"/>
    <w:rsid w:val="00E71009"/>
    <w:rsid w:val="00E71016"/>
    <w:rsid w:val="00E7103C"/>
    <w:rsid w:val="00E71057"/>
    <w:rsid w:val="00E7114B"/>
    <w:rsid w:val="00E71160"/>
    <w:rsid w:val="00E7134C"/>
    <w:rsid w:val="00E71459"/>
    <w:rsid w:val="00E7171C"/>
    <w:rsid w:val="00E7173D"/>
    <w:rsid w:val="00E7177C"/>
    <w:rsid w:val="00E71951"/>
    <w:rsid w:val="00E71A03"/>
    <w:rsid w:val="00E71B54"/>
    <w:rsid w:val="00E71B66"/>
    <w:rsid w:val="00E71CC5"/>
    <w:rsid w:val="00E71E4A"/>
    <w:rsid w:val="00E71FAD"/>
    <w:rsid w:val="00E722B3"/>
    <w:rsid w:val="00E722BE"/>
    <w:rsid w:val="00E7239A"/>
    <w:rsid w:val="00E725A1"/>
    <w:rsid w:val="00E725F5"/>
    <w:rsid w:val="00E72753"/>
    <w:rsid w:val="00E72929"/>
    <w:rsid w:val="00E72B50"/>
    <w:rsid w:val="00E72B77"/>
    <w:rsid w:val="00E72C02"/>
    <w:rsid w:val="00E72DA9"/>
    <w:rsid w:val="00E72DD4"/>
    <w:rsid w:val="00E72E2A"/>
    <w:rsid w:val="00E72EE0"/>
    <w:rsid w:val="00E72FB6"/>
    <w:rsid w:val="00E7302F"/>
    <w:rsid w:val="00E730B2"/>
    <w:rsid w:val="00E7310B"/>
    <w:rsid w:val="00E73174"/>
    <w:rsid w:val="00E735BC"/>
    <w:rsid w:val="00E735FF"/>
    <w:rsid w:val="00E73867"/>
    <w:rsid w:val="00E73899"/>
    <w:rsid w:val="00E738BF"/>
    <w:rsid w:val="00E73CE1"/>
    <w:rsid w:val="00E73EA6"/>
    <w:rsid w:val="00E74194"/>
    <w:rsid w:val="00E741F2"/>
    <w:rsid w:val="00E741FB"/>
    <w:rsid w:val="00E74282"/>
    <w:rsid w:val="00E742DA"/>
    <w:rsid w:val="00E743C3"/>
    <w:rsid w:val="00E744FB"/>
    <w:rsid w:val="00E745A2"/>
    <w:rsid w:val="00E74632"/>
    <w:rsid w:val="00E74717"/>
    <w:rsid w:val="00E7478D"/>
    <w:rsid w:val="00E74A33"/>
    <w:rsid w:val="00E74BB1"/>
    <w:rsid w:val="00E74C0D"/>
    <w:rsid w:val="00E74D90"/>
    <w:rsid w:val="00E7505B"/>
    <w:rsid w:val="00E751CA"/>
    <w:rsid w:val="00E7524F"/>
    <w:rsid w:val="00E7537D"/>
    <w:rsid w:val="00E753B9"/>
    <w:rsid w:val="00E753FD"/>
    <w:rsid w:val="00E755E6"/>
    <w:rsid w:val="00E7563A"/>
    <w:rsid w:val="00E7564A"/>
    <w:rsid w:val="00E75677"/>
    <w:rsid w:val="00E757B3"/>
    <w:rsid w:val="00E75D50"/>
    <w:rsid w:val="00E75DEF"/>
    <w:rsid w:val="00E75E16"/>
    <w:rsid w:val="00E75F23"/>
    <w:rsid w:val="00E7605D"/>
    <w:rsid w:val="00E76081"/>
    <w:rsid w:val="00E76299"/>
    <w:rsid w:val="00E762D6"/>
    <w:rsid w:val="00E76303"/>
    <w:rsid w:val="00E765F4"/>
    <w:rsid w:val="00E767DC"/>
    <w:rsid w:val="00E76964"/>
    <w:rsid w:val="00E769CD"/>
    <w:rsid w:val="00E76B30"/>
    <w:rsid w:val="00E76D34"/>
    <w:rsid w:val="00E76DED"/>
    <w:rsid w:val="00E76DFE"/>
    <w:rsid w:val="00E76F19"/>
    <w:rsid w:val="00E76FF1"/>
    <w:rsid w:val="00E77000"/>
    <w:rsid w:val="00E77198"/>
    <w:rsid w:val="00E77216"/>
    <w:rsid w:val="00E772D9"/>
    <w:rsid w:val="00E773DA"/>
    <w:rsid w:val="00E7749B"/>
    <w:rsid w:val="00E77829"/>
    <w:rsid w:val="00E77909"/>
    <w:rsid w:val="00E77B30"/>
    <w:rsid w:val="00E77B64"/>
    <w:rsid w:val="00E77BD4"/>
    <w:rsid w:val="00E77CA1"/>
    <w:rsid w:val="00E77E02"/>
    <w:rsid w:val="00E77E2F"/>
    <w:rsid w:val="00E77EBB"/>
    <w:rsid w:val="00E80081"/>
    <w:rsid w:val="00E800FF"/>
    <w:rsid w:val="00E80177"/>
    <w:rsid w:val="00E80747"/>
    <w:rsid w:val="00E808AF"/>
    <w:rsid w:val="00E80958"/>
    <w:rsid w:val="00E80A91"/>
    <w:rsid w:val="00E80BD0"/>
    <w:rsid w:val="00E80CFD"/>
    <w:rsid w:val="00E80DD6"/>
    <w:rsid w:val="00E80E70"/>
    <w:rsid w:val="00E80F8E"/>
    <w:rsid w:val="00E8115B"/>
    <w:rsid w:val="00E81217"/>
    <w:rsid w:val="00E812A2"/>
    <w:rsid w:val="00E81300"/>
    <w:rsid w:val="00E8137F"/>
    <w:rsid w:val="00E816E7"/>
    <w:rsid w:val="00E81BCD"/>
    <w:rsid w:val="00E81CC0"/>
    <w:rsid w:val="00E81D04"/>
    <w:rsid w:val="00E81E2B"/>
    <w:rsid w:val="00E820B8"/>
    <w:rsid w:val="00E82124"/>
    <w:rsid w:val="00E82217"/>
    <w:rsid w:val="00E822F7"/>
    <w:rsid w:val="00E822F9"/>
    <w:rsid w:val="00E82351"/>
    <w:rsid w:val="00E823D5"/>
    <w:rsid w:val="00E8263D"/>
    <w:rsid w:val="00E8265B"/>
    <w:rsid w:val="00E82868"/>
    <w:rsid w:val="00E8297F"/>
    <w:rsid w:val="00E82B27"/>
    <w:rsid w:val="00E82E5C"/>
    <w:rsid w:val="00E8333C"/>
    <w:rsid w:val="00E83668"/>
    <w:rsid w:val="00E837D8"/>
    <w:rsid w:val="00E8382E"/>
    <w:rsid w:val="00E83868"/>
    <w:rsid w:val="00E839D3"/>
    <w:rsid w:val="00E83A27"/>
    <w:rsid w:val="00E83A57"/>
    <w:rsid w:val="00E83A7B"/>
    <w:rsid w:val="00E83E4E"/>
    <w:rsid w:val="00E83EBD"/>
    <w:rsid w:val="00E83EF3"/>
    <w:rsid w:val="00E840C7"/>
    <w:rsid w:val="00E84136"/>
    <w:rsid w:val="00E841AF"/>
    <w:rsid w:val="00E843F6"/>
    <w:rsid w:val="00E8443A"/>
    <w:rsid w:val="00E845B0"/>
    <w:rsid w:val="00E845EB"/>
    <w:rsid w:val="00E84775"/>
    <w:rsid w:val="00E848C9"/>
    <w:rsid w:val="00E84AD4"/>
    <w:rsid w:val="00E84B02"/>
    <w:rsid w:val="00E84BAF"/>
    <w:rsid w:val="00E84BB1"/>
    <w:rsid w:val="00E84DA6"/>
    <w:rsid w:val="00E84DBF"/>
    <w:rsid w:val="00E84EDA"/>
    <w:rsid w:val="00E84F21"/>
    <w:rsid w:val="00E84F56"/>
    <w:rsid w:val="00E84FAD"/>
    <w:rsid w:val="00E84FEA"/>
    <w:rsid w:val="00E85148"/>
    <w:rsid w:val="00E851A9"/>
    <w:rsid w:val="00E852C7"/>
    <w:rsid w:val="00E8543E"/>
    <w:rsid w:val="00E8544C"/>
    <w:rsid w:val="00E85467"/>
    <w:rsid w:val="00E85707"/>
    <w:rsid w:val="00E8571C"/>
    <w:rsid w:val="00E859BF"/>
    <w:rsid w:val="00E85A80"/>
    <w:rsid w:val="00E85BB6"/>
    <w:rsid w:val="00E85DE9"/>
    <w:rsid w:val="00E85E7B"/>
    <w:rsid w:val="00E85ED4"/>
    <w:rsid w:val="00E85F1E"/>
    <w:rsid w:val="00E85F43"/>
    <w:rsid w:val="00E85F49"/>
    <w:rsid w:val="00E8613A"/>
    <w:rsid w:val="00E861D3"/>
    <w:rsid w:val="00E86220"/>
    <w:rsid w:val="00E8622C"/>
    <w:rsid w:val="00E863EF"/>
    <w:rsid w:val="00E86575"/>
    <w:rsid w:val="00E865A8"/>
    <w:rsid w:val="00E86775"/>
    <w:rsid w:val="00E868C6"/>
    <w:rsid w:val="00E86A0C"/>
    <w:rsid w:val="00E86A53"/>
    <w:rsid w:val="00E86A60"/>
    <w:rsid w:val="00E86BC1"/>
    <w:rsid w:val="00E86D0D"/>
    <w:rsid w:val="00E86E51"/>
    <w:rsid w:val="00E86EAB"/>
    <w:rsid w:val="00E86EF6"/>
    <w:rsid w:val="00E870D0"/>
    <w:rsid w:val="00E87101"/>
    <w:rsid w:val="00E8717B"/>
    <w:rsid w:val="00E8730D"/>
    <w:rsid w:val="00E873D0"/>
    <w:rsid w:val="00E87463"/>
    <w:rsid w:val="00E875D7"/>
    <w:rsid w:val="00E87600"/>
    <w:rsid w:val="00E877DD"/>
    <w:rsid w:val="00E8789C"/>
    <w:rsid w:val="00E879A4"/>
    <w:rsid w:val="00E87A52"/>
    <w:rsid w:val="00E87A64"/>
    <w:rsid w:val="00E87ACD"/>
    <w:rsid w:val="00E87B33"/>
    <w:rsid w:val="00E87C5B"/>
    <w:rsid w:val="00E87C60"/>
    <w:rsid w:val="00E87DE9"/>
    <w:rsid w:val="00E87FDE"/>
    <w:rsid w:val="00E90196"/>
    <w:rsid w:val="00E901EA"/>
    <w:rsid w:val="00E90216"/>
    <w:rsid w:val="00E9021B"/>
    <w:rsid w:val="00E902C6"/>
    <w:rsid w:val="00E90479"/>
    <w:rsid w:val="00E90540"/>
    <w:rsid w:val="00E90E0E"/>
    <w:rsid w:val="00E91147"/>
    <w:rsid w:val="00E912C8"/>
    <w:rsid w:val="00E912E9"/>
    <w:rsid w:val="00E91382"/>
    <w:rsid w:val="00E9157E"/>
    <w:rsid w:val="00E915D8"/>
    <w:rsid w:val="00E9160F"/>
    <w:rsid w:val="00E9168E"/>
    <w:rsid w:val="00E91699"/>
    <w:rsid w:val="00E918B6"/>
    <w:rsid w:val="00E91A0D"/>
    <w:rsid w:val="00E91A7E"/>
    <w:rsid w:val="00E91A83"/>
    <w:rsid w:val="00E91A94"/>
    <w:rsid w:val="00E91AC2"/>
    <w:rsid w:val="00E91C0B"/>
    <w:rsid w:val="00E91D3A"/>
    <w:rsid w:val="00E91FED"/>
    <w:rsid w:val="00E92072"/>
    <w:rsid w:val="00E92091"/>
    <w:rsid w:val="00E920D9"/>
    <w:rsid w:val="00E921BB"/>
    <w:rsid w:val="00E92230"/>
    <w:rsid w:val="00E922CA"/>
    <w:rsid w:val="00E923B7"/>
    <w:rsid w:val="00E923D0"/>
    <w:rsid w:val="00E92575"/>
    <w:rsid w:val="00E926AA"/>
    <w:rsid w:val="00E92772"/>
    <w:rsid w:val="00E92800"/>
    <w:rsid w:val="00E92ACF"/>
    <w:rsid w:val="00E92C45"/>
    <w:rsid w:val="00E92DD3"/>
    <w:rsid w:val="00E92E47"/>
    <w:rsid w:val="00E92E60"/>
    <w:rsid w:val="00E9301C"/>
    <w:rsid w:val="00E9303C"/>
    <w:rsid w:val="00E9340D"/>
    <w:rsid w:val="00E934D7"/>
    <w:rsid w:val="00E93522"/>
    <w:rsid w:val="00E93751"/>
    <w:rsid w:val="00E93B87"/>
    <w:rsid w:val="00E93B95"/>
    <w:rsid w:val="00E93BDE"/>
    <w:rsid w:val="00E93D1B"/>
    <w:rsid w:val="00E93E9C"/>
    <w:rsid w:val="00E93FB6"/>
    <w:rsid w:val="00E942C1"/>
    <w:rsid w:val="00E94338"/>
    <w:rsid w:val="00E9434F"/>
    <w:rsid w:val="00E94402"/>
    <w:rsid w:val="00E946F0"/>
    <w:rsid w:val="00E946FC"/>
    <w:rsid w:val="00E9480A"/>
    <w:rsid w:val="00E94970"/>
    <w:rsid w:val="00E949D1"/>
    <w:rsid w:val="00E94A66"/>
    <w:rsid w:val="00E94CD5"/>
    <w:rsid w:val="00E94ED0"/>
    <w:rsid w:val="00E95077"/>
    <w:rsid w:val="00E950D2"/>
    <w:rsid w:val="00E950D6"/>
    <w:rsid w:val="00E950EA"/>
    <w:rsid w:val="00E95163"/>
    <w:rsid w:val="00E9516E"/>
    <w:rsid w:val="00E95333"/>
    <w:rsid w:val="00E9536E"/>
    <w:rsid w:val="00E953DC"/>
    <w:rsid w:val="00E955A6"/>
    <w:rsid w:val="00E95B8C"/>
    <w:rsid w:val="00E95C00"/>
    <w:rsid w:val="00E95D66"/>
    <w:rsid w:val="00E95D81"/>
    <w:rsid w:val="00E95FDF"/>
    <w:rsid w:val="00E95FFE"/>
    <w:rsid w:val="00E9641A"/>
    <w:rsid w:val="00E9648A"/>
    <w:rsid w:val="00E965AB"/>
    <w:rsid w:val="00E969D5"/>
    <w:rsid w:val="00E96A03"/>
    <w:rsid w:val="00E96AF1"/>
    <w:rsid w:val="00E96BCA"/>
    <w:rsid w:val="00E96C12"/>
    <w:rsid w:val="00E96C86"/>
    <w:rsid w:val="00E96CE8"/>
    <w:rsid w:val="00E96D5F"/>
    <w:rsid w:val="00E96DE5"/>
    <w:rsid w:val="00E96EC4"/>
    <w:rsid w:val="00E96F68"/>
    <w:rsid w:val="00E96F87"/>
    <w:rsid w:val="00E96FDF"/>
    <w:rsid w:val="00E97288"/>
    <w:rsid w:val="00E97381"/>
    <w:rsid w:val="00E975D1"/>
    <w:rsid w:val="00E97686"/>
    <w:rsid w:val="00E976FC"/>
    <w:rsid w:val="00E9782C"/>
    <w:rsid w:val="00E97891"/>
    <w:rsid w:val="00E97931"/>
    <w:rsid w:val="00E9794C"/>
    <w:rsid w:val="00E97A30"/>
    <w:rsid w:val="00E97AAF"/>
    <w:rsid w:val="00E97CDC"/>
    <w:rsid w:val="00E97D19"/>
    <w:rsid w:val="00E97E28"/>
    <w:rsid w:val="00E97F9E"/>
    <w:rsid w:val="00EA016D"/>
    <w:rsid w:val="00EA01CE"/>
    <w:rsid w:val="00EA0442"/>
    <w:rsid w:val="00EA04D3"/>
    <w:rsid w:val="00EA0666"/>
    <w:rsid w:val="00EA06E6"/>
    <w:rsid w:val="00EA06F4"/>
    <w:rsid w:val="00EA075D"/>
    <w:rsid w:val="00EA0BB9"/>
    <w:rsid w:val="00EA0ED0"/>
    <w:rsid w:val="00EA105F"/>
    <w:rsid w:val="00EA12AE"/>
    <w:rsid w:val="00EA12AF"/>
    <w:rsid w:val="00EA1319"/>
    <w:rsid w:val="00EA15A9"/>
    <w:rsid w:val="00EA1822"/>
    <w:rsid w:val="00EA1914"/>
    <w:rsid w:val="00EA1943"/>
    <w:rsid w:val="00EA195B"/>
    <w:rsid w:val="00EA195E"/>
    <w:rsid w:val="00EA19BF"/>
    <w:rsid w:val="00EA1AB0"/>
    <w:rsid w:val="00EA1B87"/>
    <w:rsid w:val="00EA1DE6"/>
    <w:rsid w:val="00EA1F4A"/>
    <w:rsid w:val="00EA2246"/>
    <w:rsid w:val="00EA2378"/>
    <w:rsid w:val="00EA237C"/>
    <w:rsid w:val="00EA2561"/>
    <w:rsid w:val="00EA272D"/>
    <w:rsid w:val="00EA2864"/>
    <w:rsid w:val="00EA2A58"/>
    <w:rsid w:val="00EA2AD4"/>
    <w:rsid w:val="00EA2BA6"/>
    <w:rsid w:val="00EA2BDD"/>
    <w:rsid w:val="00EA2C4A"/>
    <w:rsid w:val="00EA2DEA"/>
    <w:rsid w:val="00EA2F28"/>
    <w:rsid w:val="00EA2F70"/>
    <w:rsid w:val="00EA3024"/>
    <w:rsid w:val="00EA31E0"/>
    <w:rsid w:val="00EA3294"/>
    <w:rsid w:val="00EA333E"/>
    <w:rsid w:val="00EA33F3"/>
    <w:rsid w:val="00EA35C9"/>
    <w:rsid w:val="00EA3776"/>
    <w:rsid w:val="00EA37AA"/>
    <w:rsid w:val="00EA37E8"/>
    <w:rsid w:val="00EA391D"/>
    <w:rsid w:val="00EA393F"/>
    <w:rsid w:val="00EA398B"/>
    <w:rsid w:val="00EA3BD8"/>
    <w:rsid w:val="00EA3C6D"/>
    <w:rsid w:val="00EA3E0C"/>
    <w:rsid w:val="00EA3EB2"/>
    <w:rsid w:val="00EA3F7A"/>
    <w:rsid w:val="00EA44EE"/>
    <w:rsid w:val="00EA46B0"/>
    <w:rsid w:val="00EA4769"/>
    <w:rsid w:val="00EA47C3"/>
    <w:rsid w:val="00EA489B"/>
    <w:rsid w:val="00EA4BA8"/>
    <w:rsid w:val="00EA4C27"/>
    <w:rsid w:val="00EA4C75"/>
    <w:rsid w:val="00EA4D0C"/>
    <w:rsid w:val="00EA4D9D"/>
    <w:rsid w:val="00EA4DFE"/>
    <w:rsid w:val="00EA4F99"/>
    <w:rsid w:val="00EA50DB"/>
    <w:rsid w:val="00EA5486"/>
    <w:rsid w:val="00EA55C4"/>
    <w:rsid w:val="00EA5859"/>
    <w:rsid w:val="00EA5B9D"/>
    <w:rsid w:val="00EA5CDD"/>
    <w:rsid w:val="00EA5D03"/>
    <w:rsid w:val="00EA5D1B"/>
    <w:rsid w:val="00EA5E81"/>
    <w:rsid w:val="00EA5F10"/>
    <w:rsid w:val="00EA5F12"/>
    <w:rsid w:val="00EA5FCC"/>
    <w:rsid w:val="00EA60B3"/>
    <w:rsid w:val="00EA61CA"/>
    <w:rsid w:val="00EA634C"/>
    <w:rsid w:val="00EA63F4"/>
    <w:rsid w:val="00EA6493"/>
    <w:rsid w:val="00EA6525"/>
    <w:rsid w:val="00EA6633"/>
    <w:rsid w:val="00EA6932"/>
    <w:rsid w:val="00EA694E"/>
    <w:rsid w:val="00EA69A2"/>
    <w:rsid w:val="00EA6A19"/>
    <w:rsid w:val="00EA6B9D"/>
    <w:rsid w:val="00EA6C3B"/>
    <w:rsid w:val="00EA6C99"/>
    <w:rsid w:val="00EA6CF5"/>
    <w:rsid w:val="00EA6DAC"/>
    <w:rsid w:val="00EA6E29"/>
    <w:rsid w:val="00EA6E6D"/>
    <w:rsid w:val="00EA6FF5"/>
    <w:rsid w:val="00EA7150"/>
    <w:rsid w:val="00EA726B"/>
    <w:rsid w:val="00EA7347"/>
    <w:rsid w:val="00EA7350"/>
    <w:rsid w:val="00EA7359"/>
    <w:rsid w:val="00EA755A"/>
    <w:rsid w:val="00EA7676"/>
    <w:rsid w:val="00EA76B4"/>
    <w:rsid w:val="00EA7790"/>
    <w:rsid w:val="00EA77AC"/>
    <w:rsid w:val="00EA785D"/>
    <w:rsid w:val="00EA78B5"/>
    <w:rsid w:val="00EA7915"/>
    <w:rsid w:val="00EA79E4"/>
    <w:rsid w:val="00EA7A03"/>
    <w:rsid w:val="00EA7A71"/>
    <w:rsid w:val="00EA7AEA"/>
    <w:rsid w:val="00EA7C0E"/>
    <w:rsid w:val="00EA7CAA"/>
    <w:rsid w:val="00EA7CF2"/>
    <w:rsid w:val="00EA7E18"/>
    <w:rsid w:val="00EA7E23"/>
    <w:rsid w:val="00EA7EB4"/>
    <w:rsid w:val="00EB0147"/>
    <w:rsid w:val="00EB01A4"/>
    <w:rsid w:val="00EB0285"/>
    <w:rsid w:val="00EB045C"/>
    <w:rsid w:val="00EB04CB"/>
    <w:rsid w:val="00EB05AC"/>
    <w:rsid w:val="00EB0771"/>
    <w:rsid w:val="00EB07D2"/>
    <w:rsid w:val="00EB0883"/>
    <w:rsid w:val="00EB0A37"/>
    <w:rsid w:val="00EB0A3D"/>
    <w:rsid w:val="00EB0A70"/>
    <w:rsid w:val="00EB0BF7"/>
    <w:rsid w:val="00EB0D41"/>
    <w:rsid w:val="00EB0F39"/>
    <w:rsid w:val="00EB0F50"/>
    <w:rsid w:val="00EB0F90"/>
    <w:rsid w:val="00EB10B4"/>
    <w:rsid w:val="00EB10C8"/>
    <w:rsid w:val="00EB1108"/>
    <w:rsid w:val="00EB1192"/>
    <w:rsid w:val="00EB1260"/>
    <w:rsid w:val="00EB1419"/>
    <w:rsid w:val="00EB164A"/>
    <w:rsid w:val="00EB16B8"/>
    <w:rsid w:val="00EB1731"/>
    <w:rsid w:val="00EB180B"/>
    <w:rsid w:val="00EB1A39"/>
    <w:rsid w:val="00EB1C51"/>
    <w:rsid w:val="00EB1D7B"/>
    <w:rsid w:val="00EB1EB3"/>
    <w:rsid w:val="00EB1FC0"/>
    <w:rsid w:val="00EB201F"/>
    <w:rsid w:val="00EB22B1"/>
    <w:rsid w:val="00EB2349"/>
    <w:rsid w:val="00EB2508"/>
    <w:rsid w:val="00EB262A"/>
    <w:rsid w:val="00EB27B1"/>
    <w:rsid w:val="00EB2867"/>
    <w:rsid w:val="00EB28EF"/>
    <w:rsid w:val="00EB2E00"/>
    <w:rsid w:val="00EB2E8C"/>
    <w:rsid w:val="00EB30A8"/>
    <w:rsid w:val="00EB3155"/>
    <w:rsid w:val="00EB320E"/>
    <w:rsid w:val="00EB3220"/>
    <w:rsid w:val="00EB333B"/>
    <w:rsid w:val="00EB3547"/>
    <w:rsid w:val="00EB3555"/>
    <w:rsid w:val="00EB3640"/>
    <w:rsid w:val="00EB365C"/>
    <w:rsid w:val="00EB368B"/>
    <w:rsid w:val="00EB36BE"/>
    <w:rsid w:val="00EB3808"/>
    <w:rsid w:val="00EB38C3"/>
    <w:rsid w:val="00EB399C"/>
    <w:rsid w:val="00EB3A3C"/>
    <w:rsid w:val="00EB3B4E"/>
    <w:rsid w:val="00EB3BE6"/>
    <w:rsid w:val="00EB3C86"/>
    <w:rsid w:val="00EB3C9F"/>
    <w:rsid w:val="00EB3D0D"/>
    <w:rsid w:val="00EB3D36"/>
    <w:rsid w:val="00EB3DD7"/>
    <w:rsid w:val="00EB3F26"/>
    <w:rsid w:val="00EB3F9D"/>
    <w:rsid w:val="00EB400F"/>
    <w:rsid w:val="00EB4054"/>
    <w:rsid w:val="00EB41BA"/>
    <w:rsid w:val="00EB41C3"/>
    <w:rsid w:val="00EB4523"/>
    <w:rsid w:val="00EB453E"/>
    <w:rsid w:val="00EB4631"/>
    <w:rsid w:val="00EB4944"/>
    <w:rsid w:val="00EB4AA6"/>
    <w:rsid w:val="00EB4BCC"/>
    <w:rsid w:val="00EB4CF6"/>
    <w:rsid w:val="00EB5131"/>
    <w:rsid w:val="00EB5175"/>
    <w:rsid w:val="00EB5185"/>
    <w:rsid w:val="00EB519C"/>
    <w:rsid w:val="00EB5205"/>
    <w:rsid w:val="00EB5439"/>
    <w:rsid w:val="00EB54A2"/>
    <w:rsid w:val="00EB5506"/>
    <w:rsid w:val="00EB571A"/>
    <w:rsid w:val="00EB5784"/>
    <w:rsid w:val="00EB57C0"/>
    <w:rsid w:val="00EB593B"/>
    <w:rsid w:val="00EB5950"/>
    <w:rsid w:val="00EB5C28"/>
    <w:rsid w:val="00EB5D43"/>
    <w:rsid w:val="00EB5DC6"/>
    <w:rsid w:val="00EB5FCF"/>
    <w:rsid w:val="00EB6680"/>
    <w:rsid w:val="00EB668D"/>
    <w:rsid w:val="00EB6725"/>
    <w:rsid w:val="00EB6801"/>
    <w:rsid w:val="00EB6828"/>
    <w:rsid w:val="00EB6866"/>
    <w:rsid w:val="00EB698A"/>
    <w:rsid w:val="00EB6AE3"/>
    <w:rsid w:val="00EB6B0D"/>
    <w:rsid w:val="00EB6D8A"/>
    <w:rsid w:val="00EB7004"/>
    <w:rsid w:val="00EB7099"/>
    <w:rsid w:val="00EB710E"/>
    <w:rsid w:val="00EB7116"/>
    <w:rsid w:val="00EB7180"/>
    <w:rsid w:val="00EB725C"/>
    <w:rsid w:val="00EB742C"/>
    <w:rsid w:val="00EB7517"/>
    <w:rsid w:val="00EB7886"/>
    <w:rsid w:val="00EB7B2E"/>
    <w:rsid w:val="00EB7BEB"/>
    <w:rsid w:val="00EB7C14"/>
    <w:rsid w:val="00EB7D26"/>
    <w:rsid w:val="00EB7D37"/>
    <w:rsid w:val="00EB7E4F"/>
    <w:rsid w:val="00EB7F4F"/>
    <w:rsid w:val="00EB7FD1"/>
    <w:rsid w:val="00EC0004"/>
    <w:rsid w:val="00EC000C"/>
    <w:rsid w:val="00EC026D"/>
    <w:rsid w:val="00EC04B0"/>
    <w:rsid w:val="00EC058B"/>
    <w:rsid w:val="00EC06FF"/>
    <w:rsid w:val="00EC07ED"/>
    <w:rsid w:val="00EC07EF"/>
    <w:rsid w:val="00EC0995"/>
    <w:rsid w:val="00EC0E00"/>
    <w:rsid w:val="00EC0E82"/>
    <w:rsid w:val="00EC0FB5"/>
    <w:rsid w:val="00EC1205"/>
    <w:rsid w:val="00EC12DB"/>
    <w:rsid w:val="00EC1311"/>
    <w:rsid w:val="00EC1366"/>
    <w:rsid w:val="00EC140C"/>
    <w:rsid w:val="00EC15C8"/>
    <w:rsid w:val="00EC1A0D"/>
    <w:rsid w:val="00EC1BDD"/>
    <w:rsid w:val="00EC1C0F"/>
    <w:rsid w:val="00EC1C5B"/>
    <w:rsid w:val="00EC1CEA"/>
    <w:rsid w:val="00EC1D0E"/>
    <w:rsid w:val="00EC1F2A"/>
    <w:rsid w:val="00EC1FB3"/>
    <w:rsid w:val="00EC1FE8"/>
    <w:rsid w:val="00EC203A"/>
    <w:rsid w:val="00EC20BD"/>
    <w:rsid w:val="00EC21B2"/>
    <w:rsid w:val="00EC25C7"/>
    <w:rsid w:val="00EC2799"/>
    <w:rsid w:val="00EC28AD"/>
    <w:rsid w:val="00EC2DFB"/>
    <w:rsid w:val="00EC2EE1"/>
    <w:rsid w:val="00EC2F49"/>
    <w:rsid w:val="00EC2F67"/>
    <w:rsid w:val="00EC2FB0"/>
    <w:rsid w:val="00EC3000"/>
    <w:rsid w:val="00EC30BD"/>
    <w:rsid w:val="00EC3198"/>
    <w:rsid w:val="00EC32F7"/>
    <w:rsid w:val="00EC3532"/>
    <w:rsid w:val="00EC3534"/>
    <w:rsid w:val="00EC356B"/>
    <w:rsid w:val="00EC3646"/>
    <w:rsid w:val="00EC370C"/>
    <w:rsid w:val="00EC3724"/>
    <w:rsid w:val="00EC37F9"/>
    <w:rsid w:val="00EC37FF"/>
    <w:rsid w:val="00EC39FC"/>
    <w:rsid w:val="00EC3B2D"/>
    <w:rsid w:val="00EC3C3C"/>
    <w:rsid w:val="00EC3D0D"/>
    <w:rsid w:val="00EC3D45"/>
    <w:rsid w:val="00EC3DA6"/>
    <w:rsid w:val="00EC3E3B"/>
    <w:rsid w:val="00EC3EA1"/>
    <w:rsid w:val="00EC400B"/>
    <w:rsid w:val="00EC4022"/>
    <w:rsid w:val="00EC412B"/>
    <w:rsid w:val="00EC418A"/>
    <w:rsid w:val="00EC4384"/>
    <w:rsid w:val="00EC44D6"/>
    <w:rsid w:val="00EC45A6"/>
    <w:rsid w:val="00EC45D9"/>
    <w:rsid w:val="00EC478D"/>
    <w:rsid w:val="00EC4845"/>
    <w:rsid w:val="00EC49D7"/>
    <w:rsid w:val="00EC4BFE"/>
    <w:rsid w:val="00EC4CCC"/>
    <w:rsid w:val="00EC4DAD"/>
    <w:rsid w:val="00EC4EAF"/>
    <w:rsid w:val="00EC4F49"/>
    <w:rsid w:val="00EC4FB5"/>
    <w:rsid w:val="00EC511B"/>
    <w:rsid w:val="00EC5144"/>
    <w:rsid w:val="00EC516D"/>
    <w:rsid w:val="00EC5298"/>
    <w:rsid w:val="00EC55A4"/>
    <w:rsid w:val="00EC5729"/>
    <w:rsid w:val="00EC5957"/>
    <w:rsid w:val="00EC59E5"/>
    <w:rsid w:val="00EC5A8C"/>
    <w:rsid w:val="00EC5C39"/>
    <w:rsid w:val="00EC5F2D"/>
    <w:rsid w:val="00EC5FB9"/>
    <w:rsid w:val="00EC6047"/>
    <w:rsid w:val="00EC6373"/>
    <w:rsid w:val="00EC6580"/>
    <w:rsid w:val="00EC673A"/>
    <w:rsid w:val="00EC680A"/>
    <w:rsid w:val="00EC69DE"/>
    <w:rsid w:val="00EC6B64"/>
    <w:rsid w:val="00EC70B8"/>
    <w:rsid w:val="00EC7590"/>
    <w:rsid w:val="00EC75CA"/>
    <w:rsid w:val="00EC762D"/>
    <w:rsid w:val="00EC7673"/>
    <w:rsid w:val="00EC7681"/>
    <w:rsid w:val="00EC76D2"/>
    <w:rsid w:val="00EC779E"/>
    <w:rsid w:val="00EC7849"/>
    <w:rsid w:val="00EC7873"/>
    <w:rsid w:val="00EC7AE4"/>
    <w:rsid w:val="00EC7C44"/>
    <w:rsid w:val="00EC7F17"/>
    <w:rsid w:val="00ED02C1"/>
    <w:rsid w:val="00ED0567"/>
    <w:rsid w:val="00ED0569"/>
    <w:rsid w:val="00ED0597"/>
    <w:rsid w:val="00ED05E4"/>
    <w:rsid w:val="00ED05E5"/>
    <w:rsid w:val="00ED062E"/>
    <w:rsid w:val="00ED06C3"/>
    <w:rsid w:val="00ED0811"/>
    <w:rsid w:val="00ED0C47"/>
    <w:rsid w:val="00ED0CB8"/>
    <w:rsid w:val="00ED0D48"/>
    <w:rsid w:val="00ED0EAC"/>
    <w:rsid w:val="00ED0F3F"/>
    <w:rsid w:val="00ED0FD8"/>
    <w:rsid w:val="00ED0FF9"/>
    <w:rsid w:val="00ED1102"/>
    <w:rsid w:val="00ED11EA"/>
    <w:rsid w:val="00ED132A"/>
    <w:rsid w:val="00ED1415"/>
    <w:rsid w:val="00ED15E6"/>
    <w:rsid w:val="00ED1635"/>
    <w:rsid w:val="00ED1698"/>
    <w:rsid w:val="00ED169F"/>
    <w:rsid w:val="00ED16E4"/>
    <w:rsid w:val="00ED1733"/>
    <w:rsid w:val="00ED17FB"/>
    <w:rsid w:val="00ED1830"/>
    <w:rsid w:val="00ED18B3"/>
    <w:rsid w:val="00ED1969"/>
    <w:rsid w:val="00ED1A8C"/>
    <w:rsid w:val="00ED1B70"/>
    <w:rsid w:val="00ED1B91"/>
    <w:rsid w:val="00ED1BA0"/>
    <w:rsid w:val="00ED1C48"/>
    <w:rsid w:val="00ED1D52"/>
    <w:rsid w:val="00ED1D68"/>
    <w:rsid w:val="00ED1F54"/>
    <w:rsid w:val="00ED1FF7"/>
    <w:rsid w:val="00ED2053"/>
    <w:rsid w:val="00ED20C2"/>
    <w:rsid w:val="00ED211D"/>
    <w:rsid w:val="00ED2164"/>
    <w:rsid w:val="00ED2268"/>
    <w:rsid w:val="00ED2269"/>
    <w:rsid w:val="00ED2363"/>
    <w:rsid w:val="00ED25D1"/>
    <w:rsid w:val="00ED2662"/>
    <w:rsid w:val="00ED269E"/>
    <w:rsid w:val="00ED26EB"/>
    <w:rsid w:val="00ED27CC"/>
    <w:rsid w:val="00ED27F6"/>
    <w:rsid w:val="00ED2BE3"/>
    <w:rsid w:val="00ED2C23"/>
    <w:rsid w:val="00ED2D74"/>
    <w:rsid w:val="00ED2E5C"/>
    <w:rsid w:val="00ED2E88"/>
    <w:rsid w:val="00ED2ECF"/>
    <w:rsid w:val="00ED2FD5"/>
    <w:rsid w:val="00ED3121"/>
    <w:rsid w:val="00ED3137"/>
    <w:rsid w:val="00ED31F6"/>
    <w:rsid w:val="00ED33A7"/>
    <w:rsid w:val="00ED34A7"/>
    <w:rsid w:val="00ED3697"/>
    <w:rsid w:val="00ED369C"/>
    <w:rsid w:val="00ED36B1"/>
    <w:rsid w:val="00ED3769"/>
    <w:rsid w:val="00ED3804"/>
    <w:rsid w:val="00ED3A6E"/>
    <w:rsid w:val="00ED3D5C"/>
    <w:rsid w:val="00ED3DFB"/>
    <w:rsid w:val="00ED3EF8"/>
    <w:rsid w:val="00ED40B5"/>
    <w:rsid w:val="00ED40E2"/>
    <w:rsid w:val="00ED41F8"/>
    <w:rsid w:val="00ED4293"/>
    <w:rsid w:val="00ED42E8"/>
    <w:rsid w:val="00ED43F3"/>
    <w:rsid w:val="00ED4508"/>
    <w:rsid w:val="00ED4540"/>
    <w:rsid w:val="00ED45C6"/>
    <w:rsid w:val="00ED475C"/>
    <w:rsid w:val="00ED4983"/>
    <w:rsid w:val="00ED4A9A"/>
    <w:rsid w:val="00ED4CB0"/>
    <w:rsid w:val="00ED4CBC"/>
    <w:rsid w:val="00ED4D55"/>
    <w:rsid w:val="00ED4EB4"/>
    <w:rsid w:val="00ED4F42"/>
    <w:rsid w:val="00ED50F1"/>
    <w:rsid w:val="00ED553F"/>
    <w:rsid w:val="00ED59BA"/>
    <w:rsid w:val="00ED5CC6"/>
    <w:rsid w:val="00ED5D35"/>
    <w:rsid w:val="00ED5D40"/>
    <w:rsid w:val="00ED5EFA"/>
    <w:rsid w:val="00ED5F8B"/>
    <w:rsid w:val="00ED6024"/>
    <w:rsid w:val="00ED60C5"/>
    <w:rsid w:val="00ED60E3"/>
    <w:rsid w:val="00ED61AD"/>
    <w:rsid w:val="00ED62FC"/>
    <w:rsid w:val="00ED63CA"/>
    <w:rsid w:val="00ED647C"/>
    <w:rsid w:val="00ED6486"/>
    <w:rsid w:val="00ED6525"/>
    <w:rsid w:val="00ED655F"/>
    <w:rsid w:val="00ED65E0"/>
    <w:rsid w:val="00ED661F"/>
    <w:rsid w:val="00ED67A8"/>
    <w:rsid w:val="00ED68CC"/>
    <w:rsid w:val="00ED6A11"/>
    <w:rsid w:val="00ED6B7B"/>
    <w:rsid w:val="00ED6E6C"/>
    <w:rsid w:val="00ED6F0A"/>
    <w:rsid w:val="00ED70EF"/>
    <w:rsid w:val="00ED718C"/>
    <w:rsid w:val="00ED7280"/>
    <w:rsid w:val="00ED72AC"/>
    <w:rsid w:val="00ED736A"/>
    <w:rsid w:val="00ED7379"/>
    <w:rsid w:val="00ED737C"/>
    <w:rsid w:val="00ED75C8"/>
    <w:rsid w:val="00ED7618"/>
    <w:rsid w:val="00ED7770"/>
    <w:rsid w:val="00ED799E"/>
    <w:rsid w:val="00ED79FB"/>
    <w:rsid w:val="00ED7A9B"/>
    <w:rsid w:val="00ED7A9E"/>
    <w:rsid w:val="00ED7CDD"/>
    <w:rsid w:val="00ED7D04"/>
    <w:rsid w:val="00EE0052"/>
    <w:rsid w:val="00EE00F0"/>
    <w:rsid w:val="00EE039E"/>
    <w:rsid w:val="00EE041B"/>
    <w:rsid w:val="00EE0496"/>
    <w:rsid w:val="00EE0572"/>
    <w:rsid w:val="00EE06F4"/>
    <w:rsid w:val="00EE08C1"/>
    <w:rsid w:val="00EE0986"/>
    <w:rsid w:val="00EE0ACB"/>
    <w:rsid w:val="00EE0D10"/>
    <w:rsid w:val="00EE0D67"/>
    <w:rsid w:val="00EE0E13"/>
    <w:rsid w:val="00EE1019"/>
    <w:rsid w:val="00EE1082"/>
    <w:rsid w:val="00EE10AA"/>
    <w:rsid w:val="00EE1273"/>
    <w:rsid w:val="00EE14F9"/>
    <w:rsid w:val="00EE158B"/>
    <w:rsid w:val="00EE1768"/>
    <w:rsid w:val="00EE1939"/>
    <w:rsid w:val="00EE1957"/>
    <w:rsid w:val="00EE1A47"/>
    <w:rsid w:val="00EE1AB4"/>
    <w:rsid w:val="00EE1AC8"/>
    <w:rsid w:val="00EE1AEE"/>
    <w:rsid w:val="00EE1B04"/>
    <w:rsid w:val="00EE1C11"/>
    <w:rsid w:val="00EE1C1F"/>
    <w:rsid w:val="00EE1CFD"/>
    <w:rsid w:val="00EE1E00"/>
    <w:rsid w:val="00EE1E05"/>
    <w:rsid w:val="00EE1E91"/>
    <w:rsid w:val="00EE1F08"/>
    <w:rsid w:val="00EE1F51"/>
    <w:rsid w:val="00EE2186"/>
    <w:rsid w:val="00EE226A"/>
    <w:rsid w:val="00EE2270"/>
    <w:rsid w:val="00EE22D9"/>
    <w:rsid w:val="00EE238C"/>
    <w:rsid w:val="00EE249B"/>
    <w:rsid w:val="00EE259B"/>
    <w:rsid w:val="00EE267D"/>
    <w:rsid w:val="00EE26C6"/>
    <w:rsid w:val="00EE287C"/>
    <w:rsid w:val="00EE2A6A"/>
    <w:rsid w:val="00EE2AFD"/>
    <w:rsid w:val="00EE2CE8"/>
    <w:rsid w:val="00EE2D75"/>
    <w:rsid w:val="00EE2DB9"/>
    <w:rsid w:val="00EE2EC5"/>
    <w:rsid w:val="00EE2ED5"/>
    <w:rsid w:val="00EE306F"/>
    <w:rsid w:val="00EE3188"/>
    <w:rsid w:val="00EE31BE"/>
    <w:rsid w:val="00EE33C2"/>
    <w:rsid w:val="00EE378E"/>
    <w:rsid w:val="00EE392B"/>
    <w:rsid w:val="00EE3BE8"/>
    <w:rsid w:val="00EE3CEB"/>
    <w:rsid w:val="00EE3D8C"/>
    <w:rsid w:val="00EE3E55"/>
    <w:rsid w:val="00EE3EDB"/>
    <w:rsid w:val="00EE3F24"/>
    <w:rsid w:val="00EE41A3"/>
    <w:rsid w:val="00EE421E"/>
    <w:rsid w:val="00EE4234"/>
    <w:rsid w:val="00EE4296"/>
    <w:rsid w:val="00EE42B3"/>
    <w:rsid w:val="00EE431B"/>
    <w:rsid w:val="00EE4472"/>
    <w:rsid w:val="00EE44D9"/>
    <w:rsid w:val="00EE457F"/>
    <w:rsid w:val="00EE462D"/>
    <w:rsid w:val="00EE471F"/>
    <w:rsid w:val="00EE4769"/>
    <w:rsid w:val="00EE47A9"/>
    <w:rsid w:val="00EE47D9"/>
    <w:rsid w:val="00EE486F"/>
    <w:rsid w:val="00EE4970"/>
    <w:rsid w:val="00EE4BF0"/>
    <w:rsid w:val="00EE4CB2"/>
    <w:rsid w:val="00EE4D58"/>
    <w:rsid w:val="00EE4ECD"/>
    <w:rsid w:val="00EE4FEF"/>
    <w:rsid w:val="00EE5100"/>
    <w:rsid w:val="00EE51B7"/>
    <w:rsid w:val="00EE520F"/>
    <w:rsid w:val="00EE52BE"/>
    <w:rsid w:val="00EE543E"/>
    <w:rsid w:val="00EE54F1"/>
    <w:rsid w:val="00EE55C7"/>
    <w:rsid w:val="00EE5756"/>
    <w:rsid w:val="00EE577F"/>
    <w:rsid w:val="00EE58BF"/>
    <w:rsid w:val="00EE5AA4"/>
    <w:rsid w:val="00EE5B5D"/>
    <w:rsid w:val="00EE5BB0"/>
    <w:rsid w:val="00EE5BD7"/>
    <w:rsid w:val="00EE5DF4"/>
    <w:rsid w:val="00EE5EA1"/>
    <w:rsid w:val="00EE60A9"/>
    <w:rsid w:val="00EE61E6"/>
    <w:rsid w:val="00EE6405"/>
    <w:rsid w:val="00EE6465"/>
    <w:rsid w:val="00EE64A4"/>
    <w:rsid w:val="00EE657D"/>
    <w:rsid w:val="00EE65CA"/>
    <w:rsid w:val="00EE65D3"/>
    <w:rsid w:val="00EE661A"/>
    <w:rsid w:val="00EE6747"/>
    <w:rsid w:val="00EE6814"/>
    <w:rsid w:val="00EE692B"/>
    <w:rsid w:val="00EE6B6B"/>
    <w:rsid w:val="00EE6B7A"/>
    <w:rsid w:val="00EE6B9E"/>
    <w:rsid w:val="00EE6DBB"/>
    <w:rsid w:val="00EE6F14"/>
    <w:rsid w:val="00EE6F41"/>
    <w:rsid w:val="00EE7058"/>
    <w:rsid w:val="00EE71E3"/>
    <w:rsid w:val="00EE745B"/>
    <w:rsid w:val="00EE74BF"/>
    <w:rsid w:val="00EE75B8"/>
    <w:rsid w:val="00EE7678"/>
    <w:rsid w:val="00EE7781"/>
    <w:rsid w:val="00EE77D1"/>
    <w:rsid w:val="00EE78ED"/>
    <w:rsid w:val="00EE7BAF"/>
    <w:rsid w:val="00EE7CF6"/>
    <w:rsid w:val="00EF002C"/>
    <w:rsid w:val="00EF014D"/>
    <w:rsid w:val="00EF022E"/>
    <w:rsid w:val="00EF037D"/>
    <w:rsid w:val="00EF052A"/>
    <w:rsid w:val="00EF063E"/>
    <w:rsid w:val="00EF073A"/>
    <w:rsid w:val="00EF0A5E"/>
    <w:rsid w:val="00EF0B28"/>
    <w:rsid w:val="00EF0B68"/>
    <w:rsid w:val="00EF0CFD"/>
    <w:rsid w:val="00EF0D05"/>
    <w:rsid w:val="00EF0D2D"/>
    <w:rsid w:val="00EF0D67"/>
    <w:rsid w:val="00EF0D7A"/>
    <w:rsid w:val="00EF0E83"/>
    <w:rsid w:val="00EF0F07"/>
    <w:rsid w:val="00EF0F38"/>
    <w:rsid w:val="00EF0FB8"/>
    <w:rsid w:val="00EF101B"/>
    <w:rsid w:val="00EF105B"/>
    <w:rsid w:val="00EF1091"/>
    <w:rsid w:val="00EF126C"/>
    <w:rsid w:val="00EF12B9"/>
    <w:rsid w:val="00EF1336"/>
    <w:rsid w:val="00EF1693"/>
    <w:rsid w:val="00EF1920"/>
    <w:rsid w:val="00EF1AA9"/>
    <w:rsid w:val="00EF1AFC"/>
    <w:rsid w:val="00EF1B4F"/>
    <w:rsid w:val="00EF1D42"/>
    <w:rsid w:val="00EF1DCB"/>
    <w:rsid w:val="00EF1EFB"/>
    <w:rsid w:val="00EF1F6A"/>
    <w:rsid w:val="00EF1FA9"/>
    <w:rsid w:val="00EF21F5"/>
    <w:rsid w:val="00EF2330"/>
    <w:rsid w:val="00EF237D"/>
    <w:rsid w:val="00EF26C6"/>
    <w:rsid w:val="00EF27FE"/>
    <w:rsid w:val="00EF2823"/>
    <w:rsid w:val="00EF28BD"/>
    <w:rsid w:val="00EF2A33"/>
    <w:rsid w:val="00EF2B3D"/>
    <w:rsid w:val="00EF2C79"/>
    <w:rsid w:val="00EF2CAA"/>
    <w:rsid w:val="00EF2EA0"/>
    <w:rsid w:val="00EF2FA4"/>
    <w:rsid w:val="00EF3286"/>
    <w:rsid w:val="00EF3417"/>
    <w:rsid w:val="00EF34A9"/>
    <w:rsid w:val="00EF35DA"/>
    <w:rsid w:val="00EF3605"/>
    <w:rsid w:val="00EF365E"/>
    <w:rsid w:val="00EF3755"/>
    <w:rsid w:val="00EF3803"/>
    <w:rsid w:val="00EF3A43"/>
    <w:rsid w:val="00EF3C22"/>
    <w:rsid w:val="00EF3CAD"/>
    <w:rsid w:val="00EF3E19"/>
    <w:rsid w:val="00EF3E64"/>
    <w:rsid w:val="00EF3F23"/>
    <w:rsid w:val="00EF3F52"/>
    <w:rsid w:val="00EF409E"/>
    <w:rsid w:val="00EF421B"/>
    <w:rsid w:val="00EF4867"/>
    <w:rsid w:val="00EF48BA"/>
    <w:rsid w:val="00EF48D0"/>
    <w:rsid w:val="00EF490D"/>
    <w:rsid w:val="00EF4912"/>
    <w:rsid w:val="00EF49AC"/>
    <w:rsid w:val="00EF4A5F"/>
    <w:rsid w:val="00EF4AF2"/>
    <w:rsid w:val="00EF4B71"/>
    <w:rsid w:val="00EF4C06"/>
    <w:rsid w:val="00EF5064"/>
    <w:rsid w:val="00EF5146"/>
    <w:rsid w:val="00EF5576"/>
    <w:rsid w:val="00EF5689"/>
    <w:rsid w:val="00EF56A9"/>
    <w:rsid w:val="00EF572D"/>
    <w:rsid w:val="00EF578F"/>
    <w:rsid w:val="00EF579C"/>
    <w:rsid w:val="00EF57B0"/>
    <w:rsid w:val="00EF57F0"/>
    <w:rsid w:val="00EF595E"/>
    <w:rsid w:val="00EF59AC"/>
    <w:rsid w:val="00EF59B3"/>
    <w:rsid w:val="00EF59CB"/>
    <w:rsid w:val="00EF5C09"/>
    <w:rsid w:val="00EF5D04"/>
    <w:rsid w:val="00EF613C"/>
    <w:rsid w:val="00EF632B"/>
    <w:rsid w:val="00EF63A1"/>
    <w:rsid w:val="00EF65CA"/>
    <w:rsid w:val="00EF661C"/>
    <w:rsid w:val="00EF6670"/>
    <w:rsid w:val="00EF6C20"/>
    <w:rsid w:val="00EF6EB4"/>
    <w:rsid w:val="00EF6F53"/>
    <w:rsid w:val="00EF6F5C"/>
    <w:rsid w:val="00EF7000"/>
    <w:rsid w:val="00EF707C"/>
    <w:rsid w:val="00EF7197"/>
    <w:rsid w:val="00EF7410"/>
    <w:rsid w:val="00EF7513"/>
    <w:rsid w:val="00EF7514"/>
    <w:rsid w:val="00EF75D9"/>
    <w:rsid w:val="00EF78D9"/>
    <w:rsid w:val="00EF78EF"/>
    <w:rsid w:val="00EF79F1"/>
    <w:rsid w:val="00EF7AB1"/>
    <w:rsid w:val="00EF7C0C"/>
    <w:rsid w:val="00EF7C50"/>
    <w:rsid w:val="00EF7C60"/>
    <w:rsid w:val="00EF7CD2"/>
    <w:rsid w:val="00EF7EB8"/>
    <w:rsid w:val="00F0021D"/>
    <w:rsid w:val="00F00293"/>
    <w:rsid w:val="00F0073D"/>
    <w:rsid w:val="00F007B9"/>
    <w:rsid w:val="00F007CC"/>
    <w:rsid w:val="00F00818"/>
    <w:rsid w:val="00F00854"/>
    <w:rsid w:val="00F00862"/>
    <w:rsid w:val="00F009D3"/>
    <w:rsid w:val="00F009DB"/>
    <w:rsid w:val="00F00A84"/>
    <w:rsid w:val="00F00AB8"/>
    <w:rsid w:val="00F00B3A"/>
    <w:rsid w:val="00F00BE8"/>
    <w:rsid w:val="00F00F58"/>
    <w:rsid w:val="00F0112A"/>
    <w:rsid w:val="00F013F9"/>
    <w:rsid w:val="00F0140B"/>
    <w:rsid w:val="00F01446"/>
    <w:rsid w:val="00F014C4"/>
    <w:rsid w:val="00F0154B"/>
    <w:rsid w:val="00F015F3"/>
    <w:rsid w:val="00F017C8"/>
    <w:rsid w:val="00F01865"/>
    <w:rsid w:val="00F01A1E"/>
    <w:rsid w:val="00F01C3A"/>
    <w:rsid w:val="00F01DFC"/>
    <w:rsid w:val="00F01E1E"/>
    <w:rsid w:val="00F01E50"/>
    <w:rsid w:val="00F0201B"/>
    <w:rsid w:val="00F021D6"/>
    <w:rsid w:val="00F02263"/>
    <w:rsid w:val="00F022D4"/>
    <w:rsid w:val="00F022E1"/>
    <w:rsid w:val="00F02395"/>
    <w:rsid w:val="00F0248D"/>
    <w:rsid w:val="00F024EE"/>
    <w:rsid w:val="00F0267E"/>
    <w:rsid w:val="00F026BA"/>
    <w:rsid w:val="00F02748"/>
    <w:rsid w:val="00F027AA"/>
    <w:rsid w:val="00F02910"/>
    <w:rsid w:val="00F02A51"/>
    <w:rsid w:val="00F02D39"/>
    <w:rsid w:val="00F02D9A"/>
    <w:rsid w:val="00F02DED"/>
    <w:rsid w:val="00F02E64"/>
    <w:rsid w:val="00F02EEA"/>
    <w:rsid w:val="00F0311D"/>
    <w:rsid w:val="00F0334E"/>
    <w:rsid w:val="00F0340C"/>
    <w:rsid w:val="00F03558"/>
    <w:rsid w:val="00F03565"/>
    <w:rsid w:val="00F035CE"/>
    <w:rsid w:val="00F035DD"/>
    <w:rsid w:val="00F03645"/>
    <w:rsid w:val="00F0366F"/>
    <w:rsid w:val="00F0369F"/>
    <w:rsid w:val="00F03989"/>
    <w:rsid w:val="00F03A63"/>
    <w:rsid w:val="00F03A77"/>
    <w:rsid w:val="00F03B88"/>
    <w:rsid w:val="00F03C4C"/>
    <w:rsid w:val="00F03C56"/>
    <w:rsid w:val="00F03E05"/>
    <w:rsid w:val="00F03E57"/>
    <w:rsid w:val="00F03EFF"/>
    <w:rsid w:val="00F03F18"/>
    <w:rsid w:val="00F03FB6"/>
    <w:rsid w:val="00F03FB8"/>
    <w:rsid w:val="00F040A6"/>
    <w:rsid w:val="00F0411F"/>
    <w:rsid w:val="00F0418E"/>
    <w:rsid w:val="00F041A5"/>
    <w:rsid w:val="00F04289"/>
    <w:rsid w:val="00F0458E"/>
    <w:rsid w:val="00F046A8"/>
    <w:rsid w:val="00F048C1"/>
    <w:rsid w:val="00F04CC1"/>
    <w:rsid w:val="00F04EA7"/>
    <w:rsid w:val="00F0501E"/>
    <w:rsid w:val="00F050FC"/>
    <w:rsid w:val="00F052BD"/>
    <w:rsid w:val="00F05453"/>
    <w:rsid w:val="00F054BF"/>
    <w:rsid w:val="00F0575A"/>
    <w:rsid w:val="00F0575D"/>
    <w:rsid w:val="00F05858"/>
    <w:rsid w:val="00F059B8"/>
    <w:rsid w:val="00F059C8"/>
    <w:rsid w:val="00F05C46"/>
    <w:rsid w:val="00F05D6E"/>
    <w:rsid w:val="00F05D93"/>
    <w:rsid w:val="00F05F8C"/>
    <w:rsid w:val="00F061D5"/>
    <w:rsid w:val="00F06275"/>
    <w:rsid w:val="00F062E7"/>
    <w:rsid w:val="00F063C2"/>
    <w:rsid w:val="00F063F9"/>
    <w:rsid w:val="00F064DF"/>
    <w:rsid w:val="00F06539"/>
    <w:rsid w:val="00F0657B"/>
    <w:rsid w:val="00F065F0"/>
    <w:rsid w:val="00F06604"/>
    <w:rsid w:val="00F066B4"/>
    <w:rsid w:val="00F066F1"/>
    <w:rsid w:val="00F0675E"/>
    <w:rsid w:val="00F06806"/>
    <w:rsid w:val="00F069DA"/>
    <w:rsid w:val="00F06AFF"/>
    <w:rsid w:val="00F06B13"/>
    <w:rsid w:val="00F06C55"/>
    <w:rsid w:val="00F06DC1"/>
    <w:rsid w:val="00F06F29"/>
    <w:rsid w:val="00F06F62"/>
    <w:rsid w:val="00F06FC9"/>
    <w:rsid w:val="00F0700B"/>
    <w:rsid w:val="00F07064"/>
    <w:rsid w:val="00F07084"/>
    <w:rsid w:val="00F07085"/>
    <w:rsid w:val="00F07090"/>
    <w:rsid w:val="00F07196"/>
    <w:rsid w:val="00F07209"/>
    <w:rsid w:val="00F0730B"/>
    <w:rsid w:val="00F0772F"/>
    <w:rsid w:val="00F0774C"/>
    <w:rsid w:val="00F07787"/>
    <w:rsid w:val="00F077C2"/>
    <w:rsid w:val="00F07840"/>
    <w:rsid w:val="00F0798B"/>
    <w:rsid w:val="00F07C4A"/>
    <w:rsid w:val="00F07D2F"/>
    <w:rsid w:val="00F07DB2"/>
    <w:rsid w:val="00F07ED9"/>
    <w:rsid w:val="00F07F68"/>
    <w:rsid w:val="00F102B4"/>
    <w:rsid w:val="00F1038E"/>
    <w:rsid w:val="00F10464"/>
    <w:rsid w:val="00F10574"/>
    <w:rsid w:val="00F105A1"/>
    <w:rsid w:val="00F106BA"/>
    <w:rsid w:val="00F10718"/>
    <w:rsid w:val="00F109A5"/>
    <w:rsid w:val="00F10BC4"/>
    <w:rsid w:val="00F10BD4"/>
    <w:rsid w:val="00F10EE5"/>
    <w:rsid w:val="00F10FEE"/>
    <w:rsid w:val="00F11040"/>
    <w:rsid w:val="00F11256"/>
    <w:rsid w:val="00F1142F"/>
    <w:rsid w:val="00F11452"/>
    <w:rsid w:val="00F1150D"/>
    <w:rsid w:val="00F1151B"/>
    <w:rsid w:val="00F11578"/>
    <w:rsid w:val="00F1162A"/>
    <w:rsid w:val="00F11681"/>
    <w:rsid w:val="00F116F8"/>
    <w:rsid w:val="00F1170C"/>
    <w:rsid w:val="00F1191A"/>
    <w:rsid w:val="00F1192B"/>
    <w:rsid w:val="00F11A2A"/>
    <w:rsid w:val="00F11A6F"/>
    <w:rsid w:val="00F11A96"/>
    <w:rsid w:val="00F11D06"/>
    <w:rsid w:val="00F11D56"/>
    <w:rsid w:val="00F11D87"/>
    <w:rsid w:val="00F11E59"/>
    <w:rsid w:val="00F11FAE"/>
    <w:rsid w:val="00F12202"/>
    <w:rsid w:val="00F12238"/>
    <w:rsid w:val="00F1235B"/>
    <w:rsid w:val="00F1246F"/>
    <w:rsid w:val="00F12471"/>
    <w:rsid w:val="00F124D0"/>
    <w:rsid w:val="00F1279E"/>
    <w:rsid w:val="00F12812"/>
    <w:rsid w:val="00F12918"/>
    <w:rsid w:val="00F129CF"/>
    <w:rsid w:val="00F12A48"/>
    <w:rsid w:val="00F12A80"/>
    <w:rsid w:val="00F12C37"/>
    <w:rsid w:val="00F12CE0"/>
    <w:rsid w:val="00F12D75"/>
    <w:rsid w:val="00F12F9A"/>
    <w:rsid w:val="00F13087"/>
    <w:rsid w:val="00F134DE"/>
    <w:rsid w:val="00F13587"/>
    <w:rsid w:val="00F1366A"/>
    <w:rsid w:val="00F13844"/>
    <w:rsid w:val="00F13893"/>
    <w:rsid w:val="00F13970"/>
    <w:rsid w:val="00F139DF"/>
    <w:rsid w:val="00F13B63"/>
    <w:rsid w:val="00F13BA2"/>
    <w:rsid w:val="00F13BF3"/>
    <w:rsid w:val="00F13C13"/>
    <w:rsid w:val="00F13C21"/>
    <w:rsid w:val="00F13CDD"/>
    <w:rsid w:val="00F13E91"/>
    <w:rsid w:val="00F13EBC"/>
    <w:rsid w:val="00F13EC0"/>
    <w:rsid w:val="00F13F47"/>
    <w:rsid w:val="00F13F8D"/>
    <w:rsid w:val="00F1405B"/>
    <w:rsid w:val="00F14120"/>
    <w:rsid w:val="00F1417A"/>
    <w:rsid w:val="00F141A8"/>
    <w:rsid w:val="00F141C3"/>
    <w:rsid w:val="00F14359"/>
    <w:rsid w:val="00F144B8"/>
    <w:rsid w:val="00F146EC"/>
    <w:rsid w:val="00F14812"/>
    <w:rsid w:val="00F1484E"/>
    <w:rsid w:val="00F149E8"/>
    <w:rsid w:val="00F14A33"/>
    <w:rsid w:val="00F14AC9"/>
    <w:rsid w:val="00F14B60"/>
    <w:rsid w:val="00F14DB0"/>
    <w:rsid w:val="00F14DF6"/>
    <w:rsid w:val="00F14E2F"/>
    <w:rsid w:val="00F14E4D"/>
    <w:rsid w:val="00F150BA"/>
    <w:rsid w:val="00F150E8"/>
    <w:rsid w:val="00F1512E"/>
    <w:rsid w:val="00F15312"/>
    <w:rsid w:val="00F15456"/>
    <w:rsid w:val="00F155DF"/>
    <w:rsid w:val="00F155FB"/>
    <w:rsid w:val="00F1584E"/>
    <w:rsid w:val="00F15851"/>
    <w:rsid w:val="00F15BAF"/>
    <w:rsid w:val="00F15DCB"/>
    <w:rsid w:val="00F15F3B"/>
    <w:rsid w:val="00F1606D"/>
    <w:rsid w:val="00F160F3"/>
    <w:rsid w:val="00F16219"/>
    <w:rsid w:val="00F16251"/>
    <w:rsid w:val="00F1626A"/>
    <w:rsid w:val="00F162D4"/>
    <w:rsid w:val="00F164DF"/>
    <w:rsid w:val="00F166D3"/>
    <w:rsid w:val="00F16BB3"/>
    <w:rsid w:val="00F16BD4"/>
    <w:rsid w:val="00F16C2E"/>
    <w:rsid w:val="00F16DA9"/>
    <w:rsid w:val="00F16DED"/>
    <w:rsid w:val="00F16E75"/>
    <w:rsid w:val="00F16F0E"/>
    <w:rsid w:val="00F17059"/>
    <w:rsid w:val="00F17138"/>
    <w:rsid w:val="00F1722F"/>
    <w:rsid w:val="00F172D6"/>
    <w:rsid w:val="00F17338"/>
    <w:rsid w:val="00F17343"/>
    <w:rsid w:val="00F173EF"/>
    <w:rsid w:val="00F176DA"/>
    <w:rsid w:val="00F17763"/>
    <w:rsid w:val="00F1787D"/>
    <w:rsid w:val="00F17989"/>
    <w:rsid w:val="00F179DD"/>
    <w:rsid w:val="00F17C85"/>
    <w:rsid w:val="00F17D31"/>
    <w:rsid w:val="00F17E5E"/>
    <w:rsid w:val="00F17EBD"/>
    <w:rsid w:val="00F17FFC"/>
    <w:rsid w:val="00F20077"/>
    <w:rsid w:val="00F200E6"/>
    <w:rsid w:val="00F20204"/>
    <w:rsid w:val="00F2020C"/>
    <w:rsid w:val="00F2028E"/>
    <w:rsid w:val="00F202C5"/>
    <w:rsid w:val="00F20338"/>
    <w:rsid w:val="00F20344"/>
    <w:rsid w:val="00F2043C"/>
    <w:rsid w:val="00F20451"/>
    <w:rsid w:val="00F20466"/>
    <w:rsid w:val="00F2058B"/>
    <w:rsid w:val="00F206DD"/>
    <w:rsid w:val="00F20820"/>
    <w:rsid w:val="00F2091D"/>
    <w:rsid w:val="00F20960"/>
    <w:rsid w:val="00F20CFC"/>
    <w:rsid w:val="00F20DC9"/>
    <w:rsid w:val="00F20ECF"/>
    <w:rsid w:val="00F20F9C"/>
    <w:rsid w:val="00F20FDB"/>
    <w:rsid w:val="00F21026"/>
    <w:rsid w:val="00F21100"/>
    <w:rsid w:val="00F21137"/>
    <w:rsid w:val="00F211FB"/>
    <w:rsid w:val="00F2137C"/>
    <w:rsid w:val="00F21405"/>
    <w:rsid w:val="00F214BB"/>
    <w:rsid w:val="00F21704"/>
    <w:rsid w:val="00F21A5C"/>
    <w:rsid w:val="00F21A5F"/>
    <w:rsid w:val="00F22082"/>
    <w:rsid w:val="00F2230E"/>
    <w:rsid w:val="00F223E8"/>
    <w:rsid w:val="00F2255D"/>
    <w:rsid w:val="00F2285F"/>
    <w:rsid w:val="00F22879"/>
    <w:rsid w:val="00F228D9"/>
    <w:rsid w:val="00F228E2"/>
    <w:rsid w:val="00F22947"/>
    <w:rsid w:val="00F22AD4"/>
    <w:rsid w:val="00F22AF7"/>
    <w:rsid w:val="00F22C77"/>
    <w:rsid w:val="00F22CA2"/>
    <w:rsid w:val="00F22E20"/>
    <w:rsid w:val="00F23039"/>
    <w:rsid w:val="00F23068"/>
    <w:rsid w:val="00F230CC"/>
    <w:rsid w:val="00F2313A"/>
    <w:rsid w:val="00F23203"/>
    <w:rsid w:val="00F23238"/>
    <w:rsid w:val="00F23339"/>
    <w:rsid w:val="00F2338E"/>
    <w:rsid w:val="00F233EA"/>
    <w:rsid w:val="00F2349D"/>
    <w:rsid w:val="00F237FF"/>
    <w:rsid w:val="00F23842"/>
    <w:rsid w:val="00F239B9"/>
    <w:rsid w:val="00F23A0E"/>
    <w:rsid w:val="00F23D44"/>
    <w:rsid w:val="00F23D59"/>
    <w:rsid w:val="00F23E2C"/>
    <w:rsid w:val="00F23FDA"/>
    <w:rsid w:val="00F2402D"/>
    <w:rsid w:val="00F24115"/>
    <w:rsid w:val="00F241D5"/>
    <w:rsid w:val="00F2421A"/>
    <w:rsid w:val="00F24239"/>
    <w:rsid w:val="00F2424D"/>
    <w:rsid w:val="00F24362"/>
    <w:rsid w:val="00F243C3"/>
    <w:rsid w:val="00F246AD"/>
    <w:rsid w:val="00F24776"/>
    <w:rsid w:val="00F247D2"/>
    <w:rsid w:val="00F249C6"/>
    <w:rsid w:val="00F24AE4"/>
    <w:rsid w:val="00F24BC1"/>
    <w:rsid w:val="00F24C9E"/>
    <w:rsid w:val="00F24E14"/>
    <w:rsid w:val="00F24E4B"/>
    <w:rsid w:val="00F24EDF"/>
    <w:rsid w:val="00F24F00"/>
    <w:rsid w:val="00F24F86"/>
    <w:rsid w:val="00F25051"/>
    <w:rsid w:val="00F2513D"/>
    <w:rsid w:val="00F251D2"/>
    <w:rsid w:val="00F25347"/>
    <w:rsid w:val="00F254C2"/>
    <w:rsid w:val="00F2563C"/>
    <w:rsid w:val="00F256B2"/>
    <w:rsid w:val="00F25956"/>
    <w:rsid w:val="00F25979"/>
    <w:rsid w:val="00F259B0"/>
    <w:rsid w:val="00F25A4A"/>
    <w:rsid w:val="00F25AE6"/>
    <w:rsid w:val="00F25C39"/>
    <w:rsid w:val="00F25CB0"/>
    <w:rsid w:val="00F25D59"/>
    <w:rsid w:val="00F262D7"/>
    <w:rsid w:val="00F262F8"/>
    <w:rsid w:val="00F26312"/>
    <w:rsid w:val="00F26409"/>
    <w:rsid w:val="00F26497"/>
    <w:rsid w:val="00F265C8"/>
    <w:rsid w:val="00F2671E"/>
    <w:rsid w:val="00F2674E"/>
    <w:rsid w:val="00F26A4B"/>
    <w:rsid w:val="00F26B70"/>
    <w:rsid w:val="00F26C44"/>
    <w:rsid w:val="00F26E8C"/>
    <w:rsid w:val="00F26F07"/>
    <w:rsid w:val="00F26FC5"/>
    <w:rsid w:val="00F26FD0"/>
    <w:rsid w:val="00F27073"/>
    <w:rsid w:val="00F271A0"/>
    <w:rsid w:val="00F271AB"/>
    <w:rsid w:val="00F27228"/>
    <w:rsid w:val="00F272C5"/>
    <w:rsid w:val="00F2737F"/>
    <w:rsid w:val="00F273AF"/>
    <w:rsid w:val="00F2742E"/>
    <w:rsid w:val="00F2748E"/>
    <w:rsid w:val="00F274E0"/>
    <w:rsid w:val="00F275A3"/>
    <w:rsid w:val="00F276D9"/>
    <w:rsid w:val="00F27747"/>
    <w:rsid w:val="00F277AE"/>
    <w:rsid w:val="00F2791B"/>
    <w:rsid w:val="00F27924"/>
    <w:rsid w:val="00F27996"/>
    <w:rsid w:val="00F27A37"/>
    <w:rsid w:val="00F27BF7"/>
    <w:rsid w:val="00F27D21"/>
    <w:rsid w:val="00F27D3A"/>
    <w:rsid w:val="00F27E05"/>
    <w:rsid w:val="00F27EC2"/>
    <w:rsid w:val="00F27F70"/>
    <w:rsid w:val="00F27F99"/>
    <w:rsid w:val="00F300D8"/>
    <w:rsid w:val="00F300E7"/>
    <w:rsid w:val="00F303BF"/>
    <w:rsid w:val="00F304F0"/>
    <w:rsid w:val="00F30534"/>
    <w:rsid w:val="00F3073D"/>
    <w:rsid w:val="00F3088C"/>
    <w:rsid w:val="00F30A57"/>
    <w:rsid w:val="00F30AC6"/>
    <w:rsid w:val="00F30AEA"/>
    <w:rsid w:val="00F30B25"/>
    <w:rsid w:val="00F30FBF"/>
    <w:rsid w:val="00F30FD3"/>
    <w:rsid w:val="00F31088"/>
    <w:rsid w:val="00F31170"/>
    <w:rsid w:val="00F311B0"/>
    <w:rsid w:val="00F312BA"/>
    <w:rsid w:val="00F31324"/>
    <w:rsid w:val="00F31552"/>
    <w:rsid w:val="00F315BD"/>
    <w:rsid w:val="00F315E4"/>
    <w:rsid w:val="00F31A7A"/>
    <w:rsid w:val="00F31AA5"/>
    <w:rsid w:val="00F31E1D"/>
    <w:rsid w:val="00F31F43"/>
    <w:rsid w:val="00F3209B"/>
    <w:rsid w:val="00F3214C"/>
    <w:rsid w:val="00F32189"/>
    <w:rsid w:val="00F32324"/>
    <w:rsid w:val="00F325D4"/>
    <w:rsid w:val="00F3264A"/>
    <w:rsid w:val="00F326F3"/>
    <w:rsid w:val="00F327B4"/>
    <w:rsid w:val="00F327E5"/>
    <w:rsid w:val="00F32869"/>
    <w:rsid w:val="00F32875"/>
    <w:rsid w:val="00F328F1"/>
    <w:rsid w:val="00F32984"/>
    <w:rsid w:val="00F32BB0"/>
    <w:rsid w:val="00F32CFE"/>
    <w:rsid w:val="00F32D8A"/>
    <w:rsid w:val="00F32DD5"/>
    <w:rsid w:val="00F32E40"/>
    <w:rsid w:val="00F32E4C"/>
    <w:rsid w:val="00F32F86"/>
    <w:rsid w:val="00F3329F"/>
    <w:rsid w:val="00F332CA"/>
    <w:rsid w:val="00F3331D"/>
    <w:rsid w:val="00F33524"/>
    <w:rsid w:val="00F3358F"/>
    <w:rsid w:val="00F335A5"/>
    <w:rsid w:val="00F337A7"/>
    <w:rsid w:val="00F337FC"/>
    <w:rsid w:val="00F33931"/>
    <w:rsid w:val="00F3398E"/>
    <w:rsid w:val="00F33BED"/>
    <w:rsid w:val="00F33C05"/>
    <w:rsid w:val="00F33E5C"/>
    <w:rsid w:val="00F33F8D"/>
    <w:rsid w:val="00F3400F"/>
    <w:rsid w:val="00F34041"/>
    <w:rsid w:val="00F34048"/>
    <w:rsid w:val="00F34070"/>
    <w:rsid w:val="00F340F9"/>
    <w:rsid w:val="00F3410F"/>
    <w:rsid w:val="00F34283"/>
    <w:rsid w:val="00F34388"/>
    <w:rsid w:val="00F344C6"/>
    <w:rsid w:val="00F3475A"/>
    <w:rsid w:val="00F34789"/>
    <w:rsid w:val="00F347B0"/>
    <w:rsid w:val="00F34A79"/>
    <w:rsid w:val="00F34ADD"/>
    <w:rsid w:val="00F34C04"/>
    <w:rsid w:val="00F34D07"/>
    <w:rsid w:val="00F34F92"/>
    <w:rsid w:val="00F350A4"/>
    <w:rsid w:val="00F35164"/>
    <w:rsid w:val="00F35244"/>
    <w:rsid w:val="00F354ED"/>
    <w:rsid w:val="00F35594"/>
    <w:rsid w:val="00F357D3"/>
    <w:rsid w:val="00F3588C"/>
    <w:rsid w:val="00F35BFA"/>
    <w:rsid w:val="00F35D1C"/>
    <w:rsid w:val="00F361BE"/>
    <w:rsid w:val="00F36271"/>
    <w:rsid w:val="00F36475"/>
    <w:rsid w:val="00F3650E"/>
    <w:rsid w:val="00F36544"/>
    <w:rsid w:val="00F36567"/>
    <w:rsid w:val="00F366A4"/>
    <w:rsid w:val="00F366D7"/>
    <w:rsid w:val="00F36762"/>
    <w:rsid w:val="00F369E1"/>
    <w:rsid w:val="00F36A83"/>
    <w:rsid w:val="00F36AB8"/>
    <w:rsid w:val="00F36ED0"/>
    <w:rsid w:val="00F36F75"/>
    <w:rsid w:val="00F36FD9"/>
    <w:rsid w:val="00F37064"/>
    <w:rsid w:val="00F370D3"/>
    <w:rsid w:val="00F371D1"/>
    <w:rsid w:val="00F371DA"/>
    <w:rsid w:val="00F37309"/>
    <w:rsid w:val="00F3745F"/>
    <w:rsid w:val="00F37463"/>
    <w:rsid w:val="00F37664"/>
    <w:rsid w:val="00F377B3"/>
    <w:rsid w:val="00F3783F"/>
    <w:rsid w:val="00F378C0"/>
    <w:rsid w:val="00F37CB6"/>
    <w:rsid w:val="00F37E33"/>
    <w:rsid w:val="00F37EBD"/>
    <w:rsid w:val="00F37F23"/>
    <w:rsid w:val="00F37F65"/>
    <w:rsid w:val="00F37F9B"/>
    <w:rsid w:val="00F37FB6"/>
    <w:rsid w:val="00F37FE8"/>
    <w:rsid w:val="00F400F7"/>
    <w:rsid w:val="00F4010B"/>
    <w:rsid w:val="00F40136"/>
    <w:rsid w:val="00F402D3"/>
    <w:rsid w:val="00F40305"/>
    <w:rsid w:val="00F403B2"/>
    <w:rsid w:val="00F405CC"/>
    <w:rsid w:val="00F405DD"/>
    <w:rsid w:val="00F40AFF"/>
    <w:rsid w:val="00F40E22"/>
    <w:rsid w:val="00F40E57"/>
    <w:rsid w:val="00F40FFC"/>
    <w:rsid w:val="00F41022"/>
    <w:rsid w:val="00F41318"/>
    <w:rsid w:val="00F4152E"/>
    <w:rsid w:val="00F41655"/>
    <w:rsid w:val="00F41872"/>
    <w:rsid w:val="00F419A2"/>
    <w:rsid w:val="00F41AE5"/>
    <w:rsid w:val="00F41C8F"/>
    <w:rsid w:val="00F41E30"/>
    <w:rsid w:val="00F41FF2"/>
    <w:rsid w:val="00F4204D"/>
    <w:rsid w:val="00F42158"/>
    <w:rsid w:val="00F42223"/>
    <w:rsid w:val="00F422D9"/>
    <w:rsid w:val="00F423C6"/>
    <w:rsid w:val="00F42457"/>
    <w:rsid w:val="00F4284C"/>
    <w:rsid w:val="00F428BA"/>
    <w:rsid w:val="00F42978"/>
    <w:rsid w:val="00F42986"/>
    <w:rsid w:val="00F42AFB"/>
    <w:rsid w:val="00F42B96"/>
    <w:rsid w:val="00F42D67"/>
    <w:rsid w:val="00F42E80"/>
    <w:rsid w:val="00F42EA5"/>
    <w:rsid w:val="00F42F4E"/>
    <w:rsid w:val="00F42F6B"/>
    <w:rsid w:val="00F42FA3"/>
    <w:rsid w:val="00F434E2"/>
    <w:rsid w:val="00F43548"/>
    <w:rsid w:val="00F43613"/>
    <w:rsid w:val="00F43625"/>
    <w:rsid w:val="00F43715"/>
    <w:rsid w:val="00F43771"/>
    <w:rsid w:val="00F43885"/>
    <w:rsid w:val="00F43913"/>
    <w:rsid w:val="00F439A6"/>
    <w:rsid w:val="00F43B6E"/>
    <w:rsid w:val="00F43BE4"/>
    <w:rsid w:val="00F43C54"/>
    <w:rsid w:val="00F44080"/>
    <w:rsid w:val="00F440A0"/>
    <w:rsid w:val="00F440C1"/>
    <w:rsid w:val="00F44172"/>
    <w:rsid w:val="00F442E1"/>
    <w:rsid w:val="00F44414"/>
    <w:rsid w:val="00F446EA"/>
    <w:rsid w:val="00F447CB"/>
    <w:rsid w:val="00F448C7"/>
    <w:rsid w:val="00F44D9D"/>
    <w:rsid w:val="00F44DA9"/>
    <w:rsid w:val="00F44ED5"/>
    <w:rsid w:val="00F44EDD"/>
    <w:rsid w:val="00F44F53"/>
    <w:rsid w:val="00F44F89"/>
    <w:rsid w:val="00F45013"/>
    <w:rsid w:val="00F4505B"/>
    <w:rsid w:val="00F451C7"/>
    <w:rsid w:val="00F4524C"/>
    <w:rsid w:val="00F45257"/>
    <w:rsid w:val="00F4534A"/>
    <w:rsid w:val="00F45453"/>
    <w:rsid w:val="00F45571"/>
    <w:rsid w:val="00F4572D"/>
    <w:rsid w:val="00F457BF"/>
    <w:rsid w:val="00F4599F"/>
    <w:rsid w:val="00F45B51"/>
    <w:rsid w:val="00F45C13"/>
    <w:rsid w:val="00F45D39"/>
    <w:rsid w:val="00F45E50"/>
    <w:rsid w:val="00F45E73"/>
    <w:rsid w:val="00F45FAD"/>
    <w:rsid w:val="00F45FBB"/>
    <w:rsid w:val="00F46047"/>
    <w:rsid w:val="00F46070"/>
    <w:rsid w:val="00F460C7"/>
    <w:rsid w:val="00F4613A"/>
    <w:rsid w:val="00F46165"/>
    <w:rsid w:val="00F462BF"/>
    <w:rsid w:val="00F462C3"/>
    <w:rsid w:val="00F4647F"/>
    <w:rsid w:val="00F46570"/>
    <w:rsid w:val="00F46666"/>
    <w:rsid w:val="00F46774"/>
    <w:rsid w:val="00F4681E"/>
    <w:rsid w:val="00F46ACB"/>
    <w:rsid w:val="00F46B19"/>
    <w:rsid w:val="00F46E42"/>
    <w:rsid w:val="00F46F14"/>
    <w:rsid w:val="00F46FF8"/>
    <w:rsid w:val="00F4702C"/>
    <w:rsid w:val="00F47051"/>
    <w:rsid w:val="00F47347"/>
    <w:rsid w:val="00F476B4"/>
    <w:rsid w:val="00F47738"/>
    <w:rsid w:val="00F477BB"/>
    <w:rsid w:val="00F479C0"/>
    <w:rsid w:val="00F47B9B"/>
    <w:rsid w:val="00F47BB6"/>
    <w:rsid w:val="00F47BC9"/>
    <w:rsid w:val="00F47C44"/>
    <w:rsid w:val="00F47C57"/>
    <w:rsid w:val="00F47DF5"/>
    <w:rsid w:val="00F500D6"/>
    <w:rsid w:val="00F50296"/>
    <w:rsid w:val="00F502A0"/>
    <w:rsid w:val="00F503F4"/>
    <w:rsid w:val="00F5051D"/>
    <w:rsid w:val="00F505B8"/>
    <w:rsid w:val="00F50667"/>
    <w:rsid w:val="00F506A9"/>
    <w:rsid w:val="00F50730"/>
    <w:rsid w:val="00F5076A"/>
    <w:rsid w:val="00F50884"/>
    <w:rsid w:val="00F508F0"/>
    <w:rsid w:val="00F50B8D"/>
    <w:rsid w:val="00F50D7C"/>
    <w:rsid w:val="00F50E3F"/>
    <w:rsid w:val="00F50EEC"/>
    <w:rsid w:val="00F50F4D"/>
    <w:rsid w:val="00F510C5"/>
    <w:rsid w:val="00F51286"/>
    <w:rsid w:val="00F513A7"/>
    <w:rsid w:val="00F515AE"/>
    <w:rsid w:val="00F515AF"/>
    <w:rsid w:val="00F51661"/>
    <w:rsid w:val="00F516F8"/>
    <w:rsid w:val="00F51732"/>
    <w:rsid w:val="00F5177C"/>
    <w:rsid w:val="00F519E5"/>
    <w:rsid w:val="00F51A04"/>
    <w:rsid w:val="00F51A64"/>
    <w:rsid w:val="00F51AB4"/>
    <w:rsid w:val="00F51CD0"/>
    <w:rsid w:val="00F52118"/>
    <w:rsid w:val="00F52218"/>
    <w:rsid w:val="00F52274"/>
    <w:rsid w:val="00F52368"/>
    <w:rsid w:val="00F5248E"/>
    <w:rsid w:val="00F52517"/>
    <w:rsid w:val="00F525DB"/>
    <w:rsid w:val="00F525ED"/>
    <w:rsid w:val="00F52872"/>
    <w:rsid w:val="00F528AB"/>
    <w:rsid w:val="00F528D0"/>
    <w:rsid w:val="00F528E8"/>
    <w:rsid w:val="00F52979"/>
    <w:rsid w:val="00F52BEE"/>
    <w:rsid w:val="00F52BFF"/>
    <w:rsid w:val="00F52C40"/>
    <w:rsid w:val="00F52C88"/>
    <w:rsid w:val="00F52D8F"/>
    <w:rsid w:val="00F52DBA"/>
    <w:rsid w:val="00F52E48"/>
    <w:rsid w:val="00F53076"/>
    <w:rsid w:val="00F5307F"/>
    <w:rsid w:val="00F5315D"/>
    <w:rsid w:val="00F5315E"/>
    <w:rsid w:val="00F5315F"/>
    <w:rsid w:val="00F53241"/>
    <w:rsid w:val="00F534DD"/>
    <w:rsid w:val="00F53515"/>
    <w:rsid w:val="00F53591"/>
    <w:rsid w:val="00F5370D"/>
    <w:rsid w:val="00F53915"/>
    <w:rsid w:val="00F539CA"/>
    <w:rsid w:val="00F53A29"/>
    <w:rsid w:val="00F53B8A"/>
    <w:rsid w:val="00F53E03"/>
    <w:rsid w:val="00F53EFE"/>
    <w:rsid w:val="00F53F93"/>
    <w:rsid w:val="00F53FA7"/>
    <w:rsid w:val="00F53FE3"/>
    <w:rsid w:val="00F54062"/>
    <w:rsid w:val="00F541A9"/>
    <w:rsid w:val="00F54245"/>
    <w:rsid w:val="00F543B8"/>
    <w:rsid w:val="00F5445C"/>
    <w:rsid w:val="00F545DC"/>
    <w:rsid w:val="00F546C7"/>
    <w:rsid w:val="00F54768"/>
    <w:rsid w:val="00F547F8"/>
    <w:rsid w:val="00F54806"/>
    <w:rsid w:val="00F54993"/>
    <w:rsid w:val="00F54A7B"/>
    <w:rsid w:val="00F54E63"/>
    <w:rsid w:val="00F54E6C"/>
    <w:rsid w:val="00F54E95"/>
    <w:rsid w:val="00F54EA3"/>
    <w:rsid w:val="00F5504D"/>
    <w:rsid w:val="00F550D6"/>
    <w:rsid w:val="00F5520E"/>
    <w:rsid w:val="00F552F1"/>
    <w:rsid w:val="00F554C5"/>
    <w:rsid w:val="00F5555D"/>
    <w:rsid w:val="00F55589"/>
    <w:rsid w:val="00F5562A"/>
    <w:rsid w:val="00F556CA"/>
    <w:rsid w:val="00F557D3"/>
    <w:rsid w:val="00F5580F"/>
    <w:rsid w:val="00F5582B"/>
    <w:rsid w:val="00F5583D"/>
    <w:rsid w:val="00F55AB0"/>
    <w:rsid w:val="00F55B5C"/>
    <w:rsid w:val="00F55BCE"/>
    <w:rsid w:val="00F55BF8"/>
    <w:rsid w:val="00F55DC8"/>
    <w:rsid w:val="00F55DE3"/>
    <w:rsid w:val="00F55DE4"/>
    <w:rsid w:val="00F55FE4"/>
    <w:rsid w:val="00F56070"/>
    <w:rsid w:val="00F561E2"/>
    <w:rsid w:val="00F56387"/>
    <w:rsid w:val="00F56397"/>
    <w:rsid w:val="00F563E0"/>
    <w:rsid w:val="00F563EE"/>
    <w:rsid w:val="00F56490"/>
    <w:rsid w:val="00F56579"/>
    <w:rsid w:val="00F5665E"/>
    <w:rsid w:val="00F56666"/>
    <w:rsid w:val="00F5692E"/>
    <w:rsid w:val="00F569E6"/>
    <w:rsid w:val="00F56A9D"/>
    <w:rsid w:val="00F56B42"/>
    <w:rsid w:val="00F56BB5"/>
    <w:rsid w:val="00F56F12"/>
    <w:rsid w:val="00F57051"/>
    <w:rsid w:val="00F5708F"/>
    <w:rsid w:val="00F5722C"/>
    <w:rsid w:val="00F574C6"/>
    <w:rsid w:val="00F57585"/>
    <w:rsid w:val="00F576CA"/>
    <w:rsid w:val="00F576CC"/>
    <w:rsid w:val="00F57937"/>
    <w:rsid w:val="00F579AB"/>
    <w:rsid w:val="00F57B63"/>
    <w:rsid w:val="00F57E12"/>
    <w:rsid w:val="00F57E76"/>
    <w:rsid w:val="00F6005C"/>
    <w:rsid w:val="00F600AF"/>
    <w:rsid w:val="00F60102"/>
    <w:rsid w:val="00F6032E"/>
    <w:rsid w:val="00F604D6"/>
    <w:rsid w:val="00F605F3"/>
    <w:rsid w:val="00F60677"/>
    <w:rsid w:val="00F60871"/>
    <w:rsid w:val="00F609F3"/>
    <w:rsid w:val="00F60B09"/>
    <w:rsid w:val="00F60BA2"/>
    <w:rsid w:val="00F60C0F"/>
    <w:rsid w:val="00F60C90"/>
    <w:rsid w:val="00F60F55"/>
    <w:rsid w:val="00F6118E"/>
    <w:rsid w:val="00F613ED"/>
    <w:rsid w:val="00F613F1"/>
    <w:rsid w:val="00F61590"/>
    <w:rsid w:val="00F6159B"/>
    <w:rsid w:val="00F61713"/>
    <w:rsid w:val="00F61732"/>
    <w:rsid w:val="00F61763"/>
    <w:rsid w:val="00F617E9"/>
    <w:rsid w:val="00F6185A"/>
    <w:rsid w:val="00F618D1"/>
    <w:rsid w:val="00F6192A"/>
    <w:rsid w:val="00F6192E"/>
    <w:rsid w:val="00F61990"/>
    <w:rsid w:val="00F619E1"/>
    <w:rsid w:val="00F61A49"/>
    <w:rsid w:val="00F61A78"/>
    <w:rsid w:val="00F61C30"/>
    <w:rsid w:val="00F61D84"/>
    <w:rsid w:val="00F61DBC"/>
    <w:rsid w:val="00F61DF7"/>
    <w:rsid w:val="00F62074"/>
    <w:rsid w:val="00F62177"/>
    <w:rsid w:val="00F62186"/>
    <w:rsid w:val="00F62217"/>
    <w:rsid w:val="00F623A9"/>
    <w:rsid w:val="00F62925"/>
    <w:rsid w:val="00F62B08"/>
    <w:rsid w:val="00F62B27"/>
    <w:rsid w:val="00F62B3E"/>
    <w:rsid w:val="00F62C0F"/>
    <w:rsid w:val="00F62CB4"/>
    <w:rsid w:val="00F62D27"/>
    <w:rsid w:val="00F62EB2"/>
    <w:rsid w:val="00F63033"/>
    <w:rsid w:val="00F6307B"/>
    <w:rsid w:val="00F63205"/>
    <w:rsid w:val="00F633FD"/>
    <w:rsid w:val="00F6347A"/>
    <w:rsid w:val="00F634F6"/>
    <w:rsid w:val="00F6354E"/>
    <w:rsid w:val="00F63668"/>
    <w:rsid w:val="00F638CA"/>
    <w:rsid w:val="00F63990"/>
    <w:rsid w:val="00F63A2B"/>
    <w:rsid w:val="00F63AC4"/>
    <w:rsid w:val="00F63B5C"/>
    <w:rsid w:val="00F63B72"/>
    <w:rsid w:val="00F63B92"/>
    <w:rsid w:val="00F63BBA"/>
    <w:rsid w:val="00F63DC4"/>
    <w:rsid w:val="00F63E1E"/>
    <w:rsid w:val="00F63EC4"/>
    <w:rsid w:val="00F63FED"/>
    <w:rsid w:val="00F6404C"/>
    <w:rsid w:val="00F640BE"/>
    <w:rsid w:val="00F64449"/>
    <w:rsid w:val="00F64488"/>
    <w:rsid w:val="00F64643"/>
    <w:rsid w:val="00F64784"/>
    <w:rsid w:val="00F647D4"/>
    <w:rsid w:val="00F648B7"/>
    <w:rsid w:val="00F648F9"/>
    <w:rsid w:val="00F649AA"/>
    <w:rsid w:val="00F64AF5"/>
    <w:rsid w:val="00F64B70"/>
    <w:rsid w:val="00F64BCD"/>
    <w:rsid w:val="00F64EC1"/>
    <w:rsid w:val="00F64F0F"/>
    <w:rsid w:val="00F64F47"/>
    <w:rsid w:val="00F65174"/>
    <w:rsid w:val="00F65211"/>
    <w:rsid w:val="00F6536D"/>
    <w:rsid w:val="00F653A8"/>
    <w:rsid w:val="00F654A7"/>
    <w:rsid w:val="00F656DB"/>
    <w:rsid w:val="00F65BCB"/>
    <w:rsid w:val="00F65BF9"/>
    <w:rsid w:val="00F65C1F"/>
    <w:rsid w:val="00F65F02"/>
    <w:rsid w:val="00F65FE3"/>
    <w:rsid w:val="00F66015"/>
    <w:rsid w:val="00F66056"/>
    <w:rsid w:val="00F6612B"/>
    <w:rsid w:val="00F6623A"/>
    <w:rsid w:val="00F662D5"/>
    <w:rsid w:val="00F6651F"/>
    <w:rsid w:val="00F6658B"/>
    <w:rsid w:val="00F665A2"/>
    <w:rsid w:val="00F66C15"/>
    <w:rsid w:val="00F66D4E"/>
    <w:rsid w:val="00F66DB2"/>
    <w:rsid w:val="00F66DE0"/>
    <w:rsid w:val="00F66E9C"/>
    <w:rsid w:val="00F66ECD"/>
    <w:rsid w:val="00F66F82"/>
    <w:rsid w:val="00F67030"/>
    <w:rsid w:val="00F6713B"/>
    <w:rsid w:val="00F67154"/>
    <w:rsid w:val="00F671FE"/>
    <w:rsid w:val="00F6722D"/>
    <w:rsid w:val="00F672CF"/>
    <w:rsid w:val="00F672D6"/>
    <w:rsid w:val="00F6731D"/>
    <w:rsid w:val="00F67328"/>
    <w:rsid w:val="00F67414"/>
    <w:rsid w:val="00F674B4"/>
    <w:rsid w:val="00F676C0"/>
    <w:rsid w:val="00F679DB"/>
    <w:rsid w:val="00F67ABC"/>
    <w:rsid w:val="00F67AC2"/>
    <w:rsid w:val="00F67B42"/>
    <w:rsid w:val="00F67C76"/>
    <w:rsid w:val="00F67D56"/>
    <w:rsid w:val="00F67E04"/>
    <w:rsid w:val="00F67E05"/>
    <w:rsid w:val="00F67E16"/>
    <w:rsid w:val="00F67ED0"/>
    <w:rsid w:val="00F67FB1"/>
    <w:rsid w:val="00F70095"/>
    <w:rsid w:val="00F70131"/>
    <w:rsid w:val="00F70187"/>
    <w:rsid w:val="00F701E3"/>
    <w:rsid w:val="00F702D5"/>
    <w:rsid w:val="00F702DE"/>
    <w:rsid w:val="00F703A0"/>
    <w:rsid w:val="00F70450"/>
    <w:rsid w:val="00F70485"/>
    <w:rsid w:val="00F70843"/>
    <w:rsid w:val="00F70988"/>
    <w:rsid w:val="00F70A6A"/>
    <w:rsid w:val="00F70B22"/>
    <w:rsid w:val="00F70BA6"/>
    <w:rsid w:val="00F70C5C"/>
    <w:rsid w:val="00F70DAB"/>
    <w:rsid w:val="00F70FD1"/>
    <w:rsid w:val="00F71004"/>
    <w:rsid w:val="00F710DB"/>
    <w:rsid w:val="00F712AB"/>
    <w:rsid w:val="00F712ED"/>
    <w:rsid w:val="00F717D4"/>
    <w:rsid w:val="00F71989"/>
    <w:rsid w:val="00F71B68"/>
    <w:rsid w:val="00F71B96"/>
    <w:rsid w:val="00F71D13"/>
    <w:rsid w:val="00F71DE8"/>
    <w:rsid w:val="00F71EFE"/>
    <w:rsid w:val="00F71FAF"/>
    <w:rsid w:val="00F72072"/>
    <w:rsid w:val="00F721C0"/>
    <w:rsid w:val="00F722E8"/>
    <w:rsid w:val="00F72389"/>
    <w:rsid w:val="00F723AB"/>
    <w:rsid w:val="00F723DA"/>
    <w:rsid w:val="00F72430"/>
    <w:rsid w:val="00F72741"/>
    <w:rsid w:val="00F72AE4"/>
    <w:rsid w:val="00F72C76"/>
    <w:rsid w:val="00F72CA0"/>
    <w:rsid w:val="00F72F68"/>
    <w:rsid w:val="00F732C1"/>
    <w:rsid w:val="00F73325"/>
    <w:rsid w:val="00F733AC"/>
    <w:rsid w:val="00F735B8"/>
    <w:rsid w:val="00F7380D"/>
    <w:rsid w:val="00F7386C"/>
    <w:rsid w:val="00F738FC"/>
    <w:rsid w:val="00F739C1"/>
    <w:rsid w:val="00F73E50"/>
    <w:rsid w:val="00F73EBF"/>
    <w:rsid w:val="00F7401F"/>
    <w:rsid w:val="00F7407D"/>
    <w:rsid w:val="00F744BB"/>
    <w:rsid w:val="00F746C8"/>
    <w:rsid w:val="00F74B48"/>
    <w:rsid w:val="00F74B57"/>
    <w:rsid w:val="00F74C25"/>
    <w:rsid w:val="00F74C7D"/>
    <w:rsid w:val="00F74C96"/>
    <w:rsid w:val="00F74E85"/>
    <w:rsid w:val="00F74F86"/>
    <w:rsid w:val="00F7503F"/>
    <w:rsid w:val="00F750EA"/>
    <w:rsid w:val="00F75228"/>
    <w:rsid w:val="00F752DE"/>
    <w:rsid w:val="00F755C1"/>
    <w:rsid w:val="00F755D8"/>
    <w:rsid w:val="00F756CC"/>
    <w:rsid w:val="00F758E5"/>
    <w:rsid w:val="00F759B7"/>
    <w:rsid w:val="00F761F0"/>
    <w:rsid w:val="00F762F9"/>
    <w:rsid w:val="00F76300"/>
    <w:rsid w:val="00F76725"/>
    <w:rsid w:val="00F76E8D"/>
    <w:rsid w:val="00F7710E"/>
    <w:rsid w:val="00F77297"/>
    <w:rsid w:val="00F7731F"/>
    <w:rsid w:val="00F77479"/>
    <w:rsid w:val="00F774C2"/>
    <w:rsid w:val="00F77552"/>
    <w:rsid w:val="00F77635"/>
    <w:rsid w:val="00F776A7"/>
    <w:rsid w:val="00F77879"/>
    <w:rsid w:val="00F7790C"/>
    <w:rsid w:val="00F77A42"/>
    <w:rsid w:val="00F77A8F"/>
    <w:rsid w:val="00F77B47"/>
    <w:rsid w:val="00F77B4D"/>
    <w:rsid w:val="00F77E95"/>
    <w:rsid w:val="00F80272"/>
    <w:rsid w:val="00F80458"/>
    <w:rsid w:val="00F8065A"/>
    <w:rsid w:val="00F8076D"/>
    <w:rsid w:val="00F8079A"/>
    <w:rsid w:val="00F8081D"/>
    <w:rsid w:val="00F80942"/>
    <w:rsid w:val="00F809C5"/>
    <w:rsid w:val="00F80A07"/>
    <w:rsid w:val="00F80B0F"/>
    <w:rsid w:val="00F80BA6"/>
    <w:rsid w:val="00F80C8C"/>
    <w:rsid w:val="00F80D3E"/>
    <w:rsid w:val="00F80D85"/>
    <w:rsid w:val="00F80DD2"/>
    <w:rsid w:val="00F80F1F"/>
    <w:rsid w:val="00F80FC1"/>
    <w:rsid w:val="00F8109B"/>
    <w:rsid w:val="00F810DE"/>
    <w:rsid w:val="00F810EA"/>
    <w:rsid w:val="00F8112B"/>
    <w:rsid w:val="00F81144"/>
    <w:rsid w:val="00F812A9"/>
    <w:rsid w:val="00F81370"/>
    <w:rsid w:val="00F813A3"/>
    <w:rsid w:val="00F813A6"/>
    <w:rsid w:val="00F81431"/>
    <w:rsid w:val="00F8143E"/>
    <w:rsid w:val="00F81441"/>
    <w:rsid w:val="00F81586"/>
    <w:rsid w:val="00F816C5"/>
    <w:rsid w:val="00F8176F"/>
    <w:rsid w:val="00F817D5"/>
    <w:rsid w:val="00F81892"/>
    <w:rsid w:val="00F818EF"/>
    <w:rsid w:val="00F818F1"/>
    <w:rsid w:val="00F81A15"/>
    <w:rsid w:val="00F81A7C"/>
    <w:rsid w:val="00F81BBC"/>
    <w:rsid w:val="00F81CCF"/>
    <w:rsid w:val="00F81D65"/>
    <w:rsid w:val="00F81E54"/>
    <w:rsid w:val="00F81ED7"/>
    <w:rsid w:val="00F82030"/>
    <w:rsid w:val="00F8212D"/>
    <w:rsid w:val="00F8213E"/>
    <w:rsid w:val="00F8229A"/>
    <w:rsid w:val="00F822B8"/>
    <w:rsid w:val="00F823B2"/>
    <w:rsid w:val="00F8253B"/>
    <w:rsid w:val="00F825A5"/>
    <w:rsid w:val="00F825E0"/>
    <w:rsid w:val="00F82634"/>
    <w:rsid w:val="00F827D0"/>
    <w:rsid w:val="00F827F7"/>
    <w:rsid w:val="00F82819"/>
    <w:rsid w:val="00F82852"/>
    <w:rsid w:val="00F828F1"/>
    <w:rsid w:val="00F82991"/>
    <w:rsid w:val="00F829CE"/>
    <w:rsid w:val="00F82A59"/>
    <w:rsid w:val="00F82A5D"/>
    <w:rsid w:val="00F82AEC"/>
    <w:rsid w:val="00F83042"/>
    <w:rsid w:val="00F830FF"/>
    <w:rsid w:val="00F831C2"/>
    <w:rsid w:val="00F8352D"/>
    <w:rsid w:val="00F8377E"/>
    <w:rsid w:val="00F838B6"/>
    <w:rsid w:val="00F8398A"/>
    <w:rsid w:val="00F83C31"/>
    <w:rsid w:val="00F83C5C"/>
    <w:rsid w:val="00F83D55"/>
    <w:rsid w:val="00F83F6D"/>
    <w:rsid w:val="00F84165"/>
    <w:rsid w:val="00F8416F"/>
    <w:rsid w:val="00F841EC"/>
    <w:rsid w:val="00F8421E"/>
    <w:rsid w:val="00F84489"/>
    <w:rsid w:val="00F8452D"/>
    <w:rsid w:val="00F8468A"/>
    <w:rsid w:val="00F84759"/>
    <w:rsid w:val="00F84779"/>
    <w:rsid w:val="00F84A0D"/>
    <w:rsid w:val="00F84B4C"/>
    <w:rsid w:val="00F84B84"/>
    <w:rsid w:val="00F84D38"/>
    <w:rsid w:val="00F84D8A"/>
    <w:rsid w:val="00F84E51"/>
    <w:rsid w:val="00F84EA1"/>
    <w:rsid w:val="00F85009"/>
    <w:rsid w:val="00F8530A"/>
    <w:rsid w:val="00F85321"/>
    <w:rsid w:val="00F85545"/>
    <w:rsid w:val="00F8557E"/>
    <w:rsid w:val="00F85648"/>
    <w:rsid w:val="00F85713"/>
    <w:rsid w:val="00F85A71"/>
    <w:rsid w:val="00F85B0E"/>
    <w:rsid w:val="00F85B3D"/>
    <w:rsid w:val="00F85B70"/>
    <w:rsid w:val="00F85C4D"/>
    <w:rsid w:val="00F85DF7"/>
    <w:rsid w:val="00F85E03"/>
    <w:rsid w:val="00F8603E"/>
    <w:rsid w:val="00F86312"/>
    <w:rsid w:val="00F8631E"/>
    <w:rsid w:val="00F86364"/>
    <w:rsid w:val="00F863BC"/>
    <w:rsid w:val="00F864D8"/>
    <w:rsid w:val="00F86583"/>
    <w:rsid w:val="00F86656"/>
    <w:rsid w:val="00F86678"/>
    <w:rsid w:val="00F866A2"/>
    <w:rsid w:val="00F866B0"/>
    <w:rsid w:val="00F866C5"/>
    <w:rsid w:val="00F86A51"/>
    <w:rsid w:val="00F86A9C"/>
    <w:rsid w:val="00F86B25"/>
    <w:rsid w:val="00F86BF0"/>
    <w:rsid w:val="00F86C30"/>
    <w:rsid w:val="00F86D58"/>
    <w:rsid w:val="00F86D63"/>
    <w:rsid w:val="00F86D95"/>
    <w:rsid w:val="00F86E09"/>
    <w:rsid w:val="00F86F03"/>
    <w:rsid w:val="00F86F2F"/>
    <w:rsid w:val="00F870C7"/>
    <w:rsid w:val="00F8738C"/>
    <w:rsid w:val="00F87491"/>
    <w:rsid w:val="00F8759B"/>
    <w:rsid w:val="00F87936"/>
    <w:rsid w:val="00F879E1"/>
    <w:rsid w:val="00F87B07"/>
    <w:rsid w:val="00F904C6"/>
    <w:rsid w:val="00F90677"/>
    <w:rsid w:val="00F9075C"/>
    <w:rsid w:val="00F9094A"/>
    <w:rsid w:val="00F90AC7"/>
    <w:rsid w:val="00F90E8C"/>
    <w:rsid w:val="00F90F4A"/>
    <w:rsid w:val="00F9100E"/>
    <w:rsid w:val="00F9105D"/>
    <w:rsid w:val="00F910F2"/>
    <w:rsid w:val="00F91401"/>
    <w:rsid w:val="00F9145E"/>
    <w:rsid w:val="00F915FC"/>
    <w:rsid w:val="00F916E8"/>
    <w:rsid w:val="00F91752"/>
    <w:rsid w:val="00F91823"/>
    <w:rsid w:val="00F91B71"/>
    <w:rsid w:val="00F91BCF"/>
    <w:rsid w:val="00F91C65"/>
    <w:rsid w:val="00F91F1F"/>
    <w:rsid w:val="00F920D9"/>
    <w:rsid w:val="00F922AE"/>
    <w:rsid w:val="00F923E5"/>
    <w:rsid w:val="00F923EE"/>
    <w:rsid w:val="00F9241D"/>
    <w:rsid w:val="00F9244D"/>
    <w:rsid w:val="00F9268E"/>
    <w:rsid w:val="00F9272B"/>
    <w:rsid w:val="00F92784"/>
    <w:rsid w:val="00F9289B"/>
    <w:rsid w:val="00F928E8"/>
    <w:rsid w:val="00F92AEB"/>
    <w:rsid w:val="00F92B5F"/>
    <w:rsid w:val="00F92BA4"/>
    <w:rsid w:val="00F92D18"/>
    <w:rsid w:val="00F92D50"/>
    <w:rsid w:val="00F92F80"/>
    <w:rsid w:val="00F9301E"/>
    <w:rsid w:val="00F931AA"/>
    <w:rsid w:val="00F931FD"/>
    <w:rsid w:val="00F9324B"/>
    <w:rsid w:val="00F932BA"/>
    <w:rsid w:val="00F9353C"/>
    <w:rsid w:val="00F935C4"/>
    <w:rsid w:val="00F936A0"/>
    <w:rsid w:val="00F93728"/>
    <w:rsid w:val="00F93730"/>
    <w:rsid w:val="00F937AF"/>
    <w:rsid w:val="00F939C4"/>
    <w:rsid w:val="00F93A69"/>
    <w:rsid w:val="00F93A89"/>
    <w:rsid w:val="00F93C38"/>
    <w:rsid w:val="00F93CC5"/>
    <w:rsid w:val="00F93D75"/>
    <w:rsid w:val="00F93EAD"/>
    <w:rsid w:val="00F93FCF"/>
    <w:rsid w:val="00F94122"/>
    <w:rsid w:val="00F94131"/>
    <w:rsid w:val="00F9414A"/>
    <w:rsid w:val="00F94277"/>
    <w:rsid w:val="00F943CC"/>
    <w:rsid w:val="00F945A6"/>
    <w:rsid w:val="00F94684"/>
    <w:rsid w:val="00F94880"/>
    <w:rsid w:val="00F9494B"/>
    <w:rsid w:val="00F94955"/>
    <w:rsid w:val="00F94B89"/>
    <w:rsid w:val="00F94BDB"/>
    <w:rsid w:val="00F94E03"/>
    <w:rsid w:val="00F94E23"/>
    <w:rsid w:val="00F94E7D"/>
    <w:rsid w:val="00F95079"/>
    <w:rsid w:val="00F95114"/>
    <w:rsid w:val="00F951E6"/>
    <w:rsid w:val="00F95375"/>
    <w:rsid w:val="00F95526"/>
    <w:rsid w:val="00F95757"/>
    <w:rsid w:val="00F95D6B"/>
    <w:rsid w:val="00F95D8F"/>
    <w:rsid w:val="00F95E89"/>
    <w:rsid w:val="00F95EE7"/>
    <w:rsid w:val="00F960BB"/>
    <w:rsid w:val="00F961A0"/>
    <w:rsid w:val="00F9625F"/>
    <w:rsid w:val="00F96271"/>
    <w:rsid w:val="00F9630C"/>
    <w:rsid w:val="00F96398"/>
    <w:rsid w:val="00F963DC"/>
    <w:rsid w:val="00F9648F"/>
    <w:rsid w:val="00F964A1"/>
    <w:rsid w:val="00F9653F"/>
    <w:rsid w:val="00F965B3"/>
    <w:rsid w:val="00F965D7"/>
    <w:rsid w:val="00F9670F"/>
    <w:rsid w:val="00F96872"/>
    <w:rsid w:val="00F9699F"/>
    <w:rsid w:val="00F969FD"/>
    <w:rsid w:val="00F96B30"/>
    <w:rsid w:val="00F96B5F"/>
    <w:rsid w:val="00F96BA6"/>
    <w:rsid w:val="00F96C25"/>
    <w:rsid w:val="00F96C37"/>
    <w:rsid w:val="00F96C8C"/>
    <w:rsid w:val="00F97016"/>
    <w:rsid w:val="00F970AD"/>
    <w:rsid w:val="00F9717A"/>
    <w:rsid w:val="00F971F4"/>
    <w:rsid w:val="00F9723A"/>
    <w:rsid w:val="00F97419"/>
    <w:rsid w:val="00F975DF"/>
    <w:rsid w:val="00F9776B"/>
    <w:rsid w:val="00F9781F"/>
    <w:rsid w:val="00F97954"/>
    <w:rsid w:val="00F979DC"/>
    <w:rsid w:val="00F97A8E"/>
    <w:rsid w:val="00F97ADC"/>
    <w:rsid w:val="00F97CA4"/>
    <w:rsid w:val="00F97CE9"/>
    <w:rsid w:val="00F97D3F"/>
    <w:rsid w:val="00F97D92"/>
    <w:rsid w:val="00F97DA4"/>
    <w:rsid w:val="00F97E84"/>
    <w:rsid w:val="00FA00AB"/>
    <w:rsid w:val="00FA0175"/>
    <w:rsid w:val="00FA03FE"/>
    <w:rsid w:val="00FA05B4"/>
    <w:rsid w:val="00FA0620"/>
    <w:rsid w:val="00FA0687"/>
    <w:rsid w:val="00FA069B"/>
    <w:rsid w:val="00FA0700"/>
    <w:rsid w:val="00FA0714"/>
    <w:rsid w:val="00FA075E"/>
    <w:rsid w:val="00FA0773"/>
    <w:rsid w:val="00FA07EC"/>
    <w:rsid w:val="00FA0886"/>
    <w:rsid w:val="00FA0C2F"/>
    <w:rsid w:val="00FA0E77"/>
    <w:rsid w:val="00FA0FAF"/>
    <w:rsid w:val="00FA0FFC"/>
    <w:rsid w:val="00FA1070"/>
    <w:rsid w:val="00FA113D"/>
    <w:rsid w:val="00FA1141"/>
    <w:rsid w:val="00FA114A"/>
    <w:rsid w:val="00FA1277"/>
    <w:rsid w:val="00FA12A7"/>
    <w:rsid w:val="00FA1314"/>
    <w:rsid w:val="00FA1370"/>
    <w:rsid w:val="00FA162B"/>
    <w:rsid w:val="00FA1650"/>
    <w:rsid w:val="00FA1752"/>
    <w:rsid w:val="00FA18CB"/>
    <w:rsid w:val="00FA1920"/>
    <w:rsid w:val="00FA19B9"/>
    <w:rsid w:val="00FA19F5"/>
    <w:rsid w:val="00FA1A08"/>
    <w:rsid w:val="00FA1AF8"/>
    <w:rsid w:val="00FA1B8E"/>
    <w:rsid w:val="00FA1C47"/>
    <w:rsid w:val="00FA1C79"/>
    <w:rsid w:val="00FA1C89"/>
    <w:rsid w:val="00FA1E2B"/>
    <w:rsid w:val="00FA1F2E"/>
    <w:rsid w:val="00FA1FB3"/>
    <w:rsid w:val="00FA1FD7"/>
    <w:rsid w:val="00FA21AE"/>
    <w:rsid w:val="00FA22FF"/>
    <w:rsid w:val="00FA23F9"/>
    <w:rsid w:val="00FA24A3"/>
    <w:rsid w:val="00FA2622"/>
    <w:rsid w:val="00FA26A4"/>
    <w:rsid w:val="00FA27B1"/>
    <w:rsid w:val="00FA2A7C"/>
    <w:rsid w:val="00FA2BBC"/>
    <w:rsid w:val="00FA2C72"/>
    <w:rsid w:val="00FA2F67"/>
    <w:rsid w:val="00FA3004"/>
    <w:rsid w:val="00FA312C"/>
    <w:rsid w:val="00FA3146"/>
    <w:rsid w:val="00FA3219"/>
    <w:rsid w:val="00FA328E"/>
    <w:rsid w:val="00FA32B6"/>
    <w:rsid w:val="00FA32C4"/>
    <w:rsid w:val="00FA33D2"/>
    <w:rsid w:val="00FA355E"/>
    <w:rsid w:val="00FA35AD"/>
    <w:rsid w:val="00FA372C"/>
    <w:rsid w:val="00FA390E"/>
    <w:rsid w:val="00FA3A18"/>
    <w:rsid w:val="00FA3A32"/>
    <w:rsid w:val="00FA3AD8"/>
    <w:rsid w:val="00FA3E22"/>
    <w:rsid w:val="00FA3E3A"/>
    <w:rsid w:val="00FA3F45"/>
    <w:rsid w:val="00FA3FE2"/>
    <w:rsid w:val="00FA419C"/>
    <w:rsid w:val="00FA4765"/>
    <w:rsid w:val="00FA48B9"/>
    <w:rsid w:val="00FA4929"/>
    <w:rsid w:val="00FA4AA8"/>
    <w:rsid w:val="00FA4ACA"/>
    <w:rsid w:val="00FA4B1C"/>
    <w:rsid w:val="00FA4C1B"/>
    <w:rsid w:val="00FA4CAA"/>
    <w:rsid w:val="00FA4F04"/>
    <w:rsid w:val="00FA4F83"/>
    <w:rsid w:val="00FA52ED"/>
    <w:rsid w:val="00FA547C"/>
    <w:rsid w:val="00FA555F"/>
    <w:rsid w:val="00FA5681"/>
    <w:rsid w:val="00FA571D"/>
    <w:rsid w:val="00FA57BA"/>
    <w:rsid w:val="00FA59EF"/>
    <w:rsid w:val="00FA5A2B"/>
    <w:rsid w:val="00FA5AA3"/>
    <w:rsid w:val="00FA5E65"/>
    <w:rsid w:val="00FA5EC0"/>
    <w:rsid w:val="00FA5ED0"/>
    <w:rsid w:val="00FA5EEB"/>
    <w:rsid w:val="00FA5F16"/>
    <w:rsid w:val="00FA6061"/>
    <w:rsid w:val="00FA6398"/>
    <w:rsid w:val="00FA641A"/>
    <w:rsid w:val="00FA65CC"/>
    <w:rsid w:val="00FA679A"/>
    <w:rsid w:val="00FA696E"/>
    <w:rsid w:val="00FA69D5"/>
    <w:rsid w:val="00FA6A51"/>
    <w:rsid w:val="00FA6BAF"/>
    <w:rsid w:val="00FA6BBD"/>
    <w:rsid w:val="00FA7053"/>
    <w:rsid w:val="00FA747F"/>
    <w:rsid w:val="00FA74C7"/>
    <w:rsid w:val="00FA74FC"/>
    <w:rsid w:val="00FA75A0"/>
    <w:rsid w:val="00FA75FF"/>
    <w:rsid w:val="00FA76FD"/>
    <w:rsid w:val="00FA7748"/>
    <w:rsid w:val="00FA781F"/>
    <w:rsid w:val="00FA7828"/>
    <w:rsid w:val="00FA79E5"/>
    <w:rsid w:val="00FA7B83"/>
    <w:rsid w:val="00FA7BFA"/>
    <w:rsid w:val="00FA7EE6"/>
    <w:rsid w:val="00FB002E"/>
    <w:rsid w:val="00FB016C"/>
    <w:rsid w:val="00FB0200"/>
    <w:rsid w:val="00FB0488"/>
    <w:rsid w:val="00FB04B6"/>
    <w:rsid w:val="00FB050B"/>
    <w:rsid w:val="00FB0837"/>
    <w:rsid w:val="00FB086A"/>
    <w:rsid w:val="00FB087B"/>
    <w:rsid w:val="00FB0AD3"/>
    <w:rsid w:val="00FB0B2F"/>
    <w:rsid w:val="00FB0B4C"/>
    <w:rsid w:val="00FB0CF6"/>
    <w:rsid w:val="00FB12C5"/>
    <w:rsid w:val="00FB15C9"/>
    <w:rsid w:val="00FB17C7"/>
    <w:rsid w:val="00FB1B2C"/>
    <w:rsid w:val="00FB1B88"/>
    <w:rsid w:val="00FB1C70"/>
    <w:rsid w:val="00FB1D47"/>
    <w:rsid w:val="00FB1E17"/>
    <w:rsid w:val="00FB1EDF"/>
    <w:rsid w:val="00FB1F68"/>
    <w:rsid w:val="00FB2025"/>
    <w:rsid w:val="00FB20AB"/>
    <w:rsid w:val="00FB2168"/>
    <w:rsid w:val="00FB227F"/>
    <w:rsid w:val="00FB22B3"/>
    <w:rsid w:val="00FB22C9"/>
    <w:rsid w:val="00FB23BA"/>
    <w:rsid w:val="00FB2402"/>
    <w:rsid w:val="00FB24E0"/>
    <w:rsid w:val="00FB2833"/>
    <w:rsid w:val="00FB28C8"/>
    <w:rsid w:val="00FB290A"/>
    <w:rsid w:val="00FB2942"/>
    <w:rsid w:val="00FB2A9C"/>
    <w:rsid w:val="00FB2EBC"/>
    <w:rsid w:val="00FB2FBE"/>
    <w:rsid w:val="00FB3143"/>
    <w:rsid w:val="00FB3145"/>
    <w:rsid w:val="00FB318A"/>
    <w:rsid w:val="00FB32D9"/>
    <w:rsid w:val="00FB344E"/>
    <w:rsid w:val="00FB34A1"/>
    <w:rsid w:val="00FB36C7"/>
    <w:rsid w:val="00FB3835"/>
    <w:rsid w:val="00FB394C"/>
    <w:rsid w:val="00FB3A8D"/>
    <w:rsid w:val="00FB3AA2"/>
    <w:rsid w:val="00FB3AE6"/>
    <w:rsid w:val="00FB3C2B"/>
    <w:rsid w:val="00FB3D74"/>
    <w:rsid w:val="00FB3DAE"/>
    <w:rsid w:val="00FB3DB7"/>
    <w:rsid w:val="00FB3FFF"/>
    <w:rsid w:val="00FB400D"/>
    <w:rsid w:val="00FB41AF"/>
    <w:rsid w:val="00FB41E7"/>
    <w:rsid w:val="00FB4489"/>
    <w:rsid w:val="00FB44D2"/>
    <w:rsid w:val="00FB4506"/>
    <w:rsid w:val="00FB47C7"/>
    <w:rsid w:val="00FB4A14"/>
    <w:rsid w:val="00FB4A79"/>
    <w:rsid w:val="00FB4A97"/>
    <w:rsid w:val="00FB4B41"/>
    <w:rsid w:val="00FB4C01"/>
    <w:rsid w:val="00FB4D52"/>
    <w:rsid w:val="00FB4E07"/>
    <w:rsid w:val="00FB4E3E"/>
    <w:rsid w:val="00FB4E93"/>
    <w:rsid w:val="00FB4FB4"/>
    <w:rsid w:val="00FB5269"/>
    <w:rsid w:val="00FB52BA"/>
    <w:rsid w:val="00FB52FA"/>
    <w:rsid w:val="00FB5672"/>
    <w:rsid w:val="00FB5673"/>
    <w:rsid w:val="00FB581B"/>
    <w:rsid w:val="00FB584C"/>
    <w:rsid w:val="00FB593E"/>
    <w:rsid w:val="00FB5ABF"/>
    <w:rsid w:val="00FB5B07"/>
    <w:rsid w:val="00FB5BA8"/>
    <w:rsid w:val="00FB5D8E"/>
    <w:rsid w:val="00FB5F28"/>
    <w:rsid w:val="00FB5F2A"/>
    <w:rsid w:val="00FB6191"/>
    <w:rsid w:val="00FB61A8"/>
    <w:rsid w:val="00FB61CA"/>
    <w:rsid w:val="00FB635F"/>
    <w:rsid w:val="00FB63FE"/>
    <w:rsid w:val="00FB647B"/>
    <w:rsid w:val="00FB64A8"/>
    <w:rsid w:val="00FB65BE"/>
    <w:rsid w:val="00FB663B"/>
    <w:rsid w:val="00FB699C"/>
    <w:rsid w:val="00FB6C47"/>
    <w:rsid w:val="00FB6C52"/>
    <w:rsid w:val="00FB6C6D"/>
    <w:rsid w:val="00FB6EF1"/>
    <w:rsid w:val="00FB6EF5"/>
    <w:rsid w:val="00FB7118"/>
    <w:rsid w:val="00FB7221"/>
    <w:rsid w:val="00FB72E7"/>
    <w:rsid w:val="00FB72FC"/>
    <w:rsid w:val="00FB7808"/>
    <w:rsid w:val="00FB7868"/>
    <w:rsid w:val="00FB78A1"/>
    <w:rsid w:val="00FB797A"/>
    <w:rsid w:val="00FB7AC4"/>
    <w:rsid w:val="00FB7BAB"/>
    <w:rsid w:val="00FB7BC3"/>
    <w:rsid w:val="00FB7CDB"/>
    <w:rsid w:val="00FC00FD"/>
    <w:rsid w:val="00FC0119"/>
    <w:rsid w:val="00FC017F"/>
    <w:rsid w:val="00FC02E2"/>
    <w:rsid w:val="00FC0336"/>
    <w:rsid w:val="00FC033E"/>
    <w:rsid w:val="00FC0520"/>
    <w:rsid w:val="00FC0538"/>
    <w:rsid w:val="00FC07CB"/>
    <w:rsid w:val="00FC08C2"/>
    <w:rsid w:val="00FC0A5F"/>
    <w:rsid w:val="00FC0AD3"/>
    <w:rsid w:val="00FC0B3F"/>
    <w:rsid w:val="00FC0BA6"/>
    <w:rsid w:val="00FC0BD0"/>
    <w:rsid w:val="00FC0C51"/>
    <w:rsid w:val="00FC0E0A"/>
    <w:rsid w:val="00FC0E60"/>
    <w:rsid w:val="00FC0EBD"/>
    <w:rsid w:val="00FC1046"/>
    <w:rsid w:val="00FC10D8"/>
    <w:rsid w:val="00FC1180"/>
    <w:rsid w:val="00FC11DE"/>
    <w:rsid w:val="00FC1209"/>
    <w:rsid w:val="00FC13B1"/>
    <w:rsid w:val="00FC1511"/>
    <w:rsid w:val="00FC16F2"/>
    <w:rsid w:val="00FC1779"/>
    <w:rsid w:val="00FC17A2"/>
    <w:rsid w:val="00FC1883"/>
    <w:rsid w:val="00FC1919"/>
    <w:rsid w:val="00FC19F3"/>
    <w:rsid w:val="00FC1A87"/>
    <w:rsid w:val="00FC1B32"/>
    <w:rsid w:val="00FC1B7E"/>
    <w:rsid w:val="00FC1BBB"/>
    <w:rsid w:val="00FC1C3F"/>
    <w:rsid w:val="00FC1C79"/>
    <w:rsid w:val="00FC1E64"/>
    <w:rsid w:val="00FC1F16"/>
    <w:rsid w:val="00FC1F52"/>
    <w:rsid w:val="00FC1F7F"/>
    <w:rsid w:val="00FC226A"/>
    <w:rsid w:val="00FC22BD"/>
    <w:rsid w:val="00FC23AD"/>
    <w:rsid w:val="00FC27BA"/>
    <w:rsid w:val="00FC2A09"/>
    <w:rsid w:val="00FC2A43"/>
    <w:rsid w:val="00FC2B57"/>
    <w:rsid w:val="00FC2D49"/>
    <w:rsid w:val="00FC2D60"/>
    <w:rsid w:val="00FC2D8B"/>
    <w:rsid w:val="00FC2E3C"/>
    <w:rsid w:val="00FC2E4E"/>
    <w:rsid w:val="00FC2FA7"/>
    <w:rsid w:val="00FC3167"/>
    <w:rsid w:val="00FC333A"/>
    <w:rsid w:val="00FC3357"/>
    <w:rsid w:val="00FC3631"/>
    <w:rsid w:val="00FC3637"/>
    <w:rsid w:val="00FC364C"/>
    <w:rsid w:val="00FC386D"/>
    <w:rsid w:val="00FC38B4"/>
    <w:rsid w:val="00FC391F"/>
    <w:rsid w:val="00FC3947"/>
    <w:rsid w:val="00FC39EC"/>
    <w:rsid w:val="00FC3A0A"/>
    <w:rsid w:val="00FC3BC7"/>
    <w:rsid w:val="00FC3CE5"/>
    <w:rsid w:val="00FC3D2F"/>
    <w:rsid w:val="00FC3E41"/>
    <w:rsid w:val="00FC3E5F"/>
    <w:rsid w:val="00FC3F4B"/>
    <w:rsid w:val="00FC4086"/>
    <w:rsid w:val="00FC4124"/>
    <w:rsid w:val="00FC4443"/>
    <w:rsid w:val="00FC449B"/>
    <w:rsid w:val="00FC44C8"/>
    <w:rsid w:val="00FC458E"/>
    <w:rsid w:val="00FC4633"/>
    <w:rsid w:val="00FC4715"/>
    <w:rsid w:val="00FC4746"/>
    <w:rsid w:val="00FC4AC2"/>
    <w:rsid w:val="00FC4BD2"/>
    <w:rsid w:val="00FC4BF0"/>
    <w:rsid w:val="00FC4CFF"/>
    <w:rsid w:val="00FC4E75"/>
    <w:rsid w:val="00FC4EAF"/>
    <w:rsid w:val="00FC4EE5"/>
    <w:rsid w:val="00FC4FB3"/>
    <w:rsid w:val="00FC50DB"/>
    <w:rsid w:val="00FC50E4"/>
    <w:rsid w:val="00FC52A9"/>
    <w:rsid w:val="00FC52FD"/>
    <w:rsid w:val="00FC5410"/>
    <w:rsid w:val="00FC5429"/>
    <w:rsid w:val="00FC55CB"/>
    <w:rsid w:val="00FC57FB"/>
    <w:rsid w:val="00FC58D2"/>
    <w:rsid w:val="00FC59BD"/>
    <w:rsid w:val="00FC5A4A"/>
    <w:rsid w:val="00FC5BAA"/>
    <w:rsid w:val="00FC5E46"/>
    <w:rsid w:val="00FC5EB4"/>
    <w:rsid w:val="00FC61B0"/>
    <w:rsid w:val="00FC6204"/>
    <w:rsid w:val="00FC6278"/>
    <w:rsid w:val="00FC63F4"/>
    <w:rsid w:val="00FC6556"/>
    <w:rsid w:val="00FC65E1"/>
    <w:rsid w:val="00FC6702"/>
    <w:rsid w:val="00FC68D5"/>
    <w:rsid w:val="00FC6A90"/>
    <w:rsid w:val="00FC6BB8"/>
    <w:rsid w:val="00FC6C25"/>
    <w:rsid w:val="00FC6C7B"/>
    <w:rsid w:val="00FC6C96"/>
    <w:rsid w:val="00FC6C9E"/>
    <w:rsid w:val="00FC6D2E"/>
    <w:rsid w:val="00FC6FCA"/>
    <w:rsid w:val="00FC7187"/>
    <w:rsid w:val="00FC71A5"/>
    <w:rsid w:val="00FC7310"/>
    <w:rsid w:val="00FC735C"/>
    <w:rsid w:val="00FC79BB"/>
    <w:rsid w:val="00FC7B78"/>
    <w:rsid w:val="00FC7E0F"/>
    <w:rsid w:val="00FC7E14"/>
    <w:rsid w:val="00FC7E31"/>
    <w:rsid w:val="00FC7E90"/>
    <w:rsid w:val="00FC7FDF"/>
    <w:rsid w:val="00FD00E8"/>
    <w:rsid w:val="00FD02EB"/>
    <w:rsid w:val="00FD0391"/>
    <w:rsid w:val="00FD03BC"/>
    <w:rsid w:val="00FD0592"/>
    <w:rsid w:val="00FD0782"/>
    <w:rsid w:val="00FD07BF"/>
    <w:rsid w:val="00FD07D1"/>
    <w:rsid w:val="00FD08B1"/>
    <w:rsid w:val="00FD08B6"/>
    <w:rsid w:val="00FD0924"/>
    <w:rsid w:val="00FD09C1"/>
    <w:rsid w:val="00FD0A04"/>
    <w:rsid w:val="00FD0B74"/>
    <w:rsid w:val="00FD0BFA"/>
    <w:rsid w:val="00FD0DB0"/>
    <w:rsid w:val="00FD0E0A"/>
    <w:rsid w:val="00FD0F7F"/>
    <w:rsid w:val="00FD0FEC"/>
    <w:rsid w:val="00FD1131"/>
    <w:rsid w:val="00FD1164"/>
    <w:rsid w:val="00FD1166"/>
    <w:rsid w:val="00FD1238"/>
    <w:rsid w:val="00FD124F"/>
    <w:rsid w:val="00FD13E5"/>
    <w:rsid w:val="00FD14AB"/>
    <w:rsid w:val="00FD15CB"/>
    <w:rsid w:val="00FD1669"/>
    <w:rsid w:val="00FD1678"/>
    <w:rsid w:val="00FD1813"/>
    <w:rsid w:val="00FD190E"/>
    <w:rsid w:val="00FD1A10"/>
    <w:rsid w:val="00FD1A7C"/>
    <w:rsid w:val="00FD1BC4"/>
    <w:rsid w:val="00FD1D42"/>
    <w:rsid w:val="00FD1DC4"/>
    <w:rsid w:val="00FD1E20"/>
    <w:rsid w:val="00FD1E66"/>
    <w:rsid w:val="00FD1FF8"/>
    <w:rsid w:val="00FD2179"/>
    <w:rsid w:val="00FD21D3"/>
    <w:rsid w:val="00FD21F3"/>
    <w:rsid w:val="00FD22B9"/>
    <w:rsid w:val="00FD2434"/>
    <w:rsid w:val="00FD2581"/>
    <w:rsid w:val="00FD2675"/>
    <w:rsid w:val="00FD2697"/>
    <w:rsid w:val="00FD274C"/>
    <w:rsid w:val="00FD2766"/>
    <w:rsid w:val="00FD29ED"/>
    <w:rsid w:val="00FD2B57"/>
    <w:rsid w:val="00FD2F0E"/>
    <w:rsid w:val="00FD2F82"/>
    <w:rsid w:val="00FD3009"/>
    <w:rsid w:val="00FD3187"/>
    <w:rsid w:val="00FD3306"/>
    <w:rsid w:val="00FD33FE"/>
    <w:rsid w:val="00FD3617"/>
    <w:rsid w:val="00FD3694"/>
    <w:rsid w:val="00FD36A7"/>
    <w:rsid w:val="00FD36B1"/>
    <w:rsid w:val="00FD36F5"/>
    <w:rsid w:val="00FD380E"/>
    <w:rsid w:val="00FD38A2"/>
    <w:rsid w:val="00FD3978"/>
    <w:rsid w:val="00FD39DD"/>
    <w:rsid w:val="00FD39FF"/>
    <w:rsid w:val="00FD3D84"/>
    <w:rsid w:val="00FD3E63"/>
    <w:rsid w:val="00FD3FE4"/>
    <w:rsid w:val="00FD4062"/>
    <w:rsid w:val="00FD40D8"/>
    <w:rsid w:val="00FD441E"/>
    <w:rsid w:val="00FD4653"/>
    <w:rsid w:val="00FD46DC"/>
    <w:rsid w:val="00FD4835"/>
    <w:rsid w:val="00FD488D"/>
    <w:rsid w:val="00FD49EF"/>
    <w:rsid w:val="00FD4C14"/>
    <w:rsid w:val="00FD4CE7"/>
    <w:rsid w:val="00FD4D9B"/>
    <w:rsid w:val="00FD4EE3"/>
    <w:rsid w:val="00FD4F3F"/>
    <w:rsid w:val="00FD50E5"/>
    <w:rsid w:val="00FD525B"/>
    <w:rsid w:val="00FD52EE"/>
    <w:rsid w:val="00FD53D3"/>
    <w:rsid w:val="00FD5458"/>
    <w:rsid w:val="00FD5490"/>
    <w:rsid w:val="00FD5539"/>
    <w:rsid w:val="00FD5631"/>
    <w:rsid w:val="00FD595D"/>
    <w:rsid w:val="00FD5A50"/>
    <w:rsid w:val="00FD5D98"/>
    <w:rsid w:val="00FD5F9D"/>
    <w:rsid w:val="00FD61AF"/>
    <w:rsid w:val="00FD633B"/>
    <w:rsid w:val="00FD640D"/>
    <w:rsid w:val="00FD6452"/>
    <w:rsid w:val="00FD65D4"/>
    <w:rsid w:val="00FD6897"/>
    <w:rsid w:val="00FD6AD2"/>
    <w:rsid w:val="00FD702E"/>
    <w:rsid w:val="00FD709D"/>
    <w:rsid w:val="00FD7248"/>
    <w:rsid w:val="00FD726C"/>
    <w:rsid w:val="00FD72BF"/>
    <w:rsid w:val="00FD75F1"/>
    <w:rsid w:val="00FD7971"/>
    <w:rsid w:val="00FD7B95"/>
    <w:rsid w:val="00FD7BA5"/>
    <w:rsid w:val="00FD7C07"/>
    <w:rsid w:val="00FD7DBF"/>
    <w:rsid w:val="00FD7DCB"/>
    <w:rsid w:val="00FD7E26"/>
    <w:rsid w:val="00FD7EB0"/>
    <w:rsid w:val="00FD7ECF"/>
    <w:rsid w:val="00FE0088"/>
    <w:rsid w:val="00FE0274"/>
    <w:rsid w:val="00FE031C"/>
    <w:rsid w:val="00FE035D"/>
    <w:rsid w:val="00FE041B"/>
    <w:rsid w:val="00FE04A6"/>
    <w:rsid w:val="00FE0540"/>
    <w:rsid w:val="00FE0619"/>
    <w:rsid w:val="00FE062B"/>
    <w:rsid w:val="00FE0641"/>
    <w:rsid w:val="00FE065F"/>
    <w:rsid w:val="00FE0696"/>
    <w:rsid w:val="00FE0A30"/>
    <w:rsid w:val="00FE0B0E"/>
    <w:rsid w:val="00FE0C9F"/>
    <w:rsid w:val="00FE0D71"/>
    <w:rsid w:val="00FE0E0A"/>
    <w:rsid w:val="00FE0F45"/>
    <w:rsid w:val="00FE0FAD"/>
    <w:rsid w:val="00FE10E7"/>
    <w:rsid w:val="00FE11E8"/>
    <w:rsid w:val="00FE1227"/>
    <w:rsid w:val="00FE12C7"/>
    <w:rsid w:val="00FE13C6"/>
    <w:rsid w:val="00FE146A"/>
    <w:rsid w:val="00FE1702"/>
    <w:rsid w:val="00FE1901"/>
    <w:rsid w:val="00FE197B"/>
    <w:rsid w:val="00FE19BF"/>
    <w:rsid w:val="00FE1A1F"/>
    <w:rsid w:val="00FE1B5B"/>
    <w:rsid w:val="00FE1C05"/>
    <w:rsid w:val="00FE1D76"/>
    <w:rsid w:val="00FE1EDC"/>
    <w:rsid w:val="00FE201A"/>
    <w:rsid w:val="00FE2089"/>
    <w:rsid w:val="00FE209C"/>
    <w:rsid w:val="00FE20E1"/>
    <w:rsid w:val="00FE20E5"/>
    <w:rsid w:val="00FE2153"/>
    <w:rsid w:val="00FE2208"/>
    <w:rsid w:val="00FE2323"/>
    <w:rsid w:val="00FE2348"/>
    <w:rsid w:val="00FE246B"/>
    <w:rsid w:val="00FE26D9"/>
    <w:rsid w:val="00FE27D0"/>
    <w:rsid w:val="00FE27DB"/>
    <w:rsid w:val="00FE28A0"/>
    <w:rsid w:val="00FE29E0"/>
    <w:rsid w:val="00FE2A2C"/>
    <w:rsid w:val="00FE2BBA"/>
    <w:rsid w:val="00FE2C45"/>
    <w:rsid w:val="00FE2CDB"/>
    <w:rsid w:val="00FE2EBC"/>
    <w:rsid w:val="00FE3047"/>
    <w:rsid w:val="00FE3097"/>
    <w:rsid w:val="00FE31E0"/>
    <w:rsid w:val="00FE3381"/>
    <w:rsid w:val="00FE3382"/>
    <w:rsid w:val="00FE339C"/>
    <w:rsid w:val="00FE37A9"/>
    <w:rsid w:val="00FE3A29"/>
    <w:rsid w:val="00FE3AD4"/>
    <w:rsid w:val="00FE3C48"/>
    <w:rsid w:val="00FE3D59"/>
    <w:rsid w:val="00FE3E20"/>
    <w:rsid w:val="00FE3E66"/>
    <w:rsid w:val="00FE4127"/>
    <w:rsid w:val="00FE42A9"/>
    <w:rsid w:val="00FE4431"/>
    <w:rsid w:val="00FE44EC"/>
    <w:rsid w:val="00FE456E"/>
    <w:rsid w:val="00FE4642"/>
    <w:rsid w:val="00FE4747"/>
    <w:rsid w:val="00FE47AA"/>
    <w:rsid w:val="00FE48F0"/>
    <w:rsid w:val="00FE4941"/>
    <w:rsid w:val="00FE4955"/>
    <w:rsid w:val="00FE4B57"/>
    <w:rsid w:val="00FE4BFE"/>
    <w:rsid w:val="00FE4D97"/>
    <w:rsid w:val="00FE4E81"/>
    <w:rsid w:val="00FE4F09"/>
    <w:rsid w:val="00FE4F33"/>
    <w:rsid w:val="00FE51D9"/>
    <w:rsid w:val="00FE51EF"/>
    <w:rsid w:val="00FE5268"/>
    <w:rsid w:val="00FE5309"/>
    <w:rsid w:val="00FE5425"/>
    <w:rsid w:val="00FE5498"/>
    <w:rsid w:val="00FE5535"/>
    <w:rsid w:val="00FE5638"/>
    <w:rsid w:val="00FE59F4"/>
    <w:rsid w:val="00FE59FD"/>
    <w:rsid w:val="00FE5ADC"/>
    <w:rsid w:val="00FE5B0E"/>
    <w:rsid w:val="00FE5C60"/>
    <w:rsid w:val="00FE608E"/>
    <w:rsid w:val="00FE60A3"/>
    <w:rsid w:val="00FE60AB"/>
    <w:rsid w:val="00FE61C3"/>
    <w:rsid w:val="00FE63A5"/>
    <w:rsid w:val="00FE64E3"/>
    <w:rsid w:val="00FE665C"/>
    <w:rsid w:val="00FE6849"/>
    <w:rsid w:val="00FE6B18"/>
    <w:rsid w:val="00FE6B5C"/>
    <w:rsid w:val="00FE6DEB"/>
    <w:rsid w:val="00FE6F3E"/>
    <w:rsid w:val="00FE6FB8"/>
    <w:rsid w:val="00FE7232"/>
    <w:rsid w:val="00FE7274"/>
    <w:rsid w:val="00FE7335"/>
    <w:rsid w:val="00FE7374"/>
    <w:rsid w:val="00FE74EA"/>
    <w:rsid w:val="00FE755B"/>
    <w:rsid w:val="00FE757B"/>
    <w:rsid w:val="00FE75A2"/>
    <w:rsid w:val="00FE75DD"/>
    <w:rsid w:val="00FE76CE"/>
    <w:rsid w:val="00FE76E5"/>
    <w:rsid w:val="00FE773E"/>
    <w:rsid w:val="00FE7B6E"/>
    <w:rsid w:val="00FE7C49"/>
    <w:rsid w:val="00FE7D0D"/>
    <w:rsid w:val="00FE7E45"/>
    <w:rsid w:val="00FE7E69"/>
    <w:rsid w:val="00FE7F98"/>
    <w:rsid w:val="00FF017A"/>
    <w:rsid w:val="00FF0209"/>
    <w:rsid w:val="00FF0346"/>
    <w:rsid w:val="00FF034A"/>
    <w:rsid w:val="00FF040F"/>
    <w:rsid w:val="00FF0575"/>
    <w:rsid w:val="00FF066A"/>
    <w:rsid w:val="00FF0685"/>
    <w:rsid w:val="00FF08AB"/>
    <w:rsid w:val="00FF0910"/>
    <w:rsid w:val="00FF0A98"/>
    <w:rsid w:val="00FF0ACB"/>
    <w:rsid w:val="00FF0C83"/>
    <w:rsid w:val="00FF0D0D"/>
    <w:rsid w:val="00FF0DF5"/>
    <w:rsid w:val="00FF1043"/>
    <w:rsid w:val="00FF10B3"/>
    <w:rsid w:val="00FF1284"/>
    <w:rsid w:val="00FF1285"/>
    <w:rsid w:val="00FF1340"/>
    <w:rsid w:val="00FF13D0"/>
    <w:rsid w:val="00FF15E3"/>
    <w:rsid w:val="00FF16DD"/>
    <w:rsid w:val="00FF16F5"/>
    <w:rsid w:val="00FF1765"/>
    <w:rsid w:val="00FF17B3"/>
    <w:rsid w:val="00FF189B"/>
    <w:rsid w:val="00FF19E2"/>
    <w:rsid w:val="00FF19F9"/>
    <w:rsid w:val="00FF1A50"/>
    <w:rsid w:val="00FF1B59"/>
    <w:rsid w:val="00FF1E53"/>
    <w:rsid w:val="00FF1F54"/>
    <w:rsid w:val="00FF20EA"/>
    <w:rsid w:val="00FF20F4"/>
    <w:rsid w:val="00FF218D"/>
    <w:rsid w:val="00FF23C2"/>
    <w:rsid w:val="00FF2465"/>
    <w:rsid w:val="00FF24B0"/>
    <w:rsid w:val="00FF2515"/>
    <w:rsid w:val="00FF2810"/>
    <w:rsid w:val="00FF2834"/>
    <w:rsid w:val="00FF2955"/>
    <w:rsid w:val="00FF2AA1"/>
    <w:rsid w:val="00FF2D0D"/>
    <w:rsid w:val="00FF2D2A"/>
    <w:rsid w:val="00FF2D6F"/>
    <w:rsid w:val="00FF2E2A"/>
    <w:rsid w:val="00FF2E3A"/>
    <w:rsid w:val="00FF2E3D"/>
    <w:rsid w:val="00FF2E7F"/>
    <w:rsid w:val="00FF2EAF"/>
    <w:rsid w:val="00FF306D"/>
    <w:rsid w:val="00FF336B"/>
    <w:rsid w:val="00FF3541"/>
    <w:rsid w:val="00FF35EF"/>
    <w:rsid w:val="00FF35F4"/>
    <w:rsid w:val="00FF36E4"/>
    <w:rsid w:val="00FF379F"/>
    <w:rsid w:val="00FF3BA5"/>
    <w:rsid w:val="00FF3BB4"/>
    <w:rsid w:val="00FF3BF6"/>
    <w:rsid w:val="00FF3C81"/>
    <w:rsid w:val="00FF3CC9"/>
    <w:rsid w:val="00FF3D05"/>
    <w:rsid w:val="00FF3DD3"/>
    <w:rsid w:val="00FF3EA1"/>
    <w:rsid w:val="00FF4289"/>
    <w:rsid w:val="00FF4380"/>
    <w:rsid w:val="00FF4402"/>
    <w:rsid w:val="00FF4417"/>
    <w:rsid w:val="00FF4462"/>
    <w:rsid w:val="00FF44FE"/>
    <w:rsid w:val="00FF4561"/>
    <w:rsid w:val="00FF4663"/>
    <w:rsid w:val="00FF4791"/>
    <w:rsid w:val="00FF47E3"/>
    <w:rsid w:val="00FF4815"/>
    <w:rsid w:val="00FF4898"/>
    <w:rsid w:val="00FF496A"/>
    <w:rsid w:val="00FF4B3C"/>
    <w:rsid w:val="00FF4B4F"/>
    <w:rsid w:val="00FF4C78"/>
    <w:rsid w:val="00FF4D3D"/>
    <w:rsid w:val="00FF4DCF"/>
    <w:rsid w:val="00FF4F58"/>
    <w:rsid w:val="00FF4FBF"/>
    <w:rsid w:val="00FF4FFE"/>
    <w:rsid w:val="00FF5145"/>
    <w:rsid w:val="00FF51B9"/>
    <w:rsid w:val="00FF51F1"/>
    <w:rsid w:val="00FF5204"/>
    <w:rsid w:val="00FF5238"/>
    <w:rsid w:val="00FF53AD"/>
    <w:rsid w:val="00FF5435"/>
    <w:rsid w:val="00FF54A1"/>
    <w:rsid w:val="00FF55EA"/>
    <w:rsid w:val="00FF5692"/>
    <w:rsid w:val="00FF56E2"/>
    <w:rsid w:val="00FF59BF"/>
    <w:rsid w:val="00FF5B70"/>
    <w:rsid w:val="00FF5C05"/>
    <w:rsid w:val="00FF5D5B"/>
    <w:rsid w:val="00FF5DA1"/>
    <w:rsid w:val="00FF5DF1"/>
    <w:rsid w:val="00FF5EC4"/>
    <w:rsid w:val="00FF60F7"/>
    <w:rsid w:val="00FF6199"/>
    <w:rsid w:val="00FF6351"/>
    <w:rsid w:val="00FF6356"/>
    <w:rsid w:val="00FF639E"/>
    <w:rsid w:val="00FF6494"/>
    <w:rsid w:val="00FF6548"/>
    <w:rsid w:val="00FF660F"/>
    <w:rsid w:val="00FF661C"/>
    <w:rsid w:val="00FF6621"/>
    <w:rsid w:val="00FF68BF"/>
    <w:rsid w:val="00FF6A9F"/>
    <w:rsid w:val="00FF6C3E"/>
    <w:rsid w:val="00FF6D03"/>
    <w:rsid w:val="00FF6EFC"/>
    <w:rsid w:val="00FF6F08"/>
    <w:rsid w:val="00FF7019"/>
    <w:rsid w:val="00FF7053"/>
    <w:rsid w:val="00FF71BC"/>
    <w:rsid w:val="00FF71FE"/>
    <w:rsid w:val="00FF72F9"/>
    <w:rsid w:val="00FF736E"/>
    <w:rsid w:val="00FF7414"/>
    <w:rsid w:val="00FF74E6"/>
    <w:rsid w:val="00FF76AA"/>
    <w:rsid w:val="00FF77A6"/>
    <w:rsid w:val="00FF77DD"/>
    <w:rsid w:val="00FF78D9"/>
    <w:rsid w:val="00FF78EF"/>
    <w:rsid w:val="00FF797C"/>
    <w:rsid w:val="00FF79BF"/>
    <w:rsid w:val="00FF7FE2"/>
    <w:rsid w:val="012FF0F6"/>
    <w:rsid w:val="03FDB297"/>
    <w:rsid w:val="0657E4E0"/>
    <w:rsid w:val="07428E4A"/>
    <w:rsid w:val="1879193E"/>
    <w:rsid w:val="1A915743"/>
    <w:rsid w:val="1BB92EC4"/>
    <w:rsid w:val="1DD2CFF5"/>
    <w:rsid w:val="21987AC4"/>
    <w:rsid w:val="22FBCB72"/>
    <w:rsid w:val="230E9742"/>
    <w:rsid w:val="26D93772"/>
    <w:rsid w:val="275BC162"/>
    <w:rsid w:val="27F477EF"/>
    <w:rsid w:val="289DDD8C"/>
    <w:rsid w:val="28C551FD"/>
    <w:rsid w:val="296800AD"/>
    <w:rsid w:val="2D1A2F7F"/>
    <w:rsid w:val="2D99DED7"/>
    <w:rsid w:val="31B6B8E2"/>
    <w:rsid w:val="340FF622"/>
    <w:rsid w:val="3448A930"/>
    <w:rsid w:val="34850BA7"/>
    <w:rsid w:val="358569E1"/>
    <w:rsid w:val="362D8B98"/>
    <w:rsid w:val="36E4B82C"/>
    <w:rsid w:val="387ED97A"/>
    <w:rsid w:val="38A529A3"/>
    <w:rsid w:val="3D5DF993"/>
    <w:rsid w:val="3F966081"/>
    <w:rsid w:val="430602BD"/>
    <w:rsid w:val="444BB149"/>
    <w:rsid w:val="4B2F5277"/>
    <w:rsid w:val="4BA62EAE"/>
    <w:rsid w:val="4CBB10D7"/>
    <w:rsid w:val="4D652DB7"/>
    <w:rsid w:val="4FD7BDA9"/>
    <w:rsid w:val="50EA5A64"/>
    <w:rsid w:val="528C2A8F"/>
    <w:rsid w:val="52CFBCC1"/>
    <w:rsid w:val="530BCCFB"/>
    <w:rsid w:val="55431B31"/>
    <w:rsid w:val="5D8E539C"/>
    <w:rsid w:val="62A999B0"/>
    <w:rsid w:val="63179D18"/>
    <w:rsid w:val="645CEE7C"/>
    <w:rsid w:val="64EE8783"/>
    <w:rsid w:val="6631E122"/>
    <w:rsid w:val="667DCA42"/>
    <w:rsid w:val="688EEA90"/>
    <w:rsid w:val="69859B84"/>
    <w:rsid w:val="6A2ABEBC"/>
    <w:rsid w:val="6A7FA5A5"/>
    <w:rsid w:val="6AADFA7E"/>
    <w:rsid w:val="6B5C6286"/>
    <w:rsid w:val="6B918B2B"/>
    <w:rsid w:val="6D21EDA3"/>
    <w:rsid w:val="6ED2FF91"/>
    <w:rsid w:val="6F67DBFD"/>
    <w:rsid w:val="7186C0CF"/>
    <w:rsid w:val="721896EE"/>
    <w:rsid w:val="73462D83"/>
    <w:rsid w:val="743F308B"/>
    <w:rsid w:val="7480DE4F"/>
    <w:rsid w:val="7601840C"/>
    <w:rsid w:val="7979A877"/>
    <w:rsid w:val="7C1AB8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F52DE"/>
  <w15:chartTrackingRefBased/>
  <w15:docId w15:val="{C7C2F84C-FE90-474D-8FF8-00A17417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54702A"/>
    <w:pPr>
      <w:numPr>
        <w:numId w:val="24"/>
      </w:numPr>
      <w:contextualSpacing/>
    </w:pPr>
  </w:style>
  <w:style w:type="paragraph" w:styleId="ListBullet2">
    <w:name w:val="List Bullet 2"/>
    <w:basedOn w:val="Normal"/>
    <w:uiPriority w:val="1"/>
    <w:qFormat/>
    <w:rsid w:val="00415A0E"/>
    <w:pPr>
      <w:numPr>
        <w:ilvl w:val="1"/>
        <w:numId w:val="24"/>
      </w:numPr>
      <w:contextualSpacing/>
    </w:pPr>
  </w:style>
  <w:style w:type="paragraph" w:styleId="ListNumber">
    <w:name w:val="List Number"/>
    <w:basedOn w:val="Normal"/>
    <w:uiPriority w:val="2"/>
    <w:qFormat/>
    <w:rsid w:val="00C3066C"/>
    <w:pPr>
      <w:numPr>
        <w:numId w:val="21"/>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C3066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24"/>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C3066C"/>
    <w:pPr>
      <w:numPr>
        <w:ilvl w:val="2"/>
        <w:numId w:val="14"/>
      </w:numPr>
      <w:spacing w:before="60"/>
      <w:contextualSpacing/>
    </w:pPr>
  </w:style>
  <w:style w:type="paragraph" w:styleId="ListNumber4">
    <w:name w:val="List Number 4"/>
    <w:basedOn w:val="Normal"/>
    <w:uiPriority w:val="13"/>
    <w:semiHidden/>
    <w:qFormat/>
    <w:rsid w:val="00C3066C"/>
    <w:pPr>
      <w:numPr>
        <w:ilvl w:val="3"/>
        <w:numId w:val="14"/>
      </w:numPr>
      <w:spacing w:after="200" w:line="293" w:lineRule="auto"/>
      <w:contextualSpacing/>
    </w:pPr>
  </w:style>
  <w:style w:type="paragraph" w:styleId="ListNumber5">
    <w:name w:val="List Number 5"/>
    <w:basedOn w:val="Normal"/>
    <w:uiPriority w:val="13"/>
    <w:semiHidden/>
    <w:rsid w:val="00C3066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54702A"/>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locked/>
    <w:rsid w:val="00551991"/>
    <w:rPr>
      <w:sz w:val="20"/>
      <w:szCs w:val="20"/>
    </w:rPr>
  </w:style>
  <w:style w:type="character" w:styleId="Mention">
    <w:name w:val="Mention"/>
    <w:basedOn w:val="DefaultParagraphFont"/>
    <w:uiPriority w:val="99"/>
    <w:unhideWhenUsed/>
    <w:rsid w:val="006C4A1B"/>
    <w:rPr>
      <w:color w:val="2B579A"/>
      <w:shd w:val="clear" w:color="auto" w:fill="E1DFDD"/>
    </w:rPr>
  </w:style>
  <w:style w:type="paragraph" w:styleId="Bibliography">
    <w:name w:val="Bibliography"/>
    <w:basedOn w:val="Normal"/>
    <w:next w:val="Normal"/>
    <w:uiPriority w:val="37"/>
    <w:unhideWhenUsed/>
    <w:rsid w:val="007C7208"/>
    <w:pPr>
      <w:spacing w:after="240" w:line="240" w:lineRule="atLeast"/>
      <w:ind w:left="720" w:hanging="720"/>
    </w:pPr>
  </w:style>
  <w:style w:type="character" w:customStyle="1" w:styleId="CommentTextChar1">
    <w:name w:val="Comment Text Char1"/>
    <w:basedOn w:val="DefaultParagraphFont"/>
    <w:uiPriority w:val="99"/>
    <w:rsid w:val="00632A48"/>
    <w:rPr>
      <w:sz w:val="20"/>
      <w:szCs w:val="20"/>
    </w:rPr>
  </w:style>
  <w:style w:type="paragraph" w:styleId="NormalWeb">
    <w:name w:val="Normal (Web)"/>
    <w:basedOn w:val="Normal"/>
    <w:uiPriority w:val="99"/>
    <w:semiHidden/>
    <w:unhideWhenUsed/>
    <w:rsid w:val="006060FF"/>
    <w:rPr>
      <w:rFonts w:ascii="Times New Roman" w:hAnsi="Times New Roman" w:cs="Times New Roman"/>
      <w:sz w:val="24"/>
      <w:szCs w:val="24"/>
    </w:rPr>
  </w:style>
  <w:style w:type="character" w:styleId="EndnoteReference">
    <w:name w:val="endnote reference"/>
    <w:basedOn w:val="DefaultParagraphFont"/>
    <w:uiPriority w:val="99"/>
    <w:semiHidden/>
    <w:unhideWhenUsed/>
    <w:rsid w:val="00884CAF"/>
    <w:rPr>
      <w:vertAlign w:val="superscript"/>
    </w:rPr>
  </w:style>
  <w:style w:type="character" w:customStyle="1" w:styleId="cf01">
    <w:name w:val="cf01"/>
    <w:basedOn w:val="DefaultParagraphFont"/>
    <w:rsid w:val="009337B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77151">
      <w:bodyDiv w:val="1"/>
      <w:marLeft w:val="0"/>
      <w:marRight w:val="0"/>
      <w:marTop w:val="0"/>
      <w:marBottom w:val="0"/>
      <w:divBdr>
        <w:top w:val="none" w:sz="0" w:space="0" w:color="auto"/>
        <w:left w:val="none" w:sz="0" w:space="0" w:color="auto"/>
        <w:bottom w:val="none" w:sz="0" w:space="0" w:color="auto"/>
        <w:right w:val="none" w:sz="0" w:space="0" w:color="auto"/>
      </w:divBdr>
    </w:div>
    <w:div w:id="95489524">
      <w:bodyDiv w:val="1"/>
      <w:marLeft w:val="0"/>
      <w:marRight w:val="0"/>
      <w:marTop w:val="0"/>
      <w:marBottom w:val="0"/>
      <w:divBdr>
        <w:top w:val="none" w:sz="0" w:space="0" w:color="auto"/>
        <w:left w:val="none" w:sz="0" w:space="0" w:color="auto"/>
        <w:bottom w:val="none" w:sz="0" w:space="0" w:color="auto"/>
        <w:right w:val="none" w:sz="0" w:space="0" w:color="auto"/>
      </w:divBdr>
    </w:div>
    <w:div w:id="100146299">
      <w:bodyDiv w:val="1"/>
      <w:marLeft w:val="0"/>
      <w:marRight w:val="0"/>
      <w:marTop w:val="0"/>
      <w:marBottom w:val="0"/>
      <w:divBdr>
        <w:top w:val="none" w:sz="0" w:space="0" w:color="auto"/>
        <w:left w:val="none" w:sz="0" w:space="0" w:color="auto"/>
        <w:bottom w:val="none" w:sz="0" w:space="0" w:color="auto"/>
        <w:right w:val="none" w:sz="0" w:space="0" w:color="auto"/>
      </w:divBdr>
    </w:div>
    <w:div w:id="163323621">
      <w:bodyDiv w:val="1"/>
      <w:marLeft w:val="0"/>
      <w:marRight w:val="0"/>
      <w:marTop w:val="0"/>
      <w:marBottom w:val="0"/>
      <w:divBdr>
        <w:top w:val="none" w:sz="0" w:space="0" w:color="auto"/>
        <w:left w:val="none" w:sz="0" w:space="0" w:color="auto"/>
        <w:bottom w:val="none" w:sz="0" w:space="0" w:color="auto"/>
        <w:right w:val="none" w:sz="0" w:space="0" w:color="auto"/>
      </w:divBdr>
    </w:div>
    <w:div w:id="208885308">
      <w:bodyDiv w:val="1"/>
      <w:marLeft w:val="0"/>
      <w:marRight w:val="0"/>
      <w:marTop w:val="0"/>
      <w:marBottom w:val="0"/>
      <w:divBdr>
        <w:top w:val="none" w:sz="0" w:space="0" w:color="auto"/>
        <w:left w:val="none" w:sz="0" w:space="0" w:color="auto"/>
        <w:bottom w:val="none" w:sz="0" w:space="0" w:color="auto"/>
        <w:right w:val="none" w:sz="0" w:space="0" w:color="auto"/>
      </w:divBdr>
      <w:divsChild>
        <w:div w:id="114763059">
          <w:marLeft w:val="0"/>
          <w:marRight w:val="0"/>
          <w:marTop w:val="0"/>
          <w:marBottom w:val="0"/>
          <w:divBdr>
            <w:top w:val="none" w:sz="0" w:space="0" w:color="auto"/>
            <w:left w:val="none" w:sz="0" w:space="0" w:color="auto"/>
            <w:bottom w:val="none" w:sz="0" w:space="0" w:color="auto"/>
            <w:right w:val="none" w:sz="0" w:space="0" w:color="auto"/>
          </w:divBdr>
        </w:div>
        <w:div w:id="148834939">
          <w:marLeft w:val="0"/>
          <w:marRight w:val="0"/>
          <w:marTop w:val="0"/>
          <w:marBottom w:val="0"/>
          <w:divBdr>
            <w:top w:val="none" w:sz="0" w:space="0" w:color="auto"/>
            <w:left w:val="none" w:sz="0" w:space="0" w:color="auto"/>
            <w:bottom w:val="none" w:sz="0" w:space="0" w:color="auto"/>
            <w:right w:val="none" w:sz="0" w:space="0" w:color="auto"/>
          </w:divBdr>
        </w:div>
        <w:div w:id="247229654">
          <w:marLeft w:val="0"/>
          <w:marRight w:val="0"/>
          <w:marTop w:val="0"/>
          <w:marBottom w:val="0"/>
          <w:divBdr>
            <w:top w:val="none" w:sz="0" w:space="0" w:color="auto"/>
            <w:left w:val="none" w:sz="0" w:space="0" w:color="auto"/>
            <w:bottom w:val="none" w:sz="0" w:space="0" w:color="auto"/>
            <w:right w:val="none" w:sz="0" w:space="0" w:color="auto"/>
          </w:divBdr>
        </w:div>
        <w:div w:id="281351955">
          <w:marLeft w:val="0"/>
          <w:marRight w:val="0"/>
          <w:marTop w:val="0"/>
          <w:marBottom w:val="0"/>
          <w:divBdr>
            <w:top w:val="none" w:sz="0" w:space="0" w:color="auto"/>
            <w:left w:val="none" w:sz="0" w:space="0" w:color="auto"/>
            <w:bottom w:val="none" w:sz="0" w:space="0" w:color="auto"/>
            <w:right w:val="none" w:sz="0" w:space="0" w:color="auto"/>
          </w:divBdr>
        </w:div>
        <w:div w:id="360521148">
          <w:marLeft w:val="0"/>
          <w:marRight w:val="0"/>
          <w:marTop w:val="0"/>
          <w:marBottom w:val="0"/>
          <w:divBdr>
            <w:top w:val="none" w:sz="0" w:space="0" w:color="auto"/>
            <w:left w:val="none" w:sz="0" w:space="0" w:color="auto"/>
            <w:bottom w:val="none" w:sz="0" w:space="0" w:color="auto"/>
            <w:right w:val="none" w:sz="0" w:space="0" w:color="auto"/>
          </w:divBdr>
        </w:div>
        <w:div w:id="395788450">
          <w:marLeft w:val="0"/>
          <w:marRight w:val="0"/>
          <w:marTop w:val="0"/>
          <w:marBottom w:val="0"/>
          <w:divBdr>
            <w:top w:val="none" w:sz="0" w:space="0" w:color="auto"/>
            <w:left w:val="none" w:sz="0" w:space="0" w:color="auto"/>
            <w:bottom w:val="none" w:sz="0" w:space="0" w:color="auto"/>
            <w:right w:val="none" w:sz="0" w:space="0" w:color="auto"/>
          </w:divBdr>
        </w:div>
        <w:div w:id="480191773">
          <w:marLeft w:val="0"/>
          <w:marRight w:val="0"/>
          <w:marTop w:val="0"/>
          <w:marBottom w:val="0"/>
          <w:divBdr>
            <w:top w:val="none" w:sz="0" w:space="0" w:color="auto"/>
            <w:left w:val="none" w:sz="0" w:space="0" w:color="auto"/>
            <w:bottom w:val="none" w:sz="0" w:space="0" w:color="auto"/>
            <w:right w:val="none" w:sz="0" w:space="0" w:color="auto"/>
          </w:divBdr>
        </w:div>
        <w:div w:id="499853983">
          <w:marLeft w:val="0"/>
          <w:marRight w:val="0"/>
          <w:marTop w:val="0"/>
          <w:marBottom w:val="0"/>
          <w:divBdr>
            <w:top w:val="none" w:sz="0" w:space="0" w:color="auto"/>
            <w:left w:val="none" w:sz="0" w:space="0" w:color="auto"/>
            <w:bottom w:val="none" w:sz="0" w:space="0" w:color="auto"/>
            <w:right w:val="none" w:sz="0" w:space="0" w:color="auto"/>
          </w:divBdr>
        </w:div>
        <w:div w:id="518590783">
          <w:marLeft w:val="0"/>
          <w:marRight w:val="0"/>
          <w:marTop w:val="0"/>
          <w:marBottom w:val="0"/>
          <w:divBdr>
            <w:top w:val="none" w:sz="0" w:space="0" w:color="auto"/>
            <w:left w:val="none" w:sz="0" w:space="0" w:color="auto"/>
            <w:bottom w:val="none" w:sz="0" w:space="0" w:color="auto"/>
            <w:right w:val="none" w:sz="0" w:space="0" w:color="auto"/>
          </w:divBdr>
        </w:div>
        <w:div w:id="669648960">
          <w:marLeft w:val="0"/>
          <w:marRight w:val="0"/>
          <w:marTop w:val="0"/>
          <w:marBottom w:val="0"/>
          <w:divBdr>
            <w:top w:val="none" w:sz="0" w:space="0" w:color="auto"/>
            <w:left w:val="none" w:sz="0" w:space="0" w:color="auto"/>
            <w:bottom w:val="none" w:sz="0" w:space="0" w:color="auto"/>
            <w:right w:val="none" w:sz="0" w:space="0" w:color="auto"/>
          </w:divBdr>
        </w:div>
        <w:div w:id="734275875">
          <w:marLeft w:val="0"/>
          <w:marRight w:val="0"/>
          <w:marTop w:val="0"/>
          <w:marBottom w:val="0"/>
          <w:divBdr>
            <w:top w:val="none" w:sz="0" w:space="0" w:color="auto"/>
            <w:left w:val="none" w:sz="0" w:space="0" w:color="auto"/>
            <w:bottom w:val="none" w:sz="0" w:space="0" w:color="auto"/>
            <w:right w:val="none" w:sz="0" w:space="0" w:color="auto"/>
          </w:divBdr>
        </w:div>
        <w:div w:id="833225048">
          <w:marLeft w:val="0"/>
          <w:marRight w:val="0"/>
          <w:marTop w:val="0"/>
          <w:marBottom w:val="0"/>
          <w:divBdr>
            <w:top w:val="none" w:sz="0" w:space="0" w:color="auto"/>
            <w:left w:val="none" w:sz="0" w:space="0" w:color="auto"/>
            <w:bottom w:val="none" w:sz="0" w:space="0" w:color="auto"/>
            <w:right w:val="none" w:sz="0" w:space="0" w:color="auto"/>
          </w:divBdr>
        </w:div>
        <w:div w:id="1146163902">
          <w:marLeft w:val="0"/>
          <w:marRight w:val="0"/>
          <w:marTop w:val="0"/>
          <w:marBottom w:val="0"/>
          <w:divBdr>
            <w:top w:val="none" w:sz="0" w:space="0" w:color="auto"/>
            <w:left w:val="none" w:sz="0" w:space="0" w:color="auto"/>
            <w:bottom w:val="none" w:sz="0" w:space="0" w:color="auto"/>
            <w:right w:val="none" w:sz="0" w:space="0" w:color="auto"/>
          </w:divBdr>
        </w:div>
        <w:div w:id="1265767852">
          <w:marLeft w:val="0"/>
          <w:marRight w:val="0"/>
          <w:marTop w:val="0"/>
          <w:marBottom w:val="0"/>
          <w:divBdr>
            <w:top w:val="none" w:sz="0" w:space="0" w:color="auto"/>
            <w:left w:val="none" w:sz="0" w:space="0" w:color="auto"/>
            <w:bottom w:val="none" w:sz="0" w:space="0" w:color="auto"/>
            <w:right w:val="none" w:sz="0" w:space="0" w:color="auto"/>
          </w:divBdr>
        </w:div>
        <w:div w:id="1386100537">
          <w:marLeft w:val="0"/>
          <w:marRight w:val="0"/>
          <w:marTop w:val="0"/>
          <w:marBottom w:val="0"/>
          <w:divBdr>
            <w:top w:val="none" w:sz="0" w:space="0" w:color="auto"/>
            <w:left w:val="none" w:sz="0" w:space="0" w:color="auto"/>
            <w:bottom w:val="none" w:sz="0" w:space="0" w:color="auto"/>
            <w:right w:val="none" w:sz="0" w:space="0" w:color="auto"/>
          </w:divBdr>
        </w:div>
        <w:div w:id="1404181333">
          <w:marLeft w:val="0"/>
          <w:marRight w:val="0"/>
          <w:marTop w:val="0"/>
          <w:marBottom w:val="0"/>
          <w:divBdr>
            <w:top w:val="none" w:sz="0" w:space="0" w:color="auto"/>
            <w:left w:val="none" w:sz="0" w:space="0" w:color="auto"/>
            <w:bottom w:val="none" w:sz="0" w:space="0" w:color="auto"/>
            <w:right w:val="none" w:sz="0" w:space="0" w:color="auto"/>
          </w:divBdr>
        </w:div>
        <w:div w:id="1571699043">
          <w:marLeft w:val="0"/>
          <w:marRight w:val="0"/>
          <w:marTop w:val="0"/>
          <w:marBottom w:val="0"/>
          <w:divBdr>
            <w:top w:val="none" w:sz="0" w:space="0" w:color="auto"/>
            <w:left w:val="none" w:sz="0" w:space="0" w:color="auto"/>
            <w:bottom w:val="none" w:sz="0" w:space="0" w:color="auto"/>
            <w:right w:val="none" w:sz="0" w:space="0" w:color="auto"/>
          </w:divBdr>
        </w:div>
      </w:divsChild>
    </w:div>
    <w:div w:id="387800640">
      <w:bodyDiv w:val="1"/>
      <w:marLeft w:val="0"/>
      <w:marRight w:val="0"/>
      <w:marTop w:val="0"/>
      <w:marBottom w:val="0"/>
      <w:divBdr>
        <w:top w:val="none" w:sz="0" w:space="0" w:color="auto"/>
        <w:left w:val="none" w:sz="0" w:space="0" w:color="auto"/>
        <w:bottom w:val="none" w:sz="0" w:space="0" w:color="auto"/>
        <w:right w:val="none" w:sz="0" w:space="0" w:color="auto"/>
      </w:divBdr>
    </w:div>
    <w:div w:id="419109976">
      <w:bodyDiv w:val="1"/>
      <w:marLeft w:val="0"/>
      <w:marRight w:val="0"/>
      <w:marTop w:val="0"/>
      <w:marBottom w:val="0"/>
      <w:divBdr>
        <w:top w:val="none" w:sz="0" w:space="0" w:color="auto"/>
        <w:left w:val="none" w:sz="0" w:space="0" w:color="auto"/>
        <w:bottom w:val="none" w:sz="0" w:space="0" w:color="auto"/>
        <w:right w:val="none" w:sz="0" w:space="0" w:color="auto"/>
      </w:divBdr>
    </w:div>
    <w:div w:id="465704864">
      <w:bodyDiv w:val="1"/>
      <w:marLeft w:val="0"/>
      <w:marRight w:val="0"/>
      <w:marTop w:val="0"/>
      <w:marBottom w:val="0"/>
      <w:divBdr>
        <w:top w:val="none" w:sz="0" w:space="0" w:color="auto"/>
        <w:left w:val="none" w:sz="0" w:space="0" w:color="auto"/>
        <w:bottom w:val="none" w:sz="0" w:space="0" w:color="auto"/>
        <w:right w:val="none" w:sz="0" w:space="0" w:color="auto"/>
      </w:divBdr>
    </w:div>
    <w:div w:id="476528678">
      <w:bodyDiv w:val="1"/>
      <w:marLeft w:val="0"/>
      <w:marRight w:val="0"/>
      <w:marTop w:val="0"/>
      <w:marBottom w:val="0"/>
      <w:divBdr>
        <w:top w:val="none" w:sz="0" w:space="0" w:color="auto"/>
        <w:left w:val="none" w:sz="0" w:space="0" w:color="auto"/>
        <w:bottom w:val="none" w:sz="0" w:space="0" w:color="auto"/>
        <w:right w:val="none" w:sz="0" w:space="0" w:color="auto"/>
      </w:divBdr>
      <w:divsChild>
        <w:div w:id="889998389">
          <w:marLeft w:val="0"/>
          <w:marRight w:val="0"/>
          <w:marTop w:val="0"/>
          <w:marBottom w:val="0"/>
          <w:divBdr>
            <w:top w:val="none" w:sz="0" w:space="0" w:color="auto"/>
            <w:left w:val="none" w:sz="0" w:space="0" w:color="auto"/>
            <w:bottom w:val="none" w:sz="0" w:space="0" w:color="auto"/>
            <w:right w:val="none" w:sz="0" w:space="0" w:color="auto"/>
          </w:divBdr>
          <w:divsChild>
            <w:div w:id="1608658862">
              <w:marLeft w:val="0"/>
              <w:marRight w:val="0"/>
              <w:marTop w:val="0"/>
              <w:marBottom w:val="0"/>
              <w:divBdr>
                <w:top w:val="none" w:sz="0" w:space="0" w:color="auto"/>
                <w:left w:val="none" w:sz="0" w:space="0" w:color="auto"/>
                <w:bottom w:val="none" w:sz="0" w:space="0" w:color="auto"/>
                <w:right w:val="none" w:sz="0" w:space="0" w:color="auto"/>
              </w:divBdr>
              <w:divsChild>
                <w:div w:id="1184900441">
                  <w:marLeft w:val="0"/>
                  <w:marRight w:val="0"/>
                  <w:marTop w:val="0"/>
                  <w:marBottom w:val="0"/>
                  <w:divBdr>
                    <w:top w:val="none" w:sz="0" w:space="0" w:color="auto"/>
                    <w:left w:val="none" w:sz="0" w:space="0" w:color="auto"/>
                    <w:bottom w:val="none" w:sz="0" w:space="0" w:color="auto"/>
                    <w:right w:val="none" w:sz="0" w:space="0" w:color="auto"/>
                  </w:divBdr>
                  <w:divsChild>
                    <w:div w:id="20651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8019">
      <w:bodyDiv w:val="1"/>
      <w:marLeft w:val="0"/>
      <w:marRight w:val="0"/>
      <w:marTop w:val="0"/>
      <w:marBottom w:val="0"/>
      <w:divBdr>
        <w:top w:val="none" w:sz="0" w:space="0" w:color="auto"/>
        <w:left w:val="none" w:sz="0" w:space="0" w:color="auto"/>
        <w:bottom w:val="none" w:sz="0" w:space="0" w:color="auto"/>
        <w:right w:val="none" w:sz="0" w:space="0" w:color="auto"/>
      </w:divBdr>
    </w:div>
    <w:div w:id="542057238">
      <w:bodyDiv w:val="1"/>
      <w:marLeft w:val="0"/>
      <w:marRight w:val="0"/>
      <w:marTop w:val="0"/>
      <w:marBottom w:val="0"/>
      <w:divBdr>
        <w:top w:val="none" w:sz="0" w:space="0" w:color="auto"/>
        <w:left w:val="none" w:sz="0" w:space="0" w:color="auto"/>
        <w:bottom w:val="none" w:sz="0" w:space="0" w:color="auto"/>
        <w:right w:val="none" w:sz="0" w:space="0" w:color="auto"/>
      </w:divBdr>
    </w:div>
    <w:div w:id="573509338">
      <w:bodyDiv w:val="1"/>
      <w:marLeft w:val="0"/>
      <w:marRight w:val="0"/>
      <w:marTop w:val="0"/>
      <w:marBottom w:val="0"/>
      <w:divBdr>
        <w:top w:val="none" w:sz="0" w:space="0" w:color="auto"/>
        <w:left w:val="none" w:sz="0" w:space="0" w:color="auto"/>
        <w:bottom w:val="none" w:sz="0" w:space="0" w:color="auto"/>
        <w:right w:val="none" w:sz="0" w:space="0" w:color="auto"/>
      </w:divBdr>
    </w:div>
    <w:div w:id="675693104">
      <w:bodyDiv w:val="1"/>
      <w:marLeft w:val="0"/>
      <w:marRight w:val="0"/>
      <w:marTop w:val="0"/>
      <w:marBottom w:val="0"/>
      <w:divBdr>
        <w:top w:val="none" w:sz="0" w:space="0" w:color="auto"/>
        <w:left w:val="none" w:sz="0" w:space="0" w:color="auto"/>
        <w:bottom w:val="none" w:sz="0" w:space="0" w:color="auto"/>
        <w:right w:val="none" w:sz="0" w:space="0" w:color="auto"/>
      </w:divBdr>
    </w:div>
    <w:div w:id="686060884">
      <w:bodyDiv w:val="1"/>
      <w:marLeft w:val="0"/>
      <w:marRight w:val="0"/>
      <w:marTop w:val="0"/>
      <w:marBottom w:val="0"/>
      <w:divBdr>
        <w:top w:val="none" w:sz="0" w:space="0" w:color="auto"/>
        <w:left w:val="none" w:sz="0" w:space="0" w:color="auto"/>
        <w:bottom w:val="none" w:sz="0" w:space="0" w:color="auto"/>
        <w:right w:val="none" w:sz="0" w:space="0" w:color="auto"/>
      </w:divBdr>
    </w:div>
    <w:div w:id="862135211">
      <w:bodyDiv w:val="1"/>
      <w:marLeft w:val="0"/>
      <w:marRight w:val="0"/>
      <w:marTop w:val="0"/>
      <w:marBottom w:val="0"/>
      <w:divBdr>
        <w:top w:val="none" w:sz="0" w:space="0" w:color="auto"/>
        <w:left w:val="none" w:sz="0" w:space="0" w:color="auto"/>
        <w:bottom w:val="none" w:sz="0" w:space="0" w:color="auto"/>
        <w:right w:val="none" w:sz="0" w:space="0" w:color="auto"/>
      </w:divBdr>
    </w:div>
    <w:div w:id="874728954">
      <w:bodyDiv w:val="1"/>
      <w:marLeft w:val="0"/>
      <w:marRight w:val="0"/>
      <w:marTop w:val="0"/>
      <w:marBottom w:val="0"/>
      <w:divBdr>
        <w:top w:val="none" w:sz="0" w:space="0" w:color="auto"/>
        <w:left w:val="none" w:sz="0" w:space="0" w:color="auto"/>
        <w:bottom w:val="none" w:sz="0" w:space="0" w:color="auto"/>
        <w:right w:val="none" w:sz="0" w:space="0" w:color="auto"/>
      </w:divBdr>
      <w:divsChild>
        <w:div w:id="104619780">
          <w:marLeft w:val="0"/>
          <w:marRight w:val="0"/>
          <w:marTop w:val="0"/>
          <w:marBottom w:val="0"/>
          <w:divBdr>
            <w:top w:val="none" w:sz="0" w:space="0" w:color="auto"/>
            <w:left w:val="none" w:sz="0" w:space="0" w:color="auto"/>
            <w:bottom w:val="none" w:sz="0" w:space="0" w:color="auto"/>
            <w:right w:val="none" w:sz="0" w:space="0" w:color="auto"/>
          </w:divBdr>
        </w:div>
        <w:div w:id="284388791">
          <w:marLeft w:val="0"/>
          <w:marRight w:val="0"/>
          <w:marTop w:val="0"/>
          <w:marBottom w:val="0"/>
          <w:divBdr>
            <w:top w:val="none" w:sz="0" w:space="0" w:color="auto"/>
            <w:left w:val="none" w:sz="0" w:space="0" w:color="auto"/>
            <w:bottom w:val="none" w:sz="0" w:space="0" w:color="auto"/>
            <w:right w:val="none" w:sz="0" w:space="0" w:color="auto"/>
          </w:divBdr>
        </w:div>
        <w:div w:id="453061464">
          <w:marLeft w:val="0"/>
          <w:marRight w:val="0"/>
          <w:marTop w:val="0"/>
          <w:marBottom w:val="0"/>
          <w:divBdr>
            <w:top w:val="none" w:sz="0" w:space="0" w:color="auto"/>
            <w:left w:val="none" w:sz="0" w:space="0" w:color="auto"/>
            <w:bottom w:val="none" w:sz="0" w:space="0" w:color="auto"/>
            <w:right w:val="none" w:sz="0" w:space="0" w:color="auto"/>
          </w:divBdr>
        </w:div>
        <w:div w:id="579171888">
          <w:marLeft w:val="0"/>
          <w:marRight w:val="0"/>
          <w:marTop w:val="0"/>
          <w:marBottom w:val="0"/>
          <w:divBdr>
            <w:top w:val="none" w:sz="0" w:space="0" w:color="auto"/>
            <w:left w:val="none" w:sz="0" w:space="0" w:color="auto"/>
            <w:bottom w:val="none" w:sz="0" w:space="0" w:color="auto"/>
            <w:right w:val="none" w:sz="0" w:space="0" w:color="auto"/>
          </w:divBdr>
        </w:div>
        <w:div w:id="649746834">
          <w:marLeft w:val="0"/>
          <w:marRight w:val="0"/>
          <w:marTop w:val="0"/>
          <w:marBottom w:val="0"/>
          <w:divBdr>
            <w:top w:val="none" w:sz="0" w:space="0" w:color="auto"/>
            <w:left w:val="none" w:sz="0" w:space="0" w:color="auto"/>
            <w:bottom w:val="none" w:sz="0" w:space="0" w:color="auto"/>
            <w:right w:val="none" w:sz="0" w:space="0" w:color="auto"/>
          </w:divBdr>
        </w:div>
        <w:div w:id="804740924">
          <w:marLeft w:val="0"/>
          <w:marRight w:val="0"/>
          <w:marTop w:val="0"/>
          <w:marBottom w:val="0"/>
          <w:divBdr>
            <w:top w:val="none" w:sz="0" w:space="0" w:color="auto"/>
            <w:left w:val="none" w:sz="0" w:space="0" w:color="auto"/>
            <w:bottom w:val="none" w:sz="0" w:space="0" w:color="auto"/>
            <w:right w:val="none" w:sz="0" w:space="0" w:color="auto"/>
          </w:divBdr>
        </w:div>
        <w:div w:id="868687949">
          <w:marLeft w:val="0"/>
          <w:marRight w:val="0"/>
          <w:marTop w:val="0"/>
          <w:marBottom w:val="0"/>
          <w:divBdr>
            <w:top w:val="none" w:sz="0" w:space="0" w:color="auto"/>
            <w:left w:val="none" w:sz="0" w:space="0" w:color="auto"/>
            <w:bottom w:val="none" w:sz="0" w:space="0" w:color="auto"/>
            <w:right w:val="none" w:sz="0" w:space="0" w:color="auto"/>
          </w:divBdr>
        </w:div>
        <w:div w:id="889270170">
          <w:marLeft w:val="0"/>
          <w:marRight w:val="0"/>
          <w:marTop w:val="0"/>
          <w:marBottom w:val="0"/>
          <w:divBdr>
            <w:top w:val="none" w:sz="0" w:space="0" w:color="auto"/>
            <w:left w:val="none" w:sz="0" w:space="0" w:color="auto"/>
            <w:bottom w:val="none" w:sz="0" w:space="0" w:color="auto"/>
            <w:right w:val="none" w:sz="0" w:space="0" w:color="auto"/>
          </w:divBdr>
        </w:div>
        <w:div w:id="921597201">
          <w:marLeft w:val="0"/>
          <w:marRight w:val="0"/>
          <w:marTop w:val="0"/>
          <w:marBottom w:val="0"/>
          <w:divBdr>
            <w:top w:val="none" w:sz="0" w:space="0" w:color="auto"/>
            <w:left w:val="none" w:sz="0" w:space="0" w:color="auto"/>
            <w:bottom w:val="none" w:sz="0" w:space="0" w:color="auto"/>
            <w:right w:val="none" w:sz="0" w:space="0" w:color="auto"/>
          </w:divBdr>
        </w:div>
        <w:div w:id="964771154">
          <w:marLeft w:val="0"/>
          <w:marRight w:val="0"/>
          <w:marTop w:val="0"/>
          <w:marBottom w:val="0"/>
          <w:divBdr>
            <w:top w:val="none" w:sz="0" w:space="0" w:color="auto"/>
            <w:left w:val="none" w:sz="0" w:space="0" w:color="auto"/>
            <w:bottom w:val="none" w:sz="0" w:space="0" w:color="auto"/>
            <w:right w:val="none" w:sz="0" w:space="0" w:color="auto"/>
          </w:divBdr>
        </w:div>
        <w:div w:id="983848437">
          <w:marLeft w:val="0"/>
          <w:marRight w:val="0"/>
          <w:marTop w:val="0"/>
          <w:marBottom w:val="0"/>
          <w:divBdr>
            <w:top w:val="none" w:sz="0" w:space="0" w:color="auto"/>
            <w:left w:val="none" w:sz="0" w:space="0" w:color="auto"/>
            <w:bottom w:val="none" w:sz="0" w:space="0" w:color="auto"/>
            <w:right w:val="none" w:sz="0" w:space="0" w:color="auto"/>
          </w:divBdr>
        </w:div>
        <w:div w:id="1321731290">
          <w:marLeft w:val="0"/>
          <w:marRight w:val="0"/>
          <w:marTop w:val="0"/>
          <w:marBottom w:val="0"/>
          <w:divBdr>
            <w:top w:val="none" w:sz="0" w:space="0" w:color="auto"/>
            <w:left w:val="none" w:sz="0" w:space="0" w:color="auto"/>
            <w:bottom w:val="none" w:sz="0" w:space="0" w:color="auto"/>
            <w:right w:val="none" w:sz="0" w:space="0" w:color="auto"/>
          </w:divBdr>
        </w:div>
        <w:div w:id="1337151093">
          <w:marLeft w:val="0"/>
          <w:marRight w:val="0"/>
          <w:marTop w:val="0"/>
          <w:marBottom w:val="0"/>
          <w:divBdr>
            <w:top w:val="none" w:sz="0" w:space="0" w:color="auto"/>
            <w:left w:val="none" w:sz="0" w:space="0" w:color="auto"/>
            <w:bottom w:val="none" w:sz="0" w:space="0" w:color="auto"/>
            <w:right w:val="none" w:sz="0" w:space="0" w:color="auto"/>
          </w:divBdr>
        </w:div>
        <w:div w:id="1561019874">
          <w:marLeft w:val="0"/>
          <w:marRight w:val="0"/>
          <w:marTop w:val="0"/>
          <w:marBottom w:val="0"/>
          <w:divBdr>
            <w:top w:val="none" w:sz="0" w:space="0" w:color="auto"/>
            <w:left w:val="none" w:sz="0" w:space="0" w:color="auto"/>
            <w:bottom w:val="none" w:sz="0" w:space="0" w:color="auto"/>
            <w:right w:val="none" w:sz="0" w:space="0" w:color="auto"/>
          </w:divBdr>
        </w:div>
        <w:div w:id="1732578786">
          <w:marLeft w:val="0"/>
          <w:marRight w:val="0"/>
          <w:marTop w:val="0"/>
          <w:marBottom w:val="0"/>
          <w:divBdr>
            <w:top w:val="none" w:sz="0" w:space="0" w:color="auto"/>
            <w:left w:val="none" w:sz="0" w:space="0" w:color="auto"/>
            <w:bottom w:val="none" w:sz="0" w:space="0" w:color="auto"/>
            <w:right w:val="none" w:sz="0" w:space="0" w:color="auto"/>
          </w:divBdr>
        </w:div>
        <w:div w:id="1924532381">
          <w:marLeft w:val="0"/>
          <w:marRight w:val="0"/>
          <w:marTop w:val="0"/>
          <w:marBottom w:val="0"/>
          <w:divBdr>
            <w:top w:val="none" w:sz="0" w:space="0" w:color="auto"/>
            <w:left w:val="none" w:sz="0" w:space="0" w:color="auto"/>
            <w:bottom w:val="none" w:sz="0" w:space="0" w:color="auto"/>
            <w:right w:val="none" w:sz="0" w:space="0" w:color="auto"/>
          </w:divBdr>
        </w:div>
        <w:div w:id="2106225223">
          <w:marLeft w:val="0"/>
          <w:marRight w:val="0"/>
          <w:marTop w:val="0"/>
          <w:marBottom w:val="0"/>
          <w:divBdr>
            <w:top w:val="none" w:sz="0" w:space="0" w:color="auto"/>
            <w:left w:val="none" w:sz="0" w:space="0" w:color="auto"/>
            <w:bottom w:val="none" w:sz="0" w:space="0" w:color="auto"/>
            <w:right w:val="none" w:sz="0" w:space="0" w:color="auto"/>
          </w:divBdr>
        </w:div>
      </w:divsChild>
    </w:div>
    <w:div w:id="922179318">
      <w:bodyDiv w:val="1"/>
      <w:marLeft w:val="0"/>
      <w:marRight w:val="0"/>
      <w:marTop w:val="0"/>
      <w:marBottom w:val="0"/>
      <w:divBdr>
        <w:top w:val="none" w:sz="0" w:space="0" w:color="auto"/>
        <w:left w:val="none" w:sz="0" w:space="0" w:color="auto"/>
        <w:bottom w:val="none" w:sz="0" w:space="0" w:color="auto"/>
        <w:right w:val="none" w:sz="0" w:space="0" w:color="auto"/>
      </w:divBdr>
    </w:div>
    <w:div w:id="967131497">
      <w:bodyDiv w:val="1"/>
      <w:marLeft w:val="0"/>
      <w:marRight w:val="0"/>
      <w:marTop w:val="0"/>
      <w:marBottom w:val="0"/>
      <w:divBdr>
        <w:top w:val="none" w:sz="0" w:space="0" w:color="auto"/>
        <w:left w:val="none" w:sz="0" w:space="0" w:color="auto"/>
        <w:bottom w:val="none" w:sz="0" w:space="0" w:color="auto"/>
        <w:right w:val="none" w:sz="0" w:space="0" w:color="auto"/>
      </w:divBdr>
    </w:div>
    <w:div w:id="1032615736">
      <w:bodyDiv w:val="1"/>
      <w:marLeft w:val="0"/>
      <w:marRight w:val="0"/>
      <w:marTop w:val="0"/>
      <w:marBottom w:val="0"/>
      <w:divBdr>
        <w:top w:val="none" w:sz="0" w:space="0" w:color="auto"/>
        <w:left w:val="none" w:sz="0" w:space="0" w:color="auto"/>
        <w:bottom w:val="none" w:sz="0" w:space="0" w:color="auto"/>
        <w:right w:val="none" w:sz="0" w:space="0" w:color="auto"/>
      </w:divBdr>
    </w:div>
    <w:div w:id="1042436804">
      <w:bodyDiv w:val="1"/>
      <w:marLeft w:val="0"/>
      <w:marRight w:val="0"/>
      <w:marTop w:val="0"/>
      <w:marBottom w:val="0"/>
      <w:divBdr>
        <w:top w:val="none" w:sz="0" w:space="0" w:color="auto"/>
        <w:left w:val="none" w:sz="0" w:space="0" w:color="auto"/>
        <w:bottom w:val="none" w:sz="0" w:space="0" w:color="auto"/>
        <w:right w:val="none" w:sz="0" w:space="0" w:color="auto"/>
      </w:divBdr>
    </w:div>
    <w:div w:id="1067074488">
      <w:bodyDiv w:val="1"/>
      <w:marLeft w:val="0"/>
      <w:marRight w:val="0"/>
      <w:marTop w:val="0"/>
      <w:marBottom w:val="0"/>
      <w:divBdr>
        <w:top w:val="none" w:sz="0" w:space="0" w:color="auto"/>
        <w:left w:val="none" w:sz="0" w:space="0" w:color="auto"/>
        <w:bottom w:val="none" w:sz="0" w:space="0" w:color="auto"/>
        <w:right w:val="none" w:sz="0" w:space="0" w:color="auto"/>
      </w:divBdr>
    </w:div>
    <w:div w:id="1139499993">
      <w:bodyDiv w:val="1"/>
      <w:marLeft w:val="0"/>
      <w:marRight w:val="0"/>
      <w:marTop w:val="0"/>
      <w:marBottom w:val="0"/>
      <w:divBdr>
        <w:top w:val="none" w:sz="0" w:space="0" w:color="auto"/>
        <w:left w:val="none" w:sz="0" w:space="0" w:color="auto"/>
        <w:bottom w:val="none" w:sz="0" w:space="0" w:color="auto"/>
        <w:right w:val="none" w:sz="0" w:space="0" w:color="auto"/>
      </w:divBdr>
      <w:divsChild>
        <w:div w:id="103810985">
          <w:marLeft w:val="0"/>
          <w:marRight w:val="0"/>
          <w:marTop w:val="0"/>
          <w:marBottom w:val="0"/>
          <w:divBdr>
            <w:top w:val="none" w:sz="0" w:space="0" w:color="auto"/>
            <w:left w:val="none" w:sz="0" w:space="0" w:color="auto"/>
            <w:bottom w:val="none" w:sz="0" w:space="0" w:color="auto"/>
            <w:right w:val="none" w:sz="0" w:space="0" w:color="auto"/>
          </w:divBdr>
          <w:divsChild>
            <w:div w:id="1407415895">
              <w:marLeft w:val="0"/>
              <w:marRight w:val="0"/>
              <w:marTop w:val="0"/>
              <w:marBottom w:val="0"/>
              <w:divBdr>
                <w:top w:val="none" w:sz="0" w:space="0" w:color="auto"/>
                <w:left w:val="none" w:sz="0" w:space="0" w:color="auto"/>
                <w:bottom w:val="none" w:sz="0" w:space="0" w:color="auto"/>
                <w:right w:val="none" w:sz="0" w:space="0" w:color="auto"/>
              </w:divBdr>
            </w:div>
          </w:divsChild>
        </w:div>
        <w:div w:id="136532073">
          <w:marLeft w:val="0"/>
          <w:marRight w:val="0"/>
          <w:marTop w:val="0"/>
          <w:marBottom w:val="0"/>
          <w:divBdr>
            <w:top w:val="none" w:sz="0" w:space="0" w:color="auto"/>
            <w:left w:val="none" w:sz="0" w:space="0" w:color="auto"/>
            <w:bottom w:val="none" w:sz="0" w:space="0" w:color="auto"/>
            <w:right w:val="none" w:sz="0" w:space="0" w:color="auto"/>
          </w:divBdr>
          <w:divsChild>
            <w:div w:id="598485172">
              <w:marLeft w:val="0"/>
              <w:marRight w:val="0"/>
              <w:marTop w:val="0"/>
              <w:marBottom w:val="0"/>
              <w:divBdr>
                <w:top w:val="none" w:sz="0" w:space="0" w:color="auto"/>
                <w:left w:val="none" w:sz="0" w:space="0" w:color="auto"/>
                <w:bottom w:val="none" w:sz="0" w:space="0" w:color="auto"/>
                <w:right w:val="none" w:sz="0" w:space="0" w:color="auto"/>
              </w:divBdr>
            </w:div>
          </w:divsChild>
        </w:div>
        <w:div w:id="149443124">
          <w:marLeft w:val="0"/>
          <w:marRight w:val="0"/>
          <w:marTop w:val="0"/>
          <w:marBottom w:val="0"/>
          <w:divBdr>
            <w:top w:val="none" w:sz="0" w:space="0" w:color="auto"/>
            <w:left w:val="none" w:sz="0" w:space="0" w:color="auto"/>
            <w:bottom w:val="none" w:sz="0" w:space="0" w:color="auto"/>
            <w:right w:val="none" w:sz="0" w:space="0" w:color="auto"/>
          </w:divBdr>
          <w:divsChild>
            <w:div w:id="1634826178">
              <w:marLeft w:val="0"/>
              <w:marRight w:val="0"/>
              <w:marTop w:val="0"/>
              <w:marBottom w:val="0"/>
              <w:divBdr>
                <w:top w:val="none" w:sz="0" w:space="0" w:color="auto"/>
                <w:left w:val="none" w:sz="0" w:space="0" w:color="auto"/>
                <w:bottom w:val="none" w:sz="0" w:space="0" w:color="auto"/>
                <w:right w:val="none" w:sz="0" w:space="0" w:color="auto"/>
              </w:divBdr>
            </w:div>
          </w:divsChild>
        </w:div>
        <w:div w:id="259990611">
          <w:marLeft w:val="0"/>
          <w:marRight w:val="0"/>
          <w:marTop w:val="0"/>
          <w:marBottom w:val="0"/>
          <w:divBdr>
            <w:top w:val="none" w:sz="0" w:space="0" w:color="auto"/>
            <w:left w:val="none" w:sz="0" w:space="0" w:color="auto"/>
            <w:bottom w:val="none" w:sz="0" w:space="0" w:color="auto"/>
            <w:right w:val="none" w:sz="0" w:space="0" w:color="auto"/>
          </w:divBdr>
          <w:divsChild>
            <w:div w:id="456489122">
              <w:marLeft w:val="0"/>
              <w:marRight w:val="0"/>
              <w:marTop w:val="0"/>
              <w:marBottom w:val="0"/>
              <w:divBdr>
                <w:top w:val="none" w:sz="0" w:space="0" w:color="auto"/>
                <w:left w:val="none" w:sz="0" w:space="0" w:color="auto"/>
                <w:bottom w:val="none" w:sz="0" w:space="0" w:color="auto"/>
                <w:right w:val="none" w:sz="0" w:space="0" w:color="auto"/>
              </w:divBdr>
            </w:div>
          </w:divsChild>
        </w:div>
        <w:div w:id="380246637">
          <w:marLeft w:val="0"/>
          <w:marRight w:val="0"/>
          <w:marTop w:val="0"/>
          <w:marBottom w:val="0"/>
          <w:divBdr>
            <w:top w:val="none" w:sz="0" w:space="0" w:color="auto"/>
            <w:left w:val="none" w:sz="0" w:space="0" w:color="auto"/>
            <w:bottom w:val="none" w:sz="0" w:space="0" w:color="auto"/>
            <w:right w:val="none" w:sz="0" w:space="0" w:color="auto"/>
          </w:divBdr>
          <w:divsChild>
            <w:div w:id="345668884">
              <w:marLeft w:val="0"/>
              <w:marRight w:val="0"/>
              <w:marTop w:val="0"/>
              <w:marBottom w:val="0"/>
              <w:divBdr>
                <w:top w:val="none" w:sz="0" w:space="0" w:color="auto"/>
                <w:left w:val="none" w:sz="0" w:space="0" w:color="auto"/>
                <w:bottom w:val="none" w:sz="0" w:space="0" w:color="auto"/>
                <w:right w:val="none" w:sz="0" w:space="0" w:color="auto"/>
              </w:divBdr>
            </w:div>
          </w:divsChild>
        </w:div>
        <w:div w:id="445124556">
          <w:marLeft w:val="0"/>
          <w:marRight w:val="0"/>
          <w:marTop w:val="0"/>
          <w:marBottom w:val="0"/>
          <w:divBdr>
            <w:top w:val="none" w:sz="0" w:space="0" w:color="auto"/>
            <w:left w:val="none" w:sz="0" w:space="0" w:color="auto"/>
            <w:bottom w:val="none" w:sz="0" w:space="0" w:color="auto"/>
            <w:right w:val="none" w:sz="0" w:space="0" w:color="auto"/>
          </w:divBdr>
          <w:divsChild>
            <w:div w:id="1777169480">
              <w:marLeft w:val="0"/>
              <w:marRight w:val="0"/>
              <w:marTop w:val="0"/>
              <w:marBottom w:val="0"/>
              <w:divBdr>
                <w:top w:val="none" w:sz="0" w:space="0" w:color="auto"/>
                <w:left w:val="none" w:sz="0" w:space="0" w:color="auto"/>
                <w:bottom w:val="none" w:sz="0" w:space="0" w:color="auto"/>
                <w:right w:val="none" w:sz="0" w:space="0" w:color="auto"/>
              </w:divBdr>
            </w:div>
          </w:divsChild>
        </w:div>
        <w:div w:id="504706541">
          <w:marLeft w:val="0"/>
          <w:marRight w:val="0"/>
          <w:marTop w:val="0"/>
          <w:marBottom w:val="0"/>
          <w:divBdr>
            <w:top w:val="none" w:sz="0" w:space="0" w:color="auto"/>
            <w:left w:val="none" w:sz="0" w:space="0" w:color="auto"/>
            <w:bottom w:val="none" w:sz="0" w:space="0" w:color="auto"/>
            <w:right w:val="none" w:sz="0" w:space="0" w:color="auto"/>
          </w:divBdr>
          <w:divsChild>
            <w:div w:id="1199590242">
              <w:marLeft w:val="0"/>
              <w:marRight w:val="0"/>
              <w:marTop w:val="0"/>
              <w:marBottom w:val="0"/>
              <w:divBdr>
                <w:top w:val="none" w:sz="0" w:space="0" w:color="auto"/>
                <w:left w:val="none" w:sz="0" w:space="0" w:color="auto"/>
                <w:bottom w:val="none" w:sz="0" w:space="0" w:color="auto"/>
                <w:right w:val="none" w:sz="0" w:space="0" w:color="auto"/>
              </w:divBdr>
            </w:div>
          </w:divsChild>
        </w:div>
        <w:div w:id="591813764">
          <w:marLeft w:val="0"/>
          <w:marRight w:val="0"/>
          <w:marTop w:val="0"/>
          <w:marBottom w:val="0"/>
          <w:divBdr>
            <w:top w:val="none" w:sz="0" w:space="0" w:color="auto"/>
            <w:left w:val="none" w:sz="0" w:space="0" w:color="auto"/>
            <w:bottom w:val="none" w:sz="0" w:space="0" w:color="auto"/>
            <w:right w:val="none" w:sz="0" w:space="0" w:color="auto"/>
          </w:divBdr>
          <w:divsChild>
            <w:div w:id="395010256">
              <w:marLeft w:val="0"/>
              <w:marRight w:val="0"/>
              <w:marTop w:val="0"/>
              <w:marBottom w:val="0"/>
              <w:divBdr>
                <w:top w:val="none" w:sz="0" w:space="0" w:color="auto"/>
                <w:left w:val="none" w:sz="0" w:space="0" w:color="auto"/>
                <w:bottom w:val="none" w:sz="0" w:space="0" w:color="auto"/>
                <w:right w:val="none" w:sz="0" w:space="0" w:color="auto"/>
              </w:divBdr>
            </w:div>
          </w:divsChild>
        </w:div>
        <w:div w:id="657226863">
          <w:marLeft w:val="0"/>
          <w:marRight w:val="0"/>
          <w:marTop w:val="0"/>
          <w:marBottom w:val="0"/>
          <w:divBdr>
            <w:top w:val="none" w:sz="0" w:space="0" w:color="auto"/>
            <w:left w:val="none" w:sz="0" w:space="0" w:color="auto"/>
            <w:bottom w:val="none" w:sz="0" w:space="0" w:color="auto"/>
            <w:right w:val="none" w:sz="0" w:space="0" w:color="auto"/>
          </w:divBdr>
          <w:divsChild>
            <w:div w:id="1189680544">
              <w:marLeft w:val="0"/>
              <w:marRight w:val="0"/>
              <w:marTop w:val="0"/>
              <w:marBottom w:val="0"/>
              <w:divBdr>
                <w:top w:val="none" w:sz="0" w:space="0" w:color="auto"/>
                <w:left w:val="none" w:sz="0" w:space="0" w:color="auto"/>
                <w:bottom w:val="none" w:sz="0" w:space="0" w:color="auto"/>
                <w:right w:val="none" w:sz="0" w:space="0" w:color="auto"/>
              </w:divBdr>
            </w:div>
          </w:divsChild>
        </w:div>
        <w:div w:id="670763657">
          <w:marLeft w:val="0"/>
          <w:marRight w:val="0"/>
          <w:marTop w:val="0"/>
          <w:marBottom w:val="0"/>
          <w:divBdr>
            <w:top w:val="none" w:sz="0" w:space="0" w:color="auto"/>
            <w:left w:val="none" w:sz="0" w:space="0" w:color="auto"/>
            <w:bottom w:val="none" w:sz="0" w:space="0" w:color="auto"/>
            <w:right w:val="none" w:sz="0" w:space="0" w:color="auto"/>
          </w:divBdr>
          <w:divsChild>
            <w:div w:id="1965191320">
              <w:marLeft w:val="0"/>
              <w:marRight w:val="0"/>
              <w:marTop w:val="0"/>
              <w:marBottom w:val="0"/>
              <w:divBdr>
                <w:top w:val="none" w:sz="0" w:space="0" w:color="auto"/>
                <w:left w:val="none" w:sz="0" w:space="0" w:color="auto"/>
                <w:bottom w:val="none" w:sz="0" w:space="0" w:color="auto"/>
                <w:right w:val="none" w:sz="0" w:space="0" w:color="auto"/>
              </w:divBdr>
            </w:div>
          </w:divsChild>
        </w:div>
        <w:div w:id="720519484">
          <w:marLeft w:val="0"/>
          <w:marRight w:val="0"/>
          <w:marTop w:val="0"/>
          <w:marBottom w:val="0"/>
          <w:divBdr>
            <w:top w:val="none" w:sz="0" w:space="0" w:color="auto"/>
            <w:left w:val="none" w:sz="0" w:space="0" w:color="auto"/>
            <w:bottom w:val="none" w:sz="0" w:space="0" w:color="auto"/>
            <w:right w:val="none" w:sz="0" w:space="0" w:color="auto"/>
          </w:divBdr>
          <w:divsChild>
            <w:div w:id="585307085">
              <w:marLeft w:val="0"/>
              <w:marRight w:val="0"/>
              <w:marTop w:val="0"/>
              <w:marBottom w:val="0"/>
              <w:divBdr>
                <w:top w:val="none" w:sz="0" w:space="0" w:color="auto"/>
                <w:left w:val="none" w:sz="0" w:space="0" w:color="auto"/>
                <w:bottom w:val="none" w:sz="0" w:space="0" w:color="auto"/>
                <w:right w:val="none" w:sz="0" w:space="0" w:color="auto"/>
              </w:divBdr>
            </w:div>
          </w:divsChild>
        </w:div>
        <w:div w:id="785930284">
          <w:marLeft w:val="0"/>
          <w:marRight w:val="0"/>
          <w:marTop w:val="0"/>
          <w:marBottom w:val="0"/>
          <w:divBdr>
            <w:top w:val="none" w:sz="0" w:space="0" w:color="auto"/>
            <w:left w:val="none" w:sz="0" w:space="0" w:color="auto"/>
            <w:bottom w:val="none" w:sz="0" w:space="0" w:color="auto"/>
            <w:right w:val="none" w:sz="0" w:space="0" w:color="auto"/>
          </w:divBdr>
          <w:divsChild>
            <w:div w:id="1675107361">
              <w:marLeft w:val="0"/>
              <w:marRight w:val="0"/>
              <w:marTop w:val="0"/>
              <w:marBottom w:val="0"/>
              <w:divBdr>
                <w:top w:val="none" w:sz="0" w:space="0" w:color="auto"/>
                <w:left w:val="none" w:sz="0" w:space="0" w:color="auto"/>
                <w:bottom w:val="none" w:sz="0" w:space="0" w:color="auto"/>
                <w:right w:val="none" w:sz="0" w:space="0" w:color="auto"/>
              </w:divBdr>
            </w:div>
          </w:divsChild>
        </w:div>
        <w:div w:id="919221193">
          <w:marLeft w:val="0"/>
          <w:marRight w:val="0"/>
          <w:marTop w:val="0"/>
          <w:marBottom w:val="0"/>
          <w:divBdr>
            <w:top w:val="none" w:sz="0" w:space="0" w:color="auto"/>
            <w:left w:val="none" w:sz="0" w:space="0" w:color="auto"/>
            <w:bottom w:val="none" w:sz="0" w:space="0" w:color="auto"/>
            <w:right w:val="none" w:sz="0" w:space="0" w:color="auto"/>
          </w:divBdr>
          <w:divsChild>
            <w:div w:id="841235441">
              <w:marLeft w:val="0"/>
              <w:marRight w:val="0"/>
              <w:marTop w:val="0"/>
              <w:marBottom w:val="0"/>
              <w:divBdr>
                <w:top w:val="none" w:sz="0" w:space="0" w:color="auto"/>
                <w:left w:val="none" w:sz="0" w:space="0" w:color="auto"/>
                <w:bottom w:val="none" w:sz="0" w:space="0" w:color="auto"/>
                <w:right w:val="none" w:sz="0" w:space="0" w:color="auto"/>
              </w:divBdr>
            </w:div>
          </w:divsChild>
        </w:div>
        <w:div w:id="1058934865">
          <w:marLeft w:val="0"/>
          <w:marRight w:val="0"/>
          <w:marTop w:val="0"/>
          <w:marBottom w:val="0"/>
          <w:divBdr>
            <w:top w:val="none" w:sz="0" w:space="0" w:color="auto"/>
            <w:left w:val="none" w:sz="0" w:space="0" w:color="auto"/>
            <w:bottom w:val="none" w:sz="0" w:space="0" w:color="auto"/>
            <w:right w:val="none" w:sz="0" w:space="0" w:color="auto"/>
          </w:divBdr>
          <w:divsChild>
            <w:div w:id="778109110">
              <w:marLeft w:val="0"/>
              <w:marRight w:val="0"/>
              <w:marTop w:val="0"/>
              <w:marBottom w:val="0"/>
              <w:divBdr>
                <w:top w:val="none" w:sz="0" w:space="0" w:color="auto"/>
                <w:left w:val="none" w:sz="0" w:space="0" w:color="auto"/>
                <w:bottom w:val="none" w:sz="0" w:space="0" w:color="auto"/>
                <w:right w:val="none" w:sz="0" w:space="0" w:color="auto"/>
              </w:divBdr>
            </w:div>
          </w:divsChild>
        </w:div>
        <w:div w:id="1092051731">
          <w:marLeft w:val="0"/>
          <w:marRight w:val="0"/>
          <w:marTop w:val="0"/>
          <w:marBottom w:val="0"/>
          <w:divBdr>
            <w:top w:val="none" w:sz="0" w:space="0" w:color="auto"/>
            <w:left w:val="none" w:sz="0" w:space="0" w:color="auto"/>
            <w:bottom w:val="none" w:sz="0" w:space="0" w:color="auto"/>
            <w:right w:val="none" w:sz="0" w:space="0" w:color="auto"/>
          </w:divBdr>
          <w:divsChild>
            <w:div w:id="887179638">
              <w:marLeft w:val="0"/>
              <w:marRight w:val="0"/>
              <w:marTop w:val="0"/>
              <w:marBottom w:val="0"/>
              <w:divBdr>
                <w:top w:val="none" w:sz="0" w:space="0" w:color="auto"/>
                <w:left w:val="none" w:sz="0" w:space="0" w:color="auto"/>
                <w:bottom w:val="none" w:sz="0" w:space="0" w:color="auto"/>
                <w:right w:val="none" w:sz="0" w:space="0" w:color="auto"/>
              </w:divBdr>
            </w:div>
          </w:divsChild>
        </w:div>
        <w:div w:id="1191577090">
          <w:marLeft w:val="0"/>
          <w:marRight w:val="0"/>
          <w:marTop w:val="0"/>
          <w:marBottom w:val="0"/>
          <w:divBdr>
            <w:top w:val="none" w:sz="0" w:space="0" w:color="auto"/>
            <w:left w:val="none" w:sz="0" w:space="0" w:color="auto"/>
            <w:bottom w:val="none" w:sz="0" w:space="0" w:color="auto"/>
            <w:right w:val="none" w:sz="0" w:space="0" w:color="auto"/>
          </w:divBdr>
          <w:divsChild>
            <w:div w:id="318583850">
              <w:marLeft w:val="0"/>
              <w:marRight w:val="0"/>
              <w:marTop w:val="0"/>
              <w:marBottom w:val="0"/>
              <w:divBdr>
                <w:top w:val="none" w:sz="0" w:space="0" w:color="auto"/>
                <w:left w:val="none" w:sz="0" w:space="0" w:color="auto"/>
                <w:bottom w:val="none" w:sz="0" w:space="0" w:color="auto"/>
                <w:right w:val="none" w:sz="0" w:space="0" w:color="auto"/>
              </w:divBdr>
            </w:div>
          </w:divsChild>
        </w:div>
        <w:div w:id="1695962189">
          <w:marLeft w:val="0"/>
          <w:marRight w:val="0"/>
          <w:marTop w:val="0"/>
          <w:marBottom w:val="0"/>
          <w:divBdr>
            <w:top w:val="none" w:sz="0" w:space="0" w:color="auto"/>
            <w:left w:val="none" w:sz="0" w:space="0" w:color="auto"/>
            <w:bottom w:val="none" w:sz="0" w:space="0" w:color="auto"/>
            <w:right w:val="none" w:sz="0" w:space="0" w:color="auto"/>
          </w:divBdr>
          <w:divsChild>
            <w:div w:id="1765148728">
              <w:marLeft w:val="0"/>
              <w:marRight w:val="0"/>
              <w:marTop w:val="0"/>
              <w:marBottom w:val="0"/>
              <w:divBdr>
                <w:top w:val="none" w:sz="0" w:space="0" w:color="auto"/>
                <w:left w:val="none" w:sz="0" w:space="0" w:color="auto"/>
                <w:bottom w:val="none" w:sz="0" w:space="0" w:color="auto"/>
                <w:right w:val="none" w:sz="0" w:space="0" w:color="auto"/>
              </w:divBdr>
            </w:div>
          </w:divsChild>
        </w:div>
        <w:div w:id="1753699400">
          <w:marLeft w:val="0"/>
          <w:marRight w:val="0"/>
          <w:marTop w:val="0"/>
          <w:marBottom w:val="0"/>
          <w:divBdr>
            <w:top w:val="none" w:sz="0" w:space="0" w:color="auto"/>
            <w:left w:val="none" w:sz="0" w:space="0" w:color="auto"/>
            <w:bottom w:val="none" w:sz="0" w:space="0" w:color="auto"/>
            <w:right w:val="none" w:sz="0" w:space="0" w:color="auto"/>
          </w:divBdr>
          <w:divsChild>
            <w:div w:id="1198352290">
              <w:marLeft w:val="0"/>
              <w:marRight w:val="0"/>
              <w:marTop w:val="0"/>
              <w:marBottom w:val="0"/>
              <w:divBdr>
                <w:top w:val="none" w:sz="0" w:space="0" w:color="auto"/>
                <w:left w:val="none" w:sz="0" w:space="0" w:color="auto"/>
                <w:bottom w:val="none" w:sz="0" w:space="0" w:color="auto"/>
                <w:right w:val="none" w:sz="0" w:space="0" w:color="auto"/>
              </w:divBdr>
            </w:div>
          </w:divsChild>
        </w:div>
        <w:div w:id="1785343535">
          <w:marLeft w:val="0"/>
          <w:marRight w:val="0"/>
          <w:marTop w:val="0"/>
          <w:marBottom w:val="0"/>
          <w:divBdr>
            <w:top w:val="none" w:sz="0" w:space="0" w:color="auto"/>
            <w:left w:val="none" w:sz="0" w:space="0" w:color="auto"/>
            <w:bottom w:val="none" w:sz="0" w:space="0" w:color="auto"/>
            <w:right w:val="none" w:sz="0" w:space="0" w:color="auto"/>
          </w:divBdr>
          <w:divsChild>
            <w:div w:id="253053543">
              <w:marLeft w:val="0"/>
              <w:marRight w:val="0"/>
              <w:marTop w:val="0"/>
              <w:marBottom w:val="0"/>
              <w:divBdr>
                <w:top w:val="none" w:sz="0" w:space="0" w:color="auto"/>
                <w:left w:val="none" w:sz="0" w:space="0" w:color="auto"/>
                <w:bottom w:val="none" w:sz="0" w:space="0" w:color="auto"/>
                <w:right w:val="none" w:sz="0" w:space="0" w:color="auto"/>
              </w:divBdr>
            </w:div>
          </w:divsChild>
        </w:div>
        <w:div w:id="1973906333">
          <w:marLeft w:val="0"/>
          <w:marRight w:val="0"/>
          <w:marTop w:val="0"/>
          <w:marBottom w:val="0"/>
          <w:divBdr>
            <w:top w:val="none" w:sz="0" w:space="0" w:color="auto"/>
            <w:left w:val="none" w:sz="0" w:space="0" w:color="auto"/>
            <w:bottom w:val="none" w:sz="0" w:space="0" w:color="auto"/>
            <w:right w:val="none" w:sz="0" w:space="0" w:color="auto"/>
          </w:divBdr>
          <w:divsChild>
            <w:div w:id="18218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1885">
      <w:bodyDiv w:val="1"/>
      <w:marLeft w:val="0"/>
      <w:marRight w:val="0"/>
      <w:marTop w:val="0"/>
      <w:marBottom w:val="0"/>
      <w:divBdr>
        <w:top w:val="none" w:sz="0" w:space="0" w:color="auto"/>
        <w:left w:val="none" w:sz="0" w:space="0" w:color="auto"/>
        <w:bottom w:val="none" w:sz="0" w:space="0" w:color="auto"/>
        <w:right w:val="none" w:sz="0" w:space="0" w:color="auto"/>
      </w:divBdr>
      <w:divsChild>
        <w:div w:id="224682586">
          <w:marLeft w:val="0"/>
          <w:marRight w:val="0"/>
          <w:marTop w:val="0"/>
          <w:marBottom w:val="0"/>
          <w:divBdr>
            <w:top w:val="none" w:sz="0" w:space="0" w:color="auto"/>
            <w:left w:val="none" w:sz="0" w:space="0" w:color="auto"/>
            <w:bottom w:val="none" w:sz="0" w:space="0" w:color="auto"/>
            <w:right w:val="none" w:sz="0" w:space="0" w:color="auto"/>
          </w:divBdr>
          <w:divsChild>
            <w:div w:id="259024496">
              <w:marLeft w:val="0"/>
              <w:marRight w:val="0"/>
              <w:marTop w:val="0"/>
              <w:marBottom w:val="0"/>
              <w:divBdr>
                <w:top w:val="none" w:sz="0" w:space="0" w:color="auto"/>
                <w:left w:val="none" w:sz="0" w:space="0" w:color="auto"/>
                <w:bottom w:val="none" w:sz="0" w:space="0" w:color="auto"/>
                <w:right w:val="none" w:sz="0" w:space="0" w:color="auto"/>
              </w:divBdr>
              <w:divsChild>
                <w:div w:id="254486541">
                  <w:marLeft w:val="0"/>
                  <w:marRight w:val="0"/>
                  <w:marTop w:val="0"/>
                  <w:marBottom w:val="0"/>
                  <w:divBdr>
                    <w:top w:val="none" w:sz="0" w:space="0" w:color="auto"/>
                    <w:left w:val="none" w:sz="0" w:space="0" w:color="auto"/>
                    <w:bottom w:val="none" w:sz="0" w:space="0" w:color="auto"/>
                    <w:right w:val="none" w:sz="0" w:space="0" w:color="auto"/>
                  </w:divBdr>
                  <w:divsChild>
                    <w:div w:id="17789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055681">
      <w:bodyDiv w:val="1"/>
      <w:marLeft w:val="0"/>
      <w:marRight w:val="0"/>
      <w:marTop w:val="0"/>
      <w:marBottom w:val="0"/>
      <w:divBdr>
        <w:top w:val="none" w:sz="0" w:space="0" w:color="auto"/>
        <w:left w:val="none" w:sz="0" w:space="0" w:color="auto"/>
        <w:bottom w:val="none" w:sz="0" w:space="0" w:color="auto"/>
        <w:right w:val="none" w:sz="0" w:space="0" w:color="auto"/>
      </w:divBdr>
    </w:div>
    <w:div w:id="1215891408">
      <w:bodyDiv w:val="1"/>
      <w:marLeft w:val="0"/>
      <w:marRight w:val="0"/>
      <w:marTop w:val="0"/>
      <w:marBottom w:val="0"/>
      <w:divBdr>
        <w:top w:val="none" w:sz="0" w:space="0" w:color="auto"/>
        <w:left w:val="none" w:sz="0" w:space="0" w:color="auto"/>
        <w:bottom w:val="none" w:sz="0" w:space="0" w:color="auto"/>
        <w:right w:val="none" w:sz="0" w:space="0" w:color="auto"/>
      </w:divBdr>
    </w:div>
    <w:div w:id="1457481048">
      <w:bodyDiv w:val="1"/>
      <w:marLeft w:val="0"/>
      <w:marRight w:val="0"/>
      <w:marTop w:val="0"/>
      <w:marBottom w:val="0"/>
      <w:divBdr>
        <w:top w:val="none" w:sz="0" w:space="0" w:color="auto"/>
        <w:left w:val="none" w:sz="0" w:space="0" w:color="auto"/>
        <w:bottom w:val="none" w:sz="0" w:space="0" w:color="auto"/>
        <w:right w:val="none" w:sz="0" w:space="0" w:color="auto"/>
      </w:divBdr>
    </w:div>
    <w:div w:id="1472284225">
      <w:bodyDiv w:val="1"/>
      <w:marLeft w:val="0"/>
      <w:marRight w:val="0"/>
      <w:marTop w:val="0"/>
      <w:marBottom w:val="0"/>
      <w:divBdr>
        <w:top w:val="none" w:sz="0" w:space="0" w:color="auto"/>
        <w:left w:val="none" w:sz="0" w:space="0" w:color="auto"/>
        <w:bottom w:val="none" w:sz="0" w:space="0" w:color="auto"/>
        <w:right w:val="none" w:sz="0" w:space="0" w:color="auto"/>
      </w:divBdr>
    </w:div>
    <w:div w:id="1526671320">
      <w:bodyDiv w:val="1"/>
      <w:marLeft w:val="0"/>
      <w:marRight w:val="0"/>
      <w:marTop w:val="0"/>
      <w:marBottom w:val="0"/>
      <w:divBdr>
        <w:top w:val="none" w:sz="0" w:space="0" w:color="auto"/>
        <w:left w:val="none" w:sz="0" w:space="0" w:color="auto"/>
        <w:bottom w:val="none" w:sz="0" w:space="0" w:color="auto"/>
        <w:right w:val="none" w:sz="0" w:space="0" w:color="auto"/>
      </w:divBdr>
    </w:div>
    <w:div w:id="1541161314">
      <w:bodyDiv w:val="1"/>
      <w:marLeft w:val="0"/>
      <w:marRight w:val="0"/>
      <w:marTop w:val="0"/>
      <w:marBottom w:val="0"/>
      <w:divBdr>
        <w:top w:val="none" w:sz="0" w:space="0" w:color="auto"/>
        <w:left w:val="none" w:sz="0" w:space="0" w:color="auto"/>
        <w:bottom w:val="none" w:sz="0" w:space="0" w:color="auto"/>
        <w:right w:val="none" w:sz="0" w:space="0" w:color="auto"/>
      </w:divBdr>
    </w:div>
    <w:div w:id="1737321575">
      <w:bodyDiv w:val="1"/>
      <w:marLeft w:val="0"/>
      <w:marRight w:val="0"/>
      <w:marTop w:val="0"/>
      <w:marBottom w:val="0"/>
      <w:divBdr>
        <w:top w:val="none" w:sz="0" w:space="0" w:color="auto"/>
        <w:left w:val="none" w:sz="0" w:space="0" w:color="auto"/>
        <w:bottom w:val="none" w:sz="0" w:space="0" w:color="auto"/>
        <w:right w:val="none" w:sz="0" w:space="0" w:color="auto"/>
      </w:divBdr>
    </w:div>
    <w:div w:id="1750887974">
      <w:bodyDiv w:val="1"/>
      <w:marLeft w:val="0"/>
      <w:marRight w:val="0"/>
      <w:marTop w:val="0"/>
      <w:marBottom w:val="0"/>
      <w:divBdr>
        <w:top w:val="none" w:sz="0" w:space="0" w:color="auto"/>
        <w:left w:val="none" w:sz="0" w:space="0" w:color="auto"/>
        <w:bottom w:val="none" w:sz="0" w:space="0" w:color="auto"/>
        <w:right w:val="none" w:sz="0" w:space="0" w:color="auto"/>
      </w:divBdr>
    </w:div>
    <w:div w:id="1808164138">
      <w:bodyDiv w:val="1"/>
      <w:marLeft w:val="0"/>
      <w:marRight w:val="0"/>
      <w:marTop w:val="0"/>
      <w:marBottom w:val="0"/>
      <w:divBdr>
        <w:top w:val="none" w:sz="0" w:space="0" w:color="auto"/>
        <w:left w:val="none" w:sz="0" w:space="0" w:color="auto"/>
        <w:bottom w:val="none" w:sz="0" w:space="0" w:color="auto"/>
        <w:right w:val="none" w:sz="0" w:space="0" w:color="auto"/>
      </w:divBdr>
      <w:divsChild>
        <w:div w:id="31535733">
          <w:marLeft w:val="0"/>
          <w:marRight w:val="0"/>
          <w:marTop w:val="0"/>
          <w:marBottom w:val="0"/>
          <w:divBdr>
            <w:top w:val="none" w:sz="0" w:space="0" w:color="auto"/>
            <w:left w:val="none" w:sz="0" w:space="0" w:color="auto"/>
            <w:bottom w:val="none" w:sz="0" w:space="0" w:color="auto"/>
            <w:right w:val="none" w:sz="0" w:space="0" w:color="auto"/>
          </w:divBdr>
        </w:div>
        <w:div w:id="44567128">
          <w:marLeft w:val="0"/>
          <w:marRight w:val="0"/>
          <w:marTop w:val="0"/>
          <w:marBottom w:val="0"/>
          <w:divBdr>
            <w:top w:val="none" w:sz="0" w:space="0" w:color="auto"/>
            <w:left w:val="none" w:sz="0" w:space="0" w:color="auto"/>
            <w:bottom w:val="none" w:sz="0" w:space="0" w:color="auto"/>
            <w:right w:val="none" w:sz="0" w:space="0" w:color="auto"/>
          </w:divBdr>
        </w:div>
        <w:div w:id="156767992">
          <w:marLeft w:val="0"/>
          <w:marRight w:val="0"/>
          <w:marTop w:val="0"/>
          <w:marBottom w:val="0"/>
          <w:divBdr>
            <w:top w:val="none" w:sz="0" w:space="0" w:color="auto"/>
            <w:left w:val="none" w:sz="0" w:space="0" w:color="auto"/>
            <w:bottom w:val="none" w:sz="0" w:space="0" w:color="auto"/>
            <w:right w:val="none" w:sz="0" w:space="0" w:color="auto"/>
          </w:divBdr>
        </w:div>
        <w:div w:id="179972877">
          <w:marLeft w:val="0"/>
          <w:marRight w:val="0"/>
          <w:marTop w:val="0"/>
          <w:marBottom w:val="0"/>
          <w:divBdr>
            <w:top w:val="none" w:sz="0" w:space="0" w:color="auto"/>
            <w:left w:val="none" w:sz="0" w:space="0" w:color="auto"/>
            <w:bottom w:val="none" w:sz="0" w:space="0" w:color="auto"/>
            <w:right w:val="none" w:sz="0" w:space="0" w:color="auto"/>
          </w:divBdr>
        </w:div>
        <w:div w:id="225843282">
          <w:marLeft w:val="0"/>
          <w:marRight w:val="0"/>
          <w:marTop w:val="0"/>
          <w:marBottom w:val="0"/>
          <w:divBdr>
            <w:top w:val="none" w:sz="0" w:space="0" w:color="auto"/>
            <w:left w:val="none" w:sz="0" w:space="0" w:color="auto"/>
            <w:bottom w:val="none" w:sz="0" w:space="0" w:color="auto"/>
            <w:right w:val="none" w:sz="0" w:space="0" w:color="auto"/>
          </w:divBdr>
        </w:div>
        <w:div w:id="241909406">
          <w:marLeft w:val="0"/>
          <w:marRight w:val="0"/>
          <w:marTop w:val="0"/>
          <w:marBottom w:val="0"/>
          <w:divBdr>
            <w:top w:val="none" w:sz="0" w:space="0" w:color="auto"/>
            <w:left w:val="none" w:sz="0" w:space="0" w:color="auto"/>
            <w:bottom w:val="none" w:sz="0" w:space="0" w:color="auto"/>
            <w:right w:val="none" w:sz="0" w:space="0" w:color="auto"/>
          </w:divBdr>
        </w:div>
        <w:div w:id="252250998">
          <w:marLeft w:val="0"/>
          <w:marRight w:val="0"/>
          <w:marTop w:val="0"/>
          <w:marBottom w:val="0"/>
          <w:divBdr>
            <w:top w:val="none" w:sz="0" w:space="0" w:color="auto"/>
            <w:left w:val="none" w:sz="0" w:space="0" w:color="auto"/>
            <w:bottom w:val="none" w:sz="0" w:space="0" w:color="auto"/>
            <w:right w:val="none" w:sz="0" w:space="0" w:color="auto"/>
          </w:divBdr>
        </w:div>
        <w:div w:id="266739454">
          <w:marLeft w:val="0"/>
          <w:marRight w:val="0"/>
          <w:marTop w:val="0"/>
          <w:marBottom w:val="0"/>
          <w:divBdr>
            <w:top w:val="none" w:sz="0" w:space="0" w:color="auto"/>
            <w:left w:val="none" w:sz="0" w:space="0" w:color="auto"/>
            <w:bottom w:val="none" w:sz="0" w:space="0" w:color="auto"/>
            <w:right w:val="none" w:sz="0" w:space="0" w:color="auto"/>
          </w:divBdr>
        </w:div>
        <w:div w:id="294677269">
          <w:marLeft w:val="0"/>
          <w:marRight w:val="0"/>
          <w:marTop w:val="0"/>
          <w:marBottom w:val="0"/>
          <w:divBdr>
            <w:top w:val="none" w:sz="0" w:space="0" w:color="auto"/>
            <w:left w:val="none" w:sz="0" w:space="0" w:color="auto"/>
            <w:bottom w:val="none" w:sz="0" w:space="0" w:color="auto"/>
            <w:right w:val="none" w:sz="0" w:space="0" w:color="auto"/>
          </w:divBdr>
        </w:div>
        <w:div w:id="301230436">
          <w:marLeft w:val="0"/>
          <w:marRight w:val="0"/>
          <w:marTop w:val="0"/>
          <w:marBottom w:val="0"/>
          <w:divBdr>
            <w:top w:val="none" w:sz="0" w:space="0" w:color="auto"/>
            <w:left w:val="none" w:sz="0" w:space="0" w:color="auto"/>
            <w:bottom w:val="none" w:sz="0" w:space="0" w:color="auto"/>
            <w:right w:val="none" w:sz="0" w:space="0" w:color="auto"/>
          </w:divBdr>
        </w:div>
        <w:div w:id="395905814">
          <w:marLeft w:val="0"/>
          <w:marRight w:val="0"/>
          <w:marTop w:val="0"/>
          <w:marBottom w:val="0"/>
          <w:divBdr>
            <w:top w:val="none" w:sz="0" w:space="0" w:color="auto"/>
            <w:left w:val="none" w:sz="0" w:space="0" w:color="auto"/>
            <w:bottom w:val="none" w:sz="0" w:space="0" w:color="auto"/>
            <w:right w:val="none" w:sz="0" w:space="0" w:color="auto"/>
          </w:divBdr>
        </w:div>
        <w:div w:id="411784112">
          <w:marLeft w:val="0"/>
          <w:marRight w:val="0"/>
          <w:marTop w:val="0"/>
          <w:marBottom w:val="0"/>
          <w:divBdr>
            <w:top w:val="none" w:sz="0" w:space="0" w:color="auto"/>
            <w:left w:val="none" w:sz="0" w:space="0" w:color="auto"/>
            <w:bottom w:val="none" w:sz="0" w:space="0" w:color="auto"/>
            <w:right w:val="none" w:sz="0" w:space="0" w:color="auto"/>
          </w:divBdr>
        </w:div>
        <w:div w:id="426463159">
          <w:marLeft w:val="0"/>
          <w:marRight w:val="0"/>
          <w:marTop w:val="0"/>
          <w:marBottom w:val="0"/>
          <w:divBdr>
            <w:top w:val="none" w:sz="0" w:space="0" w:color="auto"/>
            <w:left w:val="none" w:sz="0" w:space="0" w:color="auto"/>
            <w:bottom w:val="none" w:sz="0" w:space="0" w:color="auto"/>
            <w:right w:val="none" w:sz="0" w:space="0" w:color="auto"/>
          </w:divBdr>
        </w:div>
        <w:div w:id="451940413">
          <w:marLeft w:val="0"/>
          <w:marRight w:val="0"/>
          <w:marTop w:val="0"/>
          <w:marBottom w:val="0"/>
          <w:divBdr>
            <w:top w:val="none" w:sz="0" w:space="0" w:color="auto"/>
            <w:left w:val="none" w:sz="0" w:space="0" w:color="auto"/>
            <w:bottom w:val="none" w:sz="0" w:space="0" w:color="auto"/>
            <w:right w:val="none" w:sz="0" w:space="0" w:color="auto"/>
          </w:divBdr>
        </w:div>
        <w:div w:id="609243058">
          <w:marLeft w:val="0"/>
          <w:marRight w:val="0"/>
          <w:marTop w:val="0"/>
          <w:marBottom w:val="0"/>
          <w:divBdr>
            <w:top w:val="none" w:sz="0" w:space="0" w:color="auto"/>
            <w:left w:val="none" w:sz="0" w:space="0" w:color="auto"/>
            <w:bottom w:val="none" w:sz="0" w:space="0" w:color="auto"/>
            <w:right w:val="none" w:sz="0" w:space="0" w:color="auto"/>
          </w:divBdr>
        </w:div>
        <w:div w:id="746996072">
          <w:marLeft w:val="0"/>
          <w:marRight w:val="0"/>
          <w:marTop w:val="0"/>
          <w:marBottom w:val="0"/>
          <w:divBdr>
            <w:top w:val="none" w:sz="0" w:space="0" w:color="auto"/>
            <w:left w:val="none" w:sz="0" w:space="0" w:color="auto"/>
            <w:bottom w:val="none" w:sz="0" w:space="0" w:color="auto"/>
            <w:right w:val="none" w:sz="0" w:space="0" w:color="auto"/>
          </w:divBdr>
        </w:div>
        <w:div w:id="770006186">
          <w:marLeft w:val="0"/>
          <w:marRight w:val="0"/>
          <w:marTop w:val="0"/>
          <w:marBottom w:val="0"/>
          <w:divBdr>
            <w:top w:val="none" w:sz="0" w:space="0" w:color="auto"/>
            <w:left w:val="none" w:sz="0" w:space="0" w:color="auto"/>
            <w:bottom w:val="none" w:sz="0" w:space="0" w:color="auto"/>
            <w:right w:val="none" w:sz="0" w:space="0" w:color="auto"/>
          </w:divBdr>
        </w:div>
        <w:div w:id="776868105">
          <w:marLeft w:val="0"/>
          <w:marRight w:val="0"/>
          <w:marTop w:val="0"/>
          <w:marBottom w:val="0"/>
          <w:divBdr>
            <w:top w:val="none" w:sz="0" w:space="0" w:color="auto"/>
            <w:left w:val="none" w:sz="0" w:space="0" w:color="auto"/>
            <w:bottom w:val="none" w:sz="0" w:space="0" w:color="auto"/>
            <w:right w:val="none" w:sz="0" w:space="0" w:color="auto"/>
          </w:divBdr>
        </w:div>
        <w:div w:id="840004575">
          <w:marLeft w:val="0"/>
          <w:marRight w:val="0"/>
          <w:marTop w:val="0"/>
          <w:marBottom w:val="0"/>
          <w:divBdr>
            <w:top w:val="none" w:sz="0" w:space="0" w:color="auto"/>
            <w:left w:val="none" w:sz="0" w:space="0" w:color="auto"/>
            <w:bottom w:val="none" w:sz="0" w:space="0" w:color="auto"/>
            <w:right w:val="none" w:sz="0" w:space="0" w:color="auto"/>
          </w:divBdr>
        </w:div>
        <w:div w:id="847721735">
          <w:marLeft w:val="0"/>
          <w:marRight w:val="0"/>
          <w:marTop w:val="0"/>
          <w:marBottom w:val="0"/>
          <w:divBdr>
            <w:top w:val="none" w:sz="0" w:space="0" w:color="auto"/>
            <w:left w:val="none" w:sz="0" w:space="0" w:color="auto"/>
            <w:bottom w:val="none" w:sz="0" w:space="0" w:color="auto"/>
            <w:right w:val="none" w:sz="0" w:space="0" w:color="auto"/>
          </w:divBdr>
        </w:div>
        <w:div w:id="895972868">
          <w:marLeft w:val="0"/>
          <w:marRight w:val="0"/>
          <w:marTop w:val="0"/>
          <w:marBottom w:val="0"/>
          <w:divBdr>
            <w:top w:val="none" w:sz="0" w:space="0" w:color="auto"/>
            <w:left w:val="none" w:sz="0" w:space="0" w:color="auto"/>
            <w:bottom w:val="none" w:sz="0" w:space="0" w:color="auto"/>
            <w:right w:val="none" w:sz="0" w:space="0" w:color="auto"/>
          </w:divBdr>
        </w:div>
        <w:div w:id="913858566">
          <w:marLeft w:val="0"/>
          <w:marRight w:val="0"/>
          <w:marTop w:val="0"/>
          <w:marBottom w:val="0"/>
          <w:divBdr>
            <w:top w:val="none" w:sz="0" w:space="0" w:color="auto"/>
            <w:left w:val="none" w:sz="0" w:space="0" w:color="auto"/>
            <w:bottom w:val="none" w:sz="0" w:space="0" w:color="auto"/>
            <w:right w:val="none" w:sz="0" w:space="0" w:color="auto"/>
          </w:divBdr>
        </w:div>
        <w:div w:id="983312708">
          <w:marLeft w:val="0"/>
          <w:marRight w:val="0"/>
          <w:marTop w:val="0"/>
          <w:marBottom w:val="0"/>
          <w:divBdr>
            <w:top w:val="none" w:sz="0" w:space="0" w:color="auto"/>
            <w:left w:val="none" w:sz="0" w:space="0" w:color="auto"/>
            <w:bottom w:val="none" w:sz="0" w:space="0" w:color="auto"/>
            <w:right w:val="none" w:sz="0" w:space="0" w:color="auto"/>
          </w:divBdr>
        </w:div>
        <w:div w:id="1030957102">
          <w:marLeft w:val="0"/>
          <w:marRight w:val="0"/>
          <w:marTop w:val="0"/>
          <w:marBottom w:val="0"/>
          <w:divBdr>
            <w:top w:val="none" w:sz="0" w:space="0" w:color="auto"/>
            <w:left w:val="none" w:sz="0" w:space="0" w:color="auto"/>
            <w:bottom w:val="none" w:sz="0" w:space="0" w:color="auto"/>
            <w:right w:val="none" w:sz="0" w:space="0" w:color="auto"/>
          </w:divBdr>
        </w:div>
        <w:div w:id="1073234277">
          <w:marLeft w:val="0"/>
          <w:marRight w:val="0"/>
          <w:marTop w:val="0"/>
          <w:marBottom w:val="0"/>
          <w:divBdr>
            <w:top w:val="none" w:sz="0" w:space="0" w:color="auto"/>
            <w:left w:val="none" w:sz="0" w:space="0" w:color="auto"/>
            <w:bottom w:val="none" w:sz="0" w:space="0" w:color="auto"/>
            <w:right w:val="none" w:sz="0" w:space="0" w:color="auto"/>
          </w:divBdr>
        </w:div>
        <w:div w:id="1110785336">
          <w:marLeft w:val="0"/>
          <w:marRight w:val="0"/>
          <w:marTop w:val="0"/>
          <w:marBottom w:val="0"/>
          <w:divBdr>
            <w:top w:val="none" w:sz="0" w:space="0" w:color="auto"/>
            <w:left w:val="none" w:sz="0" w:space="0" w:color="auto"/>
            <w:bottom w:val="none" w:sz="0" w:space="0" w:color="auto"/>
            <w:right w:val="none" w:sz="0" w:space="0" w:color="auto"/>
          </w:divBdr>
        </w:div>
        <w:div w:id="1127890144">
          <w:marLeft w:val="0"/>
          <w:marRight w:val="0"/>
          <w:marTop w:val="0"/>
          <w:marBottom w:val="0"/>
          <w:divBdr>
            <w:top w:val="none" w:sz="0" w:space="0" w:color="auto"/>
            <w:left w:val="none" w:sz="0" w:space="0" w:color="auto"/>
            <w:bottom w:val="none" w:sz="0" w:space="0" w:color="auto"/>
            <w:right w:val="none" w:sz="0" w:space="0" w:color="auto"/>
          </w:divBdr>
        </w:div>
        <w:div w:id="1189560502">
          <w:marLeft w:val="0"/>
          <w:marRight w:val="0"/>
          <w:marTop w:val="0"/>
          <w:marBottom w:val="0"/>
          <w:divBdr>
            <w:top w:val="none" w:sz="0" w:space="0" w:color="auto"/>
            <w:left w:val="none" w:sz="0" w:space="0" w:color="auto"/>
            <w:bottom w:val="none" w:sz="0" w:space="0" w:color="auto"/>
            <w:right w:val="none" w:sz="0" w:space="0" w:color="auto"/>
          </w:divBdr>
        </w:div>
        <w:div w:id="1223560215">
          <w:marLeft w:val="0"/>
          <w:marRight w:val="0"/>
          <w:marTop w:val="0"/>
          <w:marBottom w:val="0"/>
          <w:divBdr>
            <w:top w:val="none" w:sz="0" w:space="0" w:color="auto"/>
            <w:left w:val="none" w:sz="0" w:space="0" w:color="auto"/>
            <w:bottom w:val="none" w:sz="0" w:space="0" w:color="auto"/>
            <w:right w:val="none" w:sz="0" w:space="0" w:color="auto"/>
          </w:divBdr>
        </w:div>
        <w:div w:id="1238594009">
          <w:marLeft w:val="0"/>
          <w:marRight w:val="0"/>
          <w:marTop w:val="0"/>
          <w:marBottom w:val="0"/>
          <w:divBdr>
            <w:top w:val="none" w:sz="0" w:space="0" w:color="auto"/>
            <w:left w:val="none" w:sz="0" w:space="0" w:color="auto"/>
            <w:bottom w:val="none" w:sz="0" w:space="0" w:color="auto"/>
            <w:right w:val="none" w:sz="0" w:space="0" w:color="auto"/>
          </w:divBdr>
        </w:div>
        <w:div w:id="1291786288">
          <w:marLeft w:val="0"/>
          <w:marRight w:val="0"/>
          <w:marTop w:val="0"/>
          <w:marBottom w:val="0"/>
          <w:divBdr>
            <w:top w:val="none" w:sz="0" w:space="0" w:color="auto"/>
            <w:left w:val="none" w:sz="0" w:space="0" w:color="auto"/>
            <w:bottom w:val="none" w:sz="0" w:space="0" w:color="auto"/>
            <w:right w:val="none" w:sz="0" w:space="0" w:color="auto"/>
          </w:divBdr>
        </w:div>
        <w:div w:id="1320309996">
          <w:marLeft w:val="0"/>
          <w:marRight w:val="0"/>
          <w:marTop w:val="0"/>
          <w:marBottom w:val="0"/>
          <w:divBdr>
            <w:top w:val="none" w:sz="0" w:space="0" w:color="auto"/>
            <w:left w:val="none" w:sz="0" w:space="0" w:color="auto"/>
            <w:bottom w:val="none" w:sz="0" w:space="0" w:color="auto"/>
            <w:right w:val="none" w:sz="0" w:space="0" w:color="auto"/>
          </w:divBdr>
        </w:div>
        <w:div w:id="1347101613">
          <w:marLeft w:val="0"/>
          <w:marRight w:val="0"/>
          <w:marTop w:val="0"/>
          <w:marBottom w:val="0"/>
          <w:divBdr>
            <w:top w:val="none" w:sz="0" w:space="0" w:color="auto"/>
            <w:left w:val="none" w:sz="0" w:space="0" w:color="auto"/>
            <w:bottom w:val="none" w:sz="0" w:space="0" w:color="auto"/>
            <w:right w:val="none" w:sz="0" w:space="0" w:color="auto"/>
          </w:divBdr>
        </w:div>
        <w:div w:id="1376270008">
          <w:marLeft w:val="0"/>
          <w:marRight w:val="0"/>
          <w:marTop w:val="0"/>
          <w:marBottom w:val="0"/>
          <w:divBdr>
            <w:top w:val="none" w:sz="0" w:space="0" w:color="auto"/>
            <w:left w:val="none" w:sz="0" w:space="0" w:color="auto"/>
            <w:bottom w:val="none" w:sz="0" w:space="0" w:color="auto"/>
            <w:right w:val="none" w:sz="0" w:space="0" w:color="auto"/>
          </w:divBdr>
        </w:div>
        <w:div w:id="1446073641">
          <w:marLeft w:val="0"/>
          <w:marRight w:val="0"/>
          <w:marTop w:val="0"/>
          <w:marBottom w:val="0"/>
          <w:divBdr>
            <w:top w:val="none" w:sz="0" w:space="0" w:color="auto"/>
            <w:left w:val="none" w:sz="0" w:space="0" w:color="auto"/>
            <w:bottom w:val="none" w:sz="0" w:space="0" w:color="auto"/>
            <w:right w:val="none" w:sz="0" w:space="0" w:color="auto"/>
          </w:divBdr>
        </w:div>
        <w:div w:id="1477382424">
          <w:marLeft w:val="0"/>
          <w:marRight w:val="0"/>
          <w:marTop w:val="0"/>
          <w:marBottom w:val="0"/>
          <w:divBdr>
            <w:top w:val="none" w:sz="0" w:space="0" w:color="auto"/>
            <w:left w:val="none" w:sz="0" w:space="0" w:color="auto"/>
            <w:bottom w:val="none" w:sz="0" w:space="0" w:color="auto"/>
            <w:right w:val="none" w:sz="0" w:space="0" w:color="auto"/>
          </w:divBdr>
        </w:div>
        <w:div w:id="1511020467">
          <w:marLeft w:val="0"/>
          <w:marRight w:val="0"/>
          <w:marTop w:val="0"/>
          <w:marBottom w:val="0"/>
          <w:divBdr>
            <w:top w:val="none" w:sz="0" w:space="0" w:color="auto"/>
            <w:left w:val="none" w:sz="0" w:space="0" w:color="auto"/>
            <w:bottom w:val="none" w:sz="0" w:space="0" w:color="auto"/>
            <w:right w:val="none" w:sz="0" w:space="0" w:color="auto"/>
          </w:divBdr>
        </w:div>
        <w:div w:id="1515530780">
          <w:marLeft w:val="0"/>
          <w:marRight w:val="0"/>
          <w:marTop w:val="0"/>
          <w:marBottom w:val="0"/>
          <w:divBdr>
            <w:top w:val="none" w:sz="0" w:space="0" w:color="auto"/>
            <w:left w:val="none" w:sz="0" w:space="0" w:color="auto"/>
            <w:bottom w:val="none" w:sz="0" w:space="0" w:color="auto"/>
            <w:right w:val="none" w:sz="0" w:space="0" w:color="auto"/>
          </w:divBdr>
        </w:div>
        <w:div w:id="1533037131">
          <w:marLeft w:val="0"/>
          <w:marRight w:val="0"/>
          <w:marTop w:val="0"/>
          <w:marBottom w:val="0"/>
          <w:divBdr>
            <w:top w:val="none" w:sz="0" w:space="0" w:color="auto"/>
            <w:left w:val="none" w:sz="0" w:space="0" w:color="auto"/>
            <w:bottom w:val="none" w:sz="0" w:space="0" w:color="auto"/>
            <w:right w:val="none" w:sz="0" w:space="0" w:color="auto"/>
          </w:divBdr>
        </w:div>
        <w:div w:id="1641884246">
          <w:marLeft w:val="0"/>
          <w:marRight w:val="0"/>
          <w:marTop w:val="0"/>
          <w:marBottom w:val="0"/>
          <w:divBdr>
            <w:top w:val="none" w:sz="0" w:space="0" w:color="auto"/>
            <w:left w:val="none" w:sz="0" w:space="0" w:color="auto"/>
            <w:bottom w:val="none" w:sz="0" w:space="0" w:color="auto"/>
            <w:right w:val="none" w:sz="0" w:space="0" w:color="auto"/>
          </w:divBdr>
        </w:div>
        <w:div w:id="1642808047">
          <w:marLeft w:val="0"/>
          <w:marRight w:val="0"/>
          <w:marTop w:val="0"/>
          <w:marBottom w:val="0"/>
          <w:divBdr>
            <w:top w:val="none" w:sz="0" w:space="0" w:color="auto"/>
            <w:left w:val="none" w:sz="0" w:space="0" w:color="auto"/>
            <w:bottom w:val="none" w:sz="0" w:space="0" w:color="auto"/>
            <w:right w:val="none" w:sz="0" w:space="0" w:color="auto"/>
          </w:divBdr>
        </w:div>
        <w:div w:id="1662155876">
          <w:marLeft w:val="0"/>
          <w:marRight w:val="0"/>
          <w:marTop w:val="0"/>
          <w:marBottom w:val="0"/>
          <w:divBdr>
            <w:top w:val="none" w:sz="0" w:space="0" w:color="auto"/>
            <w:left w:val="none" w:sz="0" w:space="0" w:color="auto"/>
            <w:bottom w:val="none" w:sz="0" w:space="0" w:color="auto"/>
            <w:right w:val="none" w:sz="0" w:space="0" w:color="auto"/>
          </w:divBdr>
        </w:div>
        <w:div w:id="1666010034">
          <w:marLeft w:val="0"/>
          <w:marRight w:val="0"/>
          <w:marTop w:val="0"/>
          <w:marBottom w:val="0"/>
          <w:divBdr>
            <w:top w:val="none" w:sz="0" w:space="0" w:color="auto"/>
            <w:left w:val="none" w:sz="0" w:space="0" w:color="auto"/>
            <w:bottom w:val="none" w:sz="0" w:space="0" w:color="auto"/>
            <w:right w:val="none" w:sz="0" w:space="0" w:color="auto"/>
          </w:divBdr>
        </w:div>
        <w:div w:id="1805347978">
          <w:marLeft w:val="0"/>
          <w:marRight w:val="0"/>
          <w:marTop w:val="0"/>
          <w:marBottom w:val="0"/>
          <w:divBdr>
            <w:top w:val="none" w:sz="0" w:space="0" w:color="auto"/>
            <w:left w:val="none" w:sz="0" w:space="0" w:color="auto"/>
            <w:bottom w:val="none" w:sz="0" w:space="0" w:color="auto"/>
            <w:right w:val="none" w:sz="0" w:space="0" w:color="auto"/>
          </w:divBdr>
        </w:div>
        <w:div w:id="1835293906">
          <w:marLeft w:val="0"/>
          <w:marRight w:val="0"/>
          <w:marTop w:val="0"/>
          <w:marBottom w:val="0"/>
          <w:divBdr>
            <w:top w:val="none" w:sz="0" w:space="0" w:color="auto"/>
            <w:left w:val="none" w:sz="0" w:space="0" w:color="auto"/>
            <w:bottom w:val="none" w:sz="0" w:space="0" w:color="auto"/>
            <w:right w:val="none" w:sz="0" w:space="0" w:color="auto"/>
          </w:divBdr>
        </w:div>
        <w:div w:id="1872569400">
          <w:marLeft w:val="0"/>
          <w:marRight w:val="0"/>
          <w:marTop w:val="0"/>
          <w:marBottom w:val="0"/>
          <w:divBdr>
            <w:top w:val="none" w:sz="0" w:space="0" w:color="auto"/>
            <w:left w:val="none" w:sz="0" w:space="0" w:color="auto"/>
            <w:bottom w:val="none" w:sz="0" w:space="0" w:color="auto"/>
            <w:right w:val="none" w:sz="0" w:space="0" w:color="auto"/>
          </w:divBdr>
        </w:div>
        <w:div w:id="1898740985">
          <w:marLeft w:val="0"/>
          <w:marRight w:val="0"/>
          <w:marTop w:val="0"/>
          <w:marBottom w:val="0"/>
          <w:divBdr>
            <w:top w:val="none" w:sz="0" w:space="0" w:color="auto"/>
            <w:left w:val="none" w:sz="0" w:space="0" w:color="auto"/>
            <w:bottom w:val="none" w:sz="0" w:space="0" w:color="auto"/>
            <w:right w:val="none" w:sz="0" w:space="0" w:color="auto"/>
          </w:divBdr>
        </w:div>
        <w:div w:id="1960649788">
          <w:marLeft w:val="0"/>
          <w:marRight w:val="0"/>
          <w:marTop w:val="0"/>
          <w:marBottom w:val="0"/>
          <w:divBdr>
            <w:top w:val="none" w:sz="0" w:space="0" w:color="auto"/>
            <w:left w:val="none" w:sz="0" w:space="0" w:color="auto"/>
            <w:bottom w:val="none" w:sz="0" w:space="0" w:color="auto"/>
            <w:right w:val="none" w:sz="0" w:space="0" w:color="auto"/>
          </w:divBdr>
        </w:div>
        <w:div w:id="2008051842">
          <w:marLeft w:val="0"/>
          <w:marRight w:val="0"/>
          <w:marTop w:val="0"/>
          <w:marBottom w:val="0"/>
          <w:divBdr>
            <w:top w:val="none" w:sz="0" w:space="0" w:color="auto"/>
            <w:left w:val="none" w:sz="0" w:space="0" w:color="auto"/>
            <w:bottom w:val="none" w:sz="0" w:space="0" w:color="auto"/>
            <w:right w:val="none" w:sz="0" w:space="0" w:color="auto"/>
          </w:divBdr>
        </w:div>
        <w:div w:id="2075808878">
          <w:marLeft w:val="0"/>
          <w:marRight w:val="0"/>
          <w:marTop w:val="0"/>
          <w:marBottom w:val="0"/>
          <w:divBdr>
            <w:top w:val="none" w:sz="0" w:space="0" w:color="auto"/>
            <w:left w:val="none" w:sz="0" w:space="0" w:color="auto"/>
            <w:bottom w:val="none" w:sz="0" w:space="0" w:color="auto"/>
            <w:right w:val="none" w:sz="0" w:space="0" w:color="auto"/>
          </w:divBdr>
        </w:div>
        <w:div w:id="2122066814">
          <w:marLeft w:val="0"/>
          <w:marRight w:val="0"/>
          <w:marTop w:val="0"/>
          <w:marBottom w:val="0"/>
          <w:divBdr>
            <w:top w:val="none" w:sz="0" w:space="0" w:color="auto"/>
            <w:left w:val="none" w:sz="0" w:space="0" w:color="auto"/>
            <w:bottom w:val="none" w:sz="0" w:space="0" w:color="auto"/>
            <w:right w:val="none" w:sz="0" w:space="0" w:color="auto"/>
          </w:divBdr>
        </w:div>
      </w:divsChild>
    </w:div>
    <w:div w:id="1926912710">
      <w:bodyDiv w:val="1"/>
      <w:marLeft w:val="0"/>
      <w:marRight w:val="0"/>
      <w:marTop w:val="0"/>
      <w:marBottom w:val="0"/>
      <w:divBdr>
        <w:top w:val="none" w:sz="0" w:space="0" w:color="auto"/>
        <w:left w:val="none" w:sz="0" w:space="0" w:color="auto"/>
        <w:bottom w:val="none" w:sz="0" w:space="0" w:color="auto"/>
        <w:right w:val="none" w:sz="0" w:space="0" w:color="auto"/>
      </w:divBdr>
    </w:div>
    <w:div w:id="1947347598">
      <w:bodyDiv w:val="1"/>
      <w:marLeft w:val="0"/>
      <w:marRight w:val="0"/>
      <w:marTop w:val="0"/>
      <w:marBottom w:val="0"/>
      <w:divBdr>
        <w:top w:val="none" w:sz="0" w:space="0" w:color="auto"/>
        <w:left w:val="none" w:sz="0" w:space="0" w:color="auto"/>
        <w:bottom w:val="none" w:sz="0" w:space="0" w:color="auto"/>
        <w:right w:val="none" w:sz="0" w:space="0" w:color="auto"/>
      </w:divBdr>
    </w:div>
    <w:div w:id="1962611257">
      <w:bodyDiv w:val="1"/>
      <w:marLeft w:val="0"/>
      <w:marRight w:val="0"/>
      <w:marTop w:val="0"/>
      <w:marBottom w:val="0"/>
      <w:divBdr>
        <w:top w:val="none" w:sz="0" w:space="0" w:color="auto"/>
        <w:left w:val="none" w:sz="0" w:space="0" w:color="auto"/>
        <w:bottom w:val="none" w:sz="0" w:space="0" w:color="auto"/>
        <w:right w:val="none" w:sz="0" w:space="0" w:color="auto"/>
      </w:divBdr>
      <w:divsChild>
        <w:div w:id="12845162">
          <w:marLeft w:val="0"/>
          <w:marRight w:val="0"/>
          <w:marTop w:val="0"/>
          <w:marBottom w:val="0"/>
          <w:divBdr>
            <w:top w:val="none" w:sz="0" w:space="0" w:color="auto"/>
            <w:left w:val="none" w:sz="0" w:space="0" w:color="auto"/>
            <w:bottom w:val="none" w:sz="0" w:space="0" w:color="auto"/>
            <w:right w:val="none" w:sz="0" w:space="0" w:color="auto"/>
          </w:divBdr>
          <w:divsChild>
            <w:div w:id="1873376131">
              <w:marLeft w:val="0"/>
              <w:marRight w:val="0"/>
              <w:marTop w:val="0"/>
              <w:marBottom w:val="0"/>
              <w:divBdr>
                <w:top w:val="none" w:sz="0" w:space="0" w:color="auto"/>
                <w:left w:val="none" w:sz="0" w:space="0" w:color="auto"/>
                <w:bottom w:val="none" w:sz="0" w:space="0" w:color="auto"/>
                <w:right w:val="none" w:sz="0" w:space="0" w:color="auto"/>
              </w:divBdr>
            </w:div>
          </w:divsChild>
        </w:div>
        <w:div w:id="311981511">
          <w:marLeft w:val="0"/>
          <w:marRight w:val="0"/>
          <w:marTop w:val="0"/>
          <w:marBottom w:val="0"/>
          <w:divBdr>
            <w:top w:val="none" w:sz="0" w:space="0" w:color="auto"/>
            <w:left w:val="none" w:sz="0" w:space="0" w:color="auto"/>
            <w:bottom w:val="none" w:sz="0" w:space="0" w:color="auto"/>
            <w:right w:val="none" w:sz="0" w:space="0" w:color="auto"/>
          </w:divBdr>
          <w:divsChild>
            <w:div w:id="1436898334">
              <w:marLeft w:val="0"/>
              <w:marRight w:val="0"/>
              <w:marTop w:val="0"/>
              <w:marBottom w:val="0"/>
              <w:divBdr>
                <w:top w:val="none" w:sz="0" w:space="0" w:color="auto"/>
                <w:left w:val="none" w:sz="0" w:space="0" w:color="auto"/>
                <w:bottom w:val="none" w:sz="0" w:space="0" w:color="auto"/>
                <w:right w:val="none" w:sz="0" w:space="0" w:color="auto"/>
              </w:divBdr>
            </w:div>
          </w:divsChild>
        </w:div>
        <w:div w:id="411709131">
          <w:marLeft w:val="0"/>
          <w:marRight w:val="0"/>
          <w:marTop w:val="0"/>
          <w:marBottom w:val="0"/>
          <w:divBdr>
            <w:top w:val="none" w:sz="0" w:space="0" w:color="auto"/>
            <w:left w:val="none" w:sz="0" w:space="0" w:color="auto"/>
            <w:bottom w:val="none" w:sz="0" w:space="0" w:color="auto"/>
            <w:right w:val="none" w:sz="0" w:space="0" w:color="auto"/>
          </w:divBdr>
          <w:divsChild>
            <w:div w:id="1160802900">
              <w:marLeft w:val="0"/>
              <w:marRight w:val="0"/>
              <w:marTop w:val="0"/>
              <w:marBottom w:val="0"/>
              <w:divBdr>
                <w:top w:val="none" w:sz="0" w:space="0" w:color="auto"/>
                <w:left w:val="none" w:sz="0" w:space="0" w:color="auto"/>
                <w:bottom w:val="none" w:sz="0" w:space="0" w:color="auto"/>
                <w:right w:val="none" w:sz="0" w:space="0" w:color="auto"/>
              </w:divBdr>
            </w:div>
          </w:divsChild>
        </w:div>
        <w:div w:id="420420620">
          <w:marLeft w:val="0"/>
          <w:marRight w:val="0"/>
          <w:marTop w:val="0"/>
          <w:marBottom w:val="0"/>
          <w:divBdr>
            <w:top w:val="none" w:sz="0" w:space="0" w:color="auto"/>
            <w:left w:val="none" w:sz="0" w:space="0" w:color="auto"/>
            <w:bottom w:val="none" w:sz="0" w:space="0" w:color="auto"/>
            <w:right w:val="none" w:sz="0" w:space="0" w:color="auto"/>
          </w:divBdr>
          <w:divsChild>
            <w:div w:id="173541287">
              <w:marLeft w:val="0"/>
              <w:marRight w:val="0"/>
              <w:marTop w:val="0"/>
              <w:marBottom w:val="0"/>
              <w:divBdr>
                <w:top w:val="none" w:sz="0" w:space="0" w:color="auto"/>
                <w:left w:val="none" w:sz="0" w:space="0" w:color="auto"/>
                <w:bottom w:val="none" w:sz="0" w:space="0" w:color="auto"/>
                <w:right w:val="none" w:sz="0" w:space="0" w:color="auto"/>
              </w:divBdr>
            </w:div>
          </w:divsChild>
        </w:div>
        <w:div w:id="724567284">
          <w:marLeft w:val="0"/>
          <w:marRight w:val="0"/>
          <w:marTop w:val="0"/>
          <w:marBottom w:val="0"/>
          <w:divBdr>
            <w:top w:val="none" w:sz="0" w:space="0" w:color="auto"/>
            <w:left w:val="none" w:sz="0" w:space="0" w:color="auto"/>
            <w:bottom w:val="none" w:sz="0" w:space="0" w:color="auto"/>
            <w:right w:val="none" w:sz="0" w:space="0" w:color="auto"/>
          </w:divBdr>
          <w:divsChild>
            <w:div w:id="2079131613">
              <w:marLeft w:val="0"/>
              <w:marRight w:val="0"/>
              <w:marTop w:val="0"/>
              <w:marBottom w:val="0"/>
              <w:divBdr>
                <w:top w:val="none" w:sz="0" w:space="0" w:color="auto"/>
                <w:left w:val="none" w:sz="0" w:space="0" w:color="auto"/>
                <w:bottom w:val="none" w:sz="0" w:space="0" w:color="auto"/>
                <w:right w:val="none" w:sz="0" w:space="0" w:color="auto"/>
              </w:divBdr>
            </w:div>
          </w:divsChild>
        </w:div>
        <w:div w:id="871528746">
          <w:marLeft w:val="0"/>
          <w:marRight w:val="0"/>
          <w:marTop w:val="0"/>
          <w:marBottom w:val="0"/>
          <w:divBdr>
            <w:top w:val="none" w:sz="0" w:space="0" w:color="auto"/>
            <w:left w:val="none" w:sz="0" w:space="0" w:color="auto"/>
            <w:bottom w:val="none" w:sz="0" w:space="0" w:color="auto"/>
            <w:right w:val="none" w:sz="0" w:space="0" w:color="auto"/>
          </w:divBdr>
          <w:divsChild>
            <w:div w:id="1740978295">
              <w:marLeft w:val="0"/>
              <w:marRight w:val="0"/>
              <w:marTop w:val="0"/>
              <w:marBottom w:val="0"/>
              <w:divBdr>
                <w:top w:val="none" w:sz="0" w:space="0" w:color="auto"/>
                <w:left w:val="none" w:sz="0" w:space="0" w:color="auto"/>
                <w:bottom w:val="none" w:sz="0" w:space="0" w:color="auto"/>
                <w:right w:val="none" w:sz="0" w:space="0" w:color="auto"/>
              </w:divBdr>
            </w:div>
          </w:divsChild>
        </w:div>
        <w:div w:id="1033073196">
          <w:marLeft w:val="0"/>
          <w:marRight w:val="0"/>
          <w:marTop w:val="0"/>
          <w:marBottom w:val="0"/>
          <w:divBdr>
            <w:top w:val="none" w:sz="0" w:space="0" w:color="auto"/>
            <w:left w:val="none" w:sz="0" w:space="0" w:color="auto"/>
            <w:bottom w:val="none" w:sz="0" w:space="0" w:color="auto"/>
            <w:right w:val="none" w:sz="0" w:space="0" w:color="auto"/>
          </w:divBdr>
          <w:divsChild>
            <w:div w:id="992609258">
              <w:marLeft w:val="0"/>
              <w:marRight w:val="0"/>
              <w:marTop w:val="0"/>
              <w:marBottom w:val="0"/>
              <w:divBdr>
                <w:top w:val="none" w:sz="0" w:space="0" w:color="auto"/>
                <w:left w:val="none" w:sz="0" w:space="0" w:color="auto"/>
                <w:bottom w:val="none" w:sz="0" w:space="0" w:color="auto"/>
                <w:right w:val="none" w:sz="0" w:space="0" w:color="auto"/>
              </w:divBdr>
            </w:div>
          </w:divsChild>
        </w:div>
        <w:div w:id="1091589331">
          <w:marLeft w:val="0"/>
          <w:marRight w:val="0"/>
          <w:marTop w:val="0"/>
          <w:marBottom w:val="0"/>
          <w:divBdr>
            <w:top w:val="none" w:sz="0" w:space="0" w:color="auto"/>
            <w:left w:val="none" w:sz="0" w:space="0" w:color="auto"/>
            <w:bottom w:val="none" w:sz="0" w:space="0" w:color="auto"/>
            <w:right w:val="none" w:sz="0" w:space="0" w:color="auto"/>
          </w:divBdr>
          <w:divsChild>
            <w:div w:id="479465705">
              <w:marLeft w:val="0"/>
              <w:marRight w:val="0"/>
              <w:marTop w:val="0"/>
              <w:marBottom w:val="0"/>
              <w:divBdr>
                <w:top w:val="none" w:sz="0" w:space="0" w:color="auto"/>
                <w:left w:val="none" w:sz="0" w:space="0" w:color="auto"/>
                <w:bottom w:val="none" w:sz="0" w:space="0" w:color="auto"/>
                <w:right w:val="none" w:sz="0" w:space="0" w:color="auto"/>
              </w:divBdr>
            </w:div>
          </w:divsChild>
        </w:div>
        <w:div w:id="1141850962">
          <w:marLeft w:val="0"/>
          <w:marRight w:val="0"/>
          <w:marTop w:val="0"/>
          <w:marBottom w:val="0"/>
          <w:divBdr>
            <w:top w:val="none" w:sz="0" w:space="0" w:color="auto"/>
            <w:left w:val="none" w:sz="0" w:space="0" w:color="auto"/>
            <w:bottom w:val="none" w:sz="0" w:space="0" w:color="auto"/>
            <w:right w:val="none" w:sz="0" w:space="0" w:color="auto"/>
          </w:divBdr>
          <w:divsChild>
            <w:div w:id="1490363740">
              <w:marLeft w:val="0"/>
              <w:marRight w:val="0"/>
              <w:marTop w:val="0"/>
              <w:marBottom w:val="0"/>
              <w:divBdr>
                <w:top w:val="none" w:sz="0" w:space="0" w:color="auto"/>
                <w:left w:val="none" w:sz="0" w:space="0" w:color="auto"/>
                <w:bottom w:val="none" w:sz="0" w:space="0" w:color="auto"/>
                <w:right w:val="none" w:sz="0" w:space="0" w:color="auto"/>
              </w:divBdr>
            </w:div>
          </w:divsChild>
        </w:div>
        <w:div w:id="1215508198">
          <w:marLeft w:val="0"/>
          <w:marRight w:val="0"/>
          <w:marTop w:val="0"/>
          <w:marBottom w:val="0"/>
          <w:divBdr>
            <w:top w:val="none" w:sz="0" w:space="0" w:color="auto"/>
            <w:left w:val="none" w:sz="0" w:space="0" w:color="auto"/>
            <w:bottom w:val="none" w:sz="0" w:space="0" w:color="auto"/>
            <w:right w:val="none" w:sz="0" w:space="0" w:color="auto"/>
          </w:divBdr>
          <w:divsChild>
            <w:div w:id="3948230">
              <w:marLeft w:val="0"/>
              <w:marRight w:val="0"/>
              <w:marTop w:val="0"/>
              <w:marBottom w:val="0"/>
              <w:divBdr>
                <w:top w:val="none" w:sz="0" w:space="0" w:color="auto"/>
                <w:left w:val="none" w:sz="0" w:space="0" w:color="auto"/>
                <w:bottom w:val="none" w:sz="0" w:space="0" w:color="auto"/>
                <w:right w:val="none" w:sz="0" w:space="0" w:color="auto"/>
              </w:divBdr>
            </w:div>
          </w:divsChild>
        </w:div>
        <w:div w:id="1444573609">
          <w:marLeft w:val="0"/>
          <w:marRight w:val="0"/>
          <w:marTop w:val="0"/>
          <w:marBottom w:val="0"/>
          <w:divBdr>
            <w:top w:val="none" w:sz="0" w:space="0" w:color="auto"/>
            <w:left w:val="none" w:sz="0" w:space="0" w:color="auto"/>
            <w:bottom w:val="none" w:sz="0" w:space="0" w:color="auto"/>
            <w:right w:val="none" w:sz="0" w:space="0" w:color="auto"/>
          </w:divBdr>
          <w:divsChild>
            <w:div w:id="1534923369">
              <w:marLeft w:val="0"/>
              <w:marRight w:val="0"/>
              <w:marTop w:val="0"/>
              <w:marBottom w:val="0"/>
              <w:divBdr>
                <w:top w:val="none" w:sz="0" w:space="0" w:color="auto"/>
                <w:left w:val="none" w:sz="0" w:space="0" w:color="auto"/>
                <w:bottom w:val="none" w:sz="0" w:space="0" w:color="auto"/>
                <w:right w:val="none" w:sz="0" w:space="0" w:color="auto"/>
              </w:divBdr>
            </w:div>
          </w:divsChild>
        </w:div>
        <w:div w:id="1514683118">
          <w:marLeft w:val="0"/>
          <w:marRight w:val="0"/>
          <w:marTop w:val="0"/>
          <w:marBottom w:val="0"/>
          <w:divBdr>
            <w:top w:val="none" w:sz="0" w:space="0" w:color="auto"/>
            <w:left w:val="none" w:sz="0" w:space="0" w:color="auto"/>
            <w:bottom w:val="none" w:sz="0" w:space="0" w:color="auto"/>
            <w:right w:val="none" w:sz="0" w:space="0" w:color="auto"/>
          </w:divBdr>
          <w:divsChild>
            <w:div w:id="1918128279">
              <w:marLeft w:val="0"/>
              <w:marRight w:val="0"/>
              <w:marTop w:val="0"/>
              <w:marBottom w:val="0"/>
              <w:divBdr>
                <w:top w:val="none" w:sz="0" w:space="0" w:color="auto"/>
                <w:left w:val="none" w:sz="0" w:space="0" w:color="auto"/>
                <w:bottom w:val="none" w:sz="0" w:space="0" w:color="auto"/>
                <w:right w:val="none" w:sz="0" w:space="0" w:color="auto"/>
              </w:divBdr>
            </w:div>
          </w:divsChild>
        </w:div>
        <w:div w:id="1616790608">
          <w:marLeft w:val="0"/>
          <w:marRight w:val="0"/>
          <w:marTop w:val="0"/>
          <w:marBottom w:val="0"/>
          <w:divBdr>
            <w:top w:val="none" w:sz="0" w:space="0" w:color="auto"/>
            <w:left w:val="none" w:sz="0" w:space="0" w:color="auto"/>
            <w:bottom w:val="none" w:sz="0" w:space="0" w:color="auto"/>
            <w:right w:val="none" w:sz="0" w:space="0" w:color="auto"/>
          </w:divBdr>
          <w:divsChild>
            <w:div w:id="917594815">
              <w:marLeft w:val="0"/>
              <w:marRight w:val="0"/>
              <w:marTop w:val="0"/>
              <w:marBottom w:val="0"/>
              <w:divBdr>
                <w:top w:val="none" w:sz="0" w:space="0" w:color="auto"/>
                <w:left w:val="none" w:sz="0" w:space="0" w:color="auto"/>
                <w:bottom w:val="none" w:sz="0" w:space="0" w:color="auto"/>
                <w:right w:val="none" w:sz="0" w:space="0" w:color="auto"/>
              </w:divBdr>
            </w:div>
          </w:divsChild>
        </w:div>
        <w:div w:id="1655138323">
          <w:marLeft w:val="0"/>
          <w:marRight w:val="0"/>
          <w:marTop w:val="0"/>
          <w:marBottom w:val="0"/>
          <w:divBdr>
            <w:top w:val="none" w:sz="0" w:space="0" w:color="auto"/>
            <w:left w:val="none" w:sz="0" w:space="0" w:color="auto"/>
            <w:bottom w:val="none" w:sz="0" w:space="0" w:color="auto"/>
            <w:right w:val="none" w:sz="0" w:space="0" w:color="auto"/>
          </w:divBdr>
          <w:divsChild>
            <w:div w:id="112091996">
              <w:marLeft w:val="0"/>
              <w:marRight w:val="0"/>
              <w:marTop w:val="0"/>
              <w:marBottom w:val="0"/>
              <w:divBdr>
                <w:top w:val="none" w:sz="0" w:space="0" w:color="auto"/>
                <w:left w:val="none" w:sz="0" w:space="0" w:color="auto"/>
                <w:bottom w:val="none" w:sz="0" w:space="0" w:color="auto"/>
                <w:right w:val="none" w:sz="0" w:space="0" w:color="auto"/>
              </w:divBdr>
            </w:div>
          </w:divsChild>
        </w:div>
        <w:div w:id="1659504429">
          <w:marLeft w:val="0"/>
          <w:marRight w:val="0"/>
          <w:marTop w:val="0"/>
          <w:marBottom w:val="0"/>
          <w:divBdr>
            <w:top w:val="none" w:sz="0" w:space="0" w:color="auto"/>
            <w:left w:val="none" w:sz="0" w:space="0" w:color="auto"/>
            <w:bottom w:val="none" w:sz="0" w:space="0" w:color="auto"/>
            <w:right w:val="none" w:sz="0" w:space="0" w:color="auto"/>
          </w:divBdr>
          <w:divsChild>
            <w:div w:id="745608533">
              <w:marLeft w:val="0"/>
              <w:marRight w:val="0"/>
              <w:marTop w:val="0"/>
              <w:marBottom w:val="0"/>
              <w:divBdr>
                <w:top w:val="none" w:sz="0" w:space="0" w:color="auto"/>
                <w:left w:val="none" w:sz="0" w:space="0" w:color="auto"/>
                <w:bottom w:val="none" w:sz="0" w:space="0" w:color="auto"/>
                <w:right w:val="none" w:sz="0" w:space="0" w:color="auto"/>
              </w:divBdr>
            </w:div>
          </w:divsChild>
        </w:div>
        <w:div w:id="1709603662">
          <w:marLeft w:val="0"/>
          <w:marRight w:val="0"/>
          <w:marTop w:val="0"/>
          <w:marBottom w:val="0"/>
          <w:divBdr>
            <w:top w:val="none" w:sz="0" w:space="0" w:color="auto"/>
            <w:left w:val="none" w:sz="0" w:space="0" w:color="auto"/>
            <w:bottom w:val="none" w:sz="0" w:space="0" w:color="auto"/>
            <w:right w:val="none" w:sz="0" w:space="0" w:color="auto"/>
          </w:divBdr>
          <w:divsChild>
            <w:div w:id="1893156821">
              <w:marLeft w:val="0"/>
              <w:marRight w:val="0"/>
              <w:marTop w:val="0"/>
              <w:marBottom w:val="0"/>
              <w:divBdr>
                <w:top w:val="none" w:sz="0" w:space="0" w:color="auto"/>
                <w:left w:val="none" w:sz="0" w:space="0" w:color="auto"/>
                <w:bottom w:val="none" w:sz="0" w:space="0" w:color="auto"/>
                <w:right w:val="none" w:sz="0" w:space="0" w:color="auto"/>
              </w:divBdr>
            </w:div>
          </w:divsChild>
        </w:div>
        <w:div w:id="1854224451">
          <w:marLeft w:val="0"/>
          <w:marRight w:val="0"/>
          <w:marTop w:val="0"/>
          <w:marBottom w:val="0"/>
          <w:divBdr>
            <w:top w:val="none" w:sz="0" w:space="0" w:color="auto"/>
            <w:left w:val="none" w:sz="0" w:space="0" w:color="auto"/>
            <w:bottom w:val="none" w:sz="0" w:space="0" w:color="auto"/>
            <w:right w:val="none" w:sz="0" w:space="0" w:color="auto"/>
          </w:divBdr>
          <w:divsChild>
            <w:div w:id="2030376267">
              <w:marLeft w:val="0"/>
              <w:marRight w:val="0"/>
              <w:marTop w:val="0"/>
              <w:marBottom w:val="0"/>
              <w:divBdr>
                <w:top w:val="none" w:sz="0" w:space="0" w:color="auto"/>
                <w:left w:val="none" w:sz="0" w:space="0" w:color="auto"/>
                <w:bottom w:val="none" w:sz="0" w:space="0" w:color="auto"/>
                <w:right w:val="none" w:sz="0" w:space="0" w:color="auto"/>
              </w:divBdr>
            </w:div>
          </w:divsChild>
        </w:div>
        <w:div w:id="1909656236">
          <w:marLeft w:val="0"/>
          <w:marRight w:val="0"/>
          <w:marTop w:val="0"/>
          <w:marBottom w:val="0"/>
          <w:divBdr>
            <w:top w:val="none" w:sz="0" w:space="0" w:color="auto"/>
            <w:left w:val="none" w:sz="0" w:space="0" w:color="auto"/>
            <w:bottom w:val="none" w:sz="0" w:space="0" w:color="auto"/>
            <w:right w:val="none" w:sz="0" w:space="0" w:color="auto"/>
          </w:divBdr>
          <w:divsChild>
            <w:div w:id="1367096087">
              <w:marLeft w:val="0"/>
              <w:marRight w:val="0"/>
              <w:marTop w:val="0"/>
              <w:marBottom w:val="0"/>
              <w:divBdr>
                <w:top w:val="none" w:sz="0" w:space="0" w:color="auto"/>
                <w:left w:val="none" w:sz="0" w:space="0" w:color="auto"/>
                <w:bottom w:val="none" w:sz="0" w:space="0" w:color="auto"/>
                <w:right w:val="none" w:sz="0" w:space="0" w:color="auto"/>
              </w:divBdr>
            </w:div>
          </w:divsChild>
        </w:div>
        <w:div w:id="2001762653">
          <w:marLeft w:val="0"/>
          <w:marRight w:val="0"/>
          <w:marTop w:val="0"/>
          <w:marBottom w:val="0"/>
          <w:divBdr>
            <w:top w:val="none" w:sz="0" w:space="0" w:color="auto"/>
            <w:left w:val="none" w:sz="0" w:space="0" w:color="auto"/>
            <w:bottom w:val="none" w:sz="0" w:space="0" w:color="auto"/>
            <w:right w:val="none" w:sz="0" w:space="0" w:color="auto"/>
          </w:divBdr>
          <w:divsChild>
            <w:div w:id="856508441">
              <w:marLeft w:val="0"/>
              <w:marRight w:val="0"/>
              <w:marTop w:val="0"/>
              <w:marBottom w:val="0"/>
              <w:divBdr>
                <w:top w:val="none" w:sz="0" w:space="0" w:color="auto"/>
                <w:left w:val="none" w:sz="0" w:space="0" w:color="auto"/>
                <w:bottom w:val="none" w:sz="0" w:space="0" w:color="auto"/>
                <w:right w:val="none" w:sz="0" w:space="0" w:color="auto"/>
              </w:divBdr>
            </w:div>
          </w:divsChild>
        </w:div>
        <w:div w:id="2105955550">
          <w:marLeft w:val="0"/>
          <w:marRight w:val="0"/>
          <w:marTop w:val="0"/>
          <w:marBottom w:val="0"/>
          <w:divBdr>
            <w:top w:val="none" w:sz="0" w:space="0" w:color="auto"/>
            <w:left w:val="none" w:sz="0" w:space="0" w:color="auto"/>
            <w:bottom w:val="none" w:sz="0" w:space="0" w:color="auto"/>
            <w:right w:val="none" w:sz="0" w:space="0" w:color="auto"/>
          </w:divBdr>
          <w:divsChild>
            <w:div w:id="161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3258">
      <w:bodyDiv w:val="1"/>
      <w:marLeft w:val="0"/>
      <w:marRight w:val="0"/>
      <w:marTop w:val="0"/>
      <w:marBottom w:val="0"/>
      <w:divBdr>
        <w:top w:val="none" w:sz="0" w:space="0" w:color="auto"/>
        <w:left w:val="none" w:sz="0" w:space="0" w:color="auto"/>
        <w:bottom w:val="none" w:sz="0" w:space="0" w:color="auto"/>
        <w:right w:val="none" w:sz="0" w:space="0" w:color="auto"/>
      </w:divBdr>
      <w:divsChild>
        <w:div w:id="80377003">
          <w:marLeft w:val="0"/>
          <w:marRight w:val="0"/>
          <w:marTop w:val="0"/>
          <w:marBottom w:val="0"/>
          <w:divBdr>
            <w:top w:val="none" w:sz="0" w:space="0" w:color="auto"/>
            <w:left w:val="none" w:sz="0" w:space="0" w:color="auto"/>
            <w:bottom w:val="none" w:sz="0" w:space="0" w:color="auto"/>
            <w:right w:val="none" w:sz="0" w:space="0" w:color="auto"/>
          </w:divBdr>
        </w:div>
        <w:div w:id="112864520">
          <w:marLeft w:val="0"/>
          <w:marRight w:val="0"/>
          <w:marTop w:val="0"/>
          <w:marBottom w:val="0"/>
          <w:divBdr>
            <w:top w:val="none" w:sz="0" w:space="0" w:color="auto"/>
            <w:left w:val="none" w:sz="0" w:space="0" w:color="auto"/>
            <w:bottom w:val="none" w:sz="0" w:space="0" w:color="auto"/>
            <w:right w:val="none" w:sz="0" w:space="0" w:color="auto"/>
          </w:divBdr>
        </w:div>
        <w:div w:id="157885757">
          <w:marLeft w:val="0"/>
          <w:marRight w:val="0"/>
          <w:marTop w:val="0"/>
          <w:marBottom w:val="0"/>
          <w:divBdr>
            <w:top w:val="none" w:sz="0" w:space="0" w:color="auto"/>
            <w:left w:val="none" w:sz="0" w:space="0" w:color="auto"/>
            <w:bottom w:val="none" w:sz="0" w:space="0" w:color="auto"/>
            <w:right w:val="none" w:sz="0" w:space="0" w:color="auto"/>
          </w:divBdr>
        </w:div>
        <w:div w:id="187528106">
          <w:marLeft w:val="0"/>
          <w:marRight w:val="0"/>
          <w:marTop w:val="0"/>
          <w:marBottom w:val="0"/>
          <w:divBdr>
            <w:top w:val="none" w:sz="0" w:space="0" w:color="auto"/>
            <w:left w:val="none" w:sz="0" w:space="0" w:color="auto"/>
            <w:bottom w:val="none" w:sz="0" w:space="0" w:color="auto"/>
            <w:right w:val="none" w:sz="0" w:space="0" w:color="auto"/>
          </w:divBdr>
        </w:div>
        <w:div w:id="245071869">
          <w:marLeft w:val="0"/>
          <w:marRight w:val="0"/>
          <w:marTop w:val="0"/>
          <w:marBottom w:val="0"/>
          <w:divBdr>
            <w:top w:val="none" w:sz="0" w:space="0" w:color="auto"/>
            <w:left w:val="none" w:sz="0" w:space="0" w:color="auto"/>
            <w:bottom w:val="none" w:sz="0" w:space="0" w:color="auto"/>
            <w:right w:val="none" w:sz="0" w:space="0" w:color="auto"/>
          </w:divBdr>
        </w:div>
        <w:div w:id="414128724">
          <w:marLeft w:val="0"/>
          <w:marRight w:val="0"/>
          <w:marTop w:val="0"/>
          <w:marBottom w:val="0"/>
          <w:divBdr>
            <w:top w:val="none" w:sz="0" w:space="0" w:color="auto"/>
            <w:left w:val="none" w:sz="0" w:space="0" w:color="auto"/>
            <w:bottom w:val="none" w:sz="0" w:space="0" w:color="auto"/>
            <w:right w:val="none" w:sz="0" w:space="0" w:color="auto"/>
          </w:divBdr>
        </w:div>
        <w:div w:id="423260471">
          <w:marLeft w:val="0"/>
          <w:marRight w:val="0"/>
          <w:marTop w:val="0"/>
          <w:marBottom w:val="0"/>
          <w:divBdr>
            <w:top w:val="none" w:sz="0" w:space="0" w:color="auto"/>
            <w:left w:val="none" w:sz="0" w:space="0" w:color="auto"/>
            <w:bottom w:val="none" w:sz="0" w:space="0" w:color="auto"/>
            <w:right w:val="none" w:sz="0" w:space="0" w:color="auto"/>
          </w:divBdr>
        </w:div>
        <w:div w:id="438918072">
          <w:marLeft w:val="0"/>
          <w:marRight w:val="0"/>
          <w:marTop w:val="0"/>
          <w:marBottom w:val="0"/>
          <w:divBdr>
            <w:top w:val="none" w:sz="0" w:space="0" w:color="auto"/>
            <w:left w:val="none" w:sz="0" w:space="0" w:color="auto"/>
            <w:bottom w:val="none" w:sz="0" w:space="0" w:color="auto"/>
            <w:right w:val="none" w:sz="0" w:space="0" w:color="auto"/>
          </w:divBdr>
        </w:div>
        <w:div w:id="454759067">
          <w:marLeft w:val="0"/>
          <w:marRight w:val="0"/>
          <w:marTop w:val="0"/>
          <w:marBottom w:val="0"/>
          <w:divBdr>
            <w:top w:val="none" w:sz="0" w:space="0" w:color="auto"/>
            <w:left w:val="none" w:sz="0" w:space="0" w:color="auto"/>
            <w:bottom w:val="none" w:sz="0" w:space="0" w:color="auto"/>
            <w:right w:val="none" w:sz="0" w:space="0" w:color="auto"/>
          </w:divBdr>
        </w:div>
        <w:div w:id="458229028">
          <w:marLeft w:val="0"/>
          <w:marRight w:val="0"/>
          <w:marTop w:val="0"/>
          <w:marBottom w:val="0"/>
          <w:divBdr>
            <w:top w:val="none" w:sz="0" w:space="0" w:color="auto"/>
            <w:left w:val="none" w:sz="0" w:space="0" w:color="auto"/>
            <w:bottom w:val="none" w:sz="0" w:space="0" w:color="auto"/>
            <w:right w:val="none" w:sz="0" w:space="0" w:color="auto"/>
          </w:divBdr>
        </w:div>
        <w:div w:id="505637369">
          <w:marLeft w:val="0"/>
          <w:marRight w:val="0"/>
          <w:marTop w:val="0"/>
          <w:marBottom w:val="0"/>
          <w:divBdr>
            <w:top w:val="none" w:sz="0" w:space="0" w:color="auto"/>
            <w:left w:val="none" w:sz="0" w:space="0" w:color="auto"/>
            <w:bottom w:val="none" w:sz="0" w:space="0" w:color="auto"/>
            <w:right w:val="none" w:sz="0" w:space="0" w:color="auto"/>
          </w:divBdr>
        </w:div>
        <w:div w:id="525211963">
          <w:marLeft w:val="0"/>
          <w:marRight w:val="0"/>
          <w:marTop w:val="0"/>
          <w:marBottom w:val="0"/>
          <w:divBdr>
            <w:top w:val="none" w:sz="0" w:space="0" w:color="auto"/>
            <w:left w:val="none" w:sz="0" w:space="0" w:color="auto"/>
            <w:bottom w:val="none" w:sz="0" w:space="0" w:color="auto"/>
            <w:right w:val="none" w:sz="0" w:space="0" w:color="auto"/>
          </w:divBdr>
        </w:div>
        <w:div w:id="532228682">
          <w:marLeft w:val="0"/>
          <w:marRight w:val="0"/>
          <w:marTop w:val="0"/>
          <w:marBottom w:val="0"/>
          <w:divBdr>
            <w:top w:val="none" w:sz="0" w:space="0" w:color="auto"/>
            <w:left w:val="none" w:sz="0" w:space="0" w:color="auto"/>
            <w:bottom w:val="none" w:sz="0" w:space="0" w:color="auto"/>
            <w:right w:val="none" w:sz="0" w:space="0" w:color="auto"/>
          </w:divBdr>
        </w:div>
        <w:div w:id="532498224">
          <w:marLeft w:val="0"/>
          <w:marRight w:val="0"/>
          <w:marTop w:val="0"/>
          <w:marBottom w:val="0"/>
          <w:divBdr>
            <w:top w:val="none" w:sz="0" w:space="0" w:color="auto"/>
            <w:left w:val="none" w:sz="0" w:space="0" w:color="auto"/>
            <w:bottom w:val="none" w:sz="0" w:space="0" w:color="auto"/>
            <w:right w:val="none" w:sz="0" w:space="0" w:color="auto"/>
          </w:divBdr>
        </w:div>
        <w:div w:id="712966452">
          <w:marLeft w:val="0"/>
          <w:marRight w:val="0"/>
          <w:marTop w:val="0"/>
          <w:marBottom w:val="0"/>
          <w:divBdr>
            <w:top w:val="none" w:sz="0" w:space="0" w:color="auto"/>
            <w:left w:val="none" w:sz="0" w:space="0" w:color="auto"/>
            <w:bottom w:val="none" w:sz="0" w:space="0" w:color="auto"/>
            <w:right w:val="none" w:sz="0" w:space="0" w:color="auto"/>
          </w:divBdr>
        </w:div>
        <w:div w:id="714504983">
          <w:marLeft w:val="0"/>
          <w:marRight w:val="0"/>
          <w:marTop w:val="0"/>
          <w:marBottom w:val="0"/>
          <w:divBdr>
            <w:top w:val="none" w:sz="0" w:space="0" w:color="auto"/>
            <w:left w:val="none" w:sz="0" w:space="0" w:color="auto"/>
            <w:bottom w:val="none" w:sz="0" w:space="0" w:color="auto"/>
            <w:right w:val="none" w:sz="0" w:space="0" w:color="auto"/>
          </w:divBdr>
        </w:div>
        <w:div w:id="758984502">
          <w:marLeft w:val="0"/>
          <w:marRight w:val="0"/>
          <w:marTop w:val="0"/>
          <w:marBottom w:val="0"/>
          <w:divBdr>
            <w:top w:val="none" w:sz="0" w:space="0" w:color="auto"/>
            <w:left w:val="none" w:sz="0" w:space="0" w:color="auto"/>
            <w:bottom w:val="none" w:sz="0" w:space="0" w:color="auto"/>
            <w:right w:val="none" w:sz="0" w:space="0" w:color="auto"/>
          </w:divBdr>
        </w:div>
        <w:div w:id="847211253">
          <w:marLeft w:val="0"/>
          <w:marRight w:val="0"/>
          <w:marTop w:val="0"/>
          <w:marBottom w:val="0"/>
          <w:divBdr>
            <w:top w:val="none" w:sz="0" w:space="0" w:color="auto"/>
            <w:left w:val="none" w:sz="0" w:space="0" w:color="auto"/>
            <w:bottom w:val="none" w:sz="0" w:space="0" w:color="auto"/>
            <w:right w:val="none" w:sz="0" w:space="0" w:color="auto"/>
          </w:divBdr>
        </w:div>
        <w:div w:id="917054172">
          <w:marLeft w:val="0"/>
          <w:marRight w:val="0"/>
          <w:marTop w:val="0"/>
          <w:marBottom w:val="0"/>
          <w:divBdr>
            <w:top w:val="none" w:sz="0" w:space="0" w:color="auto"/>
            <w:left w:val="none" w:sz="0" w:space="0" w:color="auto"/>
            <w:bottom w:val="none" w:sz="0" w:space="0" w:color="auto"/>
            <w:right w:val="none" w:sz="0" w:space="0" w:color="auto"/>
          </w:divBdr>
        </w:div>
        <w:div w:id="932400671">
          <w:marLeft w:val="0"/>
          <w:marRight w:val="0"/>
          <w:marTop w:val="0"/>
          <w:marBottom w:val="0"/>
          <w:divBdr>
            <w:top w:val="none" w:sz="0" w:space="0" w:color="auto"/>
            <w:left w:val="none" w:sz="0" w:space="0" w:color="auto"/>
            <w:bottom w:val="none" w:sz="0" w:space="0" w:color="auto"/>
            <w:right w:val="none" w:sz="0" w:space="0" w:color="auto"/>
          </w:divBdr>
        </w:div>
        <w:div w:id="950434444">
          <w:marLeft w:val="0"/>
          <w:marRight w:val="0"/>
          <w:marTop w:val="0"/>
          <w:marBottom w:val="0"/>
          <w:divBdr>
            <w:top w:val="none" w:sz="0" w:space="0" w:color="auto"/>
            <w:left w:val="none" w:sz="0" w:space="0" w:color="auto"/>
            <w:bottom w:val="none" w:sz="0" w:space="0" w:color="auto"/>
            <w:right w:val="none" w:sz="0" w:space="0" w:color="auto"/>
          </w:divBdr>
        </w:div>
        <w:div w:id="959579013">
          <w:marLeft w:val="0"/>
          <w:marRight w:val="0"/>
          <w:marTop w:val="0"/>
          <w:marBottom w:val="0"/>
          <w:divBdr>
            <w:top w:val="none" w:sz="0" w:space="0" w:color="auto"/>
            <w:left w:val="none" w:sz="0" w:space="0" w:color="auto"/>
            <w:bottom w:val="none" w:sz="0" w:space="0" w:color="auto"/>
            <w:right w:val="none" w:sz="0" w:space="0" w:color="auto"/>
          </w:divBdr>
        </w:div>
        <w:div w:id="1005402917">
          <w:marLeft w:val="0"/>
          <w:marRight w:val="0"/>
          <w:marTop w:val="0"/>
          <w:marBottom w:val="0"/>
          <w:divBdr>
            <w:top w:val="none" w:sz="0" w:space="0" w:color="auto"/>
            <w:left w:val="none" w:sz="0" w:space="0" w:color="auto"/>
            <w:bottom w:val="none" w:sz="0" w:space="0" w:color="auto"/>
            <w:right w:val="none" w:sz="0" w:space="0" w:color="auto"/>
          </w:divBdr>
        </w:div>
        <w:div w:id="1067534197">
          <w:marLeft w:val="0"/>
          <w:marRight w:val="0"/>
          <w:marTop w:val="0"/>
          <w:marBottom w:val="0"/>
          <w:divBdr>
            <w:top w:val="none" w:sz="0" w:space="0" w:color="auto"/>
            <w:left w:val="none" w:sz="0" w:space="0" w:color="auto"/>
            <w:bottom w:val="none" w:sz="0" w:space="0" w:color="auto"/>
            <w:right w:val="none" w:sz="0" w:space="0" w:color="auto"/>
          </w:divBdr>
        </w:div>
        <w:div w:id="1145244587">
          <w:marLeft w:val="0"/>
          <w:marRight w:val="0"/>
          <w:marTop w:val="0"/>
          <w:marBottom w:val="0"/>
          <w:divBdr>
            <w:top w:val="none" w:sz="0" w:space="0" w:color="auto"/>
            <w:left w:val="none" w:sz="0" w:space="0" w:color="auto"/>
            <w:bottom w:val="none" w:sz="0" w:space="0" w:color="auto"/>
            <w:right w:val="none" w:sz="0" w:space="0" w:color="auto"/>
          </w:divBdr>
        </w:div>
        <w:div w:id="1260262476">
          <w:marLeft w:val="0"/>
          <w:marRight w:val="0"/>
          <w:marTop w:val="0"/>
          <w:marBottom w:val="0"/>
          <w:divBdr>
            <w:top w:val="none" w:sz="0" w:space="0" w:color="auto"/>
            <w:left w:val="none" w:sz="0" w:space="0" w:color="auto"/>
            <w:bottom w:val="none" w:sz="0" w:space="0" w:color="auto"/>
            <w:right w:val="none" w:sz="0" w:space="0" w:color="auto"/>
          </w:divBdr>
        </w:div>
        <w:div w:id="1282028571">
          <w:marLeft w:val="0"/>
          <w:marRight w:val="0"/>
          <w:marTop w:val="0"/>
          <w:marBottom w:val="0"/>
          <w:divBdr>
            <w:top w:val="none" w:sz="0" w:space="0" w:color="auto"/>
            <w:left w:val="none" w:sz="0" w:space="0" w:color="auto"/>
            <w:bottom w:val="none" w:sz="0" w:space="0" w:color="auto"/>
            <w:right w:val="none" w:sz="0" w:space="0" w:color="auto"/>
          </w:divBdr>
        </w:div>
        <w:div w:id="1310205673">
          <w:marLeft w:val="0"/>
          <w:marRight w:val="0"/>
          <w:marTop w:val="0"/>
          <w:marBottom w:val="0"/>
          <w:divBdr>
            <w:top w:val="none" w:sz="0" w:space="0" w:color="auto"/>
            <w:left w:val="none" w:sz="0" w:space="0" w:color="auto"/>
            <w:bottom w:val="none" w:sz="0" w:space="0" w:color="auto"/>
            <w:right w:val="none" w:sz="0" w:space="0" w:color="auto"/>
          </w:divBdr>
        </w:div>
        <w:div w:id="1360662969">
          <w:marLeft w:val="0"/>
          <w:marRight w:val="0"/>
          <w:marTop w:val="0"/>
          <w:marBottom w:val="0"/>
          <w:divBdr>
            <w:top w:val="none" w:sz="0" w:space="0" w:color="auto"/>
            <w:left w:val="none" w:sz="0" w:space="0" w:color="auto"/>
            <w:bottom w:val="none" w:sz="0" w:space="0" w:color="auto"/>
            <w:right w:val="none" w:sz="0" w:space="0" w:color="auto"/>
          </w:divBdr>
        </w:div>
        <w:div w:id="1361707796">
          <w:marLeft w:val="0"/>
          <w:marRight w:val="0"/>
          <w:marTop w:val="0"/>
          <w:marBottom w:val="0"/>
          <w:divBdr>
            <w:top w:val="none" w:sz="0" w:space="0" w:color="auto"/>
            <w:left w:val="none" w:sz="0" w:space="0" w:color="auto"/>
            <w:bottom w:val="none" w:sz="0" w:space="0" w:color="auto"/>
            <w:right w:val="none" w:sz="0" w:space="0" w:color="auto"/>
          </w:divBdr>
        </w:div>
        <w:div w:id="1424495746">
          <w:marLeft w:val="0"/>
          <w:marRight w:val="0"/>
          <w:marTop w:val="0"/>
          <w:marBottom w:val="0"/>
          <w:divBdr>
            <w:top w:val="none" w:sz="0" w:space="0" w:color="auto"/>
            <w:left w:val="none" w:sz="0" w:space="0" w:color="auto"/>
            <w:bottom w:val="none" w:sz="0" w:space="0" w:color="auto"/>
            <w:right w:val="none" w:sz="0" w:space="0" w:color="auto"/>
          </w:divBdr>
        </w:div>
        <w:div w:id="1430807261">
          <w:marLeft w:val="0"/>
          <w:marRight w:val="0"/>
          <w:marTop w:val="0"/>
          <w:marBottom w:val="0"/>
          <w:divBdr>
            <w:top w:val="none" w:sz="0" w:space="0" w:color="auto"/>
            <w:left w:val="none" w:sz="0" w:space="0" w:color="auto"/>
            <w:bottom w:val="none" w:sz="0" w:space="0" w:color="auto"/>
            <w:right w:val="none" w:sz="0" w:space="0" w:color="auto"/>
          </w:divBdr>
        </w:div>
        <w:div w:id="1446844533">
          <w:marLeft w:val="0"/>
          <w:marRight w:val="0"/>
          <w:marTop w:val="0"/>
          <w:marBottom w:val="0"/>
          <w:divBdr>
            <w:top w:val="none" w:sz="0" w:space="0" w:color="auto"/>
            <w:left w:val="none" w:sz="0" w:space="0" w:color="auto"/>
            <w:bottom w:val="none" w:sz="0" w:space="0" w:color="auto"/>
            <w:right w:val="none" w:sz="0" w:space="0" w:color="auto"/>
          </w:divBdr>
        </w:div>
        <w:div w:id="1503085288">
          <w:marLeft w:val="0"/>
          <w:marRight w:val="0"/>
          <w:marTop w:val="0"/>
          <w:marBottom w:val="0"/>
          <w:divBdr>
            <w:top w:val="none" w:sz="0" w:space="0" w:color="auto"/>
            <w:left w:val="none" w:sz="0" w:space="0" w:color="auto"/>
            <w:bottom w:val="none" w:sz="0" w:space="0" w:color="auto"/>
            <w:right w:val="none" w:sz="0" w:space="0" w:color="auto"/>
          </w:divBdr>
        </w:div>
        <w:div w:id="1577858535">
          <w:marLeft w:val="0"/>
          <w:marRight w:val="0"/>
          <w:marTop w:val="0"/>
          <w:marBottom w:val="0"/>
          <w:divBdr>
            <w:top w:val="none" w:sz="0" w:space="0" w:color="auto"/>
            <w:left w:val="none" w:sz="0" w:space="0" w:color="auto"/>
            <w:bottom w:val="none" w:sz="0" w:space="0" w:color="auto"/>
            <w:right w:val="none" w:sz="0" w:space="0" w:color="auto"/>
          </w:divBdr>
        </w:div>
        <w:div w:id="1614362103">
          <w:marLeft w:val="0"/>
          <w:marRight w:val="0"/>
          <w:marTop w:val="0"/>
          <w:marBottom w:val="0"/>
          <w:divBdr>
            <w:top w:val="none" w:sz="0" w:space="0" w:color="auto"/>
            <w:left w:val="none" w:sz="0" w:space="0" w:color="auto"/>
            <w:bottom w:val="none" w:sz="0" w:space="0" w:color="auto"/>
            <w:right w:val="none" w:sz="0" w:space="0" w:color="auto"/>
          </w:divBdr>
        </w:div>
        <w:div w:id="1627278757">
          <w:marLeft w:val="0"/>
          <w:marRight w:val="0"/>
          <w:marTop w:val="0"/>
          <w:marBottom w:val="0"/>
          <w:divBdr>
            <w:top w:val="none" w:sz="0" w:space="0" w:color="auto"/>
            <w:left w:val="none" w:sz="0" w:space="0" w:color="auto"/>
            <w:bottom w:val="none" w:sz="0" w:space="0" w:color="auto"/>
            <w:right w:val="none" w:sz="0" w:space="0" w:color="auto"/>
          </w:divBdr>
        </w:div>
        <w:div w:id="1814055083">
          <w:marLeft w:val="0"/>
          <w:marRight w:val="0"/>
          <w:marTop w:val="0"/>
          <w:marBottom w:val="0"/>
          <w:divBdr>
            <w:top w:val="none" w:sz="0" w:space="0" w:color="auto"/>
            <w:left w:val="none" w:sz="0" w:space="0" w:color="auto"/>
            <w:bottom w:val="none" w:sz="0" w:space="0" w:color="auto"/>
            <w:right w:val="none" w:sz="0" w:space="0" w:color="auto"/>
          </w:divBdr>
        </w:div>
        <w:div w:id="1817144824">
          <w:marLeft w:val="0"/>
          <w:marRight w:val="0"/>
          <w:marTop w:val="0"/>
          <w:marBottom w:val="0"/>
          <w:divBdr>
            <w:top w:val="none" w:sz="0" w:space="0" w:color="auto"/>
            <w:left w:val="none" w:sz="0" w:space="0" w:color="auto"/>
            <w:bottom w:val="none" w:sz="0" w:space="0" w:color="auto"/>
            <w:right w:val="none" w:sz="0" w:space="0" w:color="auto"/>
          </w:divBdr>
        </w:div>
        <w:div w:id="1876232423">
          <w:marLeft w:val="0"/>
          <w:marRight w:val="0"/>
          <w:marTop w:val="0"/>
          <w:marBottom w:val="0"/>
          <w:divBdr>
            <w:top w:val="none" w:sz="0" w:space="0" w:color="auto"/>
            <w:left w:val="none" w:sz="0" w:space="0" w:color="auto"/>
            <w:bottom w:val="none" w:sz="0" w:space="0" w:color="auto"/>
            <w:right w:val="none" w:sz="0" w:space="0" w:color="auto"/>
          </w:divBdr>
        </w:div>
        <w:div w:id="1904872189">
          <w:marLeft w:val="0"/>
          <w:marRight w:val="0"/>
          <w:marTop w:val="0"/>
          <w:marBottom w:val="0"/>
          <w:divBdr>
            <w:top w:val="none" w:sz="0" w:space="0" w:color="auto"/>
            <w:left w:val="none" w:sz="0" w:space="0" w:color="auto"/>
            <w:bottom w:val="none" w:sz="0" w:space="0" w:color="auto"/>
            <w:right w:val="none" w:sz="0" w:space="0" w:color="auto"/>
          </w:divBdr>
        </w:div>
        <w:div w:id="1917664851">
          <w:marLeft w:val="0"/>
          <w:marRight w:val="0"/>
          <w:marTop w:val="0"/>
          <w:marBottom w:val="0"/>
          <w:divBdr>
            <w:top w:val="none" w:sz="0" w:space="0" w:color="auto"/>
            <w:left w:val="none" w:sz="0" w:space="0" w:color="auto"/>
            <w:bottom w:val="none" w:sz="0" w:space="0" w:color="auto"/>
            <w:right w:val="none" w:sz="0" w:space="0" w:color="auto"/>
          </w:divBdr>
        </w:div>
        <w:div w:id="1918202918">
          <w:marLeft w:val="0"/>
          <w:marRight w:val="0"/>
          <w:marTop w:val="0"/>
          <w:marBottom w:val="0"/>
          <w:divBdr>
            <w:top w:val="none" w:sz="0" w:space="0" w:color="auto"/>
            <w:left w:val="none" w:sz="0" w:space="0" w:color="auto"/>
            <w:bottom w:val="none" w:sz="0" w:space="0" w:color="auto"/>
            <w:right w:val="none" w:sz="0" w:space="0" w:color="auto"/>
          </w:divBdr>
        </w:div>
        <w:div w:id="1923250660">
          <w:marLeft w:val="0"/>
          <w:marRight w:val="0"/>
          <w:marTop w:val="0"/>
          <w:marBottom w:val="0"/>
          <w:divBdr>
            <w:top w:val="none" w:sz="0" w:space="0" w:color="auto"/>
            <w:left w:val="none" w:sz="0" w:space="0" w:color="auto"/>
            <w:bottom w:val="none" w:sz="0" w:space="0" w:color="auto"/>
            <w:right w:val="none" w:sz="0" w:space="0" w:color="auto"/>
          </w:divBdr>
        </w:div>
        <w:div w:id="1925528119">
          <w:marLeft w:val="0"/>
          <w:marRight w:val="0"/>
          <w:marTop w:val="0"/>
          <w:marBottom w:val="0"/>
          <w:divBdr>
            <w:top w:val="none" w:sz="0" w:space="0" w:color="auto"/>
            <w:left w:val="none" w:sz="0" w:space="0" w:color="auto"/>
            <w:bottom w:val="none" w:sz="0" w:space="0" w:color="auto"/>
            <w:right w:val="none" w:sz="0" w:space="0" w:color="auto"/>
          </w:divBdr>
        </w:div>
        <w:div w:id="1990860235">
          <w:marLeft w:val="0"/>
          <w:marRight w:val="0"/>
          <w:marTop w:val="0"/>
          <w:marBottom w:val="0"/>
          <w:divBdr>
            <w:top w:val="none" w:sz="0" w:space="0" w:color="auto"/>
            <w:left w:val="none" w:sz="0" w:space="0" w:color="auto"/>
            <w:bottom w:val="none" w:sz="0" w:space="0" w:color="auto"/>
            <w:right w:val="none" w:sz="0" w:space="0" w:color="auto"/>
          </w:divBdr>
        </w:div>
        <w:div w:id="1996182257">
          <w:marLeft w:val="0"/>
          <w:marRight w:val="0"/>
          <w:marTop w:val="0"/>
          <w:marBottom w:val="0"/>
          <w:divBdr>
            <w:top w:val="none" w:sz="0" w:space="0" w:color="auto"/>
            <w:left w:val="none" w:sz="0" w:space="0" w:color="auto"/>
            <w:bottom w:val="none" w:sz="0" w:space="0" w:color="auto"/>
            <w:right w:val="none" w:sz="0" w:space="0" w:color="auto"/>
          </w:divBdr>
        </w:div>
        <w:div w:id="2007248280">
          <w:marLeft w:val="0"/>
          <w:marRight w:val="0"/>
          <w:marTop w:val="0"/>
          <w:marBottom w:val="0"/>
          <w:divBdr>
            <w:top w:val="none" w:sz="0" w:space="0" w:color="auto"/>
            <w:left w:val="none" w:sz="0" w:space="0" w:color="auto"/>
            <w:bottom w:val="none" w:sz="0" w:space="0" w:color="auto"/>
            <w:right w:val="none" w:sz="0" w:space="0" w:color="auto"/>
          </w:divBdr>
        </w:div>
        <w:div w:id="2024819934">
          <w:marLeft w:val="0"/>
          <w:marRight w:val="0"/>
          <w:marTop w:val="0"/>
          <w:marBottom w:val="0"/>
          <w:divBdr>
            <w:top w:val="none" w:sz="0" w:space="0" w:color="auto"/>
            <w:left w:val="none" w:sz="0" w:space="0" w:color="auto"/>
            <w:bottom w:val="none" w:sz="0" w:space="0" w:color="auto"/>
            <w:right w:val="none" w:sz="0" w:space="0" w:color="auto"/>
          </w:divBdr>
        </w:div>
        <w:div w:id="2064018241">
          <w:marLeft w:val="0"/>
          <w:marRight w:val="0"/>
          <w:marTop w:val="0"/>
          <w:marBottom w:val="0"/>
          <w:divBdr>
            <w:top w:val="none" w:sz="0" w:space="0" w:color="auto"/>
            <w:left w:val="none" w:sz="0" w:space="0" w:color="auto"/>
            <w:bottom w:val="none" w:sz="0" w:space="0" w:color="auto"/>
            <w:right w:val="none" w:sz="0" w:space="0" w:color="auto"/>
          </w:divBdr>
        </w:div>
        <w:div w:id="2139102503">
          <w:marLeft w:val="0"/>
          <w:marRight w:val="0"/>
          <w:marTop w:val="0"/>
          <w:marBottom w:val="0"/>
          <w:divBdr>
            <w:top w:val="none" w:sz="0" w:space="0" w:color="auto"/>
            <w:left w:val="none" w:sz="0" w:space="0" w:color="auto"/>
            <w:bottom w:val="none" w:sz="0" w:space="0" w:color="auto"/>
            <w:right w:val="none" w:sz="0" w:space="0" w:color="auto"/>
          </w:divBdr>
        </w:div>
      </w:divsChild>
    </w:div>
    <w:div w:id="21114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4.svg"/><Relationship Id="rId42" Type="http://schemas.openxmlformats.org/officeDocument/2006/relationships/header" Target="header12.xml"/><Relationship Id="rId47" Type="http://schemas.openxmlformats.org/officeDocument/2006/relationships/image" Target="media/image10.emf"/><Relationship Id="rId63" Type="http://schemas.openxmlformats.org/officeDocument/2006/relationships/header" Target="header19.xm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image" Target="media/image6.emf"/><Relationship Id="rId45" Type="http://schemas.openxmlformats.org/officeDocument/2006/relationships/image" Target="media/image8.svg"/><Relationship Id="rId53" Type="http://schemas.openxmlformats.org/officeDocument/2006/relationships/image" Target="media/image16.emf"/><Relationship Id="rId58" Type="http://schemas.openxmlformats.org/officeDocument/2006/relationships/header" Target="header14.xml"/><Relationship Id="rId66" Type="http://schemas.openxmlformats.org/officeDocument/2006/relationships/header" Target="header22.xml"/><Relationship Id="rId5" Type="http://schemas.openxmlformats.org/officeDocument/2006/relationships/customXml" Target="../customXml/item5.xml"/><Relationship Id="rId61" Type="http://schemas.openxmlformats.org/officeDocument/2006/relationships/header" Target="header17.xml"/><Relationship Id="rId19" Type="http://schemas.openxmlformats.org/officeDocument/2006/relationships/hyperlink" Target="https://www.pc.gov.au/productivity-insights" TargetMode="Externa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eader" Target="header13.xml"/><Relationship Id="rId48" Type="http://schemas.openxmlformats.org/officeDocument/2006/relationships/image" Target="media/image11.emf"/><Relationship Id="rId56" Type="http://schemas.openxmlformats.org/officeDocument/2006/relationships/image" Target="media/image19.png"/><Relationship Id="rId64" Type="http://schemas.openxmlformats.org/officeDocument/2006/relationships/header" Target="header20.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image" Target="media/image9.emf"/><Relationship Id="rId59" Type="http://schemas.openxmlformats.org/officeDocument/2006/relationships/header" Target="header15.xml"/><Relationship Id="rId67" Type="http://schemas.openxmlformats.org/officeDocument/2006/relationships/header" Target="header23.xml"/><Relationship Id="rId20" Type="http://schemas.openxmlformats.org/officeDocument/2006/relationships/image" Target="media/image3.png"/><Relationship Id="rId41" Type="http://schemas.openxmlformats.org/officeDocument/2006/relationships/header" Target="header11.xml"/><Relationship Id="rId54" Type="http://schemas.openxmlformats.org/officeDocument/2006/relationships/image" Target="media/image17.emf"/><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footer" Target="footer10.xml"/><Relationship Id="rId49" Type="http://schemas.openxmlformats.org/officeDocument/2006/relationships/image" Target="media/image12.emf"/><Relationship Id="rId57" Type="http://schemas.openxmlformats.org/officeDocument/2006/relationships/image" Target="media/image20.emf"/><Relationship Id="rId10" Type="http://schemas.openxmlformats.org/officeDocument/2006/relationships/settings" Target="settings.xml"/><Relationship Id="rId31" Type="http://schemas.openxmlformats.org/officeDocument/2006/relationships/header" Target="header7.xml"/><Relationship Id="rId44" Type="http://schemas.openxmlformats.org/officeDocument/2006/relationships/image" Target="media/image7.png"/><Relationship Id="rId52" Type="http://schemas.openxmlformats.org/officeDocument/2006/relationships/image" Target="media/image15.emf"/><Relationship Id="rId60" Type="http://schemas.openxmlformats.org/officeDocument/2006/relationships/header" Target="header16.xm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image" Target="media/image5.emf"/><Relationship Id="rId34" Type="http://schemas.openxmlformats.org/officeDocument/2006/relationships/header" Target="header9.xml"/><Relationship Id="rId50" Type="http://schemas.openxmlformats.org/officeDocument/2006/relationships/image" Target="media/image13.emf"/><Relationship Id="rId55"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9b1f279405a0a89646073d5e7cfba394">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684c23a0064bc12fc100fbab1c7a35c2"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axCatchAll xmlns="20393cdf-440a-4521-8f19-00ba43423d00">
      <Value>1</Value>
    </TaxCatchAll>
    <thumbnail xmlns="3d385984-9344-419b-a80b-49c06a2bdab8" xsi:nil="true"/>
    <Status xmlns="3d385984-9344-419b-a80b-49c06a2bdab8" xsi:nil="true"/>
    <_Flow_SignoffStatus xmlns="3d385984-9344-419b-a80b-49c06a2bdab8" xsi:nil="true"/>
    <_dlc_DocId xmlns="20393cdf-440a-4521-8f19-00ba43423d00">MPWT-2140667901-90311</_dlc_DocId>
    <_dlc_DocIdUrl xmlns="20393cdf-440a-4521-8f19-00ba43423d00">
      <Url>https://pcgov.sharepoint.com/sites/sceteam/_layouts/15/DocIdRedir.aspx?ID=MPWT-2140667901-90311</Url>
      <Description>MPWT-2140667901-90311</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TemplafyTemplateConfiguration><![CDATA[{"elementsMetadata":[],"transformationConfigurations":[],"templateName":"chapter","templateDescription":"","enableDocumentContentUpdater":false,"version":"2.0"}]]></TemplafyTemplate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82CFC145-26C0-4658-B604-7FFF0A396889}">
  <ds:schemaRefs>
    <ds:schemaRef ds:uri="http://schemas.microsoft.com/sharepoint/v3/contenttype/forms"/>
  </ds:schemaRefs>
</ds:datastoreItem>
</file>

<file path=customXml/itemProps4.xml><?xml version="1.0" encoding="utf-8"?>
<ds:datastoreItem xmlns:ds="http://schemas.openxmlformats.org/officeDocument/2006/customXml" ds:itemID="{A83CA7E9-09C7-4FE5-BEC7-BDF6D9C80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04470E-FE49-4A38-B746-0CD6F8A1FCDE}">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6EE54A33-675C-4807-9B04-DC707624DA0E}">
  <ds:schemaRefs>
    <ds:schemaRef ds:uri="http://schemas.microsoft.com/sharepoint/events"/>
  </ds:schemaRefs>
</ds:datastoreItem>
</file>

<file path=customXml/itemProps7.xml><?xml version="1.0" encoding="utf-8"?>
<ds:datastoreItem xmlns:ds="http://schemas.openxmlformats.org/officeDocument/2006/customXml" ds:itemID="{5CCDCE8C-2FF2-479D-91C1-79A7A7683D3C}">
  <ds:schemaRefs/>
</ds:datastoreItem>
</file>

<file path=docMetadata/LabelInfo.xml><?xml version="1.0" encoding="utf-8"?>
<clbl:labelList xmlns:clbl="http://schemas.microsoft.com/office/2020/mipLabelMetadata">
  <clbl:label id="{0b6c7bd6-484a-4db3-95ba-dac3a08e6b47}" enabled="1" method="Privileged" siteId="{29f9330b-c0fe-4244-830e-ba9f275d6c34}" contentBits="1" removed="0"/>
</clbl:labelList>
</file>

<file path=docProps/app.xml><?xml version="1.0" encoding="utf-8"?>
<Properties xmlns="http://schemas.openxmlformats.org/officeDocument/2006/extended-properties" xmlns:vt="http://schemas.openxmlformats.org/officeDocument/2006/docPropsVTypes">
  <Template>PC-report-template.dotx</Template>
  <TotalTime>373</TotalTime>
  <Pages>1</Pages>
  <Words>34938</Words>
  <Characters>201944</Characters>
  <Application>Microsoft Office Word</Application>
  <DocSecurity>0</DocSecurity>
  <Lines>3365</Lines>
  <Paragraphs>1444</Paragraphs>
  <ScaleCrop>false</ScaleCrop>
  <HeadingPairs>
    <vt:vector size="2" baseType="variant">
      <vt:variant>
        <vt:lpstr>Title</vt:lpstr>
      </vt:variant>
      <vt:variant>
        <vt:i4>1</vt:i4>
      </vt:variant>
    </vt:vector>
  </HeadingPairs>
  <TitlesOfParts>
    <vt:vector size="1" baseType="lpstr">
      <vt:lpstr>Guardrails for modern industry policy</vt:lpstr>
    </vt:vector>
  </TitlesOfParts>
  <Company>Productivity Commission</Company>
  <LinksUpToDate>false</LinksUpToDate>
  <CharactersWithSpaces>235438</CharactersWithSpaces>
  <SharedDoc>false</SharedDoc>
  <HLinks>
    <vt:vector size="36" baseType="variant">
      <vt:variant>
        <vt:i4>7405684</vt:i4>
      </vt:variant>
      <vt:variant>
        <vt:i4>0</vt:i4>
      </vt:variant>
      <vt:variant>
        <vt:i4>0</vt:i4>
      </vt:variant>
      <vt:variant>
        <vt:i4>5</vt:i4>
      </vt:variant>
      <vt:variant>
        <vt:lpwstr>https://www.pc.gov.au/productivity-insights</vt:lpwstr>
      </vt:variant>
      <vt:variant>
        <vt:lpwstr/>
      </vt:variant>
      <vt:variant>
        <vt:i4>6094890</vt:i4>
      </vt:variant>
      <vt:variant>
        <vt:i4>12</vt:i4>
      </vt:variant>
      <vt:variant>
        <vt:i4>0</vt:i4>
      </vt:variant>
      <vt:variant>
        <vt:i4>5</vt:i4>
      </vt:variant>
      <vt:variant>
        <vt:lpwstr>mailto:MCROSS@pc.gov.au</vt:lpwstr>
      </vt:variant>
      <vt:variant>
        <vt:lpwstr/>
      </vt:variant>
      <vt:variant>
        <vt:i4>2293772</vt:i4>
      </vt:variant>
      <vt:variant>
        <vt:i4>9</vt:i4>
      </vt:variant>
      <vt:variant>
        <vt:i4>0</vt:i4>
      </vt:variant>
      <vt:variant>
        <vt:i4>5</vt:i4>
      </vt:variant>
      <vt:variant>
        <vt:lpwstr>mailto:cameron.eren@pc.gov.au</vt:lpwstr>
      </vt:variant>
      <vt:variant>
        <vt:lpwstr/>
      </vt:variant>
      <vt:variant>
        <vt:i4>7995473</vt:i4>
      </vt:variant>
      <vt:variant>
        <vt:i4>6</vt:i4>
      </vt:variant>
      <vt:variant>
        <vt:i4>0</vt:i4>
      </vt:variant>
      <vt:variant>
        <vt:i4>5</vt:i4>
      </vt:variant>
      <vt:variant>
        <vt:lpwstr>mailto:paul.gardner@pc.gov.au</vt:lpwstr>
      </vt:variant>
      <vt:variant>
        <vt:lpwstr/>
      </vt:variant>
      <vt:variant>
        <vt:i4>7995473</vt:i4>
      </vt:variant>
      <vt:variant>
        <vt:i4>3</vt:i4>
      </vt:variant>
      <vt:variant>
        <vt:i4>0</vt:i4>
      </vt:variant>
      <vt:variant>
        <vt:i4>5</vt:i4>
      </vt:variant>
      <vt:variant>
        <vt:lpwstr>mailto:paul.gardner@pc.gov.au</vt:lpwstr>
      </vt:variant>
      <vt:variant>
        <vt:lpwstr/>
      </vt:variant>
      <vt:variant>
        <vt:i4>6422617</vt:i4>
      </vt:variant>
      <vt:variant>
        <vt:i4>0</vt:i4>
      </vt:variant>
      <vt:variant>
        <vt:i4>0</vt:i4>
      </vt:variant>
      <vt:variant>
        <vt:i4>5</vt:i4>
      </vt:variant>
      <vt:variant>
        <vt:lpwstr>mailto:diego.machillanda@pc.gov.au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Guardrails for modern industry policy</dc:title>
  <dc:subject/>
  <dc:creator>Productivity Commission</dc:creator>
  <cp:keywords/>
  <dc:description/>
  <cp:lastModifiedBy>Chris Alston</cp:lastModifiedBy>
  <cp:revision>145</cp:revision>
  <cp:lastPrinted>2025-10-13T00:43:00Z</cp:lastPrinted>
  <dcterms:created xsi:type="dcterms:W3CDTF">2025-10-09T06:15:00Z</dcterms:created>
  <dcterms:modified xsi:type="dcterms:W3CDTF">2025-10-13T00:43:00Z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762985813498658835</vt:lpwstr>
  </property>
  <property fmtid="{D5CDD505-2E9C-101B-9397-08002B2CF9AE}" pid="5" name="TemplafyFromBlank">
    <vt:bool>false</vt:bool>
  </property>
  <property fmtid="{D5CDD505-2E9C-101B-9397-08002B2CF9AE}" pid="6" name="ClassificationContentMarkingHeaderFontProps">
    <vt:lpwstr>#000000,12,Calibri</vt:lpwstr>
  </property>
  <property fmtid="{D5CDD505-2E9C-101B-9397-08002B2CF9AE}" pid="7" name="MediaServiceImageTags">
    <vt:lpwstr/>
  </property>
  <property fmtid="{D5CDD505-2E9C-101B-9397-08002B2CF9AE}" pid="8" name="ZOTERO_PREF_2">
    <vt:lpwstr>JournalAbbreviations" value="true"/&gt;&lt;/prefs&gt;&lt;/data&gt;</vt:lpwstr>
  </property>
  <property fmtid="{D5CDD505-2E9C-101B-9397-08002B2CF9AE}" pid="9" name="ClassificationContentMarkingHeaderShapeIds">
    <vt:lpwstr>3320b814,1b138e52,40403101,62b58e6a,5eba8026</vt:lpwstr>
  </property>
  <property fmtid="{D5CDD505-2E9C-101B-9397-08002B2CF9AE}" pid="10" name="ClassificationContentMarkingHeaderText">
    <vt:lpwstr>OFFICIAL // FOR INTERNAL USE ONLY</vt:lpwstr>
  </property>
  <property fmtid="{D5CDD505-2E9C-101B-9397-08002B2CF9AE}" pid="11" name="docLang">
    <vt:lpwstr>en</vt:lpwstr>
  </property>
  <property fmtid="{D5CDD505-2E9C-101B-9397-08002B2CF9AE}" pid="12" name="ZOTERO_PREF_1">
    <vt:lpwstr>&lt;data data-version="3" zotero-version="7.0.24"&gt;&lt;session id="qdrghhEM"/&gt;&lt;style id="http://www.zotero.org/styles/Productivity-Commission" hasBibliography="1" bibliographyStyleHasBeenSet="1"/&gt;&lt;prefs&gt;&lt;pref name="fieldType" value="Field"/&gt;&lt;pref name="automatic</vt:lpwstr>
  </property>
  <property fmtid="{D5CDD505-2E9C-101B-9397-08002B2CF9AE}" pid="13" name="MSIP_Label_c1f2b1ce-4212-46db-a901-dd8453f57141_Enabled">
    <vt:lpwstr>true</vt:lpwstr>
  </property>
  <property fmtid="{D5CDD505-2E9C-101B-9397-08002B2CF9AE}" pid="14" name="MSIP_Label_c1f2b1ce-4212-46db-a901-dd8453f57141_SetDate">
    <vt:lpwstr>2025-10-09T06:15:15Z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795155e8-8d19-45d6-a3d1-4f1886cc7cb0</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y fmtid="{D5CDD505-2E9C-101B-9397-08002B2CF9AE}" pid="21" name="ContentTypeId">
    <vt:lpwstr>0x0101006C0B5E815648EF46B6FA6D42F17E5E9F000C963E276195B04F83BC027CFDC94A8D</vt:lpwstr>
  </property>
  <property fmtid="{D5CDD505-2E9C-101B-9397-08002B2CF9AE}" pid="22" name="RevIMBCS">
    <vt:lpwstr>1;#Unclassified|3955eeb1-2d18-4582-aeb2-00144ec3aaf5</vt:lpwstr>
  </property>
  <property fmtid="{D5CDD505-2E9C-101B-9397-08002B2CF9AE}" pid="23" name="_dlc_DocIdItemGuid">
    <vt:lpwstr>a8d72b08-508a-4563-9c23-3be327e5a89d</vt:lpwstr>
  </property>
</Properties>
</file>