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0A4BD0" w14:textId="77777777" w:rsidR="001A5483" w:rsidRPr="003A5798" w:rsidRDefault="001A5483" w:rsidP="001A5483">
      <w:pPr>
        <w:spacing w:before="360" w:after="240" w:line="240" w:lineRule="auto"/>
        <w:rPr>
          <w:b/>
          <w:bCs/>
          <w:sz w:val="28"/>
          <w:szCs w:val="28"/>
        </w:rPr>
      </w:pPr>
      <w:r w:rsidRPr="001A5483">
        <w:rPr>
          <w:sz w:val="28"/>
          <w:szCs w:val="28"/>
        </w:rPr>
        <w:t xml:space="preserve">Donors </w:t>
      </w:r>
      <w:r w:rsidRPr="003A5798">
        <w:rPr>
          <w:b/>
          <w:bCs/>
          <w:sz w:val="28"/>
          <w:szCs w:val="28"/>
        </w:rPr>
        <w:t>contributed $13.4 billion to Australian charities in 2021.</w:t>
      </w:r>
    </w:p>
    <w:p w14:paraId="0D87E9EB" w14:textId="3917C530" w:rsidR="00C70C04" w:rsidRPr="00C70C04" w:rsidRDefault="001A5483" w:rsidP="001A5483">
      <w:pPr>
        <w:spacing w:before="360" w:after="240" w:line="240" w:lineRule="auto"/>
        <w:rPr>
          <w:sz w:val="28"/>
          <w:szCs w:val="28"/>
        </w:rPr>
      </w:pPr>
      <w:r w:rsidRPr="001A5483">
        <w:rPr>
          <w:sz w:val="28"/>
          <w:szCs w:val="28"/>
        </w:rPr>
        <w:t>Government supports donors by allowing them to make tax-deductible donations to charities with deductible gift recipient (DGR) status, providing public information to make decisions about where to give, and regulating charities so donors can give with confidence.</w:t>
      </w:r>
    </w:p>
    <w:p w14:paraId="1A4A8857" w14:textId="69BD83D2" w:rsidR="00C70C04" w:rsidRPr="00C70C04" w:rsidRDefault="00C51067" w:rsidP="00C70C04">
      <w:pPr>
        <w:pStyle w:val="Heading2"/>
        <w:spacing w:after="120" w:line="240" w:lineRule="auto"/>
        <w:rPr>
          <w:sz w:val="28"/>
          <w:szCs w:val="28"/>
        </w:rPr>
      </w:pPr>
      <w:r w:rsidRPr="00C51067">
        <w:rPr>
          <w:sz w:val="28"/>
          <w:szCs w:val="28"/>
        </w:rPr>
        <w:t>The Commission finds policies could better support donors to give:</w:t>
      </w:r>
    </w:p>
    <w:p w14:paraId="4CF3CBAB" w14:textId="14661A54" w:rsidR="00005B5D" w:rsidRPr="0065699D" w:rsidRDefault="0065699D" w:rsidP="0065699D">
      <w:pPr>
        <w:pStyle w:val="ListBullet"/>
        <w:rPr>
          <w:sz w:val="24"/>
          <w:szCs w:val="21"/>
        </w:rPr>
      </w:pPr>
      <w:r w:rsidRPr="0065699D">
        <w:rPr>
          <w:sz w:val="24"/>
          <w:szCs w:val="21"/>
        </w:rPr>
        <w:t xml:space="preserve">The DGR system is </w:t>
      </w:r>
      <w:r w:rsidRPr="00B2482D">
        <w:rPr>
          <w:b/>
          <w:bCs/>
          <w:sz w:val="24"/>
          <w:szCs w:val="21"/>
        </w:rPr>
        <w:t>poorly designed and overly complex</w:t>
      </w:r>
      <w:r w:rsidRPr="0065699D">
        <w:rPr>
          <w:sz w:val="24"/>
          <w:szCs w:val="21"/>
        </w:rPr>
        <w:t>. This can affect donor choices to make tax-deductible donations to charities, with some charities eligible and some missing out.</w:t>
      </w:r>
    </w:p>
    <w:p w14:paraId="4AB8B415" w14:textId="29186A19" w:rsidR="00005B5D" w:rsidRDefault="0065699D" w:rsidP="00005B5D">
      <w:pPr>
        <w:pStyle w:val="ListBullet"/>
        <w:spacing w:after="120" w:line="240" w:lineRule="auto"/>
        <w:contextualSpacing w:val="0"/>
        <w:rPr>
          <w:sz w:val="24"/>
          <w:szCs w:val="21"/>
        </w:rPr>
      </w:pPr>
      <w:r w:rsidRPr="0065699D">
        <w:rPr>
          <w:sz w:val="24"/>
          <w:szCs w:val="21"/>
        </w:rPr>
        <w:t xml:space="preserve">Information on charities and giving collected and published by government agencies </w:t>
      </w:r>
      <w:r w:rsidRPr="00652E33">
        <w:rPr>
          <w:b/>
          <w:bCs/>
          <w:sz w:val="24"/>
          <w:szCs w:val="21"/>
        </w:rPr>
        <w:t>could be enhanced, so it better meets the needs of donors and the public.</w:t>
      </w:r>
    </w:p>
    <w:p w14:paraId="12BDA4C3" w14:textId="2099E932" w:rsidR="00C7347C" w:rsidRPr="00652E33" w:rsidRDefault="0065699D" w:rsidP="00005B5D">
      <w:pPr>
        <w:pStyle w:val="ListBullet"/>
        <w:spacing w:after="240" w:line="240" w:lineRule="auto"/>
        <w:contextualSpacing w:val="0"/>
        <w:rPr>
          <w:sz w:val="24"/>
          <w:szCs w:val="21"/>
        </w:rPr>
      </w:pPr>
      <w:r w:rsidRPr="00652E33">
        <w:rPr>
          <w:sz w:val="24"/>
          <w:szCs w:val="21"/>
        </w:rPr>
        <w:t xml:space="preserve">The Australian Charities and Not-for-profits Commission (ACNC) </w:t>
      </w:r>
      <w:r w:rsidRPr="0065699D">
        <w:rPr>
          <w:b/>
          <w:bCs/>
          <w:sz w:val="24"/>
          <w:szCs w:val="21"/>
        </w:rPr>
        <w:t xml:space="preserve">is unable to publish certain types of information </w:t>
      </w:r>
      <w:r w:rsidRPr="00652E33">
        <w:rPr>
          <w:sz w:val="24"/>
          <w:szCs w:val="21"/>
        </w:rPr>
        <w:t>that would help donors choose whether, and to which charities they should give.</w:t>
      </w:r>
    </w:p>
    <w:p w14:paraId="1C5EC387" w14:textId="7A7FDB9F" w:rsidR="00C70C04" w:rsidRPr="00C70C04" w:rsidRDefault="00C70C04" w:rsidP="00C70C04">
      <w:pPr>
        <w:pStyle w:val="Heading2"/>
        <w:spacing w:after="120" w:line="240" w:lineRule="auto"/>
        <w:rPr>
          <w:sz w:val="28"/>
          <w:szCs w:val="28"/>
        </w:rPr>
      </w:pPr>
      <w:r w:rsidRPr="00C70C04">
        <w:rPr>
          <w:sz w:val="28"/>
          <w:szCs w:val="28"/>
        </w:rPr>
        <w:t>The Commission’s draft report:</w:t>
      </w:r>
    </w:p>
    <w:p w14:paraId="3CD19979" w14:textId="5ADB31F4" w:rsidR="00005B5D" w:rsidRPr="00C70C04" w:rsidRDefault="00005B5D" w:rsidP="00005B5D">
      <w:pPr>
        <w:pStyle w:val="ListBullet"/>
        <w:spacing w:after="120" w:line="240" w:lineRule="auto"/>
        <w:contextualSpacing w:val="0"/>
        <w:rPr>
          <w:sz w:val="24"/>
          <w:szCs w:val="21"/>
        </w:rPr>
      </w:pPr>
      <w:r w:rsidRPr="00005B5D">
        <w:rPr>
          <w:sz w:val="24"/>
          <w:szCs w:val="21"/>
        </w:rPr>
        <w:t xml:space="preserve">Recommends </w:t>
      </w:r>
      <w:r w:rsidR="00A06C4A">
        <w:rPr>
          <w:sz w:val="24"/>
          <w:szCs w:val="21"/>
        </w:rPr>
        <w:t xml:space="preserve">a </w:t>
      </w:r>
      <w:r w:rsidR="00A06C4A">
        <w:rPr>
          <w:b/>
          <w:bCs/>
          <w:sz w:val="24"/>
          <w:szCs w:val="21"/>
        </w:rPr>
        <w:t xml:space="preserve">simpler and more consistent DGR system </w:t>
      </w:r>
      <w:r w:rsidR="00A06C4A">
        <w:rPr>
          <w:sz w:val="24"/>
          <w:szCs w:val="21"/>
        </w:rPr>
        <w:t>that will enable donors to make tax-deductible gifts to a broader range of charities (draft recommendation 6.1)</w:t>
      </w:r>
      <w:r w:rsidR="005A7045">
        <w:rPr>
          <w:sz w:val="24"/>
          <w:szCs w:val="21"/>
        </w:rPr>
        <w:t>.</w:t>
      </w:r>
    </w:p>
    <w:p w14:paraId="4FF98269" w14:textId="0AAC414D" w:rsidR="00005B5D" w:rsidRDefault="003A5798" w:rsidP="00005B5D">
      <w:pPr>
        <w:pStyle w:val="ListBullet"/>
        <w:spacing w:after="120" w:line="240" w:lineRule="auto"/>
        <w:contextualSpacing w:val="0"/>
        <w:rPr>
          <w:sz w:val="24"/>
          <w:szCs w:val="21"/>
        </w:rPr>
      </w:pPr>
      <w:r>
        <w:rPr>
          <w:sz w:val="24"/>
          <w:szCs w:val="21"/>
        </w:rPr>
        <w:t xml:space="preserve">Recommends ways for </w:t>
      </w:r>
      <w:r>
        <w:rPr>
          <w:b/>
          <w:bCs/>
          <w:sz w:val="24"/>
          <w:szCs w:val="21"/>
        </w:rPr>
        <w:t xml:space="preserve">government agencies </w:t>
      </w:r>
      <w:r w:rsidR="005D4738">
        <w:rPr>
          <w:b/>
          <w:bCs/>
          <w:sz w:val="24"/>
          <w:szCs w:val="21"/>
        </w:rPr>
        <w:t xml:space="preserve">to create more value from the data they hold </w:t>
      </w:r>
      <w:r w:rsidR="005D4738">
        <w:rPr>
          <w:sz w:val="24"/>
          <w:szCs w:val="21"/>
        </w:rPr>
        <w:t xml:space="preserve">(draft recommendation 9.1) and </w:t>
      </w:r>
      <w:r w:rsidR="005D4738">
        <w:rPr>
          <w:b/>
          <w:bCs/>
          <w:sz w:val="24"/>
          <w:szCs w:val="21"/>
        </w:rPr>
        <w:t xml:space="preserve">embed donor and public views in the ACNC’s regulatory approach </w:t>
      </w:r>
      <w:r w:rsidR="005D4738">
        <w:rPr>
          <w:sz w:val="24"/>
          <w:szCs w:val="21"/>
        </w:rPr>
        <w:t xml:space="preserve">(draft recommendation 9.2). </w:t>
      </w:r>
    </w:p>
    <w:p w14:paraId="320CCC9D" w14:textId="4811DD9B" w:rsidR="00005B5D" w:rsidRPr="009A59CE" w:rsidRDefault="00397777" w:rsidP="00005B5D">
      <w:pPr>
        <w:pStyle w:val="ListBullet"/>
        <w:spacing w:after="120" w:line="240" w:lineRule="auto"/>
        <w:contextualSpacing w:val="0"/>
      </w:pPr>
      <w:r>
        <w:rPr>
          <w:sz w:val="24"/>
          <w:szCs w:val="21"/>
        </w:rPr>
        <w:t xml:space="preserve">Recommends reforms to </w:t>
      </w:r>
      <w:r>
        <w:rPr>
          <w:b/>
          <w:bCs/>
          <w:sz w:val="24"/>
          <w:szCs w:val="21"/>
        </w:rPr>
        <w:t xml:space="preserve">enable the ACNC to share more information publicly </w:t>
      </w:r>
      <w:r w:rsidR="009A59CE">
        <w:rPr>
          <w:sz w:val="24"/>
          <w:szCs w:val="21"/>
        </w:rPr>
        <w:t xml:space="preserve">(draft recommendation 7.2). </w:t>
      </w:r>
    </w:p>
    <w:p w14:paraId="7E23EC24" w14:textId="4C344546" w:rsidR="009A59CE" w:rsidRPr="00AE7C97" w:rsidRDefault="009A59CE" w:rsidP="00005B5D">
      <w:pPr>
        <w:pStyle w:val="ListBullet"/>
        <w:spacing w:after="120" w:line="240" w:lineRule="auto"/>
        <w:contextualSpacing w:val="0"/>
      </w:pPr>
      <w:r>
        <w:rPr>
          <w:sz w:val="24"/>
          <w:szCs w:val="21"/>
        </w:rPr>
        <w:t xml:space="preserve">Is seeking views on </w:t>
      </w:r>
      <w:r>
        <w:rPr>
          <w:b/>
          <w:bCs/>
          <w:sz w:val="24"/>
          <w:szCs w:val="21"/>
        </w:rPr>
        <w:t xml:space="preserve">options to simplify the process </w:t>
      </w:r>
      <w:r w:rsidRPr="00FF637C">
        <w:rPr>
          <w:sz w:val="24"/>
          <w:szCs w:val="21"/>
        </w:rPr>
        <w:t>of directi</w:t>
      </w:r>
      <w:r w:rsidR="00B63537">
        <w:rPr>
          <w:sz w:val="24"/>
          <w:szCs w:val="21"/>
        </w:rPr>
        <w:t>ng</w:t>
      </w:r>
      <w:r w:rsidRPr="00FF637C">
        <w:rPr>
          <w:sz w:val="24"/>
          <w:szCs w:val="21"/>
        </w:rPr>
        <w:t xml:space="preserve"> excess superannuation</w:t>
      </w:r>
      <w:r>
        <w:rPr>
          <w:b/>
          <w:bCs/>
          <w:sz w:val="24"/>
          <w:szCs w:val="21"/>
        </w:rPr>
        <w:t xml:space="preserve"> </w:t>
      </w:r>
      <w:r w:rsidR="00FF637C" w:rsidRPr="00FF637C">
        <w:rPr>
          <w:sz w:val="24"/>
          <w:szCs w:val="21"/>
        </w:rPr>
        <w:t>on death to charities (information request 8.4).</w:t>
      </w:r>
      <w:r w:rsidR="00FF637C">
        <w:rPr>
          <w:b/>
          <w:bCs/>
          <w:sz w:val="24"/>
          <w:szCs w:val="21"/>
        </w:rPr>
        <w:t xml:space="preserve"> </w:t>
      </w:r>
    </w:p>
    <w:p w14:paraId="70C60C84" w14:textId="2B2F2004" w:rsidR="00AE7C97" w:rsidRPr="00AE7C97" w:rsidRDefault="00005B5D" w:rsidP="00AE7C97">
      <w:r w:rsidRPr="00005B5D">
        <w:rPr>
          <w:noProof/>
        </w:rPr>
        <w:drawing>
          <wp:anchor distT="0" distB="0" distL="114300" distR="114300" simplePos="0" relativeHeight="251658240" behindDoc="0" locked="0" layoutInCell="1" allowOverlap="1" wp14:anchorId="0969D194" wp14:editId="3C2E4D13">
            <wp:simplePos x="0" y="0"/>
            <wp:positionH relativeFrom="column">
              <wp:posOffset>4316095</wp:posOffset>
            </wp:positionH>
            <wp:positionV relativeFrom="paragraph">
              <wp:posOffset>226695</wp:posOffset>
            </wp:positionV>
            <wp:extent cx="1799590" cy="1619885"/>
            <wp:effectExtent l="0" t="0" r="3810" b="5715"/>
            <wp:wrapSquare wrapText="bothSides"/>
            <wp:docPr id="1045038500" name="Picture 1045038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03850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6EA5C" w14:textId="78B67926" w:rsidR="00AE7C97" w:rsidRPr="00AE7C97" w:rsidRDefault="00AE7C97" w:rsidP="00AE7C97"/>
    <w:p w14:paraId="46BEA470" w14:textId="3527F0BD" w:rsidR="00AE7C97" w:rsidRPr="00AE7C97" w:rsidRDefault="00AE7C97" w:rsidP="00AE7C97"/>
    <w:p w14:paraId="7F6F04D6" w14:textId="06992CDD" w:rsidR="00AE7C97" w:rsidRPr="00AE7C97" w:rsidRDefault="00AE7C97" w:rsidP="00AE7C97"/>
    <w:p w14:paraId="29687B5B" w14:textId="2851133F" w:rsidR="00AE7C97" w:rsidRPr="00AE7C97" w:rsidRDefault="00AE7C97" w:rsidP="00AE7C97">
      <w:pPr>
        <w:tabs>
          <w:tab w:val="left" w:pos="4102"/>
        </w:tabs>
      </w:pPr>
      <w:r>
        <w:tab/>
      </w:r>
    </w:p>
    <w:sectPr w:rsidR="00AE7C97" w:rsidRPr="00AE7C97" w:rsidSect="00AE7C97">
      <w:headerReference w:type="default" r:id="rId14"/>
      <w:footerReference w:type="default" r:id="rId15"/>
      <w:pgSz w:w="11906" w:h="16838"/>
      <w:pgMar w:top="2693" w:right="1134" w:bottom="1701" w:left="1134" w:header="284" w:footer="8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9335FE" w14:textId="77777777" w:rsidR="00253D16" w:rsidRDefault="00253D16" w:rsidP="00BF738A">
      <w:pPr>
        <w:spacing w:after="0" w:line="240" w:lineRule="auto"/>
      </w:pPr>
      <w:r>
        <w:separator/>
      </w:r>
    </w:p>
  </w:endnote>
  <w:endnote w:type="continuationSeparator" w:id="0">
    <w:p w14:paraId="7877CF69" w14:textId="77777777" w:rsidR="00253D16" w:rsidRDefault="00253D16" w:rsidP="00BF738A">
      <w:pPr>
        <w:spacing w:after="0" w:line="240" w:lineRule="auto"/>
      </w:pPr>
      <w:r>
        <w:continuationSeparator/>
      </w:r>
    </w:p>
  </w:endnote>
  <w:endnote w:type="continuationNotice" w:id="1">
    <w:p w14:paraId="342BB182" w14:textId="77777777" w:rsidR="00253D16" w:rsidRDefault="00253D1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4E127" w14:textId="715F06C8" w:rsidR="00BF738A" w:rsidRPr="00AE7C97" w:rsidRDefault="00AE7C97" w:rsidP="00AE7C97">
    <w:pPr>
      <w:tabs>
        <w:tab w:val="left" w:pos="2552"/>
        <w:tab w:val="right" w:pos="9072"/>
      </w:tabs>
      <w:spacing w:before="100" w:beforeAutospacing="1" w:after="100" w:afterAutospacing="1" w:line="260" w:lineRule="atLeast"/>
      <w:rPr>
        <w:rFonts w:ascii="Arial" w:eastAsia="Times New Roman" w:hAnsi="Arial" w:cs="Arial"/>
        <w:kern w:val="16"/>
        <w:lang w:eastAsia="en-AU"/>
      </w:rPr>
    </w:pPr>
    <w:r w:rsidRPr="00AE7C97">
      <w:rPr>
        <w:rFonts w:ascii="Arial" w:eastAsia="Times New Roman" w:hAnsi="Arial" w:cs="Arial"/>
        <w:b/>
        <w:bCs/>
        <w:noProof/>
        <w:color w:val="265A9A" w:themeColor="background2"/>
        <w:kern w:val="16"/>
        <w:sz w:val="20"/>
        <w:szCs w:val="20"/>
        <w:lang w:eastAsia="en-AU"/>
      </w:rPr>
      <w:drawing>
        <wp:anchor distT="0" distB="0" distL="114300" distR="114300" simplePos="0" relativeHeight="251658240" behindDoc="1" locked="0" layoutInCell="1" allowOverlap="1" wp14:anchorId="697D6A4C" wp14:editId="72CD51D9">
          <wp:simplePos x="0" y="0"/>
          <wp:positionH relativeFrom="page">
            <wp:posOffset>-260465</wp:posOffset>
          </wp:positionH>
          <wp:positionV relativeFrom="page">
            <wp:posOffset>9509759</wp:posOffset>
          </wp:positionV>
          <wp:extent cx="7928882" cy="753687"/>
          <wp:effectExtent l="0" t="0" r="0" b="0"/>
          <wp:wrapNone/>
          <wp:docPr id="1440379643" name="Picture 1440379643" descr="Providing independent research and advice to Government on economic, social and environmental issue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Providing independent research and advice to Government on economic, social and environmental issues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" t="-2082" r="3" b="53256"/>
                  <a:stretch/>
                </pic:blipFill>
                <pic:spPr bwMode="auto">
                  <a:xfrm>
                    <a:off x="0" y="0"/>
                    <a:ext cx="8012876" cy="7616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E7C97">
      <w:rPr>
        <w:rFonts w:ascii="Arial" w:eastAsia="Times New Roman" w:hAnsi="Arial" w:cs="Arial"/>
        <w:b/>
        <w:bCs/>
        <w:noProof/>
        <w:color w:val="265A9A" w:themeColor="background2"/>
        <w:kern w:val="16"/>
        <w:sz w:val="20"/>
        <w:szCs w:val="20"/>
        <w:lang w:eastAsia="en-AU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AC34BFD" wp14:editId="005B8F65">
              <wp:simplePos x="0" y="0"/>
              <wp:positionH relativeFrom="column">
                <wp:posOffset>-720090</wp:posOffset>
              </wp:positionH>
              <wp:positionV relativeFrom="paragraph">
                <wp:posOffset>579293</wp:posOffset>
              </wp:positionV>
              <wp:extent cx="7592291" cy="687359"/>
              <wp:effectExtent l="0" t="0" r="2540" b="0"/>
              <wp:wrapNone/>
              <wp:docPr id="1254473338" name="Rectangle 12544733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2291" cy="68735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 xmlns:w16du="http://schemas.microsoft.com/office/word/2023/wordml/word16du">
          <w:pict>
            <v:rect w14:anchorId="4C5573E1" id="Rectangle 1" o:spid="_x0000_s1026" style="position:absolute;margin-left:-56.7pt;margin-top:45.6pt;width:597.8pt;height:54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YuEfAIAAF4FAAAOAAAAZHJzL2Uyb0RvYy54bWysVMFu2zAMvQ/YPwi6r3a8pm2COkXQosOA&#10;oivWDj0rshQbkEWNUuJkXz9Kdpy2K3YYdpElkXwknx91ebVrDdsq9A3Ykk9Ocs6UlVA1dl3yH0+3&#10;ny4480HYShiwquR75fnV4uOHy87NVQE1mEohIxDr550reR2Cm2eZl7VqhT8BpywZNWArAh1xnVUo&#10;OkJvTVbk+VnWAVYOQSrv6famN/JFwtdayfBNa68CMyWn2kJaMa2ruGaLSzFfo3B1I4cyxD9U0YrG&#10;UtIR6kYEwTbY/AHVNhLBgw4nEtoMtG6kSj1QN5P8TTePtXAq9ULkeDfS5P8frLzfProHJBo65+ee&#10;trGLncY2fqk+tktk7Uey1C4wSZfn01lRzCacSbKdXZx/ns4im9kx2qEPXxS0LG5KjvQzEkdie+dD&#10;73pwick8mKa6bYxJhygAdW2QbQX9utW6GMBfeRkbfS3EqB4w3mTHVtIu7I2KfsZ+V5o1FRVfpEKS&#10;yo5JhJTKhklvqkWl+tyTaZ4noVBrY0RqNAFGZE35R+wB4HUDB+y+ysE/hqok0jE4/1thffAYkTKD&#10;DWNw21jA9wAMdTVk7v0PJPXURJZWUO0fkCH0I+KdvG3ot90JHx4E0kzQ9NCch2+0aANdyWHYcVYD&#10;/nrvPvqTVMnKWUczVnL/cyNQcWa+WhLxbHJ6GocyHU6n5wUd8KVl9dJiN+01kBZIclRd2kb/YA5b&#10;jdA+03OwjFnJJKyk3CWXAQ+H69DPPj0oUi2XyY0G0YlwZx+djOCR1SjLp92zQDdoN5Dq7+Ewj2L+&#10;RsK9b4y0sNwE0E3S95HXgW8a4iSc4cGJr8TLc/I6PouL3wAAAP//AwBQSwMEFAAGAAgAAAAhAIPs&#10;evHjAAAAEQEAAA8AAABkcnMvZG93bnJldi54bWxMT8lOwzAQvSPxD9YgcWudhKpq0jhVxXLggkRB&#10;FUcnniwiHke224a/Z3qCy+iN5s1byt1sR3FGHwZHCtJlAgKpcWagTsHnx8tiAyJETUaPjlDBDwbY&#10;Vbc3pS6Mu9A7ng+xEyxCodAK+hinQsrQ9Gh1WLoJiW+t81ZHXn0njdcXFrejzJJkLa0eiB16PeFj&#10;j8334WQVUPu6zofhrQ1+f7TH56z9qjup1P3d/LTlsd+CiDjHvw+4duD8UHGw2p3IBDEqWKTpw4q5&#10;CvI0A3FlJJuMUc0oz1cgq1L+b1L9AgAA//8DAFBLAQItABQABgAIAAAAIQC2gziS/gAAAOEBAAAT&#10;AAAAAAAAAAAAAAAAAAAAAABbQ29udGVudF9UeXBlc10ueG1sUEsBAi0AFAAGAAgAAAAhADj9If/W&#10;AAAAlAEAAAsAAAAAAAAAAAAAAAAALwEAAF9yZWxzLy5yZWxzUEsBAi0AFAAGAAgAAAAhAMgZi4R8&#10;AgAAXgUAAA4AAAAAAAAAAAAAAAAALgIAAGRycy9lMm9Eb2MueG1sUEsBAi0AFAAGAAgAAAAhAIPs&#10;evHjAAAAEQEAAA8AAAAAAAAAAAAAAAAA1gQAAGRycy9kb3ducmV2LnhtbFBLBQYAAAAABAAEAPMA&#10;AADmBQAAAAA=&#10;" fillcolor="#265a9a [3214]" stroked="f" strokeweight="2pt"/>
          </w:pict>
        </mc:Fallback>
      </mc:AlternateContent>
    </w:r>
    <w:hyperlink r:id="rId2" w:history="1">
      <w:r w:rsidRPr="00AE7C97">
        <w:rPr>
          <w:rStyle w:val="Hyperlink"/>
          <w:rFonts w:ascii="Arial" w:eastAsia="Times New Roman" w:hAnsi="Arial" w:cs="Arial"/>
          <w:b/>
          <w:bCs/>
          <w:noProof/>
          <w:color w:val="265A9A" w:themeColor="background2"/>
          <w:kern w:val="16"/>
          <w:lang w:eastAsia="en-AU"/>
        </w:rPr>
        <w:t>philanthropy@pc.gov.au</w:t>
      </w:r>
    </w:hyperlink>
    <w:r w:rsidRPr="00AE7C97">
      <w:rPr>
        <w:rFonts w:ascii="Arial" w:eastAsia="Times New Roman" w:hAnsi="Arial" w:cs="Arial"/>
        <w:kern w:val="16"/>
        <w:lang w:eastAsia="en-AU"/>
      </w:rPr>
      <w:br/>
      <w:t>T</w:t>
    </w:r>
    <w:r w:rsidR="00BF738A" w:rsidRPr="00AE7C97">
      <w:rPr>
        <w:rFonts w:ascii="Arial" w:eastAsia="Times New Roman" w:hAnsi="Arial" w:cs="Arial"/>
        <w:kern w:val="16"/>
        <w:lang w:eastAsia="en-AU"/>
      </w:rPr>
      <w:t xml:space="preserve">his publication can be accessed from the Commission’s website at </w:t>
    </w:r>
    <w:hyperlink r:id="rId3" w:history="1">
      <w:r w:rsidRPr="00AE7C97">
        <w:rPr>
          <w:rStyle w:val="Hyperlink"/>
          <w:rFonts w:ascii="Arial" w:eastAsia="Times New Roman" w:hAnsi="Arial" w:cs="Arial"/>
          <w:b/>
          <w:color w:val="265A9A" w:themeColor="background2"/>
          <w:kern w:val="16"/>
          <w:lang w:eastAsia="en-AU"/>
        </w:rPr>
        <w:t>www.pc.gov.au/philanthropy</w:t>
      </w:r>
    </w:hyperlink>
    <w:r w:rsidRPr="00AE7C97">
      <w:rPr>
        <w:rFonts w:ascii="Arial" w:eastAsia="Times New Roman" w:hAnsi="Arial" w:cs="Arial"/>
        <w:b/>
        <w:kern w:val="16"/>
        <w:lang w:eastAsia="en-AU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F0CBE3" w14:textId="77777777" w:rsidR="00253D16" w:rsidRDefault="00253D16" w:rsidP="00BF738A">
      <w:pPr>
        <w:spacing w:after="0" w:line="240" w:lineRule="auto"/>
      </w:pPr>
      <w:r>
        <w:separator/>
      </w:r>
    </w:p>
  </w:footnote>
  <w:footnote w:type="continuationSeparator" w:id="0">
    <w:p w14:paraId="4DDF6394" w14:textId="77777777" w:rsidR="00253D16" w:rsidRDefault="00253D16" w:rsidP="00BF738A">
      <w:pPr>
        <w:spacing w:after="0" w:line="240" w:lineRule="auto"/>
      </w:pPr>
      <w:r>
        <w:continuationSeparator/>
      </w:r>
    </w:p>
  </w:footnote>
  <w:footnote w:type="continuationNotice" w:id="1">
    <w:p w14:paraId="19ADB79A" w14:textId="77777777" w:rsidR="00253D16" w:rsidRDefault="00253D1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DCAF7" w14:textId="77777777" w:rsidR="002436B4" w:rsidRDefault="00C70C04" w:rsidP="00C7347C">
    <w:pPr>
      <w:pStyle w:val="Heading2"/>
      <w:spacing w:before="0" w:after="0" w:line="240" w:lineRule="auto"/>
      <w:rPr>
        <w:sz w:val="56"/>
        <w:szCs w:val="56"/>
      </w:rPr>
    </w:pPr>
    <w:r w:rsidRPr="00C70C04">
      <w:rPr>
        <w:noProof/>
        <w:color w:val="FFFFFF" w:themeColor="background1"/>
        <w:sz w:val="56"/>
        <w:szCs w:val="56"/>
      </w:rPr>
      <w:drawing>
        <wp:anchor distT="0" distB="0" distL="114300" distR="114300" simplePos="0" relativeHeight="251658241" behindDoc="1" locked="0" layoutInCell="1" allowOverlap="1" wp14:anchorId="3892B733" wp14:editId="30F79392">
          <wp:simplePos x="0" y="0"/>
          <wp:positionH relativeFrom="column">
            <wp:posOffset>-720090</wp:posOffset>
          </wp:positionH>
          <wp:positionV relativeFrom="paragraph">
            <wp:posOffset>-201872</wp:posOffset>
          </wp:positionV>
          <wp:extent cx="7553325" cy="1731564"/>
          <wp:effectExtent l="0" t="0" r="3175" b="0"/>
          <wp:wrapNone/>
          <wp:docPr id="1271092743" name="Picture 12710927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1092743" name="Graphic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t="2852" b="2852"/>
                  <a:stretch>
                    <a:fillRect/>
                  </a:stretch>
                </pic:blipFill>
                <pic:spPr bwMode="auto">
                  <a:xfrm>
                    <a:off x="0" y="0"/>
                    <a:ext cx="7559748" cy="1733036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56"/>
        <w:szCs w:val="56"/>
      </w:rPr>
      <w:drawing>
        <wp:inline distT="0" distB="0" distL="0" distR="0" wp14:anchorId="726B4F65" wp14:editId="3A1EC47E">
          <wp:extent cx="2130804" cy="507335"/>
          <wp:effectExtent l="0" t="0" r="3175" b="1270"/>
          <wp:docPr id="1886279847" name="Picture 18862798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6279847" name="Graphic 1886279847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6475" cy="5348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6DDA8A7" w14:textId="45288EDF" w:rsidR="00BF738A" w:rsidRDefault="002436B4" w:rsidP="002436B4">
    <w:pPr>
      <w:pStyle w:val="Heading2"/>
      <w:spacing w:after="0" w:line="240" w:lineRule="auto"/>
      <w:rPr>
        <w:color w:val="FFFFFF" w:themeColor="background1"/>
        <w:sz w:val="56"/>
        <w:szCs w:val="56"/>
      </w:rPr>
    </w:pPr>
    <w:r w:rsidRPr="002436B4">
      <w:rPr>
        <w:color w:val="FFFFFF" w:themeColor="background1"/>
        <w:sz w:val="44"/>
        <w:szCs w:val="44"/>
      </w:rPr>
      <w:t>Future foundations for giving</w:t>
    </w:r>
  </w:p>
  <w:p w14:paraId="50FCCDE6" w14:textId="75DD7A92" w:rsidR="00C70C04" w:rsidRPr="00C70C04" w:rsidRDefault="008C3FBB" w:rsidP="008C3FBB">
    <w:pPr>
      <w:pStyle w:val="Heading1"/>
      <w:spacing w:before="100" w:after="0" w:line="240" w:lineRule="auto"/>
      <w:rPr>
        <w:color w:val="FFFFFF" w:themeColor="background1"/>
      </w:rPr>
    </w:pPr>
    <w:r w:rsidRPr="008C3FBB">
      <w:rPr>
        <w:color w:val="FFFFFF" w:themeColor="background1"/>
      </w:rPr>
      <w:t xml:space="preserve">What is in the philanthropy draft report </w:t>
    </w:r>
    <w:r>
      <w:rPr>
        <w:color w:val="FFFFFF" w:themeColor="background1"/>
      </w:rPr>
      <w:br/>
    </w:r>
    <w:r w:rsidRPr="008C3FBB">
      <w:rPr>
        <w:color w:val="F8D07A" w:themeColor="accent3" w:themeTint="99"/>
      </w:rPr>
      <w:t xml:space="preserve">for </w:t>
    </w:r>
    <w:r w:rsidR="00EE4054">
      <w:rPr>
        <w:color w:val="F8D07A" w:themeColor="accent3" w:themeTint="99"/>
      </w:rPr>
      <w:t>donors</w:t>
    </w:r>
    <w:r w:rsidRPr="008C3FBB">
      <w:rPr>
        <w:color w:val="FFFFFF" w:themeColor="background1"/>
      </w:rPr>
      <w:t>?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300E104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9BB885A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8E20ED2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C30887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31A37EF"/>
    <w:multiLevelType w:val="hybridMultilevel"/>
    <w:tmpl w:val="3EB88730"/>
    <w:lvl w:ilvl="0" w:tplc="AA2616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3E6C9D"/>
    <w:multiLevelType w:val="multilevel"/>
    <w:tmpl w:val="FF8069A4"/>
    <w:lvl w:ilvl="0">
      <w:start w:val="1"/>
      <w:numFmt w:val="bullet"/>
      <w:pStyle w:val="ListBullet"/>
      <w:lvlText w:val="•"/>
      <w:lvlJc w:val="left"/>
      <w:pPr>
        <w:ind w:left="227" w:hanging="227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pStyle w:val="ListBullet2"/>
      <w:lvlText w:val="–"/>
      <w:lvlJc w:val="left"/>
      <w:pPr>
        <w:ind w:left="454" w:hanging="227"/>
      </w:pPr>
      <w:rPr>
        <w:rFonts w:ascii="Arial" w:hAnsi="Arial" w:hint="default"/>
        <w:color w:val="auto"/>
      </w:rPr>
    </w:lvl>
    <w:lvl w:ilvl="2">
      <w:start w:val="1"/>
      <w:numFmt w:val="bullet"/>
      <w:pStyle w:val="ListBullet3"/>
      <w:lvlText w:val="»"/>
      <w:lvlJc w:val="left"/>
      <w:pPr>
        <w:ind w:left="907" w:hanging="227"/>
      </w:pPr>
      <w:rPr>
        <w:rFonts w:ascii="Arial" w:hAnsi="Arial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907" w:hanging="227"/>
      </w:pPr>
      <w:rPr>
        <w:rFonts w:ascii="Arial" w:hAnsi="Arial" w:hint="default"/>
        <w:color w:val="auto"/>
      </w:rPr>
    </w:lvl>
    <w:lvl w:ilvl="4">
      <w:start w:val="1"/>
      <w:numFmt w:val="bullet"/>
      <w:lvlText w:val="–"/>
      <w:lvlJc w:val="left"/>
      <w:pPr>
        <w:ind w:left="1134" w:hanging="227"/>
      </w:pPr>
      <w:rPr>
        <w:rFonts w:ascii="Arial" w:hAnsi="Arial" w:hint="default"/>
        <w:color w:val="auto"/>
      </w:rPr>
    </w:lvl>
    <w:lvl w:ilvl="5">
      <w:start w:val="1"/>
      <w:numFmt w:val="bullet"/>
      <w:lvlText w:val="–"/>
      <w:lvlJc w:val="left"/>
      <w:pPr>
        <w:ind w:left="1361" w:hanging="227"/>
      </w:pPr>
      <w:rPr>
        <w:rFonts w:ascii="Arial" w:hAnsi="Arial" w:hint="default"/>
      </w:rPr>
    </w:lvl>
    <w:lvl w:ilvl="6">
      <w:start w:val="1"/>
      <w:numFmt w:val="bullet"/>
      <w:lvlText w:val="–"/>
      <w:lvlJc w:val="left"/>
      <w:pPr>
        <w:ind w:left="1588" w:hanging="227"/>
      </w:pPr>
      <w:rPr>
        <w:rFonts w:ascii="Arial" w:hAnsi="Arial" w:hint="default"/>
      </w:rPr>
    </w:lvl>
    <w:lvl w:ilvl="7">
      <w:start w:val="1"/>
      <w:numFmt w:val="bullet"/>
      <w:lvlText w:val="–"/>
      <w:lvlJc w:val="left"/>
      <w:pPr>
        <w:ind w:left="1814" w:hanging="226"/>
      </w:pPr>
      <w:rPr>
        <w:rFonts w:ascii="Arial" w:hAnsi="Arial" w:hint="default"/>
      </w:rPr>
    </w:lvl>
    <w:lvl w:ilvl="8">
      <w:start w:val="1"/>
      <w:numFmt w:val="bullet"/>
      <w:lvlText w:val="–"/>
      <w:lvlJc w:val="left"/>
      <w:pPr>
        <w:tabs>
          <w:tab w:val="num" w:pos="2211"/>
        </w:tabs>
        <w:ind w:left="2041" w:hanging="227"/>
      </w:pPr>
      <w:rPr>
        <w:rFonts w:ascii="Arial" w:hAnsi="Arial" w:hint="default"/>
      </w:rPr>
    </w:lvl>
  </w:abstractNum>
  <w:num w:numId="1" w16cid:durableId="443306796">
    <w:abstractNumId w:val="4"/>
  </w:num>
  <w:num w:numId="2" w16cid:durableId="427622698">
    <w:abstractNumId w:val="3"/>
  </w:num>
  <w:num w:numId="3" w16cid:durableId="251281831">
    <w:abstractNumId w:val="5"/>
  </w:num>
  <w:num w:numId="4" w16cid:durableId="2116289593">
    <w:abstractNumId w:val="1"/>
  </w:num>
  <w:num w:numId="5" w16cid:durableId="382870783">
    <w:abstractNumId w:val="5"/>
  </w:num>
  <w:num w:numId="6" w16cid:durableId="503974340">
    <w:abstractNumId w:val="0"/>
  </w:num>
  <w:num w:numId="7" w16cid:durableId="1133446918">
    <w:abstractNumId w:val="5"/>
  </w:num>
  <w:num w:numId="8" w16cid:durableId="1408189284">
    <w:abstractNumId w:val="2"/>
  </w:num>
  <w:num w:numId="9" w16cid:durableId="1817527221">
    <w:abstractNumId w:val="2"/>
  </w:num>
  <w:num w:numId="10" w16cid:durableId="1264218748">
    <w:abstractNumId w:val="5"/>
  </w:num>
  <w:num w:numId="11" w16cid:durableId="2052879940">
    <w:abstractNumId w:val="5"/>
  </w:num>
  <w:num w:numId="12" w16cid:durableId="1700398896">
    <w:abstractNumId w:val="5"/>
  </w:num>
  <w:num w:numId="13" w16cid:durableId="1882328437">
    <w:abstractNumId w:val="2"/>
  </w:num>
  <w:num w:numId="14" w16cid:durableId="860901578">
    <w:abstractNumId w:val="5"/>
  </w:num>
  <w:num w:numId="15" w16cid:durableId="16411570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0EA"/>
    <w:rsid w:val="00005B5D"/>
    <w:rsid w:val="0003218F"/>
    <w:rsid w:val="00057037"/>
    <w:rsid w:val="000872C3"/>
    <w:rsid w:val="000B1851"/>
    <w:rsid w:val="0015274A"/>
    <w:rsid w:val="001A5483"/>
    <w:rsid w:val="001C4E2E"/>
    <w:rsid w:val="001E1748"/>
    <w:rsid w:val="001E1C8B"/>
    <w:rsid w:val="00200F09"/>
    <w:rsid w:val="00237F1C"/>
    <w:rsid w:val="002436B4"/>
    <w:rsid w:val="00253D16"/>
    <w:rsid w:val="00256ED3"/>
    <w:rsid w:val="002647C2"/>
    <w:rsid w:val="0027127B"/>
    <w:rsid w:val="00335E1C"/>
    <w:rsid w:val="0038191A"/>
    <w:rsid w:val="00397777"/>
    <w:rsid w:val="003A5798"/>
    <w:rsid w:val="003C0C27"/>
    <w:rsid w:val="003C6629"/>
    <w:rsid w:val="003C6BF2"/>
    <w:rsid w:val="003D5F85"/>
    <w:rsid w:val="003E011F"/>
    <w:rsid w:val="00421411"/>
    <w:rsid w:val="00425485"/>
    <w:rsid w:val="0042620E"/>
    <w:rsid w:val="00430C34"/>
    <w:rsid w:val="00433DC7"/>
    <w:rsid w:val="004401EB"/>
    <w:rsid w:val="00452FB0"/>
    <w:rsid w:val="00490D0C"/>
    <w:rsid w:val="00494DE7"/>
    <w:rsid w:val="004B1EAA"/>
    <w:rsid w:val="004B7031"/>
    <w:rsid w:val="004D1CB9"/>
    <w:rsid w:val="004F28F5"/>
    <w:rsid w:val="005062CE"/>
    <w:rsid w:val="00537383"/>
    <w:rsid w:val="005A7045"/>
    <w:rsid w:val="005D4738"/>
    <w:rsid w:val="005F7BF9"/>
    <w:rsid w:val="00626F0D"/>
    <w:rsid w:val="00652E33"/>
    <w:rsid w:val="00654212"/>
    <w:rsid w:val="0065699D"/>
    <w:rsid w:val="006D7C2C"/>
    <w:rsid w:val="006E16F7"/>
    <w:rsid w:val="006F19CC"/>
    <w:rsid w:val="006F24AB"/>
    <w:rsid w:val="006F3CF6"/>
    <w:rsid w:val="007144DA"/>
    <w:rsid w:val="00714B77"/>
    <w:rsid w:val="00724381"/>
    <w:rsid w:val="0073286C"/>
    <w:rsid w:val="00764E46"/>
    <w:rsid w:val="007A4797"/>
    <w:rsid w:val="007C2946"/>
    <w:rsid w:val="007D0634"/>
    <w:rsid w:val="007F4BD6"/>
    <w:rsid w:val="00815FD5"/>
    <w:rsid w:val="008413EB"/>
    <w:rsid w:val="00847BD4"/>
    <w:rsid w:val="008A59AD"/>
    <w:rsid w:val="008C1E20"/>
    <w:rsid w:val="008C36DE"/>
    <w:rsid w:val="008C3FBB"/>
    <w:rsid w:val="008C6D83"/>
    <w:rsid w:val="008D5A05"/>
    <w:rsid w:val="009251C4"/>
    <w:rsid w:val="00934BEC"/>
    <w:rsid w:val="00937036"/>
    <w:rsid w:val="009414FB"/>
    <w:rsid w:val="009548C1"/>
    <w:rsid w:val="0097186E"/>
    <w:rsid w:val="00973096"/>
    <w:rsid w:val="00975997"/>
    <w:rsid w:val="009A59CE"/>
    <w:rsid w:val="009F696C"/>
    <w:rsid w:val="00A06C4A"/>
    <w:rsid w:val="00A326BA"/>
    <w:rsid w:val="00A36781"/>
    <w:rsid w:val="00A52026"/>
    <w:rsid w:val="00A607E4"/>
    <w:rsid w:val="00A6285E"/>
    <w:rsid w:val="00A671CC"/>
    <w:rsid w:val="00A80EF3"/>
    <w:rsid w:val="00AA0670"/>
    <w:rsid w:val="00AA0931"/>
    <w:rsid w:val="00AB04EB"/>
    <w:rsid w:val="00AB35D7"/>
    <w:rsid w:val="00AE7C97"/>
    <w:rsid w:val="00AF5830"/>
    <w:rsid w:val="00AF5C1A"/>
    <w:rsid w:val="00B00048"/>
    <w:rsid w:val="00B040EA"/>
    <w:rsid w:val="00B146B7"/>
    <w:rsid w:val="00B2482D"/>
    <w:rsid w:val="00B43566"/>
    <w:rsid w:val="00B45471"/>
    <w:rsid w:val="00B546FD"/>
    <w:rsid w:val="00B63537"/>
    <w:rsid w:val="00B67687"/>
    <w:rsid w:val="00B70850"/>
    <w:rsid w:val="00B85434"/>
    <w:rsid w:val="00BC2B85"/>
    <w:rsid w:val="00BF738A"/>
    <w:rsid w:val="00C06C50"/>
    <w:rsid w:val="00C17A92"/>
    <w:rsid w:val="00C51067"/>
    <w:rsid w:val="00C63A5F"/>
    <w:rsid w:val="00C70C04"/>
    <w:rsid w:val="00C7347C"/>
    <w:rsid w:val="00C9459E"/>
    <w:rsid w:val="00CC514D"/>
    <w:rsid w:val="00CD6563"/>
    <w:rsid w:val="00D353E1"/>
    <w:rsid w:val="00D86D6E"/>
    <w:rsid w:val="00E12FC6"/>
    <w:rsid w:val="00E151AD"/>
    <w:rsid w:val="00E53188"/>
    <w:rsid w:val="00EE4054"/>
    <w:rsid w:val="00EF23D9"/>
    <w:rsid w:val="00F31674"/>
    <w:rsid w:val="00F7037A"/>
    <w:rsid w:val="00FC60AC"/>
    <w:rsid w:val="00FE3664"/>
    <w:rsid w:val="00FE531F"/>
    <w:rsid w:val="00FF3BD2"/>
    <w:rsid w:val="00FF6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7E9FEC"/>
  <w15:docId w15:val="{B5C8BE28-D49A-42A2-8653-463498D17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2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514D"/>
  </w:style>
  <w:style w:type="paragraph" w:styleId="Heading1">
    <w:name w:val="heading 1"/>
    <w:basedOn w:val="Normal"/>
    <w:next w:val="Normal"/>
    <w:link w:val="Heading1Char"/>
    <w:uiPriority w:val="9"/>
    <w:qFormat/>
    <w:rsid w:val="001E1748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color w:val="26539D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1748"/>
    <w:pPr>
      <w:keepNext/>
      <w:keepLines/>
      <w:spacing w:before="40" w:after="80"/>
      <w:outlineLvl w:val="1"/>
    </w:pPr>
    <w:rPr>
      <w:rFonts w:asciiTheme="majorHAnsi" w:eastAsiaTheme="majorEastAsia" w:hAnsiTheme="majorHAnsi" w:cstheme="majorBidi"/>
      <w:b/>
      <w:color w:val="31A2C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C514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00000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514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65A9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1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748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semiHidden/>
    <w:rsid w:val="001E1748"/>
    <w:rPr>
      <w:b/>
      <w:bCs/>
      <w:i/>
      <w:iCs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1E1748"/>
    <w:rPr>
      <w:color w:val="BFBFB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1E1748"/>
    <w:pPr>
      <w:tabs>
        <w:tab w:val="left" w:pos="2552"/>
        <w:tab w:val="right" w:pos="9072"/>
      </w:tabs>
      <w:spacing w:before="100" w:beforeAutospacing="1" w:after="100" w:afterAutospacing="1" w:line="260" w:lineRule="atLeast"/>
      <w:ind w:left="284" w:right="-427"/>
    </w:pPr>
    <w:rPr>
      <w:rFonts w:ascii="Arial" w:eastAsia="Times New Roman" w:hAnsi="Arial" w:cs="Arial"/>
      <w:noProof/>
      <w:kern w:val="16"/>
      <w:sz w:val="20"/>
      <w:szCs w:val="20"/>
      <w:lang w:eastAsia="en-AU"/>
    </w:rPr>
  </w:style>
  <w:style w:type="character" w:customStyle="1" w:styleId="FooterChar">
    <w:name w:val="Footer Char"/>
    <w:basedOn w:val="DefaultParagraphFont"/>
    <w:link w:val="Footer"/>
    <w:uiPriority w:val="99"/>
    <w:rsid w:val="001E1748"/>
    <w:rPr>
      <w:rFonts w:ascii="Arial" w:eastAsia="Times New Roman" w:hAnsi="Arial" w:cs="Arial"/>
      <w:noProof/>
      <w:kern w:val="16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1E1748"/>
    <w:pPr>
      <w:spacing w:before="200" w:after="0" w:line="240" w:lineRule="auto"/>
      <w:ind w:right="-794"/>
      <w:contextualSpacing/>
      <w:jc w:val="right"/>
    </w:pPr>
    <w:rPr>
      <w:rFonts w:ascii="Arial" w:eastAsia="Times New Roman" w:hAnsi="Arial" w:cs="Arial"/>
      <w:color w:val="000000" w:themeColor="text1"/>
      <w:spacing w:val="2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1E1748"/>
    <w:rPr>
      <w:rFonts w:asciiTheme="majorHAnsi" w:eastAsiaTheme="majorEastAsia" w:hAnsiTheme="majorHAnsi" w:cstheme="majorBidi"/>
      <w:b/>
      <w:color w:val="26539D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E1748"/>
    <w:rPr>
      <w:rFonts w:asciiTheme="majorHAnsi" w:eastAsiaTheme="majorEastAsia" w:hAnsiTheme="majorHAnsi" w:cstheme="majorBidi"/>
      <w:b/>
      <w:color w:val="31A2C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C514D"/>
    <w:rPr>
      <w:rFonts w:asciiTheme="majorHAnsi" w:eastAsiaTheme="majorEastAsia" w:hAnsiTheme="majorHAnsi" w:cstheme="majorBidi"/>
      <w:b/>
      <w:color w:val="000000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E1748"/>
    <w:rPr>
      <w:rFonts w:ascii="Arial" w:eastAsia="Times New Roman" w:hAnsi="Arial" w:cs="Arial"/>
      <w:color w:val="000000" w:themeColor="text1"/>
      <w:spacing w:val="2"/>
      <w:lang w:eastAsia="en-AU"/>
    </w:rPr>
  </w:style>
  <w:style w:type="character" w:styleId="Hyperlink">
    <w:name w:val="Hyperlink"/>
    <w:basedOn w:val="DefaultParagraphFont"/>
    <w:uiPriority w:val="99"/>
    <w:qFormat/>
    <w:rsid w:val="001E1748"/>
    <w:rPr>
      <w:color w:val="265A9A"/>
      <w:u w:val="single"/>
    </w:rPr>
  </w:style>
  <w:style w:type="character" w:styleId="IntenseEmphasis">
    <w:name w:val="Intense Emphasis"/>
    <w:basedOn w:val="DefaultParagraphFont"/>
    <w:uiPriority w:val="21"/>
    <w:rsid w:val="001E1748"/>
    <w:rPr>
      <w:i/>
      <w:iCs/>
      <w:color w:val="265A9A" w:themeColor="background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1E1748"/>
    <w:pPr>
      <w:pBdr>
        <w:top w:val="single" w:sz="4" w:space="10" w:color="265A9A" w:themeColor="background2"/>
        <w:bottom w:val="single" w:sz="4" w:space="10" w:color="265A9A" w:themeColor="background2"/>
      </w:pBdr>
      <w:spacing w:before="360" w:after="360"/>
      <w:ind w:left="864" w:right="864"/>
      <w:jc w:val="center"/>
    </w:pPr>
    <w:rPr>
      <w:i/>
      <w:iCs/>
      <w:color w:val="265A9A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C514D"/>
    <w:rPr>
      <w:i/>
      <w:iCs/>
      <w:color w:val="265A9A"/>
    </w:rPr>
  </w:style>
  <w:style w:type="character" w:styleId="IntenseReference">
    <w:name w:val="Intense Reference"/>
    <w:basedOn w:val="DefaultParagraphFont"/>
    <w:uiPriority w:val="32"/>
    <w:semiHidden/>
    <w:rsid w:val="001E1748"/>
    <w:rPr>
      <w:b/>
      <w:bCs/>
      <w:smallCaps/>
      <w:color w:val="265A9A" w:themeColor="background2"/>
      <w:spacing w:val="5"/>
    </w:rPr>
  </w:style>
  <w:style w:type="paragraph" w:styleId="ListBullet">
    <w:name w:val="List Bullet"/>
    <w:basedOn w:val="Normal"/>
    <w:link w:val="ListBulletChar"/>
    <w:uiPriority w:val="1"/>
    <w:qFormat/>
    <w:rsid w:val="001E1748"/>
    <w:pPr>
      <w:numPr>
        <w:numId w:val="14"/>
      </w:numPr>
      <w:spacing w:before="60" w:after="60"/>
      <w:contextualSpacing/>
    </w:pPr>
    <w:rPr>
      <w:szCs w:val="20"/>
    </w:rPr>
  </w:style>
  <w:style w:type="character" w:customStyle="1" w:styleId="ListBulletChar">
    <w:name w:val="List Bullet Char"/>
    <w:basedOn w:val="DefaultParagraphFont"/>
    <w:link w:val="ListBullet"/>
    <w:uiPriority w:val="1"/>
    <w:rsid w:val="001E1748"/>
    <w:rPr>
      <w:szCs w:val="20"/>
    </w:rPr>
  </w:style>
  <w:style w:type="paragraph" w:styleId="ListBullet2">
    <w:name w:val="List Bullet 2"/>
    <w:basedOn w:val="Normal"/>
    <w:uiPriority w:val="1"/>
    <w:qFormat/>
    <w:rsid w:val="00425485"/>
    <w:pPr>
      <w:numPr>
        <w:ilvl w:val="1"/>
        <w:numId w:val="14"/>
      </w:numPr>
      <w:spacing w:before="60" w:after="60"/>
      <w:contextualSpacing/>
    </w:pPr>
    <w:rPr>
      <w:szCs w:val="20"/>
    </w:rPr>
  </w:style>
  <w:style w:type="paragraph" w:styleId="ListBullet3">
    <w:name w:val="List Bullet 3"/>
    <w:basedOn w:val="Normal"/>
    <w:uiPriority w:val="1"/>
    <w:qFormat/>
    <w:rsid w:val="001E1748"/>
    <w:pPr>
      <w:numPr>
        <w:ilvl w:val="2"/>
        <w:numId w:val="14"/>
      </w:numPr>
      <w:spacing w:before="60" w:after="60" w:line="274" w:lineRule="auto"/>
      <w:contextualSpacing/>
    </w:pPr>
    <w:rPr>
      <w:szCs w:val="20"/>
    </w:rPr>
  </w:style>
  <w:style w:type="paragraph" w:styleId="ListNumber">
    <w:name w:val="List Number"/>
    <w:basedOn w:val="Normal"/>
    <w:uiPriority w:val="2"/>
    <w:qFormat/>
    <w:rsid w:val="001E1748"/>
    <w:pPr>
      <w:numPr>
        <w:numId w:val="13"/>
      </w:numPr>
      <w:ind w:left="227" w:hanging="227"/>
      <w:contextualSpacing/>
    </w:pPr>
  </w:style>
  <w:style w:type="paragraph" w:styleId="ListParagraph">
    <w:name w:val="List Paragraph"/>
    <w:basedOn w:val="Normal"/>
    <w:uiPriority w:val="34"/>
    <w:semiHidden/>
    <w:rsid w:val="001E1748"/>
    <w:pPr>
      <w:ind w:left="720"/>
      <w:contextualSpacing/>
    </w:pPr>
  </w:style>
  <w:style w:type="paragraph" w:styleId="NoSpacing">
    <w:name w:val="No Spacing"/>
    <w:uiPriority w:val="2"/>
    <w:unhideWhenUsed/>
    <w:rsid w:val="001E1748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rsid w:val="001E1748"/>
    <w:pPr>
      <w:spacing w:before="200" w:after="160"/>
      <w:ind w:left="1134" w:right="1134"/>
    </w:pPr>
    <w:rPr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E1748"/>
    <w:rPr>
      <w:iCs/>
      <w:color w:val="404040" w:themeColor="text1" w:themeTint="BF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1E1748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CC514D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rsid w:val="001E1748"/>
    <w:rPr>
      <w:i/>
      <w:iCs/>
      <w:color w:val="404040" w:themeColor="text1" w:themeTint="BF"/>
    </w:rPr>
  </w:style>
  <w:style w:type="paragraph" w:styleId="Title">
    <w:name w:val="Title"/>
    <w:basedOn w:val="Normal"/>
    <w:next w:val="Normal"/>
    <w:link w:val="TitleChar"/>
    <w:uiPriority w:val="10"/>
    <w:semiHidden/>
    <w:rsid w:val="001E174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CC51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514D"/>
    <w:rPr>
      <w:rFonts w:asciiTheme="majorHAnsi" w:eastAsiaTheme="majorEastAsia" w:hAnsiTheme="majorHAnsi" w:cstheme="majorBidi"/>
      <w:i/>
      <w:iCs/>
      <w:color w:val="265A9A"/>
    </w:rPr>
  </w:style>
  <w:style w:type="paragraph" w:customStyle="1" w:styleId="PullQuote">
    <w:name w:val="Pull Quote"/>
    <w:basedOn w:val="BodyText"/>
    <w:next w:val="BodyText"/>
    <w:uiPriority w:val="30"/>
    <w:qFormat/>
    <w:rsid w:val="00A6285E"/>
    <w:pPr>
      <w:spacing w:before="120" w:line="280" w:lineRule="atLeast"/>
      <w:ind w:left="284" w:right="284"/>
    </w:pPr>
    <w:rPr>
      <w:rFonts w:ascii="Arial Black" w:hAnsi="Arial Black"/>
      <w:color w:val="265A9A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A6285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6285E"/>
  </w:style>
  <w:style w:type="character" w:styleId="Strong">
    <w:name w:val="Strong"/>
    <w:basedOn w:val="DefaultParagraphFont"/>
    <w:uiPriority w:val="22"/>
    <w:qFormat/>
    <w:rsid w:val="00C70C0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AE7C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emf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c.gov.au/philanthropy" TargetMode="External"/><Relationship Id="rId2" Type="http://schemas.openxmlformats.org/officeDocument/2006/relationships/hyperlink" Target="mailto:philanthropy@pc.gov.au" TargetMode="External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4" Type="http://schemas.openxmlformats.org/officeDocument/2006/relationships/image" Target="media/image5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cross\OneDrive%20-%20Productivity%20Commission\MPW%20working%20files\Templates%20and%20Templafy\media%20release\Media%20release%202022%20-%20TEMPLATE.dotx" TargetMode="External"/></Relationships>
</file>

<file path=word/theme/theme1.xml><?xml version="1.0" encoding="utf-8"?>
<a:theme xmlns:a="http://schemas.openxmlformats.org/drawingml/2006/main" name="ProdCommTheme">
  <a:themeElements>
    <a:clrScheme name="PC colour themeNew">
      <a:dk1>
        <a:sysClr val="windowText" lastClr="000000"/>
      </a:dk1>
      <a:lt1>
        <a:sysClr val="window" lastClr="FFFFFF"/>
      </a:lt1>
      <a:dk2>
        <a:srgbClr val="66BCDB"/>
      </a:dk2>
      <a:lt2>
        <a:srgbClr val="265A9A"/>
      </a:lt2>
      <a:accent1>
        <a:srgbClr val="78A22F"/>
      </a:accent1>
      <a:accent2>
        <a:srgbClr val="4D7028"/>
      </a:accent2>
      <a:accent3>
        <a:srgbClr val="F4B123"/>
      </a:accent3>
      <a:accent4>
        <a:srgbClr val="F15A25"/>
      </a:accent4>
      <a:accent5>
        <a:srgbClr val="A52828"/>
      </a:accent5>
      <a:accent6>
        <a:srgbClr val="8956A3"/>
      </a:accent6>
      <a:hlink>
        <a:srgbClr val="000000"/>
      </a:hlink>
      <a:folHlink>
        <a:srgbClr val="BFBFBF"/>
      </a:folHlink>
    </a:clrScheme>
    <a:fontScheme name="PC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MPW Document" ma:contentTypeID="0x0101006C0B5E815648EF46B6FA6D42F17E5E9F000C963E276195B04F83BC027CFDC94A8D" ma:contentTypeVersion="18" ma:contentTypeDescription="" ma:contentTypeScope="" ma:versionID="1f8a1cfc22fc66246e9b5dfc3012b5a0">
  <xsd:schema xmlns:xsd="http://www.w3.org/2001/XMLSchema" xmlns:xs="http://www.w3.org/2001/XMLSchema" xmlns:p="http://schemas.microsoft.com/office/2006/metadata/properties" xmlns:ns2="20393cdf-440a-4521-8f19-00ba43423d00" xmlns:ns3="3d385984-9344-419b-a80b-49c06a2bdab8" targetNamespace="http://schemas.microsoft.com/office/2006/metadata/properties" ma:root="true" ma:fieldsID="ce8085c790d4db09a7d062618594d2c7" ns2:_="" ns3:_="">
    <xsd:import namespace="20393cdf-440a-4521-8f19-00ba43423d00"/>
    <xsd:import namespace="3d385984-9344-419b-a80b-49c06a2bdab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2:SharedWithUsers" minOccurs="0"/>
                <xsd:element ref="ns2:SharedWithDetails" minOccurs="0"/>
                <xsd:element ref="ns3:MediaServiceLocation" minOccurs="0"/>
                <xsd:element ref="ns2:i0f84bba906045b4af568ee102a52dcb" minOccurs="0"/>
                <xsd:element ref="ns2:TaxCatchAll" minOccurs="0"/>
                <xsd:element ref="ns3:MediaLengthInSeconds" minOccurs="0"/>
                <xsd:element ref="ns3:thumbnail" minOccurs="0"/>
                <xsd:element ref="ns3:lcf76f155ced4ddcb4097134ff3c332f" minOccurs="0"/>
                <xsd:element ref="ns3:_Flow_SignoffStatu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393cdf-440a-4521-8f19-00ba43423d0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i0f84bba906045b4af568ee102a52dcb" ma:index="20" nillable="true" ma:taxonomy="true" ma:internalName="i0f84bba906045b4af568ee102a52dcb" ma:taxonomyFieldName="RevIMBCS" ma:displayName="Record" ma:indexed="true" ma:default="1;#Unclassified|3955eeb1-2d18-4582-aeb2-00144ec3aaf5" ma:fieldId="{20f84bba-9060-45b4-af56-8ee102a52dcb}" ma:sspId="9e7832e3-0c1d-4697-8be2-0d137dca2da6" ma:termSetId="3c672b5e-1100-4960-a8a3-535520ee115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1" nillable="true" ma:displayName="Taxonomy Catch All Column" ma:hidden="true" ma:list="{af6d4cc1-c529-4b5b-a8f1-9797b2b9eddf}" ma:internalName="TaxCatchAll" ma:showField="CatchAllData" ma:web="20393cdf-440a-4521-8f19-00ba43423d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385984-9344-419b-a80b-49c06a2bdab8" elementFormDefault="qualified">
    <xsd:import namespace="http://schemas.microsoft.com/office/2006/documentManagement/types"/>
    <xsd:import namespace="http://schemas.microsoft.com/office/infopath/2007/PartnerControls"/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thumbnail" ma:index="23" nillable="true" ma:displayName="thumbnail" ma:format="Thumbnail" ma:internalName="thumbnail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9e7832e3-0c1d-4697-8be2-0d137dca2da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6" nillable="true" ma:displayName="Sign-off status" ma:internalName="Sign_x002d_off_x0020_status">
      <xsd:simpleType>
        <xsd:restriction base="dms:Text"/>
      </xsd:simple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TemplafyTemplateConfiguration><![CDATA[{"elementsMetadata":[],"transformationConfigurations":[],"templateName":"Fact sheet","templateDescription":"","enableDocumentContentUpdater":false,"version":"2.0"}]]></TemplafyTemplateConfiguration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0f84bba906045b4af568ee102a52dcb xmlns="20393cdf-440a-4521-8f19-00ba43423d00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3955eeb1-2d18-4582-aeb2-00144ec3aaf5</TermId>
        </TermInfo>
      </Terms>
    </i0f84bba906045b4af568ee102a52dcb>
    <TaxCatchAll xmlns="20393cdf-440a-4521-8f19-00ba43423d00">
      <Value>1</Value>
    </TaxCatchAll>
    <lcf76f155ced4ddcb4097134ff3c332f xmlns="3d385984-9344-419b-a80b-49c06a2bdab8">
      <Terms xmlns="http://schemas.microsoft.com/office/infopath/2007/PartnerControls"/>
    </lcf76f155ced4ddcb4097134ff3c332f>
    <thumbnail xmlns="3d385984-9344-419b-a80b-49c06a2bdab8" xsi:nil="true"/>
    <_Flow_SignoffStatus xmlns="3d385984-9344-419b-a80b-49c06a2bdab8" xsi:nil="true"/>
    <_dlc_DocId xmlns="20393cdf-440a-4521-8f19-00ba43423d00">MPWT-2140667901-47341</_dlc_DocId>
    <_dlc_DocIdUrl xmlns="20393cdf-440a-4521-8f19-00ba43423d00">
      <Url>https://pcgov.sharepoint.com/sites/sceteam/_layouts/15/DocIdRedir.aspx?ID=MPWT-2140667901-47341</Url>
      <Description>MPWT-2140667901-47341</Description>
    </_dlc_DocIdUrl>
  </documentManagement>
</p:properties>
</file>

<file path=customXml/item6.xml><?xml version="1.0" encoding="utf-8"?>
<TemplafyFormConfiguration><![CDATA[{"formFields":[],"formDataEntries":[]}]]></TemplafyFormConfiguration>
</file>

<file path=customXml/itemProps1.xml><?xml version="1.0" encoding="utf-8"?>
<ds:datastoreItem xmlns:ds="http://schemas.openxmlformats.org/officeDocument/2006/customXml" ds:itemID="{04CAA377-577F-419B-B0BE-6E97B0C3CFC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3D5044FD-0CD0-4D74-B8AF-5A4DE45C1E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393cdf-440a-4521-8f19-00ba43423d00"/>
    <ds:schemaRef ds:uri="3d385984-9344-419b-a80b-49c06a2bda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668110A-EF1F-4D08-BFD7-961C5DE3AE4D}">
  <ds:schemaRefs/>
</ds:datastoreItem>
</file>

<file path=customXml/itemProps4.xml><?xml version="1.0" encoding="utf-8"?>
<ds:datastoreItem xmlns:ds="http://schemas.openxmlformats.org/officeDocument/2006/customXml" ds:itemID="{5D7EAAF1-62BC-4CFF-A9E3-E4A462ED37D1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40AC987-D9A1-40EC-941D-31F79E724F71}">
  <ds:schemaRefs>
    <ds:schemaRef ds:uri="http://purl.org/dc/terms/"/>
    <ds:schemaRef ds:uri="http://schemas.microsoft.com/office/infopath/2007/PartnerControls"/>
    <ds:schemaRef ds:uri="http://purl.org/dc/dcmitype/"/>
    <ds:schemaRef ds:uri="http://schemas.microsoft.com/office/2006/documentManagement/types"/>
    <ds:schemaRef ds:uri="20393cdf-440a-4521-8f19-00ba43423d00"/>
    <ds:schemaRef ds:uri="http://purl.org/dc/elements/1.1/"/>
    <ds:schemaRef ds:uri="http://www.w3.org/XML/1998/namespace"/>
    <ds:schemaRef ds:uri="http://schemas.openxmlformats.org/package/2006/metadata/core-properties"/>
    <ds:schemaRef ds:uri="3d385984-9344-419b-a80b-49c06a2bdab8"/>
    <ds:schemaRef ds:uri="http://schemas.microsoft.com/office/2006/metadata/properties"/>
  </ds:schemaRefs>
</ds:datastoreItem>
</file>

<file path=customXml/itemProps6.xml><?xml version="1.0" encoding="utf-8"?>
<ds:datastoreItem xmlns:ds="http://schemas.openxmlformats.org/officeDocument/2006/customXml" ds:itemID="{59111142-F2B6-4AB6-AAC1-4BEBADF2578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Media release 2022 - TEMPLATE.dotx</Template>
  <TotalTime>49</TotalTime>
  <Pages>1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 is in the philanthropy draft report for donors?</vt:lpstr>
    </vt:vector>
  </TitlesOfParts>
  <Company>Productivity Commission</Company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 is in the philanthropy draft report for donors?</dc:title>
  <dc:subject/>
  <dc:creator>Productivity Commission</dc:creator>
  <cp:keywords/>
  <cp:lastModifiedBy>Bianca Dobson</cp:lastModifiedBy>
  <cp:revision>37</cp:revision>
  <dcterms:created xsi:type="dcterms:W3CDTF">2023-11-24T22:43:00Z</dcterms:created>
  <dcterms:modified xsi:type="dcterms:W3CDTF">2023-12-04T04:27:00Z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fyTenantId">
    <vt:lpwstr>productivitycommission</vt:lpwstr>
  </property>
  <property fmtid="{D5CDD505-2E9C-101B-9397-08002B2CF9AE}" pid="3" name="TemplafyTemplateId">
    <vt:lpwstr>637346222824850435</vt:lpwstr>
  </property>
  <property fmtid="{D5CDD505-2E9C-101B-9397-08002B2CF9AE}" pid="4" name="TemplafyUserProfileId">
    <vt:lpwstr>752650215664648239</vt:lpwstr>
  </property>
  <property fmtid="{D5CDD505-2E9C-101B-9397-08002B2CF9AE}" pid="5" name="TemplafyFromBlank">
    <vt:bool>false</vt:bool>
  </property>
  <property fmtid="{D5CDD505-2E9C-101B-9397-08002B2CF9AE}" pid="6" name="ContentTypeId">
    <vt:lpwstr>0x010100701643EB437E814B9F804656CD4347FE</vt:lpwstr>
  </property>
  <property fmtid="{D5CDD505-2E9C-101B-9397-08002B2CF9AE}" pid="7" name="RevIMBCS">
    <vt:lpwstr>1;#Unclassified|3955eeb1-2d18-4582-aeb2-00144ec3aaf5</vt:lpwstr>
  </property>
  <property fmtid="{D5CDD505-2E9C-101B-9397-08002B2CF9AE}" pid="8" name="_dlc_DocIdItemGuid">
    <vt:lpwstr>f5923139-9d7c-4be2-af39-f0171048a68f</vt:lpwstr>
  </property>
  <property fmtid="{D5CDD505-2E9C-101B-9397-08002B2CF9AE}" pid="9" name="MediaServiceImageTags">
    <vt:lpwstr/>
  </property>
</Properties>
</file>