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2731" w14:textId="49107750" w:rsidR="00A33C86" w:rsidRDefault="00A33C86" w:rsidP="00AE060D">
      <w:pPr>
        <w:pStyle w:val="Heading1"/>
        <w:spacing w:after="120"/>
      </w:pPr>
      <w:r w:rsidRPr="00004B30">
        <w:t>2025-26 Census Action Plan</w:t>
      </w:r>
    </w:p>
    <w:tbl>
      <w:tblPr>
        <w:tblW w:w="49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85"/>
        <w:gridCol w:w="3516"/>
        <w:gridCol w:w="3476"/>
      </w:tblGrid>
      <w:tr w:rsidR="00C97A60" w:rsidRPr="00C97A60" w14:paraId="4FAAAABC" w14:textId="77777777" w:rsidTr="00E979A4">
        <w:trPr>
          <w:trHeight w:val="374"/>
        </w:trPr>
        <w:tc>
          <w:tcPr>
            <w:tcW w:w="5000" w:type="pct"/>
            <w:gridSpan w:val="3"/>
            <w:shd w:val="clear" w:color="auto" w:fill="265A9A" w:themeFill="background2"/>
            <w:vAlign w:val="center"/>
          </w:tcPr>
          <w:p w14:paraId="25F8AA51" w14:textId="77777777" w:rsidR="00AB63FB" w:rsidRPr="00C97A60" w:rsidRDefault="00AB63FB">
            <w:pPr>
              <w:spacing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FFFFFF" w:themeColor="background1"/>
                <w:lang w:eastAsia="zh-CN" w:bidi="th-TH"/>
              </w:rPr>
            </w:pPr>
            <w:r w:rsidRPr="00C97A60">
              <w:rPr>
                <w:rFonts w:asciiTheme="minorBidi" w:eastAsia="Times New Roman" w:hAnsiTheme="minorBidi" w:cstheme="minorBidi"/>
                <w:b/>
                <w:bCs/>
                <w:color w:val="FFFFFF" w:themeColor="background1"/>
                <w:lang w:eastAsia="zh-CN" w:bidi="th-TH"/>
              </w:rPr>
              <w:t>Areas we are proud of:</w:t>
            </w:r>
          </w:p>
        </w:tc>
      </w:tr>
      <w:tr w:rsidR="00AB63FB" w:rsidRPr="004D43A1" w14:paraId="49C96575" w14:textId="77777777" w:rsidTr="00E979A4">
        <w:trPr>
          <w:trHeight w:val="300"/>
        </w:trPr>
        <w:tc>
          <w:tcPr>
            <w:tcW w:w="1663" w:type="pct"/>
            <w:shd w:val="clear" w:color="auto" w:fill="CBDDF2" w:themeFill="background2" w:themeFillTint="33"/>
          </w:tcPr>
          <w:p w14:paraId="6164C8CF" w14:textId="77777777" w:rsidR="00AB63FB" w:rsidRPr="008F50EB" w:rsidRDefault="00AB63FB" w:rsidP="00611EFD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Strong commitment to purpose and public value</w:t>
            </w:r>
          </w:p>
          <w:p w14:paraId="72789738" w14:textId="77777777" w:rsidR="00AB63FB" w:rsidRPr="008F50EB" w:rsidRDefault="00AB63FB" w:rsidP="00611EFD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Our staff have exceptionally high levels of job satisfaction and belief in the PC’s contribution to public policy, outcomes and APS purpose.</w:t>
            </w:r>
          </w:p>
        </w:tc>
        <w:tc>
          <w:tcPr>
            <w:tcW w:w="1678" w:type="pct"/>
            <w:shd w:val="clear" w:color="auto" w:fill="CBDDF2" w:themeFill="background2" w:themeFillTint="33"/>
          </w:tcPr>
          <w:p w14:paraId="174E4060" w14:textId="77777777" w:rsidR="00AB63FB" w:rsidRPr="008F50EB" w:rsidRDefault="00AB63FB" w:rsidP="00611EFD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Culture of innovation and psychological safety</w:t>
            </w:r>
          </w:p>
          <w:p w14:paraId="30084E43" w14:textId="77777777" w:rsidR="00AB63FB" w:rsidRPr="008F50EB" w:rsidRDefault="00AB63FB" w:rsidP="00611EFD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>Our staff feel encouraged to take risks and explore new approaches to work, supporting ongoing continuous improvement.</w:t>
            </w:r>
          </w:p>
        </w:tc>
        <w:tc>
          <w:tcPr>
            <w:tcW w:w="1659" w:type="pct"/>
            <w:shd w:val="clear" w:color="auto" w:fill="CBDDF2" w:themeFill="background2" w:themeFillTint="33"/>
          </w:tcPr>
          <w:p w14:paraId="49AF1A56" w14:textId="77777777" w:rsidR="00AB63FB" w:rsidRPr="008F50EB" w:rsidRDefault="00AB63FB" w:rsidP="00C763DF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Inclusive, supportive, and flexible work culture</w:t>
            </w:r>
          </w:p>
          <w:p w14:paraId="5D921F58" w14:textId="0E5506FD" w:rsidR="00AB63FB" w:rsidRPr="00A9782E" w:rsidRDefault="00AB63FB" w:rsidP="009E65CE">
            <w:pPr>
              <w:spacing w:before="80" w:after="20" w:line="240" w:lineRule="auto"/>
              <w:ind w:left="0" w:right="-57" w:firstLine="0"/>
              <w:rPr>
                <w:rFonts w:asciiTheme="minorBidi" w:eastAsia="Times New Roman" w:hAnsiTheme="minorBidi" w:cstheme="minorBidi"/>
                <w:b/>
                <w:bCs/>
                <w:color w:val="auto"/>
                <w:spacing w:val="2"/>
                <w:sz w:val="20"/>
                <w:szCs w:val="20"/>
                <w:lang w:eastAsia="zh-CN" w:bidi="th-TH"/>
              </w:rPr>
            </w:pPr>
            <w:r w:rsidRPr="00A9782E">
              <w:rPr>
                <w:rFonts w:asciiTheme="minorBidi" w:hAnsiTheme="minorBidi" w:cstheme="minorBidi"/>
                <w:color w:val="auto"/>
                <w:spacing w:val="2"/>
                <w:sz w:val="20"/>
                <w:szCs w:val="20"/>
              </w:rPr>
              <w:t xml:space="preserve">Our staff describe the culture as </w:t>
            </w:r>
            <w:r w:rsidR="00240203" w:rsidRPr="00A9782E">
              <w:rPr>
                <w:rFonts w:asciiTheme="minorBidi" w:hAnsiTheme="minorBidi" w:cstheme="minorBidi"/>
                <w:color w:val="auto"/>
                <w:spacing w:val="2"/>
                <w:sz w:val="20"/>
                <w:szCs w:val="20"/>
              </w:rPr>
              <w:t>‘</w:t>
            </w:r>
            <w:r w:rsidRPr="00A9782E">
              <w:rPr>
                <w:rFonts w:asciiTheme="minorBidi" w:hAnsiTheme="minorBidi" w:cstheme="minorBidi"/>
                <w:color w:val="auto"/>
                <w:spacing w:val="2"/>
                <w:sz w:val="20"/>
                <w:szCs w:val="20"/>
              </w:rPr>
              <w:t>positive, kind and supportive</w:t>
            </w:r>
            <w:r w:rsidR="00240203" w:rsidRPr="00A9782E">
              <w:rPr>
                <w:rFonts w:asciiTheme="minorBidi" w:hAnsiTheme="minorBidi" w:cstheme="minorBidi"/>
                <w:color w:val="auto"/>
                <w:spacing w:val="2"/>
                <w:sz w:val="20"/>
                <w:szCs w:val="20"/>
              </w:rPr>
              <w:t>’</w:t>
            </w:r>
            <w:r w:rsidRPr="00A9782E">
              <w:rPr>
                <w:rFonts w:asciiTheme="minorBidi" w:hAnsiTheme="minorBidi" w:cstheme="minorBidi"/>
                <w:color w:val="auto"/>
                <w:spacing w:val="2"/>
                <w:sz w:val="20"/>
                <w:szCs w:val="20"/>
              </w:rPr>
              <w:t>, with a focus on maintaining respectful workplace standards and promoting psychological safety.</w:t>
            </w:r>
          </w:p>
        </w:tc>
      </w:tr>
      <w:tr w:rsidR="00AB63FB" w:rsidRPr="007A7346" w14:paraId="4ACD865A" w14:textId="77777777" w:rsidTr="00E979A4">
        <w:trPr>
          <w:trHeight w:val="420"/>
        </w:trPr>
        <w:tc>
          <w:tcPr>
            <w:tcW w:w="1663" w:type="pct"/>
            <w:shd w:val="clear" w:color="auto" w:fill="265A9A" w:themeFill="background2"/>
            <w:vAlign w:val="center"/>
            <w:hideMark/>
          </w:tcPr>
          <w:p w14:paraId="4E462853" w14:textId="77777777" w:rsidR="00AB63FB" w:rsidRPr="007A7346" w:rsidRDefault="00AB63FB">
            <w:pPr>
              <w:spacing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FFFFFF"/>
                <w:lang w:eastAsia="zh-CN" w:bidi="th-TH"/>
              </w:rPr>
            </w:pPr>
            <w:r w:rsidRPr="007A7346">
              <w:rPr>
                <w:rFonts w:asciiTheme="minorBidi" w:eastAsia="Times New Roman" w:hAnsiTheme="minorBidi" w:cstheme="minorBidi"/>
                <w:b/>
                <w:bCs/>
                <w:color w:val="FFFFFF"/>
                <w:lang w:eastAsia="zh-CN" w:bidi="th-TH"/>
              </w:rPr>
              <w:t>Areas we are focused on:</w:t>
            </w:r>
          </w:p>
        </w:tc>
        <w:tc>
          <w:tcPr>
            <w:tcW w:w="3337" w:type="pct"/>
            <w:gridSpan w:val="2"/>
            <w:shd w:val="clear" w:color="auto" w:fill="265A9A" w:themeFill="background2"/>
            <w:vAlign w:val="center"/>
            <w:hideMark/>
          </w:tcPr>
          <w:p w14:paraId="7485C46D" w14:textId="190F49BB" w:rsidR="00AB63FB" w:rsidRPr="007A7346" w:rsidRDefault="00AB63FB">
            <w:pPr>
              <w:spacing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FFFFFF"/>
                <w:lang w:eastAsia="zh-CN" w:bidi="th-TH"/>
              </w:rPr>
            </w:pPr>
            <w:r w:rsidRPr="007A7346">
              <w:rPr>
                <w:rFonts w:asciiTheme="minorBidi" w:eastAsia="Times New Roman" w:hAnsiTheme="minorBidi" w:cstheme="minorBidi"/>
                <w:b/>
                <w:bCs/>
                <w:color w:val="FFFFFF"/>
                <w:lang w:eastAsia="zh-CN" w:bidi="th-TH"/>
              </w:rPr>
              <w:t>How we are committing to improve</w:t>
            </w:r>
            <w:r w:rsidR="0044212D" w:rsidRPr="007A7346">
              <w:rPr>
                <w:rFonts w:asciiTheme="minorBidi" w:eastAsia="Times New Roman" w:hAnsiTheme="minorBidi" w:cstheme="minorBidi"/>
                <w:b/>
                <w:bCs/>
                <w:color w:val="FFFFFF"/>
                <w:lang w:eastAsia="zh-CN" w:bidi="th-TH"/>
              </w:rPr>
              <w:t>:</w:t>
            </w:r>
          </w:p>
        </w:tc>
      </w:tr>
      <w:tr w:rsidR="00AB63FB" w:rsidRPr="004D43A1" w14:paraId="1808C912" w14:textId="77777777" w:rsidTr="00E979A4">
        <w:trPr>
          <w:trHeight w:val="1666"/>
        </w:trPr>
        <w:tc>
          <w:tcPr>
            <w:tcW w:w="1663" w:type="pct"/>
            <w:shd w:val="clear" w:color="auto" w:fill="E0F1F7" w:themeFill="accent1" w:themeFillTint="33"/>
            <w:noWrap/>
            <w:hideMark/>
          </w:tcPr>
          <w:p w14:paraId="49A8152B" w14:textId="77777777" w:rsidR="00AB63FB" w:rsidRPr="008F50EB" w:rsidRDefault="00AB63FB" w:rsidP="00152A4F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Career and professional development</w:t>
            </w:r>
          </w:p>
          <w:p w14:paraId="5040F0BB" w14:textId="77777777" w:rsidR="00AB63FB" w:rsidRPr="008F50EB" w:rsidRDefault="00AB63FB" w:rsidP="00611EFD">
            <w:pPr>
              <w:spacing w:before="120" w:after="0" w:line="240" w:lineRule="auto"/>
              <w:ind w:left="0" w:firstLine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Provide clear development opportunities and clarify career pathways.</w:t>
            </w:r>
          </w:p>
        </w:tc>
        <w:tc>
          <w:tcPr>
            <w:tcW w:w="3337" w:type="pct"/>
            <w:gridSpan w:val="2"/>
            <w:shd w:val="clear" w:color="auto" w:fill="FFFFFF" w:themeFill="background1"/>
            <w:hideMark/>
          </w:tcPr>
          <w:p w14:paraId="6660152A" w14:textId="77777777" w:rsidR="00AB63FB" w:rsidRPr="008F50EB" w:rsidRDefault="00AB63FB" w:rsidP="00152A4F">
            <w:pPr>
              <w:pStyle w:val="ListParagraph"/>
              <w:numPr>
                <w:ilvl w:val="0"/>
                <w:numId w:val="17"/>
              </w:numPr>
              <w:spacing w:before="80" w:after="0"/>
              <w:rPr>
                <w:rFonts w:asciiTheme="minorBidi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>Support Expressions of Interest (EOIs), secondments, and acting opportunities, and facilitate cross-agency interactions to support mobility experience.</w:t>
            </w:r>
          </w:p>
          <w:p w14:paraId="0F18E74B" w14:textId="77777777" w:rsidR="00AB63FB" w:rsidRPr="008F50EB" w:rsidRDefault="00AB63FB" w:rsidP="00AB63F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Embed career development in PADP discussions, including promoting career progression opportunities among staff such as acting above level, mentoring, internal and external speaking opportunities, and networking opportunities with other agencies.</w:t>
            </w:r>
          </w:p>
          <w:p w14:paraId="496DE576" w14:textId="77777777" w:rsidR="00AB63FB" w:rsidRPr="008F50EB" w:rsidRDefault="00AB63FB" w:rsidP="009E65CE">
            <w:pPr>
              <w:pStyle w:val="ListParagraph"/>
              <w:numPr>
                <w:ilvl w:val="0"/>
                <w:numId w:val="17"/>
              </w:numPr>
              <w:spacing w:after="2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Recognising the strong interests to support career and professional development we will engage with staff and leaders on the review of the L&amp;D strategy.</w:t>
            </w:r>
          </w:p>
        </w:tc>
      </w:tr>
      <w:tr w:rsidR="00AB63FB" w:rsidRPr="004D43A1" w14:paraId="7703BD7D" w14:textId="77777777" w:rsidTr="00E979A4">
        <w:trPr>
          <w:trHeight w:val="1134"/>
        </w:trPr>
        <w:tc>
          <w:tcPr>
            <w:tcW w:w="1663" w:type="pct"/>
            <w:shd w:val="clear" w:color="auto" w:fill="E0F1F7" w:themeFill="accent1" w:themeFillTint="33"/>
            <w:noWrap/>
            <w:hideMark/>
          </w:tcPr>
          <w:p w14:paraId="24166BEA" w14:textId="77777777" w:rsidR="00AB63FB" w:rsidRPr="008F50EB" w:rsidRDefault="00AB63FB" w:rsidP="00152A4F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Collaboration, communication and engagement</w:t>
            </w:r>
          </w:p>
          <w:p w14:paraId="0B36C894" w14:textId="564ADB84" w:rsidR="00AB63FB" w:rsidRPr="008F50EB" w:rsidRDefault="00AB63FB" w:rsidP="00611EFD">
            <w:pPr>
              <w:spacing w:before="120" w:after="0" w:line="240" w:lineRule="auto"/>
              <w:ind w:left="0" w:firstLine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Strengthen internal communication channels and collaborate to build more inclusive engagement</w:t>
            </w:r>
            <w:r w:rsidR="00AD6451"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.</w:t>
            </w:r>
          </w:p>
        </w:tc>
        <w:tc>
          <w:tcPr>
            <w:tcW w:w="3337" w:type="pct"/>
            <w:gridSpan w:val="2"/>
            <w:shd w:val="clear" w:color="auto" w:fill="FFFFFF" w:themeFill="background1"/>
            <w:hideMark/>
          </w:tcPr>
          <w:p w14:paraId="4FB97DB4" w14:textId="77777777" w:rsidR="00AB63FB" w:rsidRPr="008F50EB" w:rsidRDefault="00AB63FB" w:rsidP="00152A4F">
            <w:pPr>
              <w:pStyle w:val="ListParagraph"/>
              <w:numPr>
                <w:ilvl w:val="0"/>
                <w:numId w:val="17"/>
              </w:numPr>
              <w:spacing w:before="80" w:after="0"/>
              <w:rPr>
                <w:rFonts w:asciiTheme="minorBidi" w:eastAsia="Times New Roman" w:hAnsiTheme="minorBidi" w:cstheme="minorBidi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hAnsiTheme="minorBidi" w:cstheme="minorBidi"/>
                <w:i/>
                <w:color w:val="265A9A" w:themeColor="background2"/>
                <w:sz w:val="20"/>
                <w:szCs w:val="20"/>
              </w:rPr>
              <w:t>Embed the communication strategy action plan – 2024 continued.</w:t>
            </w:r>
          </w:p>
          <w:p w14:paraId="1A18351D" w14:textId="77777777" w:rsidR="00AB63FB" w:rsidRPr="008F50EB" w:rsidRDefault="00AB63FB" w:rsidP="00AB63F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>Optimise internal communications to minimise volume and enhance the relevance of information shared.</w:t>
            </w:r>
          </w:p>
          <w:p w14:paraId="2DBA6165" w14:textId="77777777" w:rsidR="00AB63FB" w:rsidRPr="00D93E39" w:rsidRDefault="00AB63FB" w:rsidP="001005A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Theme="minorBidi" w:eastAsia="Times New Roman" w:hAnsiTheme="minorBidi" w:cstheme="minorBidi"/>
                <w:color w:val="auto"/>
                <w:spacing w:val="-2"/>
                <w:sz w:val="20"/>
                <w:szCs w:val="20"/>
                <w:lang w:eastAsia="zh-CN" w:bidi="th-TH"/>
              </w:rPr>
            </w:pPr>
            <w:r w:rsidRPr="00D93E39">
              <w:rPr>
                <w:rFonts w:asciiTheme="minorBidi" w:hAnsiTheme="minorBidi" w:cstheme="minorBidi"/>
                <w:color w:val="auto"/>
                <w:spacing w:val="-2"/>
                <w:sz w:val="20"/>
                <w:szCs w:val="20"/>
                <w:lang w:bidi="th-TH"/>
              </w:rPr>
              <w:t>Reintroduce periodic all-staff meetings to highlight agency wide initiatives.</w:t>
            </w:r>
          </w:p>
          <w:p w14:paraId="62371A95" w14:textId="77777777" w:rsidR="00AB63FB" w:rsidRPr="008F50EB" w:rsidRDefault="00AB63FB" w:rsidP="00F459B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  <w:lang w:bidi="th-TH"/>
              </w:rPr>
              <w:t>Clarify roles</w:t>
            </w: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 xml:space="preserve"> and responsibilities to support team cohesion, for example team planning days</w:t>
            </w: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.</w:t>
            </w:r>
          </w:p>
        </w:tc>
      </w:tr>
      <w:tr w:rsidR="00AB63FB" w:rsidRPr="004D43A1" w14:paraId="66EEE451" w14:textId="77777777" w:rsidTr="00E979A4">
        <w:trPr>
          <w:trHeight w:val="1097"/>
        </w:trPr>
        <w:tc>
          <w:tcPr>
            <w:tcW w:w="1663" w:type="pct"/>
            <w:shd w:val="clear" w:color="auto" w:fill="E0F1F7" w:themeFill="accent1" w:themeFillTint="33"/>
            <w:noWrap/>
            <w:hideMark/>
          </w:tcPr>
          <w:p w14:paraId="65894BCF" w14:textId="77777777" w:rsidR="00AB63FB" w:rsidRPr="008F50EB" w:rsidRDefault="00AB63FB" w:rsidP="00152A4F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Job satisfaction, retention and wellbeing</w:t>
            </w:r>
          </w:p>
          <w:p w14:paraId="5F2E3783" w14:textId="77777777" w:rsidR="00AB63FB" w:rsidRPr="008F50EB" w:rsidRDefault="00AB63FB" w:rsidP="00611EFD">
            <w:pPr>
              <w:spacing w:before="120" w:after="0" w:line="240" w:lineRule="auto"/>
              <w:ind w:left="0" w:firstLine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Boost job satisfaction and retention through recognition and wellbeing.</w:t>
            </w:r>
          </w:p>
        </w:tc>
        <w:tc>
          <w:tcPr>
            <w:tcW w:w="3337" w:type="pct"/>
            <w:gridSpan w:val="2"/>
            <w:shd w:val="clear" w:color="auto" w:fill="FFFFFF" w:themeFill="background1"/>
            <w:hideMark/>
          </w:tcPr>
          <w:p w14:paraId="0B148B56" w14:textId="23235BD9" w:rsidR="00AB63FB" w:rsidRPr="008F50EB" w:rsidRDefault="00AB63FB" w:rsidP="00575DBF">
            <w:pPr>
              <w:pStyle w:val="ListParagraph"/>
              <w:numPr>
                <w:ilvl w:val="0"/>
                <w:numId w:val="18"/>
              </w:numPr>
              <w:spacing w:before="80" w:after="0" w:line="240" w:lineRule="auto"/>
              <w:rPr>
                <w:rFonts w:asciiTheme="minorBidi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Establish an annual PC rewards and recognition plan aligned to the PC</w:t>
            </w:r>
            <w:r w:rsidR="009E18F4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 </w:t>
            </w: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values.</w:t>
            </w:r>
          </w:p>
          <w:p w14:paraId="2E32278D" w14:textId="77777777" w:rsidR="00AB63FB" w:rsidRPr="008F50EB" w:rsidRDefault="00AB63FB" w:rsidP="00AB63F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>Enhance supervisors' ability to proactively recognise early indicators of burnout, address critical stressors, and adjust workloads appropriately when staff resources are insufficient to meet demands.</w:t>
            </w:r>
          </w:p>
          <w:p w14:paraId="42523EB3" w14:textId="77777777" w:rsidR="00BE235C" w:rsidRPr="008F50EB" w:rsidRDefault="00BE235C" w:rsidP="00BE235C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Commitment to finalise and implement the flexible work procedures and promote flexible work opportunities.</w:t>
            </w:r>
          </w:p>
          <w:p w14:paraId="552426BC" w14:textId="69E04596" w:rsidR="00AB63FB" w:rsidRPr="008F50EB" w:rsidRDefault="00BE235C" w:rsidP="00BE235C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Continue to promote wellbeing initiatives and embed the updated WHS</w:t>
            </w:r>
            <w:r w:rsidR="008356DA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 </w:t>
            </w: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Framework.</w:t>
            </w:r>
          </w:p>
        </w:tc>
      </w:tr>
      <w:tr w:rsidR="00AB63FB" w:rsidRPr="004D43A1" w14:paraId="239BCAF6" w14:textId="77777777" w:rsidTr="00E979A4">
        <w:trPr>
          <w:trHeight w:val="689"/>
        </w:trPr>
        <w:tc>
          <w:tcPr>
            <w:tcW w:w="1663" w:type="pct"/>
            <w:shd w:val="clear" w:color="auto" w:fill="E7DCED" w:themeFill="accent2" w:themeFillTint="33"/>
            <w:hideMark/>
          </w:tcPr>
          <w:p w14:paraId="75B9F873" w14:textId="77777777" w:rsidR="00AB63FB" w:rsidRPr="008F50EB" w:rsidRDefault="00AB63FB" w:rsidP="004D4D7C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Change management</w:t>
            </w:r>
          </w:p>
          <w:p w14:paraId="7A7D4BBC" w14:textId="024C5644" w:rsidR="00AB63FB" w:rsidRPr="008F50EB" w:rsidRDefault="00AB63FB" w:rsidP="00FB6BA3">
            <w:pPr>
              <w:spacing w:before="120" w:after="80" w:line="240" w:lineRule="auto"/>
              <w:ind w:left="0" w:firstLine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Build confidence in change processes through transparency and consultation</w:t>
            </w:r>
            <w:r w:rsidR="00AD6451"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.</w:t>
            </w:r>
          </w:p>
        </w:tc>
        <w:tc>
          <w:tcPr>
            <w:tcW w:w="3337" w:type="pct"/>
            <w:gridSpan w:val="2"/>
            <w:shd w:val="clear" w:color="auto" w:fill="FFFFFF" w:themeFill="background1"/>
            <w:hideMark/>
          </w:tcPr>
          <w:p w14:paraId="33CF6428" w14:textId="77777777" w:rsidR="00AB63FB" w:rsidRPr="008F50EB" w:rsidRDefault="00AB63FB" w:rsidP="00575DBF">
            <w:pPr>
              <w:pStyle w:val="ListParagraph"/>
              <w:numPr>
                <w:ilvl w:val="0"/>
                <w:numId w:val="19"/>
              </w:numPr>
              <w:spacing w:before="80" w:after="0" w:line="240" w:lineRule="auto"/>
              <w:rPr>
                <w:rFonts w:asciiTheme="minorBidi" w:eastAsia="Times New Roman" w:hAnsiTheme="minorBidi" w:cstheme="minorBidi"/>
                <w:color w:val="3D3D3D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i/>
                <w:color w:val="265A9A"/>
                <w:sz w:val="20"/>
                <w:szCs w:val="20"/>
                <w:lang w:eastAsia="zh-CN" w:bidi="th-TH"/>
              </w:rPr>
              <w:t xml:space="preserve">Implement recommendations from the Project Management Framework evaluation </w:t>
            </w:r>
            <w:r w:rsidRPr="008F50EB">
              <w:rPr>
                <w:rFonts w:asciiTheme="minorBidi" w:hAnsiTheme="minorBidi" w:cstheme="minorBidi"/>
                <w:i/>
                <w:color w:val="265A9A" w:themeColor="background2"/>
                <w:sz w:val="20"/>
                <w:szCs w:val="20"/>
              </w:rPr>
              <w:t>– 2024 continued.</w:t>
            </w:r>
          </w:p>
          <w:p w14:paraId="36422BEC" w14:textId="77777777" w:rsidR="00AB63FB" w:rsidRPr="008F50EB" w:rsidRDefault="00AB63FB" w:rsidP="00AB63F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Deliver training to uplift Change Management capabilities.</w:t>
            </w:r>
          </w:p>
        </w:tc>
      </w:tr>
      <w:tr w:rsidR="00AB63FB" w:rsidRPr="004D43A1" w14:paraId="5D3114A9" w14:textId="77777777" w:rsidTr="00E979A4">
        <w:trPr>
          <w:trHeight w:val="1624"/>
        </w:trPr>
        <w:tc>
          <w:tcPr>
            <w:tcW w:w="1663" w:type="pct"/>
            <w:shd w:val="clear" w:color="auto" w:fill="E7DCED" w:themeFill="accent2" w:themeFillTint="33"/>
            <w:hideMark/>
          </w:tcPr>
          <w:p w14:paraId="2AC60B1F" w14:textId="77777777" w:rsidR="00AB63FB" w:rsidRPr="008F50EB" w:rsidRDefault="00AB63FB" w:rsidP="00575DBF">
            <w:pPr>
              <w:spacing w:before="80" w:after="0" w:line="240" w:lineRule="auto"/>
              <w:ind w:left="0" w:firstLine="0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eastAsia="zh-CN" w:bidi="th-TH"/>
              </w:rPr>
              <w:t>Innovation</w:t>
            </w:r>
          </w:p>
          <w:p w14:paraId="0AA5703E" w14:textId="38DC1C59" w:rsidR="00AB63FB" w:rsidRPr="008F50EB" w:rsidRDefault="00AB63FB" w:rsidP="00611EFD">
            <w:pPr>
              <w:spacing w:before="120" w:after="0" w:line="240" w:lineRule="auto"/>
              <w:ind w:left="0" w:firstLine="0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Continue to grow a culture that supports experimentation and celebrates new ideas</w:t>
            </w:r>
            <w:r w:rsidR="00AD6451"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.</w:t>
            </w:r>
          </w:p>
        </w:tc>
        <w:tc>
          <w:tcPr>
            <w:tcW w:w="3337" w:type="pct"/>
            <w:gridSpan w:val="2"/>
            <w:shd w:val="clear" w:color="auto" w:fill="FFFFFF" w:themeFill="background1"/>
            <w:hideMark/>
          </w:tcPr>
          <w:p w14:paraId="07CFB50C" w14:textId="3F7D9F65" w:rsidR="00AB63FB" w:rsidRPr="00302A6E" w:rsidRDefault="00AB63FB" w:rsidP="00A9782E">
            <w:pPr>
              <w:pStyle w:val="ListParagraph"/>
              <w:numPr>
                <w:ilvl w:val="0"/>
                <w:numId w:val="20"/>
              </w:numPr>
              <w:spacing w:before="80" w:after="0" w:line="240" w:lineRule="auto"/>
              <w:rPr>
                <w:rFonts w:asciiTheme="minorBidi" w:eastAsia="Times New Roman" w:hAnsiTheme="minorBidi" w:cstheme="minorBidi"/>
                <w:i/>
                <w:color w:val="265A9A" w:themeColor="background2"/>
                <w:spacing w:val="-2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i/>
                <w:color w:val="265A9A"/>
                <w:sz w:val="20"/>
                <w:szCs w:val="20"/>
                <w:lang w:eastAsia="zh-CN" w:bidi="th-TH"/>
              </w:rPr>
              <w:t xml:space="preserve">Continue to showcase innovative work and participate in APS </w:t>
            </w:r>
            <w:r w:rsidRPr="008F50EB">
              <w:rPr>
                <w:rFonts w:asciiTheme="minorBidi" w:eastAsia="Times New Roman" w:hAnsiTheme="minorBidi" w:cstheme="minorBidi"/>
                <w:i/>
                <w:color w:val="265A9A" w:themeColor="background2"/>
                <w:sz w:val="20"/>
                <w:szCs w:val="20"/>
                <w:lang w:eastAsia="zh-CN" w:bidi="th-TH"/>
              </w:rPr>
              <w:t xml:space="preserve">Innovation </w:t>
            </w:r>
            <w:r w:rsidRPr="00302A6E">
              <w:rPr>
                <w:rFonts w:asciiTheme="minorBidi" w:eastAsia="Times New Roman" w:hAnsiTheme="minorBidi" w:cstheme="minorBidi"/>
                <w:i/>
                <w:color w:val="265A9A" w:themeColor="background2"/>
                <w:spacing w:val="-2"/>
                <w:sz w:val="20"/>
                <w:szCs w:val="20"/>
                <w:lang w:eastAsia="zh-CN" w:bidi="th-TH"/>
              </w:rPr>
              <w:t xml:space="preserve">Month to recognise and reward innovative contributions </w:t>
            </w:r>
            <w:r w:rsidRPr="00302A6E">
              <w:rPr>
                <w:rFonts w:asciiTheme="minorBidi" w:hAnsiTheme="minorBidi" w:cstheme="minorBidi"/>
                <w:i/>
                <w:color w:val="265A9A" w:themeColor="background2"/>
                <w:spacing w:val="-2"/>
                <w:sz w:val="20"/>
                <w:szCs w:val="20"/>
              </w:rPr>
              <w:t>–</w:t>
            </w:r>
            <w:r w:rsidR="00610987" w:rsidRPr="00302A6E">
              <w:rPr>
                <w:rFonts w:asciiTheme="minorBidi" w:hAnsiTheme="minorBidi" w:cstheme="minorBidi"/>
                <w:i/>
                <w:color w:val="265A9A" w:themeColor="background2"/>
                <w:spacing w:val="-2"/>
                <w:sz w:val="20"/>
                <w:szCs w:val="20"/>
              </w:rPr>
              <w:t xml:space="preserve"> </w:t>
            </w:r>
            <w:r w:rsidRPr="00302A6E">
              <w:rPr>
                <w:rFonts w:asciiTheme="minorBidi" w:hAnsiTheme="minorBidi" w:cstheme="minorBidi"/>
                <w:i/>
                <w:color w:val="265A9A" w:themeColor="background2"/>
                <w:spacing w:val="-2"/>
                <w:sz w:val="20"/>
                <w:szCs w:val="20"/>
              </w:rPr>
              <w:t>2024 continued</w:t>
            </w:r>
            <w:r w:rsidRPr="00302A6E">
              <w:rPr>
                <w:rFonts w:asciiTheme="minorBidi" w:eastAsia="Times New Roman" w:hAnsiTheme="minorBidi" w:cstheme="minorBidi"/>
                <w:i/>
                <w:color w:val="265A9A" w:themeColor="background2"/>
                <w:spacing w:val="-2"/>
                <w:sz w:val="20"/>
                <w:szCs w:val="20"/>
                <w:lang w:eastAsia="zh-CN" w:bidi="th-TH"/>
              </w:rPr>
              <w:t>.</w:t>
            </w:r>
          </w:p>
          <w:p w14:paraId="247F0684" w14:textId="77777777" w:rsidR="00B82641" w:rsidRPr="008F50EB" w:rsidRDefault="00B82641" w:rsidP="00B82641">
            <w:pPr>
              <w:pStyle w:val="ListParagraph"/>
              <w:numPr>
                <w:ilvl w:val="0"/>
                <w:numId w:val="20"/>
              </w:numPr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Promote the use of qualitative and quantitative tools, particularly NVivo and generative AI, and provide appropriate training and support.</w:t>
            </w:r>
          </w:p>
          <w:p w14:paraId="1B350C99" w14:textId="34A45EDB" w:rsidR="00AB63FB" w:rsidRPr="008F50EB" w:rsidRDefault="00AB63FB" w:rsidP="00932E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left="357" w:hanging="357"/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</w:pP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 xml:space="preserve">Develop a PC-wide </w:t>
            </w:r>
            <w:r w:rsidR="003D7DE3"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‘</w:t>
            </w: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innovation award</w:t>
            </w:r>
            <w:r w:rsidR="003D7DE3"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>’</w:t>
            </w:r>
            <w:r w:rsidRPr="008F50EB">
              <w:rPr>
                <w:rFonts w:asciiTheme="minorBidi" w:eastAsia="Times New Roman" w:hAnsiTheme="minorBidi" w:cstheme="minorBidi"/>
                <w:color w:val="auto"/>
                <w:sz w:val="20"/>
                <w:szCs w:val="20"/>
                <w:lang w:eastAsia="zh-CN" w:bidi="th-TH"/>
              </w:rPr>
              <w:t xml:space="preserve"> to celebrate innovative contributions from staff across the PC, including innovative practices led by staff in the stream</w:t>
            </w:r>
            <w:r w:rsidRPr="008F50EB">
              <w:rPr>
                <w:rFonts w:asciiTheme="minorBidi" w:hAnsiTheme="minorBidi" w:cstheme="minorBidi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DDA3014" w14:textId="77777777" w:rsidR="009C3D65" w:rsidRPr="00D02533" w:rsidRDefault="009C3D65" w:rsidP="00B57599">
      <w:pPr>
        <w:ind w:left="0" w:firstLine="0"/>
      </w:pPr>
    </w:p>
    <w:sectPr w:rsidR="009C3D65" w:rsidRPr="00D02533" w:rsidSect="00335B4C">
      <w:headerReference w:type="default" r:id="rId14"/>
      <w:footerReference w:type="default" r:id="rId15"/>
      <w:pgSz w:w="11906" w:h="16838" w:code="9"/>
      <w:pgMar w:top="720" w:right="624" w:bottom="232" w:left="73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FA53" w14:textId="77777777" w:rsidR="006460A3" w:rsidRDefault="006460A3" w:rsidP="00F3517F">
      <w:pPr>
        <w:spacing w:after="0" w:line="240" w:lineRule="auto"/>
      </w:pPr>
      <w:r>
        <w:separator/>
      </w:r>
    </w:p>
  </w:endnote>
  <w:endnote w:type="continuationSeparator" w:id="0">
    <w:p w14:paraId="201C90C3" w14:textId="77777777" w:rsidR="006460A3" w:rsidRDefault="006460A3" w:rsidP="00F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331B" w14:textId="77777777" w:rsidR="00900872" w:rsidRPr="00A034AB" w:rsidRDefault="00900872" w:rsidP="00900872">
    <w:pPr>
      <w:pStyle w:val="Footer"/>
      <w:tabs>
        <w:tab w:val="clear" w:pos="9026"/>
      </w:tabs>
      <w:ind w:left="-1418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9474" w14:textId="77777777" w:rsidR="006460A3" w:rsidRDefault="006460A3" w:rsidP="00F3517F">
      <w:pPr>
        <w:spacing w:after="0" w:line="240" w:lineRule="auto"/>
      </w:pPr>
      <w:r>
        <w:separator/>
      </w:r>
    </w:p>
  </w:footnote>
  <w:footnote w:type="continuationSeparator" w:id="0">
    <w:p w14:paraId="6AB17653" w14:textId="77777777" w:rsidR="006460A3" w:rsidRDefault="006460A3" w:rsidP="00F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E0E8" w14:textId="58EC5B37" w:rsidR="00D10699" w:rsidRPr="00004B30" w:rsidRDefault="000F78A0" w:rsidP="002C0534">
    <w:pPr>
      <w:pStyle w:val="Header"/>
      <w:spacing w:after="480"/>
      <w:ind w:left="0"/>
      <w:rPr>
        <w:sz w:val="32"/>
        <w:szCs w:val="32"/>
      </w:rPr>
    </w:pPr>
    <w:r w:rsidRPr="00004B30">
      <w:rPr>
        <w:b/>
        <w:bCs/>
        <w:noProof/>
        <w:color w:val="265A9A" w:themeColor="background2"/>
        <w:sz w:val="32"/>
        <w:szCs w:val="32"/>
      </w:rPr>
      <w:drawing>
        <wp:anchor distT="0" distB="0" distL="114300" distR="114300" simplePos="0" relativeHeight="251658240" behindDoc="0" locked="0" layoutInCell="1" allowOverlap="1" wp14:anchorId="65B6A198" wp14:editId="07C6F9C0">
          <wp:simplePos x="0" y="0"/>
          <wp:positionH relativeFrom="page">
            <wp:align>left</wp:align>
          </wp:positionH>
          <wp:positionV relativeFrom="paragraph">
            <wp:posOffset>-449761</wp:posOffset>
          </wp:positionV>
          <wp:extent cx="7560000" cy="937457"/>
          <wp:effectExtent l="0" t="0" r="3175" b="0"/>
          <wp:wrapNone/>
          <wp:docPr id="1505209953" name="Picture 4" descr="Australian Government | Productivity Commission logo | Web url: www.pc.gov.au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209953" name="Picture 4" descr="Australian Government | Productivity Commission logo | Web url: www.pc.gov.au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29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C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6A6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4B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E6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E65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41DE65B6"/>
    <w:lvl w:ilvl="0">
      <w:start w:val="1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26DA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D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1EFC"/>
    <w:multiLevelType w:val="hybridMultilevel"/>
    <w:tmpl w:val="D8BC40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470519"/>
    <w:multiLevelType w:val="hybridMultilevel"/>
    <w:tmpl w:val="5ABC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47D73"/>
    <w:multiLevelType w:val="hybridMultilevel"/>
    <w:tmpl w:val="D2E0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91623"/>
    <w:multiLevelType w:val="hybridMultilevel"/>
    <w:tmpl w:val="DE6C7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02914"/>
    <w:multiLevelType w:val="hybridMultilevel"/>
    <w:tmpl w:val="1AAE0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30497"/>
    <w:multiLevelType w:val="hybridMultilevel"/>
    <w:tmpl w:val="A9F6DD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95D5D"/>
    <w:multiLevelType w:val="multilevel"/>
    <w:tmpl w:val="C964B2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6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CA2233"/>
    <w:multiLevelType w:val="hybridMultilevel"/>
    <w:tmpl w:val="5A1669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C3C9F"/>
    <w:multiLevelType w:val="hybridMultilevel"/>
    <w:tmpl w:val="949EFDD4"/>
    <w:lvl w:ilvl="0" w:tplc="701A1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932C66"/>
    <w:multiLevelType w:val="hybridMultilevel"/>
    <w:tmpl w:val="0424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845F1"/>
    <w:multiLevelType w:val="hybridMultilevel"/>
    <w:tmpl w:val="CA247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3006">
    <w:abstractNumId w:val="11"/>
  </w:num>
  <w:num w:numId="2" w16cid:durableId="1708991411">
    <w:abstractNumId w:val="14"/>
  </w:num>
  <w:num w:numId="3" w16cid:durableId="938097390">
    <w:abstractNumId w:val="9"/>
  </w:num>
  <w:num w:numId="4" w16cid:durableId="1578131906">
    <w:abstractNumId w:val="7"/>
  </w:num>
  <w:num w:numId="5" w16cid:durableId="629365636">
    <w:abstractNumId w:val="6"/>
  </w:num>
  <w:num w:numId="6" w16cid:durableId="2061130854">
    <w:abstractNumId w:val="5"/>
  </w:num>
  <w:num w:numId="7" w16cid:durableId="1910967744">
    <w:abstractNumId w:val="4"/>
  </w:num>
  <w:num w:numId="8" w16cid:durableId="1954827704">
    <w:abstractNumId w:val="8"/>
  </w:num>
  <w:num w:numId="9" w16cid:durableId="1753353213">
    <w:abstractNumId w:val="3"/>
  </w:num>
  <w:num w:numId="10" w16cid:durableId="1321622212">
    <w:abstractNumId w:val="2"/>
  </w:num>
  <w:num w:numId="11" w16cid:durableId="464591338">
    <w:abstractNumId w:val="1"/>
  </w:num>
  <w:num w:numId="12" w16cid:durableId="392242210">
    <w:abstractNumId w:val="0"/>
  </w:num>
  <w:num w:numId="13" w16cid:durableId="1705137020">
    <w:abstractNumId w:val="19"/>
  </w:num>
  <w:num w:numId="14" w16cid:durableId="1562205059">
    <w:abstractNumId w:val="12"/>
  </w:num>
  <w:num w:numId="15" w16cid:durableId="78450131">
    <w:abstractNumId w:val="7"/>
    <w:lvlOverride w:ilvl="0">
      <w:startOverride w:val="1"/>
    </w:lvlOverride>
  </w:num>
  <w:num w:numId="16" w16cid:durableId="939222710">
    <w:abstractNumId w:val="16"/>
  </w:num>
  <w:num w:numId="17" w16cid:durableId="8604872">
    <w:abstractNumId w:val="17"/>
  </w:num>
  <w:num w:numId="18" w16cid:durableId="56978860">
    <w:abstractNumId w:val="15"/>
  </w:num>
  <w:num w:numId="19" w16cid:durableId="2143620579">
    <w:abstractNumId w:val="10"/>
  </w:num>
  <w:num w:numId="20" w16cid:durableId="1522352624">
    <w:abstractNumId w:val="18"/>
  </w:num>
  <w:num w:numId="21" w16cid:durableId="1084183061">
    <w:abstractNumId w:val="13"/>
  </w:num>
  <w:num w:numId="22" w16cid:durableId="1827938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FB"/>
    <w:rsid w:val="00004B30"/>
    <w:rsid w:val="00024E0A"/>
    <w:rsid w:val="000252DD"/>
    <w:rsid w:val="000303E8"/>
    <w:rsid w:val="00045C84"/>
    <w:rsid w:val="00052CC3"/>
    <w:rsid w:val="000559E8"/>
    <w:rsid w:val="00056EB2"/>
    <w:rsid w:val="00066AD5"/>
    <w:rsid w:val="00070F9C"/>
    <w:rsid w:val="00071799"/>
    <w:rsid w:val="000720F9"/>
    <w:rsid w:val="00077FE9"/>
    <w:rsid w:val="00081E91"/>
    <w:rsid w:val="00082CA0"/>
    <w:rsid w:val="00096719"/>
    <w:rsid w:val="000A2F17"/>
    <w:rsid w:val="000A59C3"/>
    <w:rsid w:val="000A60D6"/>
    <w:rsid w:val="000A7362"/>
    <w:rsid w:val="000B3E36"/>
    <w:rsid w:val="000C3D09"/>
    <w:rsid w:val="000C7907"/>
    <w:rsid w:val="000E14DD"/>
    <w:rsid w:val="000E2549"/>
    <w:rsid w:val="000E3676"/>
    <w:rsid w:val="000E57FF"/>
    <w:rsid w:val="000E6DCC"/>
    <w:rsid w:val="000F0A8A"/>
    <w:rsid w:val="000F1657"/>
    <w:rsid w:val="000F2C8A"/>
    <w:rsid w:val="000F3C5A"/>
    <w:rsid w:val="000F78A0"/>
    <w:rsid w:val="001005AC"/>
    <w:rsid w:val="00104FE3"/>
    <w:rsid w:val="0011083C"/>
    <w:rsid w:val="00110ABC"/>
    <w:rsid w:val="0011374E"/>
    <w:rsid w:val="001171E7"/>
    <w:rsid w:val="00130C43"/>
    <w:rsid w:val="0013522D"/>
    <w:rsid w:val="00141CA9"/>
    <w:rsid w:val="00146BEC"/>
    <w:rsid w:val="0015119E"/>
    <w:rsid w:val="00152A4F"/>
    <w:rsid w:val="00153411"/>
    <w:rsid w:val="0015416E"/>
    <w:rsid w:val="00155FB0"/>
    <w:rsid w:val="00157C39"/>
    <w:rsid w:val="001612CE"/>
    <w:rsid w:val="001636D4"/>
    <w:rsid w:val="00166FC6"/>
    <w:rsid w:val="00167A36"/>
    <w:rsid w:val="001701FA"/>
    <w:rsid w:val="00171ED5"/>
    <w:rsid w:val="00172441"/>
    <w:rsid w:val="001837E0"/>
    <w:rsid w:val="00192B02"/>
    <w:rsid w:val="001A54C7"/>
    <w:rsid w:val="001B156D"/>
    <w:rsid w:val="001B3AE4"/>
    <w:rsid w:val="001B7A4C"/>
    <w:rsid w:val="001C0E10"/>
    <w:rsid w:val="001C1E65"/>
    <w:rsid w:val="001E0C30"/>
    <w:rsid w:val="001F3985"/>
    <w:rsid w:val="001F5267"/>
    <w:rsid w:val="001F70C5"/>
    <w:rsid w:val="00204B58"/>
    <w:rsid w:val="0022450A"/>
    <w:rsid w:val="00225298"/>
    <w:rsid w:val="00233CFA"/>
    <w:rsid w:val="00234CA3"/>
    <w:rsid w:val="00235303"/>
    <w:rsid w:val="00240203"/>
    <w:rsid w:val="00251A78"/>
    <w:rsid w:val="002622E3"/>
    <w:rsid w:val="0026544F"/>
    <w:rsid w:val="00274656"/>
    <w:rsid w:val="00275B62"/>
    <w:rsid w:val="0028666E"/>
    <w:rsid w:val="00291B91"/>
    <w:rsid w:val="002A2D1B"/>
    <w:rsid w:val="002B1AFC"/>
    <w:rsid w:val="002B2830"/>
    <w:rsid w:val="002C0534"/>
    <w:rsid w:val="002C25C7"/>
    <w:rsid w:val="002D6B5A"/>
    <w:rsid w:val="002E3911"/>
    <w:rsid w:val="002E3A08"/>
    <w:rsid w:val="002F165F"/>
    <w:rsid w:val="002F3FED"/>
    <w:rsid w:val="00302A6E"/>
    <w:rsid w:val="00302C3D"/>
    <w:rsid w:val="0030590C"/>
    <w:rsid w:val="00307280"/>
    <w:rsid w:val="00313B33"/>
    <w:rsid w:val="003177A1"/>
    <w:rsid w:val="00317AA8"/>
    <w:rsid w:val="00332706"/>
    <w:rsid w:val="0033359F"/>
    <w:rsid w:val="0033532D"/>
    <w:rsid w:val="00335B4C"/>
    <w:rsid w:val="00335F69"/>
    <w:rsid w:val="003422AD"/>
    <w:rsid w:val="00347147"/>
    <w:rsid w:val="0036045A"/>
    <w:rsid w:val="00362308"/>
    <w:rsid w:val="00363286"/>
    <w:rsid w:val="0036610D"/>
    <w:rsid w:val="0036626F"/>
    <w:rsid w:val="00367AC8"/>
    <w:rsid w:val="00370B5C"/>
    <w:rsid w:val="00371D81"/>
    <w:rsid w:val="00380151"/>
    <w:rsid w:val="0039550C"/>
    <w:rsid w:val="003A306F"/>
    <w:rsid w:val="003A42A3"/>
    <w:rsid w:val="003A6D5D"/>
    <w:rsid w:val="003B3585"/>
    <w:rsid w:val="003B63C3"/>
    <w:rsid w:val="003B7185"/>
    <w:rsid w:val="003C0D89"/>
    <w:rsid w:val="003C1D36"/>
    <w:rsid w:val="003C74C3"/>
    <w:rsid w:val="003D0C9C"/>
    <w:rsid w:val="003D359C"/>
    <w:rsid w:val="003D7DE3"/>
    <w:rsid w:val="003F00C0"/>
    <w:rsid w:val="003F57C6"/>
    <w:rsid w:val="00401E41"/>
    <w:rsid w:val="00404CB7"/>
    <w:rsid w:val="004266B5"/>
    <w:rsid w:val="0043736A"/>
    <w:rsid w:val="0044212D"/>
    <w:rsid w:val="00444368"/>
    <w:rsid w:val="0045144A"/>
    <w:rsid w:val="004530F1"/>
    <w:rsid w:val="004566C8"/>
    <w:rsid w:val="00461820"/>
    <w:rsid w:val="00461987"/>
    <w:rsid w:val="0046553B"/>
    <w:rsid w:val="0046625F"/>
    <w:rsid w:val="004665E9"/>
    <w:rsid w:val="004674D3"/>
    <w:rsid w:val="00476135"/>
    <w:rsid w:val="00476E55"/>
    <w:rsid w:val="00486019"/>
    <w:rsid w:val="004917A3"/>
    <w:rsid w:val="0049686E"/>
    <w:rsid w:val="00497506"/>
    <w:rsid w:val="004A5823"/>
    <w:rsid w:val="004A6A44"/>
    <w:rsid w:val="004B5882"/>
    <w:rsid w:val="004B71F7"/>
    <w:rsid w:val="004C3718"/>
    <w:rsid w:val="004C498E"/>
    <w:rsid w:val="004C63C6"/>
    <w:rsid w:val="004C740A"/>
    <w:rsid w:val="004C7D06"/>
    <w:rsid w:val="004D087D"/>
    <w:rsid w:val="004D4D7C"/>
    <w:rsid w:val="004E6197"/>
    <w:rsid w:val="004F1096"/>
    <w:rsid w:val="004F5927"/>
    <w:rsid w:val="00500B4B"/>
    <w:rsid w:val="00502032"/>
    <w:rsid w:val="0050477F"/>
    <w:rsid w:val="00510BF8"/>
    <w:rsid w:val="00516B25"/>
    <w:rsid w:val="00524F96"/>
    <w:rsid w:val="00544193"/>
    <w:rsid w:val="00556FFA"/>
    <w:rsid w:val="005649D1"/>
    <w:rsid w:val="005733D5"/>
    <w:rsid w:val="00574696"/>
    <w:rsid w:val="00575DBF"/>
    <w:rsid w:val="00592029"/>
    <w:rsid w:val="00594CE1"/>
    <w:rsid w:val="005A6A7C"/>
    <w:rsid w:val="005B106E"/>
    <w:rsid w:val="005B175A"/>
    <w:rsid w:val="005B2AEF"/>
    <w:rsid w:val="005C4301"/>
    <w:rsid w:val="005C6A76"/>
    <w:rsid w:val="005D007E"/>
    <w:rsid w:val="005D3434"/>
    <w:rsid w:val="005E252E"/>
    <w:rsid w:val="005E3EBE"/>
    <w:rsid w:val="005F002B"/>
    <w:rsid w:val="005F30A8"/>
    <w:rsid w:val="006070FE"/>
    <w:rsid w:val="00607B7B"/>
    <w:rsid w:val="00610987"/>
    <w:rsid w:val="00611BD6"/>
    <w:rsid w:val="00611EFD"/>
    <w:rsid w:val="00615AC8"/>
    <w:rsid w:val="00621039"/>
    <w:rsid w:val="00637305"/>
    <w:rsid w:val="0064495E"/>
    <w:rsid w:val="00645A0A"/>
    <w:rsid w:val="006460A3"/>
    <w:rsid w:val="00655307"/>
    <w:rsid w:val="00660D43"/>
    <w:rsid w:val="00666754"/>
    <w:rsid w:val="00683D9F"/>
    <w:rsid w:val="00687291"/>
    <w:rsid w:val="00693955"/>
    <w:rsid w:val="006A2125"/>
    <w:rsid w:val="006A490B"/>
    <w:rsid w:val="006A7E73"/>
    <w:rsid w:val="006B0C29"/>
    <w:rsid w:val="006B1532"/>
    <w:rsid w:val="006B1642"/>
    <w:rsid w:val="006B6F1C"/>
    <w:rsid w:val="006C089B"/>
    <w:rsid w:val="006C0AA9"/>
    <w:rsid w:val="006D6BEC"/>
    <w:rsid w:val="006E6529"/>
    <w:rsid w:val="006E7AE6"/>
    <w:rsid w:val="006F353A"/>
    <w:rsid w:val="007171DB"/>
    <w:rsid w:val="00720CB9"/>
    <w:rsid w:val="00721147"/>
    <w:rsid w:val="0072269B"/>
    <w:rsid w:val="007253C8"/>
    <w:rsid w:val="007457BC"/>
    <w:rsid w:val="00747A1E"/>
    <w:rsid w:val="007855C8"/>
    <w:rsid w:val="00786A1D"/>
    <w:rsid w:val="00794A8C"/>
    <w:rsid w:val="00794FA1"/>
    <w:rsid w:val="007A7346"/>
    <w:rsid w:val="007B418D"/>
    <w:rsid w:val="007B4E96"/>
    <w:rsid w:val="007C189A"/>
    <w:rsid w:val="007C49E0"/>
    <w:rsid w:val="007D24E4"/>
    <w:rsid w:val="007D304D"/>
    <w:rsid w:val="007D6B8F"/>
    <w:rsid w:val="007E7338"/>
    <w:rsid w:val="007F2FEB"/>
    <w:rsid w:val="007F4641"/>
    <w:rsid w:val="008031CD"/>
    <w:rsid w:val="008050A9"/>
    <w:rsid w:val="00811D3E"/>
    <w:rsid w:val="00811EDE"/>
    <w:rsid w:val="00815F0E"/>
    <w:rsid w:val="00820010"/>
    <w:rsid w:val="00822065"/>
    <w:rsid w:val="00822F67"/>
    <w:rsid w:val="00823AD6"/>
    <w:rsid w:val="00825F96"/>
    <w:rsid w:val="00826943"/>
    <w:rsid w:val="008337CC"/>
    <w:rsid w:val="008356DA"/>
    <w:rsid w:val="00835761"/>
    <w:rsid w:val="00840BE3"/>
    <w:rsid w:val="00842CBF"/>
    <w:rsid w:val="00846535"/>
    <w:rsid w:val="00846C11"/>
    <w:rsid w:val="0084737F"/>
    <w:rsid w:val="00850B11"/>
    <w:rsid w:val="00851186"/>
    <w:rsid w:val="00852ACC"/>
    <w:rsid w:val="00853981"/>
    <w:rsid w:val="0085469A"/>
    <w:rsid w:val="00865E1A"/>
    <w:rsid w:val="00870443"/>
    <w:rsid w:val="00871B92"/>
    <w:rsid w:val="0087590A"/>
    <w:rsid w:val="00883114"/>
    <w:rsid w:val="00887579"/>
    <w:rsid w:val="00890487"/>
    <w:rsid w:val="008917B5"/>
    <w:rsid w:val="00892B7C"/>
    <w:rsid w:val="00894862"/>
    <w:rsid w:val="00896FCD"/>
    <w:rsid w:val="008A1125"/>
    <w:rsid w:val="008A1BA0"/>
    <w:rsid w:val="008A1E2D"/>
    <w:rsid w:val="008D6D1B"/>
    <w:rsid w:val="008D7837"/>
    <w:rsid w:val="008E45DE"/>
    <w:rsid w:val="008E7A20"/>
    <w:rsid w:val="008F07E3"/>
    <w:rsid w:val="008F470F"/>
    <w:rsid w:val="008F4F4D"/>
    <w:rsid w:val="008F50EB"/>
    <w:rsid w:val="008F5671"/>
    <w:rsid w:val="00900872"/>
    <w:rsid w:val="00931DB0"/>
    <w:rsid w:val="00932E92"/>
    <w:rsid w:val="009440CB"/>
    <w:rsid w:val="00950693"/>
    <w:rsid w:val="00953EC4"/>
    <w:rsid w:val="00957C90"/>
    <w:rsid w:val="00966406"/>
    <w:rsid w:val="00970F31"/>
    <w:rsid w:val="009718DC"/>
    <w:rsid w:val="00981539"/>
    <w:rsid w:val="00991A93"/>
    <w:rsid w:val="00995138"/>
    <w:rsid w:val="00995C46"/>
    <w:rsid w:val="009A2F09"/>
    <w:rsid w:val="009B01F9"/>
    <w:rsid w:val="009B0AAC"/>
    <w:rsid w:val="009B15CF"/>
    <w:rsid w:val="009B19A1"/>
    <w:rsid w:val="009C3D65"/>
    <w:rsid w:val="009E12BF"/>
    <w:rsid w:val="009E18F0"/>
    <w:rsid w:val="009E18F4"/>
    <w:rsid w:val="009E1C43"/>
    <w:rsid w:val="009E28D4"/>
    <w:rsid w:val="009E65CE"/>
    <w:rsid w:val="009E65ED"/>
    <w:rsid w:val="009F224F"/>
    <w:rsid w:val="009F4F02"/>
    <w:rsid w:val="00A03365"/>
    <w:rsid w:val="00A034AB"/>
    <w:rsid w:val="00A108A4"/>
    <w:rsid w:val="00A254C5"/>
    <w:rsid w:val="00A33C86"/>
    <w:rsid w:val="00A37131"/>
    <w:rsid w:val="00A447D1"/>
    <w:rsid w:val="00A502D6"/>
    <w:rsid w:val="00A50DFB"/>
    <w:rsid w:val="00A52F2F"/>
    <w:rsid w:val="00A56BA7"/>
    <w:rsid w:val="00A62649"/>
    <w:rsid w:val="00A670E1"/>
    <w:rsid w:val="00A721EC"/>
    <w:rsid w:val="00A804DC"/>
    <w:rsid w:val="00A812A8"/>
    <w:rsid w:val="00A85F9A"/>
    <w:rsid w:val="00A96E68"/>
    <w:rsid w:val="00A9782E"/>
    <w:rsid w:val="00AA184B"/>
    <w:rsid w:val="00AA6F8E"/>
    <w:rsid w:val="00AB138A"/>
    <w:rsid w:val="00AB26E3"/>
    <w:rsid w:val="00AB53A1"/>
    <w:rsid w:val="00AB63FB"/>
    <w:rsid w:val="00AC2EC7"/>
    <w:rsid w:val="00AC7464"/>
    <w:rsid w:val="00AD42CB"/>
    <w:rsid w:val="00AD6451"/>
    <w:rsid w:val="00AE060D"/>
    <w:rsid w:val="00AE60FA"/>
    <w:rsid w:val="00AE7C51"/>
    <w:rsid w:val="00AF0995"/>
    <w:rsid w:val="00AF2CE1"/>
    <w:rsid w:val="00AF6E08"/>
    <w:rsid w:val="00B02669"/>
    <w:rsid w:val="00B02BBD"/>
    <w:rsid w:val="00B0531B"/>
    <w:rsid w:val="00B21E4C"/>
    <w:rsid w:val="00B3095D"/>
    <w:rsid w:val="00B435E0"/>
    <w:rsid w:val="00B47AD6"/>
    <w:rsid w:val="00B53D3F"/>
    <w:rsid w:val="00B5434A"/>
    <w:rsid w:val="00B57599"/>
    <w:rsid w:val="00B72A31"/>
    <w:rsid w:val="00B75EB5"/>
    <w:rsid w:val="00B7676E"/>
    <w:rsid w:val="00B80A42"/>
    <w:rsid w:val="00B82641"/>
    <w:rsid w:val="00B83961"/>
    <w:rsid w:val="00B9092D"/>
    <w:rsid w:val="00B9203F"/>
    <w:rsid w:val="00B92971"/>
    <w:rsid w:val="00B93377"/>
    <w:rsid w:val="00BA3480"/>
    <w:rsid w:val="00BA4A7D"/>
    <w:rsid w:val="00BA7EBA"/>
    <w:rsid w:val="00BC6D07"/>
    <w:rsid w:val="00BD4A73"/>
    <w:rsid w:val="00BD4BCD"/>
    <w:rsid w:val="00BE1AD8"/>
    <w:rsid w:val="00BE235C"/>
    <w:rsid w:val="00BE4149"/>
    <w:rsid w:val="00BF0682"/>
    <w:rsid w:val="00BF1659"/>
    <w:rsid w:val="00BF4645"/>
    <w:rsid w:val="00BF61C2"/>
    <w:rsid w:val="00C00B4A"/>
    <w:rsid w:val="00C0297E"/>
    <w:rsid w:val="00C12AC3"/>
    <w:rsid w:val="00C17089"/>
    <w:rsid w:val="00C25FBD"/>
    <w:rsid w:val="00C26C84"/>
    <w:rsid w:val="00C3208F"/>
    <w:rsid w:val="00C35D6F"/>
    <w:rsid w:val="00C53EB2"/>
    <w:rsid w:val="00C57145"/>
    <w:rsid w:val="00C678A5"/>
    <w:rsid w:val="00C72B1A"/>
    <w:rsid w:val="00C7546A"/>
    <w:rsid w:val="00C763DF"/>
    <w:rsid w:val="00C81CA0"/>
    <w:rsid w:val="00C97633"/>
    <w:rsid w:val="00C97A60"/>
    <w:rsid w:val="00CA1D98"/>
    <w:rsid w:val="00CA5C3D"/>
    <w:rsid w:val="00CA74DB"/>
    <w:rsid w:val="00CA7C29"/>
    <w:rsid w:val="00CB2D9C"/>
    <w:rsid w:val="00CB6D96"/>
    <w:rsid w:val="00CC5B86"/>
    <w:rsid w:val="00CF0A8B"/>
    <w:rsid w:val="00CF4467"/>
    <w:rsid w:val="00D003E3"/>
    <w:rsid w:val="00D02533"/>
    <w:rsid w:val="00D02A2C"/>
    <w:rsid w:val="00D03464"/>
    <w:rsid w:val="00D05886"/>
    <w:rsid w:val="00D10699"/>
    <w:rsid w:val="00D167D0"/>
    <w:rsid w:val="00D207D2"/>
    <w:rsid w:val="00D20D1B"/>
    <w:rsid w:val="00D2353F"/>
    <w:rsid w:val="00D244E3"/>
    <w:rsid w:val="00D3135C"/>
    <w:rsid w:val="00D31A45"/>
    <w:rsid w:val="00D331C8"/>
    <w:rsid w:val="00D437CA"/>
    <w:rsid w:val="00D54B8C"/>
    <w:rsid w:val="00D63BB8"/>
    <w:rsid w:val="00D7234E"/>
    <w:rsid w:val="00D73986"/>
    <w:rsid w:val="00D74233"/>
    <w:rsid w:val="00D75524"/>
    <w:rsid w:val="00D755AF"/>
    <w:rsid w:val="00D86FC0"/>
    <w:rsid w:val="00D93E39"/>
    <w:rsid w:val="00DA1816"/>
    <w:rsid w:val="00DA2BED"/>
    <w:rsid w:val="00DA3A51"/>
    <w:rsid w:val="00DB0293"/>
    <w:rsid w:val="00DB65DD"/>
    <w:rsid w:val="00DD7E7D"/>
    <w:rsid w:val="00DE083E"/>
    <w:rsid w:val="00DE4B9A"/>
    <w:rsid w:val="00DE678B"/>
    <w:rsid w:val="00DF0DE9"/>
    <w:rsid w:val="00E01567"/>
    <w:rsid w:val="00E05E0C"/>
    <w:rsid w:val="00E26F34"/>
    <w:rsid w:val="00E3245A"/>
    <w:rsid w:val="00E410C3"/>
    <w:rsid w:val="00E4626E"/>
    <w:rsid w:val="00E5067A"/>
    <w:rsid w:val="00E5595D"/>
    <w:rsid w:val="00E61D44"/>
    <w:rsid w:val="00E61F81"/>
    <w:rsid w:val="00E712B0"/>
    <w:rsid w:val="00E71A96"/>
    <w:rsid w:val="00E74989"/>
    <w:rsid w:val="00E753F2"/>
    <w:rsid w:val="00E8489F"/>
    <w:rsid w:val="00E85DC1"/>
    <w:rsid w:val="00E90305"/>
    <w:rsid w:val="00E956B4"/>
    <w:rsid w:val="00E979A4"/>
    <w:rsid w:val="00EA11C1"/>
    <w:rsid w:val="00EA1D60"/>
    <w:rsid w:val="00EA3E3F"/>
    <w:rsid w:val="00EA64DA"/>
    <w:rsid w:val="00EA6D65"/>
    <w:rsid w:val="00EA79B6"/>
    <w:rsid w:val="00EB13A5"/>
    <w:rsid w:val="00EB141B"/>
    <w:rsid w:val="00EB1D93"/>
    <w:rsid w:val="00EB2191"/>
    <w:rsid w:val="00EB7CCB"/>
    <w:rsid w:val="00EC155B"/>
    <w:rsid w:val="00ED66F1"/>
    <w:rsid w:val="00EE71AF"/>
    <w:rsid w:val="00EE7B8E"/>
    <w:rsid w:val="00EF3C6C"/>
    <w:rsid w:val="00EF5AAB"/>
    <w:rsid w:val="00EF773E"/>
    <w:rsid w:val="00F02776"/>
    <w:rsid w:val="00F05826"/>
    <w:rsid w:val="00F1189E"/>
    <w:rsid w:val="00F14002"/>
    <w:rsid w:val="00F1474F"/>
    <w:rsid w:val="00F15E3F"/>
    <w:rsid w:val="00F23644"/>
    <w:rsid w:val="00F23D86"/>
    <w:rsid w:val="00F25A4D"/>
    <w:rsid w:val="00F3078D"/>
    <w:rsid w:val="00F3517F"/>
    <w:rsid w:val="00F42A7E"/>
    <w:rsid w:val="00F451AA"/>
    <w:rsid w:val="00F459B2"/>
    <w:rsid w:val="00F518B6"/>
    <w:rsid w:val="00F53A1A"/>
    <w:rsid w:val="00F55B02"/>
    <w:rsid w:val="00F62B1D"/>
    <w:rsid w:val="00F71B25"/>
    <w:rsid w:val="00F75D19"/>
    <w:rsid w:val="00F75E7B"/>
    <w:rsid w:val="00F8005E"/>
    <w:rsid w:val="00F839FD"/>
    <w:rsid w:val="00F84880"/>
    <w:rsid w:val="00F94FCC"/>
    <w:rsid w:val="00F959E2"/>
    <w:rsid w:val="00F97ED2"/>
    <w:rsid w:val="00FA18CD"/>
    <w:rsid w:val="00FA560A"/>
    <w:rsid w:val="00FA5F3A"/>
    <w:rsid w:val="00FA705C"/>
    <w:rsid w:val="00FB6BA3"/>
    <w:rsid w:val="00FC63AD"/>
    <w:rsid w:val="00FC78DC"/>
    <w:rsid w:val="00FD54A6"/>
    <w:rsid w:val="00FE2223"/>
    <w:rsid w:val="00FF2AD2"/>
    <w:rsid w:val="00FF33E1"/>
    <w:rsid w:val="00FF5231"/>
    <w:rsid w:val="00FF6848"/>
    <w:rsid w:val="40128CA8"/>
    <w:rsid w:val="470A6F32"/>
    <w:rsid w:val="6C5B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C4C90"/>
  <w15:chartTrackingRefBased/>
  <w15:docId w15:val="{94B1BFE5-5CE3-485F-9299-B4332DE1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FB"/>
    <w:pPr>
      <w:spacing w:after="231" w:line="249" w:lineRule="auto"/>
      <w:ind w:left="10" w:hanging="10"/>
    </w:pPr>
    <w:rPr>
      <w:rFonts w:ascii="Arial" w:eastAsia="Arial" w:hAnsi="Arial" w:cs="Arial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2F3FED"/>
    <w:pPr>
      <w:keepNext/>
      <w:keepLines/>
      <w:spacing w:before="240" w:line="240" w:lineRule="auto"/>
      <w:outlineLvl w:val="0"/>
    </w:pPr>
    <w:rPr>
      <w:rFonts w:eastAsiaTheme="majorEastAsia"/>
      <w:color w:val="265A9A" w:themeColor="background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FED"/>
    <w:pPr>
      <w:keepNext/>
      <w:keepLines/>
      <w:spacing w:line="240" w:lineRule="auto"/>
      <w:outlineLvl w:val="1"/>
    </w:pPr>
    <w:rPr>
      <w:rFonts w:eastAsiaTheme="majorEastAsia"/>
      <w:color w:val="288BA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2F3FED"/>
    <w:pPr>
      <w:keepNext/>
      <w:keepLines/>
      <w:spacing w:line="240" w:lineRule="auto"/>
      <w:outlineLvl w:val="2"/>
    </w:pPr>
    <w:rPr>
      <w:rFonts w:eastAsiaTheme="majorEastAsia"/>
      <w:color w:val="265A9A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F3FED"/>
    <w:pPr>
      <w:keepNext/>
      <w:keepLines/>
      <w:spacing w:line="240" w:lineRule="auto"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2F3FED"/>
    <w:pPr>
      <w:keepNext/>
      <w:keepLines/>
      <w:spacing w:after="60" w:line="240" w:lineRule="auto"/>
      <w:outlineLvl w:val="4"/>
    </w:pPr>
    <w:rPr>
      <w:rFonts w:eastAsiaTheme="majorEastAsia"/>
      <w:u w:val="single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F3FED"/>
    <w:pPr>
      <w:keepNext/>
      <w:keepLines/>
      <w:spacing w:after="60" w:line="240" w:lineRule="auto"/>
      <w:outlineLvl w:val="5"/>
    </w:pPr>
    <w:rPr>
      <w:rFonts w:eastAsiaTheme="majorEastAs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1E0C30"/>
    <w:pPr>
      <w:tabs>
        <w:tab w:val="center" w:pos="4513"/>
        <w:tab w:val="right" w:pos="9026"/>
      </w:tabs>
      <w:spacing w:after="240" w:line="240" w:lineRule="auto"/>
      <w:ind w:left="1843"/>
    </w:pPr>
    <w:rPr>
      <w:rFonts w:ascii="Arial" w:hAnsi="Arial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0C30"/>
    <w:rPr>
      <w:rFonts w:ascii="Arial" w:hAnsi="Arial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110ABC"/>
    <w:pPr>
      <w:tabs>
        <w:tab w:val="center" w:pos="4513"/>
        <w:tab w:val="right" w:pos="9026"/>
      </w:tabs>
      <w:spacing w:after="0" w:line="240" w:lineRule="auto"/>
      <w:jc w:val="right"/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0ABC"/>
    <w:rPr>
      <w:rFonts w:ascii="Arial" w:hAnsi="Arial"/>
      <w:color w:val="595959" w:themeColor="text1" w:themeTint="A6"/>
      <w:sz w:val="18"/>
      <w:szCs w:val="18"/>
    </w:rPr>
  </w:style>
  <w:style w:type="paragraph" w:styleId="ListParagraph">
    <w:name w:val="List Paragraph"/>
    <w:aliases w:val="Recommendation,List Paragraph1,List Paragraph11,List Paragraph2,Dot pt,F5 List Paragraph,No Spacing1,List Paragraph Char Char Char,Indicator Text,Numbered Para 1,Bullet 1,List Paragraph12,Bullet Points,MAIN CONTENT,L,CV text"/>
    <w:basedOn w:val="Normal"/>
    <w:link w:val="ListParagraphChar"/>
    <w:uiPriority w:val="34"/>
    <w:qFormat/>
    <w:rsid w:val="00347147"/>
    <w:pPr>
      <w:ind w:left="720" w:hanging="720"/>
      <w:contextualSpacing/>
    </w:pPr>
  </w:style>
  <w:style w:type="table" w:styleId="TableGrid">
    <w:name w:val="Table Grid"/>
    <w:basedOn w:val="TableNormal"/>
    <w:uiPriority w:val="39"/>
    <w:rsid w:val="00130C43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rsid w:val="00234CA3"/>
    <w:pPr>
      <w:spacing w:before="1920"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A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4CA3"/>
    <w:pPr>
      <w:numPr>
        <w:ilvl w:val="1"/>
      </w:numPr>
      <w:spacing w:before="480" w:after="0" w:line="240" w:lineRule="auto"/>
      <w:ind w:left="10" w:hanging="10"/>
    </w:pPr>
    <w:rPr>
      <w:rFonts w:eastAsiaTheme="minorEastAsia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34CA3"/>
    <w:rPr>
      <w:rFonts w:ascii="Arial" w:eastAsiaTheme="minorEastAsia" w:hAnsi="Arial" w:cs="Arial"/>
      <w:sz w:val="34"/>
      <w:szCs w:val="34"/>
    </w:rPr>
  </w:style>
  <w:style w:type="paragraph" w:styleId="NoSpacing">
    <w:name w:val="No Spacing"/>
    <w:uiPriority w:val="1"/>
    <w:rsid w:val="00BA348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2F3FED"/>
    <w:rPr>
      <w:rFonts w:ascii="Arial" w:eastAsiaTheme="majorEastAsia" w:hAnsi="Arial" w:cs="Arial"/>
      <w:color w:val="265A9A" w:themeColor="background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2F3FED"/>
    <w:rPr>
      <w:rFonts w:ascii="Arial" w:eastAsiaTheme="majorEastAsia" w:hAnsi="Arial" w:cs="Arial"/>
      <w:color w:val="288BA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F3FED"/>
    <w:rPr>
      <w:rFonts w:ascii="Arial" w:eastAsiaTheme="majorEastAsia" w:hAnsi="Arial" w:cs="Arial"/>
      <w:color w:val="265A9A" w:themeColor="background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3FED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F3FED"/>
    <w:rPr>
      <w:rFonts w:ascii="Arial" w:eastAsiaTheme="majorEastAsia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rsid w:val="002F3FED"/>
    <w:rPr>
      <w:rFonts w:ascii="Arial" w:eastAsiaTheme="majorEastAsia" w:hAnsi="Arial" w:cs="Arial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500B4B"/>
    <w:pPr>
      <w:spacing w:before="160" w:line="240" w:lineRule="auto"/>
      <w:ind w:left="426" w:right="662"/>
    </w:pPr>
    <w:rPr>
      <w:i/>
      <w:iCs/>
      <w:color w:val="288BAE"/>
    </w:rPr>
  </w:style>
  <w:style w:type="character" w:customStyle="1" w:styleId="QuoteChar">
    <w:name w:val="Quote Char"/>
    <w:basedOn w:val="DefaultParagraphFont"/>
    <w:link w:val="Quote"/>
    <w:uiPriority w:val="99"/>
    <w:rsid w:val="00F14002"/>
    <w:rPr>
      <w:rFonts w:ascii="Arial" w:hAnsi="Arial" w:cs="Arial"/>
      <w:i/>
      <w:iCs/>
      <w:color w:val="288BAE"/>
    </w:rPr>
  </w:style>
  <w:style w:type="character" w:styleId="Emphasis">
    <w:name w:val="Emphasis"/>
    <w:uiPriority w:val="20"/>
    <w:qFormat/>
    <w:rsid w:val="006B6F1C"/>
    <w:rPr>
      <w:rFonts w:cs="Arial"/>
      <w:i/>
    </w:rPr>
  </w:style>
  <w:style w:type="paragraph" w:styleId="TOCHeading">
    <w:name w:val="TOC Heading"/>
    <w:basedOn w:val="Heading1"/>
    <w:next w:val="Normal"/>
    <w:uiPriority w:val="39"/>
    <w:unhideWhenUsed/>
    <w:rsid w:val="00F05826"/>
    <w:pPr>
      <w:spacing w:after="600"/>
      <w:outlineLvl w:val="9"/>
    </w:pPr>
    <w:rPr>
      <w:rFonts w:cstheme="majorBidi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826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58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8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5826"/>
    <w:rPr>
      <w:color w:val="000000" w:themeColor="hyperlink"/>
      <w:u w:val="single"/>
    </w:rPr>
  </w:style>
  <w:style w:type="paragraph" w:customStyle="1" w:styleId="Space">
    <w:name w:val="Space"/>
    <w:basedOn w:val="Normal"/>
    <w:rsid w:val="001E0C30"/>
    <w:pPr>
      <w:spacing w:after="840"/>
    </w:pPr>
  </w:style>
  <w:style w:type="paragraph" w:styleId="Date">
    <w:name w:val="Date"/>
    <w:next w:val="Normal"/>
    <w:link w:val="DateChar"/>
    <w:uiPriority w:val="99"/>
    <w:unhideWhenUsed/>
    <w:rsid w:val="001E0C30"/>
    <w:pPr>
      <w:spacing w:after="120"/>
      <w:ind w:left="1843"/>
    </w:pPr>
    <w:rPr>
      <w:rFonts w:ascii="Arial" w:hAnsi="Arial"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E0C30"/>
    <w:rPr>
      <w:rFonts w:ascii="Arial" w:hAnsi="Arial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CD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qFormat/>
    <w:rsid w:val="009C3D65"/>
    <w:pPr>
      <w:numPr>
        <w:numId w:val="3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qFormat/>
    <w:rsid w:val="009C3D6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99"/>
    <w:qFormat/>
    <w:rsid w:val="009C3D65"/>
    <w:pPr>
      <w:numPr>
        <w:numId w:val="5"/>
      </w:numPr>
      <w:ind w:left="964" w:hanging="340"/>
      <w:contextualSpacing/>
    </w:pPr>
  </w:style>
  <w:style w:type="paragraph" w:customStyle="1" w:styleId="Footerend">
    <w:name w:val="Footer end"/>
    <w:basedOn w:val="Footer"/>
    <w:uiPriority w:val="99"/>
    <w:unhideWhenUsed/>
    <w:rsid w:val="00110ABC"/>
    <w:pPr>
      <w:spacing w:line="20" w:lineRule="exact"/>
      <w:jc w:val="left"/>
    </w:pPr>
  </w:style>
  <w:style w:type="paragraph" w:customStyle="1" w:styleId="Securitymarking">
    <w:name w:val="Security marking"/>
    <w:basedOn w:val="Normal"/>
    <w:uiPriority w:val="99"/>
    <w:unhideWhenUsed/>
    <w:rsid w:val="00594CE1"/>
    <w:pPr>
      <w:spacing w:after="0" w:line="240" w:lineRule="auto"/>
      <w:jc w:val="center"/>
    </w:pPr>
    <w:rPr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1657"/>
    <w:rPr>
      <w:color w:val="808080"/>
    </w:rPr>
  </w:style>
  <w:style w:type="character" w:customStyle="1" w:styleId="ListParagraphChar">
    <w:name w:val="List Paragraph Char"/>
    <w:aliases w:val="Recommendation Char,List Paragraph1 Char,List Paragraph11 Char,List Paragraph2 Char,Dot pt Char,F5 List Paragraph Char,No Spacing1 Char,List Paragraph Char Char Char Char,Indicator Text Char,Numbered Para 1 Char,Bullet 1 Char,L Char"/>
    <w:basedOn w:val="DefaultParagraphFont"/>
    <w:link w:val="ListParagraph"/>
    <w:uiPriority w:val="34"/>
    <w:qFormat/>
    <w:locked/>
    <w:rsid w:val="00AB63F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.sousa\AppData\Local\Temp\Templafy\WordVsto\rfsamyxy.dotx" TargetMode="External"/></Relationships>
</file>

<file path=word/theme/theme1.xml><?xml version="1.0" encoding="utf-8"?>
<a:theme xmlns:a="http://schemas.openxmlformats.org/drawingml/2006/main" name="Office Theme">
  <a:themeElements>
    <a:clrScheme name="PC colour scheme 2025">
      <a:dk1>
        <a:srgbClr val="000000"/>
      </a:dk1>
      <a:lt1>
        <a:srgbClr val="FFFFFF"/>
      </a:lt1>
      <a:dk2>
        <a:srgbClr val="2B9AC2"/>
      </a:dk2>
      <a:lt2>
        <a:srgbClr val="265A9A"/>
      </a:lt2>
      <a:accent1>
        <a:srgbClr val="66BCDB"/>
      </a:accent1>
      <a:accent2>
        <a:srgbClr val="8956A3"/>
      </a:accent2>
      <a:accent3>
        <a:srgbClr val="71CBD5"/>
      </a:accent3>
      <a:accent4>
        <a:srgbClr val="90D8F7"/>
      </a:accent4>
      <a:accent5>
        <a:srgbClr val="14315B"/>
      </a:accent5>
      <a:accent6>
        <a:srgbClr val="542972"/>
      </a:accent6>
      <a:hlink>
        <a:srgbClr val="000000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TemplafyTemplateConfiguration><![CDATA[{"elementsMetadata":[],"transformationConfigurations":[],"templateName":"PC blank document","templateDescription":"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MPWT-2140667901-91427</_dlc_DocId>
    <_dlc_DocIdUrl xmlns="20393cdf-440a-4521-8f19-00ba43423d00">
      <Url>https://pcgov.sharepoint.com/sites/sceteam/_layouts/15/DocIdRedir.aspx?ID=MPWT-2140667901-91427</Url>
      <Description>MPWT-2140667901-91427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be396471ac9992e287fa026353513678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fcc2c916a46ca8b5bbe2a1292fd8b33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3C310-AC71-4207-B232-59A9E00697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2A6653-1667-4F38-91A5-708F434E04D6}">
  <ds:schemaRefs/>
</ds:datastoreItem>
</file>

<file path=customXml/itemProps3.xml><?xml version="1.0" encoding="utf-8"?>
<ds:datastoreItem xmlns:ds="http://schemas.openxmlformats.org/officeDocument/2006/customXml" ds:itemID="{E6A8A617-38EB-4E15-905D-551ABD8086B5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DFEA848E-1C72-4803-A056-2E7DC8E5A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08AC62-CB21-46AA-8356-FBD0E94E4CEE}">
  <ds:schemaRefs/>
</ds:datastoreItem>
</file>

<file path=customXml/itemProps6.xml><?xml version="1.0" encoding="utf-8"?>
<ds:datastoreItem xmlns:ds="http://schemas.openxmlformats.org/officeDocument/2006/customXml" ds:itemID="{215AA761-98AC-45FB-9161-E8763B83BE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EAF75F-26EE-415A-8909-3AFC91E7DA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rfsamyxy</Template>
  <TotalTime>1</TotalTime>
  <Pages>1</Pages>
  <Words>420</Words>
  <Characters>2758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Productivity Commission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Census Action Plan</dc:title>
  <dc:subject/>
  <dc:creator>Productivity Commission</dc:creator>
  <cp:keywords/>
  <dc:description/>
  <cp:lastModifiedBy>Tully Lampasona</cp:lastModifiedBy>
  <cp:revision>3</cp:revision>
  <cp:lastPrinted>2025-11-03T04:15:00Z</cp:lastPrinted>
  <dcterms:created xsi:type="dcterms:W3CDTF">2025-11-03T05:37:00Z</dcterms:created>
  <dcterms:modified xsi:type="dcterms:W3CDTF">2025-11-03T05:37:00Z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28316b73-e9d8-43c4-921f-2e5afbf8bc7b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TemplafyTenantId">
    <vt:lpwstr>productivitycommission</vt:lpwstr>
  </property>
  <property fmtid="{D5CDD505-2E9C-101B-9397-08002B2CF9AE}" pid="8" name="TemplafyTemplateId">
    <vt:lpwstr>1272034185612886088</vt:lpwstr>
  </property>
  <property fmtid="{D5CDD505-2E9C-101B-9397-08002B2CF9AE}" pid="9" name="TemplafyUserProfileId">
    <vt:lpwstr>990026023167590681</vt:lpwstr>
  </property>
  <property fmtid="{D5CDD505-2E9C-101B-9397-08002B2CF9AE}" pid="10" name="TemplafyFromBlank">
    <vt:bool>true</vt:bool>
  </property>
  <property fmtid="{D5CDD505-2E9C-101B-9397-08002B2CF9AE}" pid="11" name="MSIP_Label_c1f2b1ce-4212-46db-a901-dd8453f57141_Enabled">
    <vt:lpwstr>true</vt:lpwstr>
  </property>
  <property fmtid="{D5CDD505-2E9C-101B-9397-08002B2CF9AE}" pid="12" name="MSIP_Label_c1f2b1ce-4212-46db-a901-dd8453f57141_SetDate">
    <vt:lpwstr>2025-10-30T22:05:16Z</vt:lpwstr>
  </property>
  <property fmtid="{D5CDD505-2E9C-101B-9397-08002B2CF9AE}" pid="13" name="MSIP_Label_c1f2b1ce-4212-46db-a901-dd8453f57141_Method">
    <vt:lpwstr>Privileged</vt:lpwstr>
  </property>
  <property fmtid="{D5CDD505-2E9C-101B-9397-08002B2CF9AE}" pid="14" name="MSIP_Label_c1f2b1ce-4212-46db-a901-dd8453f57141_Name">
    <vt:lpwstr>Publish</vt:lpwstr>
  </property>
  <property fmtid="{D5CDD505-2E9C-101B-9397-08002B2CF9AE}" pid="15" name="MSIP_Label_c1f2b1ce-4212-46db-a901-dd8453f57141_SiteId">
    <vt:lpwstr>29f9330b-c0fe-4244-830e-ba9f275d6c34</vt:lpwstr>
  </property>
  <property fmtid="{D5CDD505-2E9C-101B-9397-08002B2CF9AE}" pid="16" name="MSIP_Label_c1f2b1ce-4212-46db-a901-dd8453f57141_ActionId">
    <vt:lpwstr>51ae2ce4-2d4f-459f-97c5-ae8482d5f111</vt:lpwstr>
  </property>
  <property fmtid="{D5CDD505-2E9C-101B-9397-08002B2CF9AE}" pid="17" name="MSIP_Label_c1f2b1ce-4212-46db-a901-dd8453f57141_ContentBits">
    <vt:lpwstr>0</vt:lpwstr>
  </property>
  <property fmtid="{D5CDD505-2E9C-101B-9397-08002B2CF9AE}" pid="18" name="MSIP_Label_c1f2b1ce-4212-46db-a901-dd8453f57141_Tag">
    <vt:lpwstr>10, 0, 1, 1</vt:lpwstr>
  </property>
</Properties>
</file>