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AEF12" w14:textId="77777777" w:rsidR="0068696F" w:rsidRPr="00DC5DFF" w:rsidRDefault="0068696F" w:rsidP="0068696F">
      <w:pPr>
        <w:pStyle w:val="Coverdate"/>
        <w:framePr w:wrap="around"/>
      </w:pPr>
      <w:r>
        <w:t>September</w:t>
      </w:r>
      <w:r w:rsidRPr="00FC2DE0">
        <w:t xml:space="preserve"> </w:t>
      </w:r>
      <w:r>
        <w:t>2023</w:t>
      </w:r>
      <w:r w:rsidRPr="00FC2DE0">
        <w:t xml:space="preserve"> </w:t>
      </w:r>
    </w:p>
    <w:sdt>
      <w:sdtPr>
        <w:id w:val="-228914026"/>
        <w:docPartObj>
          <w:docPartGallery w:val="Cover Pages"/>
          <w:docPartUnique/>
        </w:docPartObj>
      </w:sdtPr>
      <w:sdtContent>
        <w:p w14:paraId="1B325557" w14:textId="77777777" w:rsidR="0068696F" w:rsidRDefault="0068696F" w:rsidP="0068696F">
          <w:pPr>
            <w:pStyle w:val="CoverImage"/>
            <w:framePr w:wrap="around"/>
          </w:pPr>
          <w:r w:rsidRPr="00F33F8D">
            <w:rPr>
              <w:noProof/>
            </w:rPr>
            <w:drawing>
              <wp:inline distT="0" distB="0" distL="0" distR="0" wp14:anchorId="2B52A603" wp14:editId="1CB77F82">
                <wp:extent cx="7614048" cy="2882900"/>
                <wp:effectExtent l="0" t="0" r="635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617233" cy="2884106"/>
                        </a:xfrm>
                        <a:prstGeom prst="rect">
                          <a:avLst/>
                        </a:prstGeom>
                      </pic:spPr>
                    </pic:pic>
                  </a:graphicData>
                </a:graphic>
              </wp:inline>
            </w:drawing>
          </w:r>
        </w:p>
        <w:p w14:paraId="7500AF3D" w14:textId="77777777" w:rsidR="0068696F" w:rsidRPr="00295330" w:rsidRDefault="0068696F" w:rsidP="0068696F">
          <w:pPr>
            <w:pStyle w:val="Title"/>
            <w:ind w:right="140"/>
          </w:pPr>
          <w:r>
            <w:t>PC productivity insights</w:t>
          </w:r>
        </w:p>
        <w:p w14:paraId="364F9FB0" w14:textId="7455C19F" w:rsidR="0068696F" w:rsidRPr="00295330" w:rsidRDefault="0068696F" w:rsidP="0068696F">
          <w:pPr>
            <w:pStyle w:val="Subtitle"/>
          </w:pPr>
          <w:r>
            <w:t>Productivity growth and wages – a</w:t>
          </w:r>
          <w:r w:rsidR="00D468AC">
            <w:t> </w:t>
          </w:r>
          <w:r>
            <w:t>forensic look</w:t>
          </w:r>
        </w:p>
        <w:p w14:paraId="27ADE567" w14:textId="77777777" w:rsidR="0068696F" w:rsidRDefault="0068696F" w:rsidP="0068696F">
          <w:pPr>
            <w:spacing w:after="160" w:line="259" w:lineRule="auto"/>
            <w:rPr>
              <w:rFonts w:asciiTheme="majorHAnsi" w:hAnsiTheme="majorHAnsi"/>
              <w:color w:val="FFFFFF" w:themeColor="background1"/>
              <w:sz w:val="28"/>
              <w:szCs w:val="28"/>
            </w:rPr>
          </w:pPr>
          <w:r>
            <w:rPr>
              <w:rFonts w:asciiTheme="majorHAnsi" w:hAnsiTheme="majorHAnsi"/>
              <w:color w:val="FFFFFF" w:themeColor="background1"/>
              <w:sz w:val="28"/>
              <w:szCs w:val="28"/>
            </w:rPr>
            <w:t>Appendices</w:t>
          </w:r>
        </w:p>
        <w:p w14:paraId="55465850" w14:textId="77777777" w:rsidR="0068696F" w:rsidRDefault="0068696F" w:rsidP="0068696F">
          <w:pPr>
            <w:spacing w:after="160" w:line="336" w:lineRule="exact"/>
            <w:rPr>
              <w:rFonts w:ascii="Arial" w:hAnsi="Arial" w:cs="Arial"/>
              <w:color w:val="FFFFFF" w:themeColor="background1"/>
              <w:sz w:val="28"/>
              <w:szCs w:val="28"/>
            </w:rPr>
          </w:pPr>
          <w:r>
            <w:rPr>
              <w:rFonts w:ascii="Arial" w:hAnsi="Arial" w:cs="Arial"/>
              <w:color w:val="FFFFFF" w:themeColor="background1"/>
              <w:sz w:val="28"/>
              <w:szCs w:val="28"/>
            </w:rPr>
            <w:t>A Making the right data choices</w:t>
          </w:r>
        </w:p>
        <w:p w14:paraId="06B6E23D" w14:textId="77777777" w:rsidR="0068696F" w:rsidRDefault="0068696F" w:rsidP="0068696F">
          <w:pPr>
            <w:spacing w:after="160" w:line="336" w:lineRule="exact"/>
            <w:rPr>
              <w:rFonts w:ascii="Arial" w:hAnsi="Arial" w:cs="Arial"/>
              <w:color w:val="FFFFFF" w:themeColor="background1"/>
              <w:sz w:val="28"/>
              <w:szCs w:val="28"/>
            </w:rPr>
          </w:pPr>
          <w:r>
            <w:rPr>
              <w:rFonts w:ascii="Arial" w:hAnsi="Arial" w:cs="Arial"/>
              <w:color w:val="FFFFFF" w:themeColor="background1"/>
              <w:sz w:val="28"/>
              <w:szCs w:val="28"/>
            </w:rPr>
            <w:t>B Methodological details</w:t>
          </w:r>
        </w:p>
        <w:p w14:paraId="3111E43A" w14:textId="0AA895F6" w:rsidR="0068696F" w:rsidRPr="009E38A2" w:rsidRDefault="0068696F" w:rsidP="0068696F">
          <w:pPr>
            <w:spacing w:after="160" w:line="336" w:lineRule="exact"/>
            <w:rPr>
              <w:rFonts w:ascii="Arial" w:hAnsi="Arial" w:cs="Arial"/>
              <w:color w:val="FFFFFF" w:themeColor="background1"/>
              <w:sz w:val="28"/>
              <w:szCs w:val="28"/>
            </w:rPr>
          </w:pPr>
          <w:r>
            <w:rPr>
              <w:rFonts w:ascii="Arial" w:hAnsi="Arial" w:cs="Arial"/>
              <w:color w:val="FFFFFF" w:themeColor="background1"/>
              <w:sz w:val="28"/>
              <w:szCs w:val="28"/>
            </w:rPr>
            <w:t>C M</w:t>
          </w:r>
          <w:r w:rsidRPr="009E38A2">
            <w:rPr>
              <w:rFonts w:ascii="Arial" w:hAnsi="Arial" w:cs="Arial"/>
              <w:color w:val="FFFFFF" w:themeColor="background1"/>
              <w:sz w:val="28"/>
              <w:szCs w:val="28"/>
            </w:rPr>
            <w:t>ining and agriculture effect on the aggregate results</w:t>
          </w:r>
        </w:p>
        <w:p w14:paraId="166D430A" w14:textId="77777777" w:rsidR="0068696F" w:rsidRDefault="0068696F" w:rsidP="0068696F">
          <w:pPr>
            <w:spacing w:after="160" w:line="336" w:lineRule="exact"/>
            <w:rPr>
              <w:rFonts w:ascii="Arial" w:hAnsi="Arial" w:cs="Arial"/>
              <w:color w:val="FFFFFF" w:themeColor="background1"/>
              <w:sz w:val="28"/>
              <w:szCs w:val="28"/>
            </w:rPr>
          </w:pPr>
          <w:r w:rsidRPr="009E38A2">
            <w:rPr>
              <w:rFonts w:ascii="Arial" w:hAnsi="Arial" w:cs="Arial"/>
              <w:color w:val="FFFFFF" w:themeColor="background1"/>
              <w:sz w:val="28"/>
              <w:szCs w:val="28"/>
            </w:rPr>
            <w:t xml:space="preserve">D </w:t>
          </w:r>
          <w:r>
            <w:rPr>
              <w:rFonts w:ascii="Arial" w:hAnsi="Arial" w:cs="Arial"/>
              <w:color w:val="FFFFFF" w:themeColor="background1"/>
              <w:sz w:val="28"/>
              <w:szCs w:val="28"/>
            </w:rPr>
            <w:t>W</w:t>
          </w:r>
          <w:r w:rsidRPr="009E38A2">
            <w:rPr>
              <w:rFonts w:ascii="Arial" w:hAnsi="Arial" w:cs="Arial"/>
              <w:color w:val="FFFFFF" w:themeColor="background1"/>
              <w:sz w:val="28"/>
              <w:szCs w:val="28"/>
            </w:rPr>
            <w:t>age decoupling and other economic indicators</w:t>
          </w:r>
        </w:p>
        <w:p w14:paraId="78B1926C" w14:textId="77777777" w:rsidR="0068696F" w:rsidRPr="005C5B19" w:rsidRDefault="0068696F" w:rsidP="0068696F">
          <w:pPr>
            <w:spacing w:after="160" w:line="336" w:lineRule="exact"/>
            <w:rPr>
              <w:rFonts w:ascii="Arial" w:hAnsi="Arial" w:cs="Arial"/>
              <w:color w:val="FFFFFF" w:themeColor="background1"/>
              <w:sz w:val="28"/>
              <w:szCs w:val="28"/>
            </w:rPr>
            <w:sectPr w:rsidR="0068696F" w:rsidRPr="005C5B19" w:rsidSect="002E3F19">
              <w:headerReference w:type="even" r:id="rId15"/>
              <w:headerReference w:type="default" r:id="rId16"/>
              <w:footerReference w:type="even" r:id="rId17"/>
              <w:footerReference w:type="default" r:id="rId18"/>
              <w:headerReference w:type="first" r:id="rId19"/>
              <w:footerReference w:type="first" r:id="rId20"/>
              <w:pgSz w:w="11906" w:h="16838" w:code="9"/>
              <w:pgMar w:top="2835" w:right="1134" w:bottom="1134" w:left="1134" w:header="624" w:footer="510" w:gutter="0"/>
              <w:pgNumType w:fmt="lowerRoman"/>
              <w:cols w:space="708"/>
              <w:titlePg/>
              <w:docGrid w:linePitch="360"/>
            </w:sectPr>
          </w:pPr>
          <w:r w:rsidRPr="009E38A2">
            <w:rPr>
              <w:rFonts w:ascii="Arial" w:hAnsi="Arial" w:cs="Arial"/>
              <w:color w:val="FFFFFF" w:themeColor="background1"/>
              <w:sz w:val="28"/>
              <w:szCs w:val="28"/>
            </w:rPr>
            <w:t>E Estimates of long-run decoupling from 1959</w:t>
          </w:r>
          <w:r w:rsidRPr="009E38A2">
            <w:rPr>
              <w:rFonts w:ascii="Arial" w:hAnsi="Arial" w:cs="Arial"/>
              <w:color w:val="FFFFFF" w:themeColor="background1"/>
              <w:sz w:val="28"/>
              <w:szCs w:val="28"/>
            </w:rPr>
            <w:noBreakHyphen/>
            <w:t>60</w:t>
          </w:r>
        </w:p>
        <w:p w14:paraId="4F4B377D" w14:textId="77777777" w:rsidR="0068696F" w:rsidRPr="005C5B19" w:rsidRDefault="00000000" w:rsidP="0068696F">
          <w:pPr>
            <w:spacing w:before="0" w:after="160" w:line="259" w:lineRule="auto"/>
            <w:rPr>
              <w:b/>
              <w:color w:val="FFFFFF" w:themeColor="background1"/>
            </w:rPr>
          </w:pPr>
        </w:p>
      </w:sdtContent>
    </w:sdt>
    <w:tbl>
      <w:tblPr>
        <w:tblStyle w:val="CopyrightPage"/>
        <w:tblW w:w="0" w:type="auto"/>
        <w:tblLook w:val="04A0" w:firstRow="1" w:lastRow="0" w:firstColumn="1" w:lastColumn="0" w:noHBand="0" w:noVBand="1"/>
      </w:tblPr>
      <w:tblGrid>
        <w:gridCol w:w="9638"/>
      </w:tblGrid>
      <w:tr w:rsidR="0068696F" w14:paraId="7F4DF94E" w14:textId="77777777" w:rsidTr="00A57AFC">
        <w:trPr>
          <w:trHeight w:hRule="exact" w:val="12586"/>
        </w:trPr>
        <w:tc>
          <w:tcPr>
            <w:tcW w:w="9638" w:type="dxa"/>
            <w:tcMar>
              <w:top w:w="113" w:type="dxa"/>
            </w:tcMar>
          </w:tcPr>
          <w:p w14:paraId="139C92CD" w14:textId="74E72A12" w:rsidR="0068696F" w:rsidRPr="000F4488" w:rsidRDefault="0068696F" w:rsidP="00A57AFC">
            <w:pPr>
              <w:pStyle w:val="Copyrightpage-BodyBold"/>
              <w:ind w:right="-284"/>
              <w:rPr>
                <w:rFonts w:asciiTheme="majorHAnsi" w:hAnsiTheme="majorHAnsi"/>
              </w:rPr>
            </w:pPr>
            <w:r w:rsidRPr="000F4488">
              <w:rPr>
                <w:rFonts w:asciiTheme="majorHAnsi" w:hAnsiTheme="majorHAnsi"/>
              </w:rPr>
              <w:t xml:space="preserve">The Productivity Commission acknowledges the Traditional Owners of </w:t>
            </w:r>
            <w:r w:rsidRPr="000F4488">
              <w:rPr>
                <w:rFonts w:asciiTheme="majorHAnsi" w:hAnsiTheme="majorHAnsi"/>
              </w:rPr>
              <w:br/>
              <w:t xml:space="preserve">Country throughout Australia and their continuing connection to land, </w:t>
            </w:r>
            <w:r w:rsidRPr="000F4488">
              <w:rPr>
                <w:rFonts w:asciiTheme="majorHAnsi" w:hAnsiTheme="majorHAnsi"/>
              </w:rPr>
              <w:br/>
              <w:t>waters and community. We pay our respects to their Cultures, Country and Elders past and present.</w:t>
            </w:r>
          </w:p>
          <w:p w14:paraId="78B87486" w14:textId="77777777" w:rsidR="0068696F" w:rsidRPr="00F37CB6" w:rsidRDefault="0068696F" w:rsidP="00A57AFC">
            <w:pPr>
              <w:pStyle w:val="Copyrightpage-Keylinenotext"/>
              <w:ind w:right="-284"/>
            </w:pPr>
          </w:p>
          <w:p w14:paraId="575B1F68" w14:textId="77777777" w:rsidR="0068696F" w:rsidRPr="00D96F65" w:rsidRDefault="0068696F" w:rsidP="00A57AFC">
            <w:pPr>
              <w:pStyle w:val="Copyrightpage-Heading"/>
              <w:ind w:right="-284"/>
            </w:pPr>
            <w:r w:rsidRPr="00D96F65">
              <w:t>The Productivity Commission</w:t>
            </w:r>
          </w:p>
          <w:p w14:paraId="5DD0B3D1" w14:textId="77777777" w:rsidR="0068696F" w:rsidRPr="00A57443" w:rsidRDefault="0068696F" w:rsidP="00A57AFC">
            <w:pPr>
              <w:pStyle w:val="Copyrightpage-BodyBold"/>
              <w:rPr>
                <w:spacing w:val="-4"/>
              </w:rPr>
            </w:pPr>
            <w:r w:rsidRPr="00A57443">
              <w:rPr>
                <w:spacing w:val="-4"/>
              </w:rPr>
              <w:t>The Productivity Commission is the Australian Government’s independent research and advisory body on a range of economic, social and environmental issues affecting the welfare of Australians. Its role, expressed most simply, is to help governments make better policies, in the long term interest of the Australian community.</w:t>
            </w:r>
          </w:p>
          <w:p w14:paraId="2A8F4D5E" w14:textId="77777777" w:rsidR="0068696F" w:rsidRPr="000F4488" w:rsidRDefault="0068696F" w:rsidP="00A57AFC">
            <w:pPr>
              <w:pStyle w:val="Copyrightpage-BodyBold"/>
            </w:pPr>
            <w:r w:rsidRPr="000561CF">
              <w:t>The Commission’s independence is underpinned by an Act of Parliament. Its processes and outputs are open to public scrutiny and are driven by concern for the wellbeing of the community as a whole.</w:t>
            </w:r>
          </w:p>
          <w:p w14:paraId="5697CCF7" w14:textId="77777777" w:rsidR="0068696F" w:rsidRPr="000F4488" w:rsidRDefault="0068696F" w:rsidP="00A57AFC">
            <w:pPr>
              <w:pStyle w:val="Copyrightpage-BodyBold"/>
            </w:pPr>
            <w:r w:rsidRPr="000561CF">
              <w:t>Further information on the Productivity Commission can be obtained from the Commission’s website (www.pc.gov.au).</w:t>
            </w:r>
          </w:p>
          <w:p w14:paraId="189EF3F4" w14:textId="77777777" w:rsidR="0068696F" w:rsidRPr="000F4488" w:rsidRDefault="0068696F" w:rsidP="00A57AFC">
            <w:pPr>
              <w:pStyle w:val="Copyrightpage-Keylinenotext"/>
              <w:ind w:right="-284"/>
              <w:rPr>
                <w:b/>
                <w:bCs/>
              </w:rPr>
            </w:pPr>
          </w:p>
          <w:p w14:paraId="2501916A" w14:textId="77777777" w:rsidR="0068696F" w:rsidRPr="000561CF" w:rsidRDefault="0068696F" w:rsidP="00A57AFC">
            <w:pPr>
              <w:pStyle w:val="Copyrightpage-BodyBold"/>
            </w:pPr>
            <w:r w:rsidRPr="00E72EE0">
              <w:t>©</w:t>
            </w:r>
            <w:r w:rsidRPr="00137FAB">
              <w:t xml:space="preserve"> Commonwealth of Australia 202</w:t>
            </w:r>
            <w:r>
              <w:t>3</w:t>
            </w:r>
          </w:p>
          <w:p w14:paraId="483444B5" w14:textId="77777777" w:rsidR="0068696F" w:rsidRPr="00E72EE0" w:rsidRDefault="0068696F" w:rsidP="00A57AFC">
            <w:pPr>
              <w:pStyle w:val="Copyrightpage-Heading2"/>
              <w:spacing w:before="0"/>
              <w:ind w:right="-284"/>
              <w:rPr>
                <w:bCs/>
              </w:rPr>
            </w:pPr>
            <w:r w:rsidRPr="00E72EE0">
              <w:rPr>
                <w:bCs/>
                <w:noProof/>
              </w:rPr>
              <w:drawing>
                <wp:inline distT="0" distB="0" distL="0" distR="0" wp14:anchorId="46A35D77" wp14:editId="044583C3">
                  <wp:extent cx="774000" cy="270000"/>
                  <wp:effectExtent l="0" t="0" r="7620" b="0"/>
                  <wp:docPr id="6" name="Graphic 5" descr="CC By logo">
                    <a:extLst xmlns:a="http://schemas.openxmlformats.org/drawingml/2006/main">
                      <a:ext uri="{FF2B5EF4-FFF2-40B4-BE49-F238E27FC236}">
                        <a16:creationId xmlns:a16="http://schemas.microsoft.com/office/drawing/2014/main" id="{F54E5013-412A-4F91-9DD3-DA71DB1337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CC By logo">
                            <a:extLst>
                              <a:ext uri="{FF2B5EF4-FFF2-40B4-BE49-F238E27FC236}">
                                <a16:creationId xmlns:a16="http://schemas.microsoft.com/office/drawing/2014/main" id="{F54E5013-412A-4F91-9DD3-DA71DB1337DF}"/>
                              </a:ext>
                            </a:extLst>
                          </pic:cNvPr>
                          <pic:cNvPicPr>
                            <a:picLocks noChangeAspect="1"/>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774000" cy="270000"/>
                          </a:xfrm>
                          <a:prstGeom prst="rect">
                            <a:avLst/>
                          </a:prstGeom>
                        </pic:spPr>
                      </pic:pic>
                    </a:graphicData>
                  </a:graphic>
                </wp:inline>
              </w:drawing>
            </w:r>
          </w:p>
          <w:p w14:paraId="183CAC3F" w14:textId="77777777" w:rsidR="0068696F" w:rsidRPr="000F4488" w:rsidRDefault="0068696F" w:rsidP="00A57AFC">
            <w:pPr>
              <w:pStyle w:val="Copyrightpage-BodyBold"/>
              <w:ind w:right="-143"/>
            </w:pPr>
            <w:r w:rsidRPr="00E72EE0">
              <w:t xml:space="preserve">With the exception of the Commonwealth Coat of Arms and content supplied by </w:t>
            </w:r>
            <w:r w:rsidRPr="00137FAB">
              <w:t>third parties, this copyright work is licensed under a Creative Commons Attribution 4.0 In</w:t>
            </w:r>
            <w:r w:rsidRPr="00AC587D">
              <w:t>ternational licence. In essence, you are free to copy, communicate and adapt the work, as long as you attribute the work to the Productivity Commission (but not in any way that suggests the Commission endorses you or your use) and abide b</w:t>
            </w:r>
            <w:r w:rsidRPr="000561CF">
              <w:t>y the other licence terms. The licence can be viewed at: https://creativecommons.org/licenses/by/4.0.</w:t>
            </w:r>
          </w:p>
          <w:p w14:paraId="6AA8B437" w14:textId="77777777" w:rsidR="0068696F" w:rsidRPr="000F4488" w:rsidRDefault="0068696F" w:rsidP="00A57AFC">
            <w:pPr>
              <w:pStyle w:val="Copyrightpage-BodyBold"/>
            </w:pPr>
            <w:r w:rsidRPr="000561CF">
              <w:t>The terms under which the Coat of Arms can be used are detailed at: www.pmc.gov.au/government/commonwealth-coat-arms.</w:t>
            </w:r>
          </w:p>
          <w:p w14:paraId="65169F2F" w14:textId="77777777" w:rsidR="0068696F" w:rsidRPr="000561CF" w:rsidRDefault="0068696F" w:rsidP="00A57AFC">
            <w:pPr>
              <w:pStyle w:val="Copyrightpage-BodyBold"/>
            </w:pPr>
            <w:r w:rsidRPr="000561CF">
              <w:t>Wherever a third party holds copyright in this material the copyright remains with that party. Their permission may be required to use the material, please contact them directly.</w:t>
            </w:r>
          </w:p>
          <w:p w14:paraId="2FE5BBEC" w14:textId="77777777" w:rsidR="0068696F" w:rsidRDefault="0068696F" w:rsidP="00A57AFC">
            <w:pPr>
              <w:pStyle w:val="Copyrightpage-BodyBold"/>
              <w:rPr>
                <w:spacing w:val="-4"/>
              </w:rPr>
            </w:pPr>
            <w:r w:rsidRPr="000F4488">
              <w:t>An appropriate reference for this publication is:</w:t>
            </w:r>
            <w:r>
              <w:br/>
            </w:r>
            <w:r w:rsidRPr="001843D1">
              <w:rPr>
                <w:spacing w:val="-4"/>
              </w:rPr>
              <w:t xml:space="preserve">Productivity Commission 2023, </w:t>
            </w:r>
            <w:r>
              <w:rPr>
                <w:i/>
                <w:iCs/>
                <w:spacing w:val="-4"/>
              </w:rPr>
              <w:t>Productivity growth and wages – a forensic look: Appendices</w:t>
            </w:r>
            <w:r w:rsidRPr="001843D1">
              <w:rPr>
                <w:spacing w:val="-4"/>
              </w:rPr>
              <w:t xml:space="preserve">, </w:t>
            </w:r>
            <w:r w:rsidRPr="00F87264">
              <w:rPr>
                <w:spacing w:val="-4"/>
              </w:rPr>
              <w:t xml:space="preserve">PC Productivity insights, </w:t>
            </w:r>
            <w:r w:rsidRPr="001843D1">
              <w:rPr>
                <w:spacing w:val="-4"/>
              </w:rPr>
              <w:t xml:space="preserve">Canberra, </w:t>
            </w:r>
            <w:r>
              <w:rPr>
                <w:spacing w:val="-4"/>
              </w:rPr>
              <w:t>September</w:t>
            </w:r>
          </w:p>
          <w:p w14:paraId="1B5B5224" w14:textId="77777777" w:rsidR="000C46CE" w:rsidRPr="000C46CE" w:rsidRDefault="000C46CE" w:rsidP="000C46CE">
            <w:pPr>
              <w:rPr>
                <w:b/>
                <w:i/>
                <w:iCs/>
                <w:sz w:val="16"/>
              </w:rPr>
            </w:pPr>
          </w:p>
          <w:p w14:paraId="5B239668" w14:textId="77777777" w:rsidR="0068696F" w:rsidRDefault="0068696F" w:rsidP="00A57AFC">
            <w:pPr>
              <w:pStyle w:val="Copyrightpage-BodyBold"/>
              <w:ind w:right="-284"/>
            </w:pPr>
            <w:r w:rsidRPr="00E72EE0">
              <w:t xml:space="preserve">Publication enquiries: </w:t>
            </w:r>
            <w:r>
              <w:br/>
              <w:t>P</w:t>
            </w:r>
            <w:r w:rsidRPr="00137FAB">
              <w:t xml:space="preserve">hone 03 9653 2244 | </w:t>
            </w:r>
            <w:r>
              <w:t>E</w:t>
            </w:r>
            <w:r w:rsidRPr="00137FAB">
              <w:t xml:space="preserve">mail </w:t>
            </w:r>
            <w:r w:rsidRPr="00AC587D">
              <w:t>publications@pc.gov.au</w:t>
            </w:r>
          </w:p>
        </w:tc>
      </w:tr>
    </w:tbl>
    <w:p w14:paraId="6D622A42" w14:textId="77777777" w:rsidR="0068696F" w:rsidRPr="00597F10" w:rsidRDefault="0068696F" w:rsidP="0068696F">
      <w:pPr>
        <w:pStyle w:val="TOCHeading"/>
      </w:pPr>
      <w:r>
        <w:lastRenderedPageBreak/>
        <w:t>Contents</w:t>
      </w:r>
    </w:p>
    <w:p w14:paraId="76719A62" w14:textId="244B1671" w:rsidR="00087F9B" w:rsidRDefault="0068696F">
      <w:pPr>
        <w:pStyle w:val="TOC1"/>
        <w:rPr>
          <w:rFonts w:asciiTheme="minorHAnsi" w:eastAsiaTheme="minorEastAsia" w:hAnsiTheme="minorHAnsi"/>
          <w:noProof/>
          <w:color w:val="auto"/>
          <w:kern w:val="2"/>
          <w:sz w:val="22"/>
          <w:szCs w:val="22"/>
          <w:lang w:eastAsia="en-AU"/>
          <w14:ligatures w14:val="standardContextual"/>
        </w:rPr>
      </w:pPr>
      <w:r>
        <w:rPr>
          <w:noProof/>
        </w:rPr>
        <w:fldChar w:fldCharType="begin"/>
      </w:r>
      <w:r>
        <w:instrText xml:space="preserve"> TOC \\h \z \t "Heading 1,1,</w:instrText>
      </w:r>
      <w:r w:rsidRPr="00484E96">
        <w:instrText>Heading-Appendix</w:instrText>
      </w:r>
      <w:r>
        <w:instrText>,1,</w:instrText>
      </w:r>
      <w:r w:rsidRPr="00F37F65">
        <w:instrText xml:space="preserve"> Heading 1</w:instrText>
      </w:r>
      <w:r>
        <w:instrText>-no number</w:instrText>
      </w:r>
      <w:r w:rsidRPr="00F37F65">
        <w:instrText>,1</w:instrText>
      </w:r>
      <w:r>
        <w:instrText>, Heading 1-no background,1,</w:instrText>
      </w:r>
      <w:r w:rsidRPr="00F37F65">
        <w:instrText xml:space="preserve"> Heading 1-Section blue background</w:instrText>
      </w:r>
      <w:r>
        <w:instrText>,3,</w:instrText>
      </w:r>
      <w:r w:rsidRPr="00F37F65">
        <w:instrText xml:space="preserve"> Heading 1-Section-full page</w:instrText>
      </w:r>
      <w:r>
        <w:instrText xml:space="preserve">,3,Heading 2,2,Heading 2-no number,2,Heading 2-Appendix,2,Heading 1 - Intro,3,Heading 1-numbered,3,Section Heading-pale blue,3" </w:instrText>
      </w:r>
      <w:r>
        <w:rPr>
          <w:noProof/>
        </w:rPr>
        <w:fldChar w:fldCharType="separate"/>
      </w:r>
      <w:r w:rsidR="00087F9B">
        <w:rPr>
          <w:noProof/>
        </w:rPr>
        <w:t>Appendix A – Making the right data choices</w:t>
      </w:r>
      <w:r w:rsidR="00087F9B">
        <w:rPr>
          <w:noProof/>
          <w:webHidden/>
        </w:rPr>
        <w:tab/>
      </w:r>
      <w:r w:rsidR="00087F9B">
        <w:rPr>
          <w:noProof/>
          <w:webHidden/>
        </w:rPr>
        <w:fldChar w:fldCharType="begin"/>
      </w:r>
      <w:r w:rsidR="00087F9B">
        <w:rPr>
          <w:noProof/>
          <w:webHidden/>
        </w:rPr>
        <w:instrText xml:space="preserve"> PAGEREF _Toc144912346 \h </w:instrText>
      </w:r>
      <w:r w:rsidR="00087F9B">
        <w:rPr>
          <w:noProof/>
          <w:webHidden/>
        </w:rPr>
      </w:r>
      <w:r w:rsidR="00087F9B">
        <w:rPr>
          <w:noProof/>
          <w:webHidden/>
        </w:rPr>
        <w:fldChar w:fldCharType="separate"/>
      </w:r>
      <w:r w:rsidR="0058314A">
        <w:rPr>
          <w:noProof/>
          <w:webHidden/>
        </w:rPr>
        <w:t>1</w:t>
      </w:r>
      <w:r w:rsidR="00087F9B">
        <w:rPr>
          <w:noProof/>
          <w:webHidden/>
        </w:rPr>
        <w:fldChar w:fldCharType="end"/>
      </w:r>
    </w:p>
    <w:p w14:paraId="7F3C949D" w14:textId="5C302786" w:rsidR="00087F9B" w:rsidRDefault="00087F9B">
      <w:pPr>
        <w:pStyle w:val="TOC2"/>
        <w:rPr>
          <w:rFonts w:eastAsiaTheme="minorEastAsia"/>
          <w:kern w:val="2"/>
          <w:sz w:val="22"/>
          <w:szCs w:val="22"/>
          <w:lang w:eastAsia="en-AU"/>
          <w14:ligatures w14:val="standardContextual"/>
        </w:rPr>
      </w:pPr>
      <w:r>
        <w:t>A.1</w:t>
      </w:r>
      <w:r>
        <w:rPr>
          <w:rFonts w:eastAsiaTheme="minorEastAsia"/>
          <w:kern w:val="2"/>
          <w:sz w:val="22"/>
          <w:szCs w:val="22"/>
          <w:lang w:eastAsia="en-AU"/>
          <w14:ligatures w14:val="standardContextual"/>
        </w:rPr>
        <w:tab/>
      </w:r>
      <w:r>
        <w:t xml:space="preserve">The </w:t>
      </w:r>
      <w:r w:rsidR="005B65F7">
        <w:t>C</w:t>
      </w:r>
      <w:r>
        <w:t>ommission</w:t>
      </w:r>
      <w:r w:rsidR="005B65F7">
        <w:t>'</w:t>
      </w:r>
      <w:r>
        <w:t>s preferred measure of wage decoupling</w:t>
      </w:r>
      <w:r>
        <w:rPr>
          <w:webHidden/>
        </w:rPr>
        <w:tab/>
      </w:r>
      <w:r>
        <w:rPr>
          <w:webHidden/>
        </w:rPr>
        <w:fldChar w:fldCharType="begin"/>
      </w:r>
      <w:r>
        <w:rPr>
          <w:webHidden/>
        </w:rPr>
        <w:instrText xml:space="preserve"> PAGEREF _Toc144912347 \h </w:instrText>
      </w:r>
      <w:r>
        <w:rPr>
          <w:webHidden/>
        </w:rPr>
      </w:r>
      <w:r>
        <w:rPr>
          <w:webHidden/>
        </w:rPr>
        <w:fldChar w:fldCharType="separate"/>
      </w:r>
      <w:r w:rsidR="0058314A">
        <w:rPr>
          <w:webHidden/>
        </w:rPr>
        <w:t>1</w:t>
      </w:r>
      <w:r>
        <w:rPr>
          <w:webHidden/>
        </w:rPr>
        <w:fldChar w:fldCharType="end"/>
      </w:r>
    </w:p>
    <w:p w14:paraId="521E4458" w14:textId="6D3DEC70" w:rsidR="00087F9B" w:rsidRDefault="00087F9B">
      <w:pPr>
        <w:pStyle w:val="TOC2"/>
        <w:rPr>
          <w:rFonts w:eastAsiaTheme="minorEastAsia"/>
          <w:kern w:val="2"/>
          <w:sz w:val="22"/>
          <w:szCs w:val="22"/>
          <w:lang w:eastAsia="en-AU"/>
          <w14:ligatures w14:val="standardContextual"/>
        </w:rPr>
      </w:pPr>
      <w:r>
        <w:t>A.2</w:t>
      </w:r>
      <w:r>
        <w:rPr>
          <w:rFonts w:eastAsiaTheme="minorEastAsia"/>
          <w:kern w:val="2"/>
          <w:sz w:val="22"/>
          <w:szCs w:val="22"/>
          <w:lang w:eastAsia="en-AU"/>
          <w14:ligatures w14:val="standardContextual"/>
        </w:rPr>
        <w:tab/>
      </w:r>
      <w:r>
        <w:t xml:space="preserve">The </w:t>
      </w:r>
      <w:r w:rsidR="005B65F7">
        <w:t>C</w:t>
      </w:r>
      <w:r>
        <w:t>ommission</w:t>
      </w:r>
      <w:r w:rsidR="005B65F7">
        <w:t>'</w:t>
      </w:r>
      <w:r>
        <w:t>s preferred estimate of wages</w:t>
      </w:r>
      <w:r>
        <w:rPr>
          <w:webHidden/>
        </w:rPr>
        <w:tab/>
      </w:r>
      <w:r>
        <w:rPr>
          <w:webHidden/>
        </w:rPr>
        <w:fldChar w:fldCharType="begin"/>
      </w:r>
      <w:r>
        <w:rPr>
          <w:webHidden/>
        </w:rPr>
        <w:instrText xml:space="preserve"> PAGEREF _Toc144912348 \h </w:instrText>
      </w:r>
      <w:r>
        <w:rPr>
          <w:webHidden/>
        </w:rPr>
      </w:r>
      <w:r>
        <w:rPr>
          <w:webHidden/>
        </w:rPr>
        <w:fldChar w:fldCharType="separate"/>
      </w:r>
      <w:r w:rsidR="0058314A">
        <w:rPr>
          <w:webHidden/>
        </w:rPr>
        <w:t>2</w:t>
      </w:r>
      <w:r>
        <w:rPr>
          <w:webHidden/>
        </w:rPr>
        <w:fldChar w:fldCharType="end"/>
      </w:r>
    </w:p>
    <w:p w14:paraId="6E30C0CD" w14:textId="1CAAD9D6" w:rsidR="00087F9B" w:rsidRDefault="00087F9B">
      <w:pPr>
        <w:pStyle w:val="TOC1"/>
        <w:rPr>
          <w:rFonts w:asciiTheme="minorHAnsi" w:eastAsiaTheme="minorEastAsia" w:hAnsiTheme="minorHAnsi"/>
          <w:noProof/>
          <w:color w:val="auto"/>
          <w:kern w:val="2"/>
          <w:sz w:val="22"/>
          <w:szCs w:val="22"/>
          <w:lang w:eastAsia="en-AU"/>
          <w14:ligatures w14:val="standardContextual"/>
        </w:rPr>
      </w:pPr>
      <w:r>
        <w:rPr>
          <w:noProof/>
        </w:rPr>
        <w:t>Appendix B – Methodological details</w:t>
      </w:r>
      <w:r>
        <w:rPr>
          <w:noProof/>
          <w:webHidden/>
        </w:rPr>
        <w:tab/>
      </w:r>
      <w:r>
        <w:rPr>
          <w:noProof/>
          <w:webHidden/>
        </w:rPr>
        <w:fldChar w:fldCharType="begin"/>
      </w:r>
      <w:r>
        <w:rPr>
          <w:noProof/>
          <w:webHidden/>
        </w:rPr>
        <w:instrText xml:space="preserve"> PAGEREF _Toc144912349 \h </w:instrText>
      </w:r>
      <w:r>
        <w:rPr>
          <w:noProof/>
          <w:webHidden/>
        </w:rPr>
      </w:r>
      <w:r>
        <w:rPr>
          <w:noProof/>
          <w:webHidden/>
        </w:rPr>
        <w:fldChar w:fldCharType="separate"/>
      </w:r>
      <w:r w:rsidR="0058314A">
        <w:rPr>
          <w:noProof/>
          <w:webHidden/>
        </w:rPr>
        <w:t>15</w:t>
      </w:r>
      <w:r>
        <w:rPr>
          <w:noProof/>
          <w:webHidden/>
        </w:rPr>
        <w:fldChar w:fldCharType="end"/>
      </w:r>
    </w:p>
    <w:p w14:paraId="5F617AB2" w14:textId="2CCD528D" w:rsidR="00087F9B" w:rsidRDefault="00087F9B">
      <w:pPr>
        <w:pStyle w:val="TOC2"/>
        <w:rPr>
          <w:rFonts w:eastAsiaTheme="minorEastAsia"/>
          <w:kern w:val="2"/>
          <w:sz w:val="22"/>
          <w:szCs w:val="22"/>
          <w:lang w:eastAsia="en-AU"/>
          <w14:ligatures w14:val="standardContextual"/>
        </w:rPr>
      </w:pPr>
      <w:r>
        <w:t>B.1</w:t>
      </w:r>
      <w:r>
        <w:rPr>
          <w:rFonts w:eastAsiaTheme="minorEastAsia"/>
          <w:kern w:val="2"/>
          <w:sz w:val="22"/>
          <w:szCs w:val="22"/>
          <w:lang w:eastAsia="en-AU"/>
          <w14:ligatures w14:val="standardContextual"/>
        </w:rPr>
        <w:tab/>
      </w:r>
      <w:r>
        <w:t>Splitting gross mixed income (GMI) between labour and capital</w:t>
      </w:r>
      <w:r>
        <w:rPr>
          <w:webHidden/>
        </w:rPr>
        <w:tab/>
      </w:r>
      <w:r>
        <w:rPr>
          <w:webHidden/>
        </w:rPr>
        <w:fldChar w:fldCharType="begin"/>
      </w:r>
      <w:r>
        <w:rPr>
          <w:webHidden/>
        </w:rPr>
        <w:instrText xml:space="preserve"> PAGEREF _Toc144912350 \h </w:instrText>
      </w:r>
      <w:r>
        <w:rPr>
          <w:webHidden/>
        </w:rPr>
      </w:r>
      <w:r>
        <w:rPr>
          <w:webHidden/>
        </w:rPr>
        <w:fldChar w:fldCharType="separate"/>
      </w:r>
      <w:r w:rsidR="0058314A">
        <w:rPr>
          <w:webHidden/>
        </w:rPr>
        <w:t>15</w:t>
      </w:r>
      <w:r>
        <w:rPr>
          <w:webHidden/>
        </w:rPr>
        <w:fldChar w:fldCharType="end"/>
      </w:r>
    </w:p>
    <w:p w14:paraId="39ACF32E" w14:textId="6D8F005A" w:rsidR="00087F9B" w:rsidRDefault="00087F9B" w:rsidP="00087F9B">
      <w:pPr>
        <w:pStyle w:val="TOC2"/>
        <w:ind w:left="1134" w:hanging="567"/>
        <w:rPr>
          <w:rFonts w:eastAsiaTheme="minorEastAsia"/>
          <w:kern w:val="2"/>
          <w:sz w:val="22"/>
          <w:szCs w:val="22"/>
          <w:lang w:eastAsia="en-AU"/>
          <w14:ligatures w14:val="standardContextual"/>
        </w:rPr>
      </w:pPr>
      <w:r>
        <w:t>B.2</w:t>
      </w:r>
      <w:r>
        <w:rPr>
          <w:rFonts w:eastAsiaTheme="minorEastAsia"/>
          <w:kern w:val="2"/>
          <w:sz w:val="22"/>
          <w:szCs w:val="22"/>
          <w:lang w:eastAsia="en-AU"/>
          <w14:ligatures w14:val="standardContextual"/>
        </w:rPr>
        <w:tab/>
      </w:r>
      <w:r w:rsidRPr="00087F9B">
        <w:rPr>
          <w:spacing w:val="-2"/>
        </w:rPr>
        <w:t>Estimating aggregate labour productivity and the gross value added (GVA)</w:t>
      </w:r>
      <w:r>
        <w:t xml:space="preserve"> deflator without mining</w:t>
      </w:r>
      <w:r>
        <w:rPr>
          <w:webHidden/>
        </w:rPr>
        <w:tab/>
      </w:r>
      <w:r>
        <w:rPr>
          <w:webHidden/>
        </w:rPr>
        <w:fldChar w:fldCharType="begin"/>
      </w:r>
      <w:r>
        <w:rPr>
          <w:webHidden/>
        </w:rPr>
        <w:instrText xml:space="preserve"> PAGEREF _Toc144912351 \h </w:instrText>
      </w:r>
      <w:r>
        <w:rPr>
          <w:webHidden/>
        </w:rPr>
      </w:r>
      <w:r>
        <w:rPr>
          <w:webHidden/>
        </w:rPr>
        <w:fldChar w:fldCharType="separate"/>
      </w:r>
      <w:r w:rsidR="0058314A">
        <w:rPr>
          <w:webHidden/>
        </w:rPr>
        <w:t>18</w:t>
      </w:r>
      <w:r>
        <w:rPr>
          <w:webHidden/>
        </w:rPr>
        <w:fldChar w:fldCharType="end"/>
      </w:r>
    </w:p>
    <w:p w14:paraId="3AF9F07F" w14:textId="77023D64" w:rsidR="00087F9B" w:rsidRDefault="00087F9B">
      <w:pPr>
        <w:pStyle w:val="TOC2"/>
        <w:rPr>
          <w:rFonts w:eastAsiaTheme="minorEastAsia"/>
          <w:kern w:val="2"/>
          <w:sz w:val="22"/>
          <w:szCs w:val="22"/>
          <w:lang w:eastAsia="en-AU"/>
          <w14:ligatures w14:val="standardContextual"/>
        </w:rPr>
      </w:pPr>
      <w:r>
        <w:t>B.3</w:t>
      </w:r>
      <w:r>
        <w:rPr>
          <w:rFonts w:eastAsiaTheme="minorEastAsia"/>
          <w:kern w:val="2"/>
          <w:sz w:val="22"/>
          <w:szCs w:val="22"/>
          <w:lang w:eastAsia="en-AU"/>
          <w14:ligatures w14:val="standardContextual"/>
        </w:rPr>
        <w:tab/>
      </w:r>
      <w:r>
        <w:t>Decomposing the change in the labour share of income</w:t>
      </w:r>
      <w:r>
        <w:rPr>
          <w:webHidden/>
        </w:rPr>
        <w:tab/>
      </w:r>
      <w:r>
        <w:rPr>
          <w:webHidden/>
        </w:rPr>
        <w:fldChar w:fldCharType="begin"/>
      </w:r>
      <w:r>
        <w:rPr>
          <w:webHidden/>
        </w:rPr>
        <w:instrText xml:space="preserve"> PAGEREF _Toc144912352 \h </w:instrText>
      </w:r>
      <w:r>
        <w:rPr>
          <w:webHidden/>
        </w:rPr>
      </w:r>
      <w:r>
        <w:rPr>
          <w:webHidden/>
        </w:rPr>
        <w:fldChar w:fldCharType="separate"/>
      </w:r>
      <w:r w:rsidR="0058314A">
        <w:rPr>
          <w:webHidden/>
        </w:rPr>
        <w:t>19</w:t>
      </w:r>
      <w:r>
        <w:rPr>
          <w:webHidden/>
        </w:rPr>
        <w:fldChar w:fldCharType="end"/>
      </w:r>
    </w:p>
    <w:p w14:paraId="218C083D" w14:textId="3373A720" w:rsidR="00087F9B" w:rsidRDefault="00087F9B">
      <w:pPr>
        <w:pStyle w:val="TOC1"/>
        <w:rPr>
          <w:rFonts w:asciiTheme="minorHAnsi" w:eastAsiaTheme="minorEastAsia" w:hAnsiTheme="minorHAnsi"/>
          <w:noProof/>
          <w:color w:val="auto"/>
          <w:kern w:val="2"/>
          <w:sz w:val="22"/>
          <w:szCs w:val="22"/>
          <w:lang w:eastAsia="en-AU"/>
          <w14:ligatures w14:val="standardContextual"/>
        </w:rPr>
      </w:pPr>
      <w:r>
        <w:rPr>
          <w:noProof/>
        </w:rPr>
        <w:t>Appendix C – Mining and agriculture affect on the aggregate results</w:t>
      </w:r>
      <w:r>
        <w:rPr>
          <w:noProof/>
          <w:webHidden/>
        </w:rPr>
        <w:tab/>
      </w:r>
      <w:r>
        <w:rPr>
          <w:noProof/>
          <w:webHidden/>
        </w:rPr>
        <w:fldChar w:fldCharType="begin"/>
      </w:r>
      <w:r>
        <w:rPr>
          <w:noProof/>
          <w:webHidden/>
        </w:rPr>
        <w:instrText xml:space="preserve"> PAGEREF _Toc144912353 \h </w:instrText>
      </w:r>
      <w:r>
        <w:rPr>
          <w:noProof/>
          <w:webHidden/>
        </w:rPr>
      </w:r>
      <w:r>
        <w:rPr>
          <w:noProof/>
          <w:webHidden/>
        </w:rPr>
        <w:fldChar w:fldCharType="separate"/>
      </w:r>
      <w:r w:rsidR="0058314A">
        <w:rPr>
          <w:noProof/>
          <w:webHidden/>
        </w:rPr>
        <w:t>22</w:t>
      </w:r>
      <w:r>
        <w:rPr>
          <w:noProof/>
          <w:webHidden/>
        </w:rPr>
        <w:fldChar w:fldCharType="end"/>
      </w:r>
    </w:p>
    <w:p w14:paraId="1424C64F" w14:textId="70B1504E" w:rsidR="00087F9B" w:rsidRDefault="00087F9B">
      <w:pPr>
        <w:pStyle w:val="TOC1"/>
        <w:rPr>
          <w:rFonts w:asciiTheme="minorHAnsi" w:eastAsiaTheme="minorEastAsia" w:hAnsiTheme="minorHAnsi"/>
          <w:noProof/>
          <w:color w:val="auto"/>
          <w:kern w:val="2"/>
          <w:sz w:val="22"/>
          <w:szCs w:val="22"/>
          <w:lang w:eastAsia="en-AU"/>
          <w14:ligatures w14:val="standardContextual"/>
        </w:rPr>
      </w:pPr>
      <w:r>
        <w:rPr>
          <w:noProof/>
        </w:rPr>
        <w:t>Appendix D – Wage decoupling and other economic indicators</w:t>
      </w:r>
      <w:r>
        <w:rPr>
          <w:noProof/>
          <w:webHidden/>
        </w:rPr>
        <w:tab/>
      </w:r>
      <w:r>
        <w:rPr>
          <w:noProof/>
          <w:webHidden/>
        </w:rPr>
        <w:fldChar w:fldCharType="begin"/>
      </w:r>
      <w:r>
        <w:rPr>
          <w:noProof/>
          <w:webHidden/>
        </w:rPr>
        <w:instrText xml:space="preserve"> PAGEREF _Toc144912354 \h </w:instrText>
      </w:r>
      <w:r>
        <w:rPr>
          <w:noProof/>
          <w:webHidden/>
        </w:rPr>
      </w:r>
      <w:r>
        <w:rPr>
          <w:noProof/>
          <w:webHidden/>
        </w:rPr>
        <w:fldChar w:fldCharType="separate"/>
      </w:r>
      <w:r w:rsidR="0058314A">
        <w:rPr>
          <w:noProof/>
          <w:webHidden/>
        </w:rPr>
        <w:t>24</w:t>
      </w:r>
      <w:r>
        <w:rPr>
          <w:noProof/>
          <w:webHidden/>
        </w:rPr>
        <w:fldChar w:fldCharType="end"/>
      </w:r>
    </w:p>
    <w:p w14:paraId="61D87660" w14:textId="2DB2A036" w:rsidR="00087F9B" w:rsidRDefault="00087F9B">
      <w:pPr>
        <w:pStyle w:val="TOC2"/>
        <w:rPr>
          <w:rFonts w:eastAsiaTheme="minorEastAsia"/>
          <w:kern w:val="2"/>
          <w:sz w:val="22"/>
          <w:szCs w:val="22"/>
          <w:lang w:eastAsia="en-AU"/>
          <w14:ligatures w14:val="standardContextual"/>
        </w:rPr>
      </w:pPr>
      <w:r>
        <w:t>D.1</w:t>
      </w:r>
      <w:r>
        <w:rPr>
          <w:rFonts w:eastAsiaTheme="minorEastAsia"/>
          <w:kern w:val="2"/>
          <w:sz w:val="22"/>
          <w:szCs w:val="22"/>
          <w:lang w:eastAsia="en-AU"/>
          <w14:ligatures w14:val="standardContextual"/>
        </w:rPr>
        <w:tab/>
      </w:r>
      <w:r>
        <w:t>Wage decoupling and the labour share of income</w:t>
      </w:r>
      <w:r>
        <w:rPr>
          <w:webHidden/>
        </w:rPr>
        <w:tab/>
      </w:r>
      <w:r>
        <w:rPr>
          <w:webHidden/>
        </w:rPr>
        <w:fldChar w:fldCharType="begin"/>
      </w:r>
      <w:r>
        <w:rPr>
          <w:webHidden/>
        </w:rPr>
        <w:instrText xml:space="preserve"> PAGEREF _Toc144912355 \h </w:instrText>
      </w:r>
      <w:r>
        <w:rPr>
          <w:webHidden/>
        </w:rPr>
      </w:r>
      <w:r>
        <w:rPr>
          <w:webHidden/>
        </w:rPr>
        <w:fldChar w:fldCharType="separate"/>
      </w:r>
      <w:r w:rsidR="0058314A">
        <w:rPr>
          <w:webHidden/>
        </w:rPr>
        <w:t>24</w:t>
      </w:r>
      <w:r>
        <w:rPr>
          <w:webHidden/>
        </w:rPr>
        <w:fldChar w:fldCharType="end"/>
      </w:r>
    </w:p>
    <w:p w14:paraId="48422B20" w14:textId="2F04E57F" w:rsidR="00087F9B" w:rsidRDefault="00087F9B">
      <w:pPr>
        <w:pStyle w:val="TOC2"/>
        <w:rPr>
          <w:rFonts w:eastAsiaTheme="minorEastAsia"/>
          <w:kern w:val="2"/>
          <w:sz w:val="22"/>
          <w:szCs w:val="22"/>
          <w:lang w:eastAsia="en-AU"/>
          <w14:ligatures w14:val="standardContextual"/>
        </w:rPr>
      </w:pPr>
      <w:r>
        <w:t>D.2</w:t>
      </w:r>
      <w:r>
        <w:rPr>
          <w:rFonts w:eastAsiaTheme="minorEastAsia"/>
          <w:kern w:val="2"/>
          <w:sz w:val="22"/>
          <w:szCs w:val="22"/>
          <w:lang w:eastAsia="en-AU"/>
          <w14:ligatures w14:val="standardContextual"/>
        </w:rPr>
        <w:tab/>
      </w:r>
      <w:r>
        <w:t>Wage decoupling and the terms of trade</w:t>
      </w:r>
      <w:r>
        <w:rPr>
          <w:webHidden/>
        </w:rPr>
        <w:tab/>
      </w:r>
      <w:r>
        <w:rPr>
          <w:webHidden/>
        </w:rPr>
        <w:fldChar w:fldCharType="begin"/>
      </w:r>
      <w:r>
        <w:rPr>
          <w:webHidden/>
        </w:rPr>
        <w:instrText xml:space="preserve"> PAGEREF _Toc144912356 \h </w:instrText>
      </w:r>
      <w:r>
        <w:rPr>
          <w:webHidden/>
        </w:rPr>
      </w:r>
      <w:r>
        <w:rPr>
          <w:webHidden/>
        </w:rPr>
        <w:fldChar w:fldCharType="separate"/>
      </w:r>
      <w:r w:rsidR="0058314A">
        <w:rPr>
          <w:webHidden/>
        </w:rPr>
        <w:t>25</w:t>
      </w:r>
      <w:r>
        <w:rPr>
          <w:webHidden/>
        </w:rPr>
        <w:fldChar w:fldCharType="end"/>
      </w:r>
    </w:p>
    <w:p w14:paraId="2D7D33D5" w14:textId="11BD0D86" w:rsidR="00087F9B" w:rsidRDefault="00087F9B">
      <w:pPr>
        <w:pStyle w:val="TOC2"/>
        <w:rPr>
          <w:rFonts w:eastAsiaTheme="minorEastAsia"/>
          <w:kern w:val="2"/>
          <w:sz w:val="22"/>
          <w:szCs w:val="22"/>
          <w:lang w:eastAsia="en-AU"/>
          <w14:ligatures w14:val="standardContextual"/>
        </w:rPr>
      </w:pPr>
      <w:r>
        <w:t>D.3</w:t>
      </w:r>
      <w:r>
        <w:rPr>
          <w:rFonts w:eastAsiaTheme="minorEastAsia"/>
          <w:kern w:val="2"/>
          <w:sz w:val="22"/>
          <w:szCs w:val="22"/>
          <w:lang w:eastAsia="en-AU"/>
          <w14:ligatures w14:val="standardContextual"/>
        </w:rPr>
        <w:tab/>
      </w:r>
      <w:r>
        <w:t>Wage decoupling and inequality</w:t>
      </w:r>
      <w:r>
        <w:rPr>
          <w:webHidden/>
        </w:rPr>
        <w:tab/>
      </w:r>
      <w:r>
        <w:rPr>
          <w:webHidden/>
        </w:rPr>
        <w:fldChar w:fldCharType="begin"/>
      </w:r>
      <w:r>
        <w:rPr>
          <w:webHidden/>
        </w:rPr>
        <w:instrText xml:space="preserve"> PAGEREF _Toc144912357 \h </w:instrText>
      </w:r>
      <w:r>
        <w:rPr>
          <w:webHidden/>
        </w:rPr>
      </w:r>
      <w:r>
        <w:rPr>
          <w:webHidden/>
        </w:rPr>
        <w:fldChar w:fldCharType="separate"/>
      </w:r>
      <w:r w:rsidR="0058314A">
        <w:rPr>
          <w:webHidden/>
        </w:rPr>
        <w:t>26</w:t>
      </w:r>
      <w:r>
        <w:rPr>
          <w:webHidden/>
        </w:rPr>
        <w:fldChar w:fldCharType="end"/>
      </w:r>
    </w:p>
    <w:p w14:paraId="373A379D" w14:textId="093A701C" w:rsidR="00087F9B" w:rsidRDefault="00087F9B">
      <w:pPr>
        <w:pStyle w:val="TOC1"/>
        <w:rPr>
          <w:rFonts w:asciiTheme="minorHAnsi" w:eastAsiaTheme="minorEastAsia" w:hAnsiTheme="minorHAnsi"/>
          <w:noProof/>
          <w:color w:val="auto"/>
          <w:kern w:val="2"/>
          <w:sz w:val="22"/>
          <w:szCs w:val="22"/>
          <w:lang w:eastAsia="en-AU"/>
          <w14:ligatures w14:val="standardContextual"/>
        </w:rPr>
      </w:pPr>
      <w:r>
        <w:rPr>
          <w:noProof/>
        </w:rPr>
        <w:t>Appendix E – Estimates of long-run decoupling from 1959–60</w:t>
      </w:r>
      <w:r>
        <w:rPr>
          <w:noProof/>
          <w:webHidden/>
        </w:rPr>
        <w:tab/>
      </w:r>
      <w:r>
        <w:rPr>
          <w:noProof/>
          <w:webHidden/>
        </w:rPr>
        <w:fldChar w:fldCharType="begin"/>
      </w:r>
      <w:r>
        <w:rPr>
          <w:noProof/>
          <w:webHidden/>
        </w:rPr>
        <w:instrText xml:space="preserve"> PAGEREF _Toc144912358 \h </w:instrText>
      </w:r>
      <w:r>
        <w:rPr>
          <w:noProof/>
          <w:webHidden/>
        </w:rPr>
      </w:r>
      <w:r>
        <w:rPr>
          <w:noProof/>
          <w:webHidden/>
        </w:rPr>
        <w:fldChar w:fldCharType="separate"/>
      </w:r>
      <w:r w:rsidR="0058314A">
        <w:rPr>
          <w:noProof/>
          <w:webHidden/>
        </w:rPr>
        <w:t>34</w:t>
      </w:r>
      <w:r>
        <w:rPr>
          <w:noProof/>
          <w:webHidden/>
        </w:rPr>
        <w:fldChar w:fldCharType="end"/>
      </w:r>
    </w:p>
    <w:p w14:paraId="4F745594" w14:textId="64CD7F00" w:rsidR="00087F9B" w:rsidRDefault="00087F9B">
      <w:pPr>
        <w:pStyle w:val="TOC2"/>
        <w:rPr>
          <w:rFonts w:eastAsiaTheme="minorEastAsia"/>
          <w:kern w:val="2"/>
          <w:sz w:val="22"/>
          <w:szCs w:val="22"/>
          <w:lang w:eastAsia="en-AU"/>
          <w14:ligatures w14:val="standardContextual"/>
        </w:rPr>
      </w:pPr>
      <w:r>
        <w:t>E.1</w:t>
      </w:r>
      <w:r>
        <w:rPr>
          <w:rFonts w:eastAsiaTheme="minorEastAsia"/>
          <w:kern w:val="2"/>
          <w:sz w:val="22"/>
          <w:szCs w:val="22"/>
          <w:lang w:eastAsia="en-AU"/>
          <w14:ligatures w14:val="standardContextual"/>
        </w:rPr>
        <w:tab/>
      </w:r>
      <w:r>
        <w:t>Methodology</w:t>
      </w:r>
      <w:r>
        <w:rPr>
          <w:webHidden/>
        </w:rPr>
        <w:tab/>
      </w:r>
      <w:r>
        <w:rPr>
          <w:webHidden/>
        </w:rPr>
        <w:fldChar w:fldCharType="begin"/>
      </w:r>
      <w:r>
        <w:rPr>
          <w:webHidden/>
        </w:rPr>
        <w:instrText xml:space="preserve"> PAGEREF _Toc144912359 \h </w:instrText>
      </w:r>
      <w:r>
        <w:rPr>
          <w:webHidden/>
        </w:rPr>
      </w:r>
      <w:r>
        <w:rPr>
          <w:webHidden/>
        </w:rPr>
        <w:fldChar w:fldCharType="separate"/>
      </w:r>
      <w:r w:rsidR="0058314A">
        <w:rPr>
          <w:webHidden/>
        </w:rPr>
        <w:t>34</w:t>
      </w:r>
      <w:r>
        <w:rPr>
          <w:webHidden/>
        </w:rPr>
        <w:fldChar w:fldCharType="end"/>
      </w:r>
    </w:p>
    <w:p w14:paraId="3D03FCE9" w14:textId="79C9B4FB" w:rsidR="00087F9B" w:rsidRDefault="00087F9B">
      <w:pPr>
        <w:pStyle w:val="TOC2"/>
        <w:rPr>
          <w:rFonts w:eastAsiaTheme="minorEastAsia"/>
          <w:kern w:val="2"/>
          <w:sz w:val="22"/>
          <w:szCs w:val="22"/>
          <w:lang w:eastAsia="en-AU"/>
          <w14:ligatures w14:val="standardContextual"/>
        </w:rPr>
      </w:pPr>
      <w:r>
        <w:t>E.2</w:t>
      </w:r>
      <w:r>
        <w:rPr>
          <w:rFonts w:eastAsiaTheme="minorEastAsia"/>
          <w:kern w:val="2"/>
          <w:sz w:val="22"/>
          <w:szCs w:val="22"/>
          <w:lang w:eastAsia="en-AU"/>
          <w14:ligatures w14:val="standardContextual"/>
        </w:rPr>
        <w:tab/>
      </w:r>
      <w:r>
        <w:t>Decoupling from 1959-60 to 2021-22</w:t>
      </w:r>
      <w:r>
        <w:rPr>
          <w:webHidden/>
        </w:rPr>
        <w:tab/>
      </w:r>
      <w:r>
        <w:rPr>
          <w:webHidden/>
        </w:rPr>
        <w:fldChar w:fldCharType="begin"/>
      </w:r>
      <w:r>
        <w:rPr>
          <w:webHidden/>
        </w:rPr>
        <w:instrText xml:space="preserve"> PAGEREF _Toc144912360 \h </w:instrText>
      </w:r>
      <w:r>
        <w:rPr>
          <w:webHidden/>
        </w:rPr>
      </w:r>
      <w:r>
        <w:rPr>
          <w:webHidden/>
        </w:rPr>
        <w:fldChar w:fldCharType="separate"/>
      </w:r>
      <w:r w:rsidR="0058314A">
        <w:rPr>
          <w:webHidden/>
        </w:rPr>
        <w:t>35</w:t>
      </w:r>
      <w:r>
        <w:rPr>
          <w:webHidden/>
        </w:rPr>
        <w:fldChar w:fldCharType="end"/>
      </w:r>
    </w:p>
    <w:p w14:paraId="5D0A50EF" w14:textId="56091989" w:rsidR="00087F9B" w:rsidRDefault="00087F9B">
      <w:pPr>
        <w:pStyle w:val="TOC2"/>
        <w:rPr>
          <w:rFonts w:eastAsiaTheme="minorEastAsia"/>
          <w:kern w:val="2"/>
          <w:sz w:val="22"/>
          <w:szCs w:val="22"/>
          <w:lang w:eastAsia="en-AU"/>
          <w14:ligatures w14:val="standardContextual"/>
        </w:rPr>
      </w:pPr>
      <w:r>
        <w:t>E.3</w:t>
      </w:r>
      <w:r>
        <w:rPr>
          <w:rFonts w:eastAsiaTheme="minorEastAsia"/>
          <w:kern w:val="2"/>
          <w:sz w:val="22"/>
          <w:szCs w:val="22"/>
          <w:lang w:eastAsia="en-AU"/>
          <w14:ligatures w14:val="standardContextual"/>
        </w:rPr>
        <w:tab/>
      </w:r>
      <w:r>
        <w:t>The labour income share from 1860 to 2021</w:t>
      </w:r>
      <w:r>
        <w:rPr>
          <w:webHidden/>
        </w:rPr>
        <w:tab/>
      </w:r>
      <w:r>
        <w:rPr>
          <w:webHidden/>
        </w:rPr>
        <w:fldChar w:fldCharType="begin"/>
      </w:r>
      <w:r>
        <w:rPr>
          <w:webHidden/>
        </w:rPr>
        <w:instrText xml:space="preserve"> PAGEREF _Toc144912361 \h </w:instrText>
      </w:r>
      <w:r>
        <w:rPr>
          <w:webHidden/>
        </w:rPr>
      </w:r>
      <w:r>
        <w:rPr>
          <w:webHidden/>
        </w:rPr>
        <w:fldChar w:fldCharType="separate"/>
      </w:r>
      <w:r w:rsidR="0058314A">
        <w:rPr>
          <w:webHidden/>
        </w:rPr>
        <w:t>37</w:t>
      </w:r>
      <w:r>
        <w:rPr>
          <w:webHidden/>
        </w:rPr>
        <w:fldChar w:fldCharType="end"/>
      </w:r>
    </w:p>
    <w:p w14:paraId="6FCFB5F1" w14:textId="564CAFF4" w:rsidR="00087F9B" w:rsidRDefault="00087F9B">
      <w:pPr>
        <w:pStyle w:val="TOC1"/>
        <w:rPr>
          <w:rFonts w:asciiTheme="minorHAnsi" w:eastAsiaTheme="minorEastAsia" w:hAnsiTheme="minorHAnsi"/>
          <w:noProof/>
          <w:color w:val="auto"/>
          <w:kern w:val="2"/>
          <w:sz w:val="22"/>
          <w:szCs w:val="22"/>
          <w:lang w:eastAsia="en-AU"/>
          <w14:ligatures w14:val="standardContextual"/>
        </w:rPr>
      </w:pPr>
      <w:r>
        <w:rPr>
          <w:noProof/>
        </w:rPr>
        <w:t>References</w:t>
      </w:r>
      <w:r>
        <w:rPr>
          <w:noProof/>
          <w:webHidden/>
        </w:rPr>
        <w:tab/>
      </w:r>
      <w:r>
        <w:rPr>
          <w:noProof/>
          <w:webHidden/>
        </w:rPr>
        <w:fldChar w:fldCharType="begin"/>
      </w:r>
      <w:r>
        <w:rPr>
          <w:noProof/>
          <w:webHidden/>
        </w:rPr>
        <w:instrText xml:space="preserve"> PAGEREF _Toc144912362 \h </w:instrText>
      </w:r>
      <w:r>
        <w:rPr>
          <w:noProof/>
          <w:webHidden/>
        </w:rPr>
      </w:r>
      <w:r>
        <w:rPr>
          <w:noProof/>
          <w:webHidden/>
        </w:rPr>
        <w:fldChar w:fldCharType="separate"/>
      </w:r>
      <w:r w:rsidR="0058314A">
        <w:rPr>
          <w:noProof/>
          <w:webHidden/>
        </w:rPr>
        <w:t>38</w:t>
      </w:r>
      <w:r>
        <w:rPr>
          <w:noProof/>
          <w:webHidden/>
        </w:rPr>
        <w:fldChar w:fldCharType="end"/>
      </w:r>
    </w:p>
    <w:p w14:paraId="3D9F8233" w14:textId="0E83C595" w:rsidR="0068696F" w:rsidRDefault="0068696F" w:rsidP="0068696F">
      <w:pPr>
        <w:pStyle w:val="BodyText"/>
        <w:rPr>
          <w:sz w:val="18"/>
        </w:rPr>
        <w:sectPr w:rsidR="0068696F" w:rsidSect="00AE566A">
          <w:headerReference w:type="even" r:id="rId23"/>
          <w:headerReference w:type="default" r:id="rId24"/>
          <w:footerReference w:type="even" r:id="rId25"/>
          <w:footerReference w:type="default" r:id="rId26"/>
          <w:pgSz w:w="11906" w:h="16838" w:code="9"/>
          <w:pgMar w:top="1134" w:right="1134" w:bottom="1134" w:left="1134" w:header="794" w:footer="510" w:gutter="0"/>
          <w:pgNumType w:fmt="lowerRoman" w:start="2"/>
          <w:cols w:space="708"/>
          <w:docGrid w:linePitch="360"/>
        </w:sectPr>
      </w:pPr>
      <w:r>
        <w:rPr>
          <w:sz w:val="18"/>
        </w:rPr>
        <w:fldChar w:fldCharType="end"/>
      </w:r>
    </w:p>
    <w:p w14:paraId="2D9DC302" w14:textId="5027A17B" w:rsidR="00E21DC1" w:rsidRDefault="00E21DC1" w:rsidP="00E21DC1">
      <w:pPr>
        <w:pStyle w:val="Heading1-nobackground"/>
      </w:pPr>
      <w:bookmarkStart w:id="0" w:name="_Toc144912346"/>
      <w:r>
        <w:lastRenderedPageBreak/>
        <w:t xml:space="preserve">Appendix A – </w:t>
      </w:r>
      <w:r w:rsidR="00087F9B">
        <w:t>M</w:t>
      </w:r>
      <w:r>
        <w:t>aking the right data choices</w:t>
      </w:r>
      <w:bookmarkEnd w:id="0"/>
    </w:p>
    <w:p w14:paraId="184EF6FA" w14:textId="7EFD9996" w:rsidR="00E21DC1" w:rsidRDefault="00E21DC1" w:rsidP="002A6FEC">
      <w:pPr>
        <w:pStyle w:val="Heading2-nonumber"/>
        <w:ind w:left="720" w:hanging="720"/>
      </w:pPr>
      <w:bookmarkStart w:id="1" w:name="_Toc144912347"/>
      <w:r>
        <w:t>A.1</w:t>
      </w:r>
      <w:r>
        <w:tab/>
        <w:t xml:space="preserve">The </w:t>
      </w:r>
      <w:r w:rsidR="005B65F7">
        <w:t>C</w:t>
      </w:r>
      <w:r>
        <w:t>ommission</w:t>
      </w:r>
      <w:r w:rsidR="005B65F7">
        <w:t>’</w:t>
      </w:r>
      <w:r>
        <w:t>s preferred measure of wage decoupling</w:t>
      </w:r>
      <w:bookmarkEnd w:id="1"/>
    </w:p>
    <w:p w14:paraId="286580BB" w14:textId="56B76B64" w:rsidR="00E21DC1" w:rsidRDefault="00E21DC1" w:rsidP="00E21DC1">
      <w:pPr>
        <w:pStyle w:val="BodyText"/>
      </w:pPr>
      <w:r>
        <w:t>While there is general agreement – or rather, common practice – on how to measure labour productivity for estimating wage decoupling, there are significant variations in how to measure wages and the choice of time period for the analysis (appendix A</w:t>
      </w:r>
      <w:r w:rsidR="004D7E80">
        <w:t>.2</w:t>
      </w:r>
      <w:r>
        <w:t xml:space="preserve">). </w:t>
      </w:r>
    </w:p>
    <w:p w14:paraId="59084A58" w14:textId="77777777" w:rsidR="00E21DC1" w:rsidRDefault="00E21DC1" w:rsidP="00E21DC1">
      <w:pPr>
        <w:pStyle w:val="BodyText"/>
      </w:pPr>
      <w:r>
        <w:t xml:space="preserve">Measuring real wages requires a combination of a measure of total labour income, a measure of hours worked and a measure of inflation. The Commission’s preferred measure of all of these are detailed below as well as the choice of labour productivity measure. </w:t>
      </w:r>
    </w:p>
    <w:p w14:paraId="2E18E597" w14:textId="77777777" w:rsidR="00E21DC1" w:rsidRDefault="00E21DC1" w:rsidP="00E21DC1">
      <w:pPr>
        <w:pStyle w:val="Heading3"/>
      </w:pPr>
      <w:r>
        <w:t>Labour income measure</w:t>
      </w:r>
    </w:p>
    <w:p w14:paraId="0C2CA09C" w14:textId="77777777" w:rsidR="00E21DC1" w:rsidRDefault="00E21DC1" w:rsidP="00E21DC1">
      <w:pPr>
        <w:pStyle w:val="BodyText"/>
        <w:rPr>
          <w:spacing w:val="-2"/>
        </w:rPr>
      </w:pPr>
      <w:r w:rsidRPr="0034480D">
        <w:rPr>
          <w:spacing w:val="-2"/>
        </w:rPr>
        <w:t>The preferred measure of labour income is</w:t>
      </w:r>
      <w:r>
        <w:rPr>
          <w:spacing w:val="-2"/>
        </w:rPr>
        <w:t>:</w:t>
      </w:r>
    </w:p>
    <w:p w14:paraId="271A307A" w14:textId="29FA4556" w:rsidR="00E21DC1" w:rsidRDefault="00E21DC1" w:rsidP="00E21DC1">
      <w:pPr>
        <w:pStyle w:val="ListBullet"/>
      </w:pPr>
      <w:r w:rsidRPr="0034480D">
        <w:t xml:space="preserve">the sum of </w:t>
      </w:r>
      <w:r w:rsidRPr="0034480D">
        <w:rPr>
          <w:i/>
          <w:iCs/>
        </w:rPr>
        <w:t>compensation of employees</w:t>
      </w:r>
      <w:r w:rsidRPr="0034480D">
        <w:t xml:space="preserve"> – which includes wages and salaries (including bonuses and overtime) and employer social contributions (including superannuation contributions)</w:t>
      </w:r>
    </w:p>
    <w:p w14:paraId="32C28DD1" w14:textId="0142B7AF" w:rsidR="00E21DC1" w:rsidRDefault="00E21DC1" w:rsidP="00E21DC1">
      <w:pPr>
        <w:pStyle w:val="ListBullet"/>
        <w:numPr>
          <w:ilvl w:val="0"/>
          <w:numId w:val="0"/>
        </w:numPr>
        <w:ind w:left="227"/>
      </w:pPr>
      <w:r w:rsidRPr="00694FE5">
        <w:rPr>
          <w:i/>
          <w:iCs/>
        </w:rPr>
        <w:t>plus</w:t>
      </w:r>
    </w:p>
    <w:p w14:paraId="6CC74811" w14:textId="45F2373F" w:rsidR="00E21DC1" w:rsidRPr="0034480D" w:rsidRDefault="00E21DC1" w:rsidP="00E21DC1">
      <w:pPr>
        <w:pStyle w:val="ListBullet"/>
      </w:pPr>
      <w:r w:rsidRPr="0034480D">
        <w:t xml:space="preserve">the labour portion of </w:t>
      </w:r>
      <w:r w:rsidRPr="0034480D">
        <w:rPr>
          <w:i/>
          <w:iCs/>
        </w:rPr>
        <w:t>gross mixed income</w:t>
      </w:r>
      <w:r w:rsidRPr="0034480D">
        <w:t xml:space="preserve"> (GMI, the income of unincorporated businesses) in the </w:t>
      </w:r>
      <w:r w:rsidRPr="0034480D">
        <w:rPr>
          <w:i/>
        </w:rPr>
        <w:t>Australian</w:t>
      </w:r>
      <w:r w:rsidRPr="0034480D">
        <w:t xml:space="preserve"> </w:t>
      </w:r>
      <w:r w:rsidRPr="0034480D">
        <w:rPr>
          <w:i/>
          <w:iCs/>
        </w:rPr>
        <w:t xml:space="preserve">System of National Accounts </w:t>
      </w:r>
      <w:r w:rsidRPr="0034480D">
        <w:t>(Cat. no. 5204.0). GMI reflects both the income from the use of capital by business owners and their own hours of work (which do not receive an explicit wage) in the business. GMI needs to be apportioned between the income attributable to the hours worked by business owners and the return on their invested capital. The Commission’s preferred approach is to assume owner</w:t>
      </w:r>
      <w:r>
        <w:noBreakHyphen/>
      </w:r>
      <w:r w:rsidRPr="0034480D">
        <w:t>managers receive the same wage rate as employees.</w:t>
      </w:r>
      <w:r>
        <w:t xml:space="preserve"> The apportioning of GMI is discussed in further detail in </w:t>
      </w:r>
      <w:r w:rsidRPr="00A2438B">
        <w:rPr>
          <w:i/>
          <w:iCs/>
        </w:rPr>
        <w:t>d</w:t>
      </w:r>
      <w:r>
        <w:rPr>
          <w:i/>
          <w:iCs/>
        </w:rPr>
        <w:t>ata issue 3</w:t>
      </w:r>
      <w:r>
        <w:t xml:space="preserve"> in appendix </w:t>
      </w:r>
      <w:r w:rsidR="00E20FF0">
        <w:t>A</w:t>
      </w:r>
      <w:r>
        <w:t>.2.</w:t>
      </w:r>
    </w:p>
    <w:p w14:paraId="34249668" w14:textId="77777777" w:rsidR="00E21DC1" w:rsidRDefault="00E21DC1" w:rsidP="00E21DC1">
      <w:pPr>
        <w:pStyle w:val="BodyText"/>
      </w:pPr>
      <w:r>
        <w:t>The average (nominal) wage rate is calculated by dividing total labour income by the total hours worked (both owner</w:t>
      </w:r>
      <w:r>
        <w:noBreakHyphen/>
        <w:t xml:space="preserve">manager and employee) in the </w:t>
      </w:r>
      <w:r w:rsidRPr="00A57153">
        <w:rPr>
          <w:i/>
          <w:iCs/>
        </w:rPr>
        <w:t>Labour Account</w:t>
      </w:r>
      <w:r>
        <w:t>, Cat. no. </w:t>
      </w:r>
      <w:r w:rsidRPr="001E4007">
        <w:t>6150.0.55.003</w:t>
      </w:r>
      <w:r>
        <w:t>.</w:t>
      </w:r>
    </w:p>
    <w:p w14:paraId="7AAAF2B6" w14:textId="65D7C217" w:rsidR="00E21DC1" w:rsidRDefault="00E21DC1" w:rsidP="00E21DC1">
      <w:pPr>
        <w:pStyle w:val="BodyText"/>
      </w:pPr>
      <w:r>
        <w:t xml:space="preserve">Explanation as to why these data sources were chosen are in appendix </w:t>
      </w:r>
      <w:r w:rsidR="00E20FF0">
        <w:t>A</w:t>
      </w:r>
      <w:r>
        <w:t>.2.</w:t>
      </w:r>
    </w:p>
    <w:p w14:paraId="0B2E35A5" w14:textId="77777777" w:rsidR="00E21DC1" w:rsidRDefault="00E21DC1" w:rsidP="00E21DC1">
      <w:pPr>
        <w:pStyle w:val="Heading3"/>
      </w:pPr>
      <w:r>
        <w:t>Particular industries and aggregations of industries</w:t>
      </w:r>
    </w:p>
    <w:p w14:paraId="06CCA26F" w14:textId="18F3AC3E" w:rsidR="00E21DC1" w:rsidRDefault="00E21DC1" w:rsidP="00E21DC1">
      <w:pPr>
        <w:pStyle w:val="BodyText"/>
      </w:pPr>
      <w:r w:rsidRPr="007110DC">
        <w:t>For particular industries, or aggregations of industries (such as all industries excluding mining and agriculture), the ABS does not publish an equivalent national accounts’ employee wage rate at the industry level, so we have had to derive an estimate from several ABS sources. As for the whole economy, we assume that owner</w:t>
      </w:r>
      <w:r w:rsidRPr="007110DC">
        <w:noBreakHyphen/>
        <w:t>managers and employees receive the same wage rate (for each industry). The detailed calculations are shown in appendix B.</w:t>
      </w:r>
      <w:r w:rsidR="007110DC" w:rsidRPr="007110DC">
        <w:t>1</w:t>
      </w:r>
      <w:r>
        <w:t>.</w:t>
      </w:r>
    </w:p>
    <w:p w14:paraId="7380253B" w14:textId="77777777" w:rsidR="00E21DC1" w:rsidRDefault="00E21DC1" w:rsidP="00E21DC1">
      <w:pPr>
        <w:pStyle w:val="BodyText"/>
      </w:pPr>
      <w:r>
        <w:t>Industry or sectoral labour income can be further calculated by multiplying this wage rate by the corresponding total hours worked (both employee and owner</w:t>
      </w:r>
      <w:r>
        <w:noBreakHyphen/>
        <w:t xml:space="preserve">manager) in the </w:t>
      </w:r>
      <w:r w:rsidRPr="00A57153">
        <w:rPr>
          <w:i/>
          <w:iCs/>
        </w:rPr>
        <w:t>Labour Account</w:t>
      </w:r>
      <w:r>
        <w:t>, Cat. no. </w:t>
      </w:r>
      <w:r w:rsidRPr="001E4007">
        <w:t>6150.0.55.003</w:t>
      </w:r>
      <w:r>
        <w:t>.</w:t>
      </w:r>
    </w:p>
    <w:p w14:paraId="16214F62" w14:textId="77777777" w:rsidR="00E21DC1" w:rsidRDefault="00E21DC1" w:rsidP="00E21DC1">
      <w:pPr>
        <w:pStyle w:val="Heading3"/>
      </w:pPr>
      <w:r>
        <w:lastRenderedPageBreak/>
        <w:t>Hours worked measure</w:t>
      </w:r>
    </w:p>
    <w:p w14:paraId="16EF1B53" w14:textId="77777777" w:rsidR="00E21DC1" w:rsidRPr="00C8402D" w:rsidRDefault="00E21DC1" w:rsidP="00E21DC1">
      <w:pPr>
        <w:pStyle w:val="BodyText"/>
        <w:rPr>
          <w:spacing w:val="-4"/>
        </w:rPr>
      </w:pPr>
      <w:r w:rsidRPr="00C8402D">
        <w:rPr>
          <w:spacing w:val="-4"/>
        </w:rPr>
        <w:t xml:space="preserve">Hours worked are taken from the </w:t>
      </w:r>
      <w:r w:rsidRPr="00C8402D">
        <w:rPr>
          <w:i/>
          <w:iCs/>
          <w:spacing w:val="-4"/>
        </w:rPr>
        <w:t xml:space="preserve">Labour Account </w:t>
      </w:r>
      <w:r w:rsidRPr="00C8402D">
        <w:rPr>
          <w:spacing w:val="-4"/>
        </w:rPr>
        <w:t xml:space="preserve">(Cat. no. 6150.0.55.003.), which is the measure of labour input used by the national accounts. This measure can differ (especially at the industry level) from the hours worked reported in the </w:t>
      </w:r>
      <w:r w:rsidRPr="00C8402D">
        <w:rPr>
          <w:i/>
          <w:iCs/>
          <w:spacing w:val="-4"/>
        </w:rPr>
        <w:t xml:space="preserve">Labour Force Survey </w:t>
      </w:r>
      <w:r w:rsidRPr="00C8402D">
        <w:rPr>
          <w:spacing w:val="-4"/>
        </w:rPr>
        <w:t xml:space="preserve">(LFS, Cat. no. 6202.0.), reflecting that the latter is based only on information from households and does not take into account administrative data or business surveys that also provide information on hours. The </w:t>
      </w:r>
      <w:r w:rsidRPr="00C8402D">
        <w:rPr>
          <w:i/>
          <w:spacing w:val="-4"/>
        </w:rPr>
        <w:t>Labour Account</w:t>
      </w:r>
      <w:r w:rsidRPr="00C8402D">
        <w:rPr>
          <w:spacing w:val="-4"/>
        </w:rPr>
        <w:t xml:space="preserve"> harmonises across these various sources of labour information.</w:t>
      </w:r>
    </w:p>
    <w:p w14:paraId="6DF805E2" w14:textId="77777777" w:rsidR="00E21DC1" w:rsidRPr="00F80897" w:rsidRDefault="00E21DC1" w:rsidP="00E21DC1">
      <w:pPr>
        <w:pStyle w:val="BodyText"/>
      </w:pPr>
      <w:r>
        <w:t xml:space="preserve">Nominal wages are then the ratio of estimated nominal labour income (above) and hours worked. </w:t>
      </w:r>
    </w:p>
    <w:p w14:paraId="5F069AEC" w14:textId="77777777" w:rsidR="00E21DC1" w:rsidRPr="00112C10" w:rsidRDefault="00E21DC1" w:rsidP="00E21DC1">
      <w:pPr>
        <w:pStyle w:val="Heading3"/>
      </w:pPr>
      <w:r w:rsidRPr="00112C10">
        <w:t>Inflation measure</w:t>
      </w:r>
    </w:p>
    <w:p w14:paraId="1B723843" w14:textId="77777777" w:rsidR="00E21DC1" w:rsidRDefault="00E21DC1" w:rsidP="00E21DC1">
      <w:pPr>
        <w:pStyle w:val="BodyText"/>
      </w:pPr>
      <w:r>
        <w:t>Business’s capacity to pay employees depends on the productivity of their employees and the prices they receive for goods and services, not on the prices that consumers must pay for their goods and services. While consumer price increases are generally highly correlated with producer prices (at the whole economy level, not the industry level), they can vary significantly given taxes, and global price shocks that affects one or other. Notably</w:t>
      </w:r>
      <w:r w:rsidRPr="001B5FE3">
        <w:t>, the labour share of income is equivalent to the ratio of real producer wages to labour productivity,</w:t>
      </w:r>
      <w:r>
        <w:t xml:space="preserve"> and not real consumer wages to labour productivity.</w:t>
      </w:r>
    </w:p>
    <w:p w14:paraId="07E524BB" w14:textId="77777777" w:rsidR="00E21DC1" w:rsidRDefault="00E21DC1" w:rsidP="00E21DC1">
      <w:pPr>
        <w:pStyle w:val="BodyText"/>
      </w:pPr>
      <w:r>
        <w:t xml:space="preserve">The implicit GDP deflator from the national accounts was used as the measure of economywide producer prices because it is the way labour productivity is deflated. Accordingly, any wage decoupling will be driven solely by changes in the labour share of income, not methodological differences between price indexes. The implicit gross value added (GVA) deflators were used for disaggregated analysis and reflect the prices of output and intermediate inputs supplied by other firms. (Failing to adjust for the price of intermediate inputs can make a significant difference at levels of aggregation less than the whole economy). </w:t>
      </w:r>
    </w:p>
    <w:p w14:paraId="7CBECADC" w14:textId="77777777" w:rsidR="00E21DC1" w:rsidRDefault="00E21DC1" w:rsidP="00E21DC1">
      <w:pPr>
        <w:pStyle w:val="BodyText"/>
      </w:pPr>
      <w:r>
        <w:t xml:space="preserve">We also present results using the </w:t>
      </w:r>
      <w:r w:rsidRPr="002613FE">
        <w:rPr>
          <w:i/>
          <w:iCs/>
        </w:rPr>
        <w:t>Consumer Price Index</w:t>
      </w:r>
      <w:r>
        <w:t xml:space="preserve"> (CPI, Cat. no. </w:t>
      </w:r>
      <w:r w:rsidRPr="00BD474C">
        <w:t>6401</w:t>
      </w:r>
      <w:r>
        <w:t xml:space="preserve">) because real consumer prices are sometimes used to measure decoupling. The CPI is the most comprehensive measure of consumer prices in preference to the alternative, </w:t>
      </w:r>
      <w:r w:rsidRPr="002613FE">
        <w:rPr>
          <w:i/>
          <w:iCs/>
        </w:rPr>
        <w:t>Selected Living Cost Indexes</w:t>
      </w:r>
      <w:r>
        <w:t xml:space="preserve"> (Cat. no. </w:t>
      </w:r>
      <w:r w:rsidRPr="00A8019A">
        <w:t>6467</w:t>
      </w:r>
      <w:r>
        <w:t xml:space="preserve">), which relate to cost of living for particular groups of individuals (employees, pensioners etc). </w:t>
      </w:r>
    </w:p>
    <w:p w14:paraId="3E794B37" w14:textId="1093693F" w:rsidR="00E21DC1" w:rsidRPr="002A61A9" w:rsidRDefault="00E21DC1" w:rsidP="00E21DC1">
      <w:pPr>
        <w:pStyle w:val="BodyText"/>
      </w:pPr>
      <w:r>
        <w:t xml:space="preserve">The issue of which inflation measure to use is discussed in more detail in </w:t>
      </w:r>
      <w:r>
        <w:rPr>
          <w:i/>
          <w:iCs/>
        </w:rPr>
        <w:t xml:space="preserve">Data issue 4 </w:t>
      </w:r>
      <w:r>
        <w:t xml:space="preserve">in appendix </w:t>
      </w:r>
      <w:r w:rsidR="00EF038B">
        <w:t>A</w:t>
      </w:r>
      <w:r>
        <w:t>.2.</w:t>
      </w:r>
    </w:p>
    <w:p w14:paraId="4E474908" w14:textId="77777777" w:rsidR="00E21DC1" w:rsidRPr="00112C10" w:rsidRDefault="00E21DC1" w:rsidP="00E21DC1">
      <w:pPr>
        <w:pStyle w:val="Heading3"/>
      </w:pPr>
      <w:r>
        <w:t>Productivity measure</w:t>
      </w:r>
    </w:p>
    <w:p w14:paraId="1FC99FC2" w14:textId="77777777" w:rsidR="00E21DC1" w:rsidRPr="00D905BB" w:rsidRDefault="00E21DC1" w:rsidP="00E21DC1">
      <w:pPr>
        <w:pStyle w:val="BodyText"/>
      </w:pPr>
      <w:r>
        <w:t>Labour productivity is measured as GDP per hour worked for the whole economy and as GVA per hour worked for subsets of the economy. The value of GDP and the sum of industry GVA is nearly identical except for the inclusion in GDP of product taxes less subsidies.</w:t>
      </w:r>
    </w:p>
    <w:p w14:paraId="1502A5E1" w14:textId="3CB2C2A2" w:rsidR="00E21DC1" w:rsidRDefault="00E21DC1" w:rsidP="00E21DC1">
      <w:pPr>
        <w:pStyle w:val="Heading2-nonumber"/>
      </w:pPr>
      <w:bookmarkStart w:id="2" w:name="_Toc144912348"/>
      <w:r>
        <w:t>A.2</w:t>
      </w:r>
      <w:r>
        <w:tab/>
        <w:t xml:space="preserve">The </w:t>
      </w:r>
      <w:r w:rsidR="005B65F7">
        <w:t>C</w:t>
      </w:r>
      <w:r>
        <w:t>ommission</w:t>
      </w:r>
      <w:r w:rsidR="005B65F7">
        <w:t>’</w:t>
      </w:r>
      <w:r>
        <w:t>s preferred estimate of wages</w:t>
      </w:r>
      <w:bookmarkEnd w:id="2"/>
    </w:p>
    <w:p w14:paraId="21A25865" w14:textId="77777777" w:rsidR="00E21DC1" w:rsidRDefault="00E21DC1" w:rsidP="00E21DC1">
      <w:pPr>
        <w:pStyle w:val="BodyText"/>
      </w:pPr>
      <w:r>
        <w:t>There are many measures of wages (table 1) and several ways of converting these into measures that take account of price movements. Typically wages only relate to employees and exclude the implicit labour earnings of owner-managers of unincorporated enterprises. Most commonly, the CPI, which measures price increases of a fixed basket of goods and services (‘inflation’), is used to assess how the buying power of any given dollar of wages changes from year to year. However, other prices can also be used, such as those that apply to ‘essential’ goods and services, like housing and energy. And from the perspective of businesses, the real cost to them of employees is linked to producer prices.</w:t>
      </w:r>
    </w:p>
    <w:p w14:paraId="6C25E23F" w14:textId="77777777" w:rsidR="00E21DC1" w:rsidRPr="00C8402D" w:rsidRDefault="00E21DC1" w:rsidP="00E21DC1">
      <w:pPr>
        <w:pStyle w:val="BodyText"/>
        <w:rPr>
          <w:spacing w:val="-4"/>
        </w:rPr>
      </w:pPr>
      <w:r w:rsidRPr="00C8402D">
        <w:rPr>
          <w:spacing w:val="-4"/>
        </w:rPr>
        <w:t xml:space="preserve">When adjusted for consumer prices, all measures of real wage growth over the last decade has been significantly below productivity growth, though over the long run, there is greater alignment. (That said, a couple of wage </w:t>
      </w:r>
      <w:r w:rsidRPr="00C8402D">
        <w:rPr>
          <w:spacing w:val="-4"/>
        </w:rPr>
        <w:lastRenderedPageBreak/>
        <w:t>measures have also shown growth on par or greater than labour productivity in the past five years even as others show continued decoupling, demonstrating the large amount of variation between the measures.)</w:t>
      </w:r>
    </w:p>
    <w:p w14:paraId="046576A3" w14:textId="49CAB6E1" w:rsidR="00E21DC1" w:rsidRDefault="00E21DC1" w:rsidP="00E21DC1">
      <w:pPr>
        <w:pStyle w:val="FigureTableHeading"/>
        <w:rPr>
          <w:vertAlign w:val="superscript"/>
        </w:rPr>
      </w:pPr>
      <w:r>
        <w:t xml:space="preserve">Table </w:t>
      </w:r>
      <w:r w:rsidR="002B4160">
        <w:rPr>
          <w:noProof/>
        </w:rPr>
        <w:t>1</w:t>
      </w:r>
      <w:r>
        <w:rPr>
          <w:noProof/>
        </w:rPr>
        <w:t xml:space="preserve"> – </w:t>
      </w:r>
      <w:r>
        <w:t>Real wage growth compared to labour productivity</w:t>
      </w:r>
      <w:r w:rsidRPr="00EC0C27">
        <w:rPr>
          <w:vertAlign w:val="superscript"/>
        </w:rPr>
        <w:t>a</w:t>
      </w:r>
    </w:p>
    <w:p w14:paraId="4385067C" w14:textId="77777777" w:rsidR="00E21DC1" w:rsidRDefault="00E21DC1" w:rsidP="00E21DC1">
      <w:pPr>
        <w:pStyle w:val="FigureTableSubheading"/>
        <w:keepLines/>
      </w:pPr>
      <w:r>
        <w:t>Average annual growth rates (%)</w:t>
      </w:r>
    </w:p>
    <w:tbl>
      <w:tblPr>
        <w:tblW w:w="5000" w:type="pct"/>
        <w:tblBorders>
          <w:bottom w:val="single" w:sz="4" w:space="0" w:color="B3B3B3"/>
        </w:tblBorders>
        <w:shd w:val="clear" w:color="000000" w:fill="auto"/>
        <w:tblCellMar>
          <w:left w:w="0" w:type="dxa"/>
          <w:right w:w="0" w:type="dxa"/>
        </w:tblCellMar>
        <w:tblLook w:val="04A0" w:firstRow="1" w:lastRow="0" w:firstColumn="1" w:lastColumn="0" w:noHBand="0" w:noVBand="1"/>
        <w:tblDescription w:val="{&quot;Ott&quot;:{&quot;FirstRow&quot;:{&quot;Font&quot;:{&quot;Bold&quot;:true,&quot;Color&quot;:{&quot;Key&quot;:&quot;TableHeading&quot;},&quot;BulletColor&quot;:{&quot;Key&quot;:&quot;TableHeading&quot;}},&quot;Alignment&quot;:{&quot;Vertical&quot;:&quot;Bottom&quot;},&quot;Borders&quot;:{&quot;Bottom&quot;:{&quot;Color&quot;:{&quot;Key&quot;:&quot;BorderColor&quot;},&quot;BorderWeight&quot;:&quot;Pt0_5&quot;,&quot;Type&quot;:&quot;Solid&quot;,&quot;Visible&quot;:true}}},&quot;LastRow&quot;:{},&quot;FirstColumn&quot;:{&quot;Font&quot;:{&quot;Bold&quot;:true,&quot;Color&quot;:{&quot;Key&quot;:&quot;TableHeading&quot;},&quot;BulletColor&quot;:{&quot;Key&quot;:&quot;TableHeading&quot;}}},&quot;LastColumn&quot;:{},&quot;BandedRow&quot;:{&quot;Item&quot;:{&quot;BackgroundColor&quot;:{&quot;Key&quot;:&quot;BandedRow&quot;}},&quot;Type&quot;:&quot;BandFirst&quot;},&quot;BandedColumn&quot;:{&quot;Item&quot;:{},&quot;Type&quot;:&quot;BandFirst&quot;},&quot;FitRowHeightPp&quot;:true,&quot;ZeroMarginsWord&quot;:true,&quot;BackgroundColor&quot;:{&quot;Key&quot;:&quot;BackgroundColor&quot;},&quot;Font&quot;:{&quot;Name&quot;:&quot;Arial (Body)&quot;,&quot;Size&quot;:9.0,&quot;SizeOverridePp&quot;:16.0,&quot;Bold&quot;:false,&quot;Italic&quot;:false,&quot;Underline&quot;:false,&quot;Color&quot;:{&quot;Key&quot;:&quot;TableBody&quot;},&quot;BulletColor&quot;:{&quot;Key&quot;:&quot;TableBody&quot;}},&quot;Alignment&quot;:{&quot;Horizontal&quot;:&quot;Left&quot;,&quot;Vertical&quot;:&quot;Top&quot;},&quot;Margin&quot;:{&quot;Left&quot;:2.83464575,&quot;Top&quot;:2.26771641,&quot;Right&quot;:5.38582659,&quot;Bottom&quot;:2.26771641},&quot;Borders&quot;:{&quot;Vertical&quot;:{&quot;Visible&quot;:false},&quot;Horizontal&quot;:{&quot;Visible&quot;:false},&quot;Bottom&quot;:{&quot;Color&quot;:{&quot;Key&quot;:&quot;BorderColor&quot;},&quot;BorderWeight&quot;:&quot;Pt0_5&quot;,&quot;Type&quot;:&quot;Solid&quot;,&quot;Visible&quot;:true}}},&quot;Ccs&quot;:{&quot;TableBody&quot;:&quot;Black&quot;,&quot;TableHeading&quot;:&quot;38, 90, 154&quot;,&quot;BandedRow&quot;:&quot;242, 242, 242&quot;,&quot;BorderColor&quot;:&quot;179, 179, 179&quot;,&quot;BackgroundColor&quot;:&quot;Transparent&quot;},&quot;Cop&quot;:{&quot;FirstRow&quot;:true,&quot;LastRow&quot;:false,&quot;FirstColumn&quot;:true,&quot;LastColumn&quot;:false,&quot;BandedRows&quot;:true,&quot;BandedColumns&quot;:false},&quot;Aaf&quot;:false}"/>
      </w:tblPr>
      <w:tblGrid>
        <w:gridCol w:w="2553"/>
        <w:gridCol w:w="1301"/>
        <w:gridCol w:w="1928"/>
        <w:gridCol w:w="1928"/>
        <w:gridCol w:w="1928"/>
      </w:tblGrid>
      <w:tr w:rsidR="00E21DC1" w:rsidRPr="00030C67" w14:paraId="3122C798" w14:textId="77777777" w:rsidTr="00465267">
        <w:trPr>
          <w:tblHeader/>
        </w:trPr>
        <w:tc>
          <w:tcPr>
            <w:tcW w:w="1324" w:type="pct"/>
            <w:tcBorders>
              <w:bottom w:val="single" w:sz="4" w:space="0" w:color="B3B3B3"/>
            </w:tcBorders>
            <w:shd w:val="clear" w:color="000000" w:fill="auto"/>
            <w:vAlign w:val="bottom"/>
          </w:tcPr>
          <w:p w14:paraId="61569085" w14:textId="77777777" w:rsidR="00E21DC1" w:rsidRPr="00030C67" w:rsidRDefault="00E21DC1">
            <w:pPr>
              <w:spacing w:before="45" w:after="45"/>
              <w:ind w:right="108"/>
              <w:rPr>
                <w:rFonts w:ascii="Arial (Body)" w:hAnsi="Arial (Body)"/>
                <w:color w:val="265A9A"/>
              </w:rPr>
            </w:pPr>
          </w:p>
        </w:tc>
        <w:tc>
          <w:tcPr>
            <w:tcW w:w="675" w:type="pct"/>
            <w:tcBorders>
              <w:bottom w:val="single" w:sz="4" w:space="0" w:color="B3B3B3"/>
            </w:tcBorders>
            <w:shd w:val="clear" w:color="000000" w:fill="auto"/>
          </w:tcPr>
          <w:p w14:paraId="50F3377A" w14:textId="77777777" w:rsidR="00E21DC1" w:rsidRPr="00030C67" w:rsidRDefault="00E21DC1">
            <w:pPr>
              <w:pStyle w:val="TableHeading"/>
              <w:jc w:val="right"/>
            </w:pPr>
            <w:r w:rsidRPr="00A6144F">
              <w:t>5 years</w:t>
            </w:r>
          </w:p>
        </w:tc>
        <w:tc>
          <w:tcPr>
            <w:tcW w:w="1000" w:type="pct"/>
            <w:tcBorders>
              <w:bottom w:val="single" w:sz="4" w:space="0" w:color="B3B3B3"/>
            </w:tcBorders>
            <w:shd w:val="clear" w:color="000000" w:fill="auto"/>
          </w:tcPr>
          <w:p w14:paraId="1DA41226" w14:textId="77777777" w:rsidR="00E21DC1" w:rsidRPr="00030C67" w:rsidRDefault="00E21DC1">
            <w:pPr>
              <w:pStyle w:val="TableHeading"/>
              <w:jc w:val="right"/>
            </w:pPr>
            <w:r w:rsidRPr="00A6144F">
              <w:t>10 years</w:t>
            </w:r>
          </w:p>
        </w:tc>
        <w:tc>
          <w:tcPr>
            <w:tcW w:w="1000" w:type="pct"/>
            <w:tcBorders>
              <w:bottom w:val="single" w:sz="4" w:space="0" w:color="B3B3B3"/>
            </w:tcBorders>
            <w:shd w:val="clear" w:color="000000" w:fill="auto"/>
          </w:tcPr>
          <w:p w14:paraId="3A58F294" w14:textId="77777777" w:rsidR="00E21DC1" w:rsidRPr="00030C67" w:rsidRDefault="00E21DC1">
            <w:pPr>
              <w:pStyle w:val="TableHeading"/>
              <w:jc w:val="right"/>
            </w:pPr>
            <w:r w:rsidRPr="00A6144F">
              <w:t>20 years</w:t>
            </w:r>
          </w:p>
        </w:tc>
        <w:tc>
          <w:tcPr>
            <w:tcW w:w="1000" w:type="pct"/>
            <w:tcBorders>
              <w:bottom w:val="single" w:sz="4" w:space="0" w:color="B3B3B3"/>
            </w:tcBorders>
            <w:shd w:val="clear" w:color="000000" w:fill="auto"/>
          </w:tcPr>
          <w:p w14:paraId="015EE924" w14:textId="77777777" w:rsidR="00E21DC1" w:rsidRPr="00030C67" w:rsidRDefault="00E21DC1">
            <w:pPr>
              <w:pStyle w:val="TableHeading"/>
              <w:jc w:val="right"/>
            </w:pPr>
            <w:r w:rsidRPr="00A6144F">
              <w:t>27 years</w:t>
            </w:r>
          </w:p>
        </w:tc>
      </w:tr>
      <w:tr w:rsidR="00E21DC1" w:rsidRPr="00030C67" w14:paraId="7271D7E5" w14:textId="77777777" w:rsidTr="00465267">
        <w:tc>
          <w:tcPr>
            <w:tcW w:w="1324" w:type="pct"/>
            <w:tcBorders>
              <w:top w:val="single" w:sz="4" w:space="0" w:color="B3B3B3"/>
              <w:bottom w:val="nil"/>
            </w:tcBorders>
            <w:shd w:val="clear" w:color="000000" w:fill="F2F2F2"/>
          </w:tcPr>
          <w:p w14:paraId="1E4FF0EF" w14:textId="77777777" w:rsidR="00E21DC1" w:rsidRPr="00030C67" w:rsidRDefault="00E21DC1">
            <w:pPr>
              <w:pStyle w:val="TableHeading"/>
            </w:pPr>
            <w:r w:rsidRPr="00F544AB">
              <w:t>Average weekly earnings (full time workers)</w:t>
            </w:r>
          </w:p>
        </w:tc>
        <w:tc>
          <w:tcPr>
            <w:tcW w:w="675" w:type="pct"/>
            <w:tcBorders>
              <w:top w:val="single" w:sz="4" w:space="0" w:color="B3B3B3"/>
              <w:bottom w:val="nil"/>
            </w:tcBorders>
            <w:shd w:val="clear" w:color="000000" w:fill="F2F2F2"/>
          </w:tcPr>
          <w:p w14:paraId="7BDAB037" w14:textId="77777777" w:rsidR="00E21DC1" w:rsidRPr="00030C67" w:rsidRDefault="00E21DC1">
            <w:pPr>
              <w:pStyle w:val="TableBody"/>
              <w:spacing w:before="45" w:after="45"/>
              <w:ind w:right="108"/>
              <w:jc w:val="right"/>
              <w:rPr>
                <w:rFonts w:ascii="Arial (Body)" w:hAnsi="Arial (Body)"/>
                <w:color w:val="000000"/>
              </w:rPr>
            </w:pPr>
            <w:r w:rsidRPr="001F647B">
              <w:t>0.47</w:t>
            </w:r>
          </w:p>
        </w:tc>
        <w:tc>
          <w:tcPr>
            <w:tcW w:w="1000" w:type="pct"/>
            <w:tcBorders>
              <w:top w:val="single" w:sz="4" w:space="0" w:color="B3B3B3"/>
              <w:bottom w:val="nil"/>
            </w:tcBorders>
            <w:shd w:val="clear" w:color="000000" w:fill="F2F2F2"/>
          </w:tcPr>
          <w:p w14:paraId="0FA716B2" w14:textId="77777777" w:rsidR="00E21DC1" w:rsidRDefault="00E21DC1">
            <w:pPr>
              <w:pStyle w:val="TableBody"/>
              <w:spacing w:before="45" w:after="45"/>
              <w:ind w:right="108"/>
              <w:jc w:val="right"/>
              <w:rPr>
                <w:rFonts w:ascii="Arial (Body)" w:hAnsi="Arial (Body)"/>
                <w:color w:val="000000"/>
              </w:rPr>
            </w:pPr>
            <w:r w:rsidRPr="001F647B">
              <w:t>0.43</w:t>
            </w:r>
          </w:p>
        </w:tc>
        <w:tc>
          <w:tcPr>
            <w:tcW w:w="1000" w:type="pct"/>
            <w:tcBorders>
              <w:top w:val="single" w:sz="4" w:space="0" w:color="B3B3B3"/>
              <w:bottom w:val="nil"/>
            </w:tcBorders>
            <w:shd w:val="clear" w:color="000000" w:fill="F2F2F2"/>
          </w:tcPr>
          <w:p w14:paraId="181E6B54" w14:textId="77777777" w:rsidR="00E21DC1" w:rsidRDefault="00E21DC1">
            <w:pPr>
              <w:pStyle w:val="TableBody"/>
              <w:spacing w:before="45" w:after="45"/>
              <w:ind w:right="108"/>
              <w:jc w:val="right"/>
              <w:rPr>
                <w:rFonts w:ascii="Arial (Body)" w:hAnsi="Arial (Body)"/>
                <w:color w:val="000000"/>
              </w:rPr>
            </w:pPr>
            <w:r w:rsidRPr="001F647B">
              <w:t>1.29</w:t>
            </w:r>
          </w:p>
        </w:tc>
        <w:tc>
          <w:tcPr>
            <w:tcW w:w="1000" w:type="pct"/>
            <w:tcBorders>
              <w:top w:val="single" w:sz="4" w:space="0" w:color="B3B3B3"/>
              <w:bottom w:val="nil"/>
            </w:tcBorders>
            <w:shd w:val="clear" w:color="000000" w:fill="F2F2F2"/>
          </w:tcPr>
          <w:p w14:paraId="620845FD" w14:textId="77777777" w:rsidR="00E21DC1" w:rsidRPr="00030C67" w:rsidRDefault="00E21DC1">
            <w:pPr>
              <w:pStyle w:val="TableBody"/>
              <w:spacing w:before="45" w:after="45"/>
              <w:ind w:right="108"/>
              <w:jc w:val="right"/>
              <w:rPr>
                <w:rFonts w:ascii="Arial (Body)" w:hAnsi="Arial (Body)"/>
                <w:color w:val="000000"/>
              </w:rPr>
            </w:pPr>
            <w:r w:rsidRPr="001F647B">
              <w:t>1.31</w:t>
            </w:r>
          </w:p>
        </w:tc>
      </w:tr>
      <w:tr w:rsidR="00E21DC1" w:rsidRPr="00030C67" w14:paraId="0EF4557C" w14:textId="77777777" w:rsidTr="00465267">
        <w:tc>
          <w:tcPr>
            <w:tcW w:w="1324" w:type="pct"/>
            <w:tcBorders>
              <w:top w:val="nil"/>
              <w:bottom w:val="nil"/>
            </w:tcBorders>
            <w:shd w:val="clear" w:color="auto" w:fill="auto"/>
          </w:tcPr>
          <w:p w14:paraId="147455FE" w14:textId="04C9E335" w:rsidR="00E21DC1" w:rsidRPr="00030C67" w:rsidRDefault="00E21DC1">
            <w:pPr>
              <w:pStyle w:val="TableHeading"/>
            </w:pPr>
            <w:r w:rsidRPr="00F544AB">
              <w:t xml:space="preserve">Average weekly earnings </w:t>
            </w:r>
            <w:r w:rsidR="00465267">
              <w:br/>
            </w:r>
            <w:r w:rsidRPr="00F544AB">
              <w:t>(all workers)</w:t>
            </w:r>
          </w:p>
        </w:tc>
        <w:tc>
          <w:tcPr>
            <w:tcW w:w="675" w:type="pct"/>
            <w:tcBorders>
              <w:top w:val="nil"/>
              <w:bottom w:val="nil"/>
            </w:tcBorders>
            <w:shd w:val="clear" w:color="auto" w:fill="auto"/>
          </w:tcPr>
          <w:p w14:paraId="4E13B708" w14:textId="77777777" w:rsidR="00E21DC1" w:rsidRDefault="00E21DC1">
            <w:pPr>
              <w:pStyle w:val="TableBody"/>
              <w:spacing w:before="45" w:after="45"/>
              <w:ind w:right="108"/>
              <w:jc w:val="right"/>
              <w:rPr>
                <w:rFonts w:ascii="Arial (Body)" w:hAnsi="Arial (Body)"/>
                <w:color w:val="000000"/>
              </w:rPr>
            </w:pPr>
            <w:r w:rsidRPr="001F647B">
              <w:t>0.52</w:t>
            </w:r>
          </w:p>
        </w:tc>
        <w:tc>
          <w:tcPr>
            <w:tcW w:w="1000" w:type="pct"/>
            <w:tcBorders>
              <w:top w:val="nil"/>
              <w:bottom w:val="nil"/>
            </w:tcBorders>
          </w:tcPr>
          <w:p w14:paraId="65618BDD" w14:textId="77777777" w:rsidR="00E21DC1" w:rsidRDefault="00E21DC1">
            <w:pPr>
              <w:pStyle w:val="TableBody"/>
              <w:spacing w:before="45" w:after="45"/>
              <w:ind w:right="108"/>
              <w:jc w:val="right"/>
              <w:rPr>
                <w:rFonts w:ascii="Arial (Body)" w:hAnsi="Arial (Body)"/>
                <w:color w:val="000000"/>
              </w:rPr>
            </w:pPr>
            <w:r w:rsidRPr="001F647B">
              <w:t>0.30</w:t>
            </w:r>
          </w:p>
        </w:tc>
        <w:tc>
          <w:tcPr>
            <w:tcW w:w="1000" w:type="pct"/>
            <w:tcBorders>
              <w:top w:val="nil"/>
              <w:bottom w:val="nil"/>
            </w:tcBorders>
            <w:shd w:val="clear" w:color="auto" w:fill="auto"/>
          </w:tcPr>
          <w:p w14:paraId="6A3F94F2" w14:textId="77777777" w:rsidR="00E21DC1" w:rsidRDefault="00E21DC1">
            <w:pPr>
              <w:pStyle w:val="TableBody"/>
              <w:spacing w:before="45" w:after="45"/>
              <w:ind w:right="108"/>
              <w:jc w:val="right"/>
              <w:rPr>
                <w:rFonts w:ascii="Arial (Body)" w:hAnsi="Arial (Body)"/>
                <w:color w:val="000000"/>
              </w:rPr>
            </w:pPr>
            <w:r w:rsidRPr="001F647B">
              <w:t>1.12</w:t>
            </w:r>
          </w:p>
        </w:tc>
        <w:tc>
          <w:tcPr>
            <w:tcW w:w="1000" w:type="pct"/>
            <w:tcBorders>
              <w:top w:val="nil"/>
              <w:bottom w:val="nil"/>
            </w:tcBorders>
            <w:shd w:val="clear" w:color="auto" w:fill="auto"/>
          </w:tcPr>
          <w:p w14:paraId="2441E4D4" w14:textId="77777777" w:rsidR="00E21DC1" w:rsidRDefault="00E21DC1">
            <w:pPr>
              <w:pStyle w:val="TableBody"/>
              <w:spacing w:before="45" w:after="45"/>
              <w:ind w:right="108"/>
              <w:jc w:val="right"/>
              <w:rPr>
                <w:rFonts w:ascii="Arial (Body)" w:hAnsi="Arial (Body)"/>
                <w:color w:val="000000"/>
              </w:rPr>
            </w:pPr>
            <w:r w:rsidRPr="001F647B">
              <w:t>1.01</w:t>
            </w:r>
          </w:p>
        </w:tc>
      </w:tr>
      <w:tr w:rsidR="00E21DC1" w:rsidRPr="00030C67" w14:paraId="7707D2F4" w14:textId="77777777" w:rsidTr="00465267">
        <w:tc>
          <w:tcPr>
            <w:tcW w:w="1324" w:type="pct"/>
            <w:tcBorders>
              <w:top w:val="nil"/>
              <w:bottom w:val="nil"/>
            </w:tcBorders>
            <w:shd w:val="clear" w:color="000000" w:fill="F2F2F2"/>
          </w:tcPr>
          <w:p w14:paraId="4E803FED" w14:textId="77777777" w:rsidR="00E21DC1" w:rsidRPr="00030C67" w:rsidRDefault="00E21DC1">
            <w:pPr>
              <w:pStyle w:val="TableHeading"/>
            </w:pPr>
            <w:r w:rsidRPr="00F544AB">
              <w:t>Wage price index</w:t>
            </w:r>
            <w:r w:rsidRPr="00465267">
              <w:rPr>
                <w:rFonts w:asciiTheme="majorHAnsi" w:hAnsiTheme="majorHAnsi"/>
                <w:b w:val="0"/>
                <w:iCs/>
                <w:sz w:val="20"/>
                <w:szCs w:val="18"/>
                <w:vertAlign w:val="superscript"/>
              </w:rPr>
              <w:t>b</w:t>
            </w:r>
          </w:p>
        </w:tc>
        <w:tc>
          <w:tcPr>
            <w:tcW w:w="675" w:type="pct"/>
            <w:tcBorders>
              <w:top w:val="nil"/>
              <w:bottom w:val="nil"/>
            </w:tcBorders>
            <w:shd w:val="clear" w:color="000000" w:fill="F2F2F2"/>
          </w:tcPr>
          <w:p w14:paraId="292144AF" w14:textId="77777777" w:rsidR="00E21DC1" w:rsidRDefault="00E21DC1">
            <w:pPr>
              <w:pStyle w:val="TableBody"/>
              <w:spacing w:before="45" w:after="45"/>
              <w:ind w:right="108"/>
              <w:jc w:val="right"/>
              <w:rPr>
                <w:rFonts w:ascii="Arial (Body)" w:hAnsi="Arial (Body)"/>
                <w:color w:val="000000"/>
              </w:rPr>
            </w:pPr>
            <w:r w:rsidRPr="001F647B">
              <w:t>0.05</w:t>
            </w:r>
          </w:p>
        </w:tc>
        <w:tc>
          <w:tcPr>
            <w:tcW w:w="1000" w:type="pct"/>
            <w:tcBorders>
              <w:top w:val="nil"/>
              <w:bottom w:val="nil"/>
            </w:tcBorders>
            <w:shd w:val="clear" w:color="000000" w:fill="F2F2F2"/>
          </w:tcPr>
          <w:p w14:paraId="7C54C264" w14:textId="77777777" w:rsidR="00E21DC1" w:rsidRDefault="00E21DC1">
            <w:pPr>
              <w:pStyle w:val="TableBody"/>
              <w:spacing w:before="45" w:after="45"/>
              <w:ind w:right="108"/>
              <w:jc w:val="right"/>
              <w:rPr>
                <w:rFonts w:ascii="Arial (Body)" w:hAnsi="Arial (Body)"/>
                <w:color w:val="000000"/>
              </w:rPr>
            </w:pPr>
            <w:r w:rsidRPr="001F647B">
              <w:t>0.27</w:t>
            </w:r>
          </w:p>
        </w:tc>
        <w:tc>
          <w:tcPr>
            <w:tcW w:w="1000" w:type="pct"/>
            <w:tcBorders>
              <w:top w:val="nil"/>
              <w:bottom w:val="nil"/>
            </w:tcBorders>
            <w:shd w:val="clear" w:color="000000" w:fill="F2F2F2"/>
          </w:tcPr>
          <w:p w14:paraId="5AB267D8" w14:textId="77777777" w:rsidR="00E21DC1" w:rsidRDefault="00E21DC1">
            <w:pPr>
              <w:pStyle w:val="TableBody"/>
              <w:spacing w:before="45" w:after="45"/>
              <w:ind w:right="108"/>
              <w:jc w:val="right"/>
              <w:rPr>
                <w:rFonts w:ascii="Arial (Body)" w:hAnsi="Arial (Body)"/>
                <w:color w:val="000000"/>
              </w:rPr>
            </w:pPr>
            <w:r w:rsidRPr="001F647B">
              <w:t>0.62</w:t>
            </w:r>
          </w:p>
        </w:tc>
        <w:tc>
          <w:tcPr>
            <w:tcW w:w="1000" w:type="pct"/>
            <w:tcBorders>
              <w:top w:val="nil"/>
              <w:bottom w:val="nil"/>
            </w:tcBorders>
            <w:shd w:val="clear" w:color="000000" w:fill="F2F2F2"/>
          </w:tcPr>
          <w:p w14:paraId="0946AA81" w14:textId="77777777" w:rsidR="00E21DC1" w:rsidRDefault="00E21DC1">
            <w:pPr>
              <w:pStyle w:val="TableBody"/>
              <w:spacing w:before="45" w:after="45"/>
              <w:ind w:right="108"/>
              <w:jc w:val="right"/>
              <w:rPr>
                <w:rFonts w:ascii="Arial (Body)" w:hAnsi="Arial (Body)"/>
                <w:color w:val="000000"/>
              </w:rPr>
            </w:pPr>
          </w:p>
        </w:tc>
      </w:tr>
      <w:tr w:rsidR="00E21DC1" w:rsidRPr="00030C67" w14:paraId="2293A062" w14:textId="77777777" w:rsidTr="00465267">
        <w:tc>
          <w:tcPr>
            <w:tcW w:w="1324" w:type="pct"/>
            <w:tcBorders>
              <w:top w:val="nil"/>
              <w:bottom w:val="nil"/>
            </w:tcBorders>
            <w:shd w:val="clear" w:color="auto" w:fill="auto"/>
          </w:tcPr>
          <w:p w14:paraId="0234CE69" w14:textId="77777777" w:rsidR="00E21DC1" w:rsidRPr="00030C67" w:rsidRDefault="00E21DC1">
            <w:pPr>
              <w:pStyle w:val="TableHeading"/>
            </w:pPr>
            <w:r w:rsidRPr="00F544AB">
              <w:t>Compensation of employees per hour</w:t>
            </w:r>
          </w:p>
        </w:tc>
        <w:tc>
          <w:tcPr>
            <w:tcW w:w="675" w:type="pct"/>
            <w:tcBorders>
              <w:top w:val="nil"/>
              <w:bottom w:val="nil"/>
            </w:tcBorders>
            <w:shd w:val="clear" w:color="auto" w:fill="auto"/>
          </w:tcPr>
          <w:p w14:paraId="3EDF37AF" w14:textId="77777777" w:rsidR="00E21DC1" w:rsidRDefault="00E21DC1">
            <w:pPr>
              <w:pStyle w:val="TableBody"/>
              <w:spacing w:before="45" w:after="45"/>
              <w:ind w:right="108"/>
              <w:jc w:val="right"/>
              <w:rPr>
                <w:rFonts w:ascii="Arial (Body)" w:hAnsi="Arial (Body)"/>
                <w:color w:val="000000"/>
              </w:rPr>
            </w:pPr>
            <w:r w:rsidRPr="001F647B">
              <w:t>1.07</w:t>
            </w:r>
          </w:p>
        </w:tc>
        <w:tc>
          <w:tcPr>
            <w:tcW w:w="1000" w:type="pct"/>
            <w:tcBorders>
              <w:top w:val="nil"/>
              <w:bottom w:val="nil"/>
            </w:tcBorders>
          </w:tcPr>
          <w:p w14:paraId="14680E7E" w14:textId="77777777" w:rsidR="00E21DC1" w:rsidRDefault="00E21DC1">
            <w:pPr>
              <w:pStyle w:val="TableBody"/>
              <w:spacing w:before="45" w:after="45"/>
              <w:ind w:right="108"/>
              <w:jc w:val="right"/>
              <w:rPr>
                <w:rFonts w:ascii="Arial (Body)" w:hAnsi="Arial (Body)"/>
                <w:color w:val="000000"/>
              </w:rPr>
            </w:pPr>
            <w:r w:rsidRPr="001F647B">
              <w:t>0.46</w:t>
            </w:r>
          </w:p>
        </w:tc>
        <w:tc>
          <w:tcPr>
            <w:tcW w:w="1000" w:type="pct"/>
            <w:tcBorders>
              <w:top w:val="nil"/>
              <w:bottom w:val="nil"/>
            </w:tcBorders>
            <w:shd w:val="clear" w:color="auto" w:fill="auto"/>
          </w:tcPr>
          <w:p w14:paraId="7700C10D" w14:textId="77777777" w:rsidR="00E21DC1" w:rsidRDefault="00E21DC1">
            <w:pPr>
              <w:pStyle w:val="TableBody"/>
              <w:spacing w:before="45" w:after="45"/>
              <w:ind w:right="108"/>
              <w:jc w:val="right"/>
              <w:rPr>
                <w:rFonts w:ascii="Arial (Body)" w:hAnsi="Arial (Body)"/>
                <w:color w:val="000000"/>
              </w:rPr>
            </w:pPr>
            <w:r w:rsidRPr="001F647B">
              <w:t>1.02</w:t>
            </w:r>
          </w:p>
        </w:tc>
        <w:tc>
          <w:tcPr>
            <w:tcW w:w="1000" w:type="pct"/>
            <w:tcBorders>
              <w:top w:val="nil"/>
              <w:bottom w:val="nil"/>
            </w:tcBorders>
            <w:shd w:val="clear" w:color="auto" w:fill="auto"/>
          </w:tcPr>
          <w:p w14:paraId="72FB0249" w14:textId="77777777" w:rsidR="00E21DC1" w:rsidRDefault="00E21DC1">
            <w:pPr>
              <w:pStyle w:val="TableBody"/>
              <w:spacing w:before="45" w:after="45"/>
              <w:ind w:right="108"/>
              <w:jc w:val="right"/>
              <w:rPr>
                <w:rFonts w:ascii="Arial (Body)" w:hAnsi="Arial (Body)"/>
                <w:color w:val="000000"/>
              </w:rPr>
            </w:pPr>
            <w:r w:rsidRPr="001F647B">
              <w:t>1.23</w:t>
            </w:r>
          </w:p>
        </w:tc>
      </w:tr>
      <w:tr w:rsidR="00E21DC1" w:rsidRPr="00030C67" w14:paraId="1448B1E8" w14:textId="77777777" w:rsidTr="00465267">
        <w:tc>
          <w:tcPr>
            <w:tcW w:w="1324" w:type="pct"/>
            <w:tcBorders>
              <w:top w:val="nil"/>
              <w:bottom w:val="nil"/>
            </w:tcBorders>
            <w:shd w:val="clear" w:color="auto" w:fill="F2F2F2" w:themeFill="background1" w:themeFillShade="F2"/>
          </w:tcPr>
          <w:p w14:paraId="147C9ECE" w14:textId="77777777" w:rsidR="00E21DC1" w:rsidRPr="00030C67" w:rsidRDefault="00E21DC1">
            <w:pPr>
              <w:pStyle w:val="TableHeading"/>
            </w:pPr>
            <w:r w:rsidRPr="00F544AB">
              <w:t>Non-farm compensation of employees per hour</w:t>
            </w:r>
          </w:p>
        </w:tc>
        <w:tc>
          <w:tcPr>
            <w:tcW w:w="675" w:type="pct"/>
            <w:tcBorders>
              <w:top w:val="nil"/>
              <w:bottom w:val="nil"/>
            </w:tcBorders>
            <w:shd w:val="clear" w:color="auto" w:fill="F2F2F2" w:themeFill="background1" w:themeFillShade="F2"/>
          </w:tcPr>
          <w:p w14:paraId="0BE4F817" w14:textId="77777777" w:rsidR="00E21DC1" w:rsidRPr="00030C67" w:rsidRDefault="00E21DC1">
            <w:pPr>
              <w:pStyle w:val="TableBody"/>
              <w:spacing w:before="45" w:after="45"/>
              <w:ind w:right="108"/>
              <w:jc w:val="right"/>
              <w:rPr>
                <w:rFonts w:ascii="Arial (Body)" w:hAnsi="Arial (Body)"/>
                <w:color w:val="000000"/>
              </w:rPr>
            </w:pPr>
            <w:r w:rsidRPr="001F647B">
              <w:t>0.99</w:t>
            </w:r>
          </w:p>
        </w:tc>
        <w:tc>
          <w:tcPr>
            <w:tcW w:w="1000" w:type="pct"/>
            <w:tcBorders>
              <w:top w:val="nil"/>
              <w:bottom w:val="nil"/>
            </w:tcBorders>
            <w:shd w:val="clear" w:color="auto" w:fill="F2F2F2" w:themeFill="background1" w:themeFillShade="F2"/>
          </w:tcPr>
          <w:p w14:paraId="6A0E471F" w14:textId="77777777" w:rsidR="00E21DC1" w:rsidRDefault="00E21DC1">
            <w:pPr>
              <w:pStyle w:val="TableBody"/>
              <w:spacing w:before="45" w:after="45"/>
              <w:ind w:right="108"/>
              <w:jc w:val="right"/>
              <w:rPr>
                <w:rFonts w:ascii="Arial (Body)" w:hAnsi="Arial (Body)"/>
                <w:color w:val="000000"/>
              </w:rPr>
            </w:pPr>
            <w:r w:rsidRPr="001F647B">
              <w:t>0.40</w:t>
            </w:r>
          </w:p>
        </w:tc>
        <w:tc>
          <w:tcPr>
            <w:tcW w:w="1000" w:type="pct"/>
            <w:tcBorders>
              <w:top w:val="nil"/>
              <w:bottom w:val="nil"/>
            </w:tcBorders>
            <w:shd w:val="clear" w:color="auto" w:fill="F2F2F2" w:themeFill="background1" w:themeFillShade="F2"/>
          </w:tcPr>
          <w:p w14:paraId="40CB5604" w14:textId="77777777" w:rsidR="00E21DC1" w:rsidRDefault="00E21DC1">
            <w:pPr>
              <w:pStyle w:val="TableBody"/>
              <w:spacing w:before="45" w:after="45"/>
              <w:ind w:right="108"/>
              <w:jc w:val="right"/>
              <w:rPr>
                <w:rFonts w:ascii="Arial (Body)" w:hAnsi="Arial (Body)"/>
                <w:color w:val="000000"/>
              </w:rPr>
            </w:pPr>
            <w:r w:rsidRPr="001F647B">
              <w:t>0.98</w:t>
            </w:r>
          </w:p>
        </w:tc>
        <w:tc>
          <w:tcPr>
            <w:tcW w:w="1000" w:type="pct"/>
            <w:tcBorders>
              <w:top w:val="nil"/>
              <w:bottom w:val="nil"/>
            </w:tcBorders>
            <w:shd w:val="clear" w:color="auto" w:fill="F2F2F2" w:themeFill="background1" w:themeFillShade="F2"/>
          </w:tcPr>
          <w:p w14:paraId="53AFA48E" w14:textId="77777777" w:rsidR="00E21DC1" w:rsidRPr="00030C67" w:rsidRDefault="00E21DC1">
            <w:pPr>
              <w:pStyle w:val="TableBody"/>
              <w:spacing w:before="45" w:after="45"/>
              <w:ind w:right="108"/>
              <w:jc w:val="right"/>
              <w:rPr>
                <w:rFonts w:ascii="Arial (Body)" w:hAnsi="Arial (Body)"/>
                <w:color w:val="000000"/>
              </w:rPr>
            </w:pPr>
            <w:r w:rsidRPr="001F647B">
              <w:t>1.22</w:t>
            </w:r>
          </w:p>
        </w:tc>
      </w:tr>
      <w:tr w:rsidR="00E21DC1" w:rsidRPr="00030C67" w14:paraId="3F2708A2" w14:textId="77777777" w:rsidTr="00465267">
        <w:tc>
          <w:tcPr>
            <w:tcW w:w="1324" w:type="pct"/>
            <w:tcBorders>
              <w:bottom w:val="single" w:sz="4" w:space="0" w:color="B3B3B3"/>
            </w:tcBorders>
            <w:shd w:val="clear" w:color="auto" w:fill="FFFFFF" w:themeFill="background1"/>
          </w:tcPr>
          <w:p w14:paraId="43DDCE59" w14:textId="77777777" w:rsidR="00E21DC1" w:rsidRPr="00030C67" w:rsidRDefault="00E21DC1">
            <w:pPr>
              <w:pStyle w:val="TableHeading"/>
            </w:pPr>
            <w:r w:rsidRPr="00F544AB">
              <w:t>Labour productivity</w:t>
            </w:r>
          </w:p>
        </w:tc>
        <w:tc>
          <w:tcPr>
            <w:tcW w:w="675" w:type="pct"/>
            <w:tcBorders>
              <w:bottom w:val="single" w:sz="4" w:space="0" w:color="B3B3B3"/>
            </w:tcBorders>
            <w:shd w:val="clear" w:color="auto" w:fill="FFFFFF" w:themeFill="background1"/>
          </w:tcPr>
          <w:p w14:paraId="2F420799" w14:textId="77777777" w:rsidR="00E21DC1" w:rsidRPr="00030C67" w:rsidRDefault="00E21DC1">
            <w:pPr>
              <w:pStyle w:val="TableBody"/>
              <w:spacing w:before="45" w:after="45"/>
              <w:ind w:right="108"/>
              <w:jc w:val="right"/>
              <w:rPr>
                <w:rFonts w:ascii="Arial (Body)" w:hAnsi="Arial (Body)"/>
                <w:color w:val="000000"/>
              </w:rPr>
            </w:pPr>
            <w:r w:rsidRPr="001F647B">
              <w:t>0.96</w:t>
            </w:r>
          </w:p>
        </w:tc>
        <w:tc>
          <w:tcPr>
            <w:tcW w:w="1000" w:type="pct"/>
            <w:tcBorders>
              <w:bottom w:val="single" w:sz="4" w:space="0" w:color="B3B3B3"/>
            </w:tcBorders>
            <w:shd w:val="clear" w:color="auto" w:fill="FFFFFF" w:themeFill="background1"/>
          </w:tcPr>
          <w:p w14:paraId="132A3534" w14:textId="77777777" w:rsidR="00E21DC1" w:rsidRDefault="00E21DC1">
            <w:pPr>
              <w:pStyle w:val="TableBody"/>
              <w:spacing w:before="45" w:after="45"/>
              <w:ind w:right="108"/>
              <w:jc w:val="right"/>
              <w:rPr>
                <w:rFonts w:ascii="Arial (Body)" w:hAnsi="Arial (Body)"/>
                <w:color w:val="000000"/>
              </w:rPr>
            </w:pPr>
            <w:r w:rsidRPr="001F647B">
              <w:t>1.17</w:t>
            </w:r>
          </w:p>
        </w:tc>
        <w:tc>
          <w:tcPr>
            <w:tcW w:w="1000" w:type="pct"/>
            <w:tcBorders>
              <w:bottom w:val="single" w:sz="4" w:space="0" w:color="B3B3B3"/>
            </w:tcBorders>
            <w:shd w:val="clear" w:color="auto" w:fill="FFFFFF" w:themeFill="background1"/>
          </w:tcPr>
          <w:p w14:paraId="5547BD58" w14:textId="77777777" w:rsidR="00E21DC1" w:rsidRDefault="00E21DC1">
            <w:pPr>
              <w:pStyle w:val="TableBody"/>
              <w:spacing w:before="45" w:after="45"/>
              <w:ind w:right="108"/>
              <w:jc w:val="right"/>
              <w:rPr>
                <w:rFonts w:ascii="Arial (Body)" w:hAnsi="Arial (Body)"/>
                <w:color w:val="000000"/>
              </w:rPr>
            </w:pPr>
            <w:r w:rsidRPr="001F647B">
              <w:t>1.15</w:t>
            </w:r>
          </w:p>
        </w:tc>
        <w:tc>
          <w:tcPr>
            <w:tcW w:w="1000" w:type="pct"/>
            <w:tcBorders>
              <w:bottom w:val="single" w:sz="4" w:space="0" w:color="B3B3B3"/>
            </w:tcBorders>
            <w:shd w:val="clear" w:color="auto" w:fill="FFFFFF" w:themeFill="background1"/>
          </w:tcPr>
          <w:p w14:paraId="3C37AE50" w14:textId="77777777" w:rsidR="00E21DC1" w:rsidRPr="00030C67" w:rsidRDefault="00E21DC1">
            <w:pPr>
              <w:pStyle w:val="TableBody"/>
              <w:spacing w:before="45" w:after="45"/>
              <w:ind w:right="108"/>
              <w:jc w:val="right"/>
              <w:rPr>
                <w:rFonts w:ascii="Arial (Body)" w:hAnsi="Arial (Body)"/>
                <w:color w:val="000000"/>
              </w:rPr>
            </w:pPr>
            <w:r w:rsidRPr="001F647B">
              <w:t>1.52</w:t>
            </w:r>
          </w:p>
        </w:tc>
      </w:tr>
    </w:tbl>
    <w:p w14:paraId="5782F2F6" w14:textId="77777777" w:rsidR="00E21DC1" w:rsidRPr="003E6A8B" w:rsidRDefault="00E21DC1" w:rsidP="00E21DC1">
      <w:pPr>
        <w:pStyle w:val="Note"/>
      </w:pPr>
      <w:r w:rsidRPr="00C36914">
        <w:rPr>
          <w:b/>
          <w:bCs/>
        </w:rPr>
        <w:t>a</w:t>
      </w:r>
      <w:r w:rsidRPr="00C36914" w:rsidDel="00D14233">
        <w:rPr>
          <w:b/>
          <w:bCs/>
        </w:rPr>
        <w:t>.</w:t>
      </w:r>
      <w:r w:rsidRPr="00C36914" w:rsidDel="00D14233">
        <w:t xml:space="preserve"> </w:t>
      </w:r>
      <w:r>
        <w:t>All wage measures were deflated using the Consumer Price Index</w:t>
      </w:r>
      <w:r w:rsidRPr="00C36914">
        <w:t>.</w:t>
      </w:r>
      <w:r>
        <w:t xml:space="preserve"> </w:t>
      </w:r>
      <w:r>
        <w:rPr>
          <w:b/>
          <w:bCs/>
        </w:rPr>
        <w:t>b</w:t>
      </w:r>
      <w:r w:rsidRPr="00C36914">
        <w:rPr>
          <w:b/>
          <w:bCs/>
        </w:rPr>
        <w:t>.</w:t>
      </w:r>
      <w:r>
        <w:rPr>
          <w:b/>
          <w:bCs/>
        </w:rPr>
        <w:t xml:space="preserve"> </w:t>
      </w:r>
      <w:r>
        <w:t xml:space="preserve">The wage price index </w:t>
      </w:r>
      <w:r w:rsidDel="00D14233">
        <w:t xml:space="preserve">does not </w:t>
      </w:r>
      <w:r>
        <w:t>extend back 27 years. The wage price index chosen was the index including bonuses for all sectors.</w:t>
      </w:r>
    </w:p>
    <w:p w14:paraId="55AFA57A" w14:textId="77777777" w:rsidR="00E21DC1" w:rsidRPr="00A6648C" w:rsidRDefault="00E21DC1" w:rsidP="00E21DC1">
      <w:pPr>
        <w:pStyle w:val="Source"/>
        <w:rPr>
          <w:spacing w:val="-4"/>
        </w:rPr>
      </w:pPr>
      <w:r w:rsidRPr="00A6648C">
        <w:rPr>
          <w:spacing w:val="-4"/>
        </w:rPr>
        <w:t>Source: Commission estimates based on (</w:t>
      </w:r>
      <w:r w:rsidRPr="00A6648C">
        <w:rPr>
          <w:i/>
          <w:iCs/>
          <w:spacing w:val="-4"/>
        </w:rPr>
        <w:t>Australian System of National Accounts, 2021</w:t>
      </w:r>
      <w:r w:rsidRPr="00A6648C">
        <w:rPr>
          <w:i/>
          <w:iCs/>
          <w:spacing w:val="-4"/>
        </w:rPr>
        <w:noBreakHyphen/>
        <w:t>22</w:t>
      </w:r>
      <w:r w:rsidRPr="00A6648C">
        <w:rPr>
          <w:spacing w:val="-4"/>
        </w:rPr>
        <w:t xml:space="preserve">, Cat. no. 5204, tables 1 and 16; </w:t>
      </w:r>
      <w:r w:rsidRPr="00A6648C">
        <w:rPr>
          <w:i/>
          <w:iCs/>
          <w:spacing w:val="-4"/>
        </w:rPr>
        <w:t>Consumer Price Index, Australia</w:t>
      </w:r>
      <w:r w:rsidRPr="00A6648C">
        <w:rPr>
          <w:spacing w:val="-4"/>
        </w:rPr>
        <w:t xml:space="preserve">, Cat. no. 6401, table 1; </w:t>
      </w:r>
      <w:r w:rsidRPr="00A6648C">
        <w:rPr>
          <w:i/>
          <w:iCs/>
          <w:spacing w:val="-4"/>
        </w:rPr>
        <w:t>Wage price index, Australia, March 2023</w:t>
      </w:r>
      <w:r w:rsidRPr="00A6648C">
        <w:rPr>
          <w:spacing w:val="-4"/>
        </w:rPr>
        <w:t>, Cat. no. 6345.0., table 7a).</w:t>
      </w:r>
    </w:p>
    <w:p w14:paraId="4E6C188E" w14:textId="5217C49F" w:rsidR="00E21DC1" w:rsidRPr="00634529" w:rsidRDefault="00E21DC1" w:rsidP="00E21DC1">
      <w:pPr>
        <w:pStyle w:val="BodyText"/>
      </w:pPr>
      <w:r w:rsidRPr="00634529">
        <w:t xml:space="preserve">Even this wide set of results belie the difficulties of grasping </w:t>
      </w:r>
      <w:r>
        <w:t>the relationship</w:t>
      </w:r>
      <w:r w:rsidRPr="00634529">
        <w:t xml:space="preserve"> between wages and productivity. In particular, there </w:t>
      </w:r>
      <w:r w:rsidR="003E54ED">
        <w:t xml:space="preserve">are </w:t>
      </w:r>
      <w:r>
        <w:t xml:space="preserve">five key data issues to resolve when </w:t>
      </w:r>
      <w:r w:rsidRPr="00634529">
        <w:t>measuring real wages:</w:t>
      </w:r>
    </w:p>
    <w:p w14:paraId="23F6D442" w14:textId="77777777" w:rsidR="00E21DC1" w:rsidRDefault="00E21DC1" w:rsidP="00E21DC1">
      <w:pPr>
        <w:pStyle w:val="ListNumber"/>
      </w:pPr>
      <w:r>
        <w:t>the appropriate source of wages data</w:t>
      </w:r>
    </w:p>
    <w:p w14:paraId="4F39A531" w14:textId="77777777" w:rsidR="00E21DC1" w:rsidRDefault="00E21DC1" w:rsidP="00E21DC1">
      <w:pPr>
        <w:pStyle w:val="ListNumber"/>
      </w:pPr>
      <w:r>
        <w:t xml:space="preserve">what should be included in wages </w:t>
      </w:r>
    </w:p>
    <w:p w14:paraId="718331FF" w14:textId="77777777" w:rsidR="00E21DC1" w:rsidRDefault="00E21DC1" w:rsidP="00E21DC1">
      <w:pPr>
        <w:pStyle w:val="ListNumber"/>
      </w:pPr>
      <w:r>
        <w:t>how should owner</w:t>
      </w:r>
      <w:r>
        <w:noBreakHyphen/>
        <w:t>manager income be split between labour and capital</w:t>
      </w:r>
    </w:p>
    <w:p w14:paraId="512204BD" w14:textId="77777777" w:rsidR="00E21DC1" w:rsidRDefault="00E21DC1" w:rsidP="00E21DC1">
      <w:pPr>
        <w:pStyle w:val="ListNumber"/>
      </w:pPr>
      <w:r>
        <w:t>the appropriate price deflator to deflate wages</w:t>
      </w:r>
    </w:p>
    <w:p w14:paraId="211C9F4D" w14:textId="77777777" w:rsidR="00E21DC1" w:rsidRDefault="00E21DC1" w:rsidP="00E21DC1">
      <w:pPr>
        <w:pStyle w:val="ListNumber"/>
      </w:pPr>
      <w:r>
        <w:t>the timeframe over which to assess de-coupling.</w:t>
      </w:r>
    </w:p>
    <w:p w14:paraId="6218223D" w14:textId="77777777" w:rsidR="00E21DC1" w:rsidRDefault="00E21DC1" w:rsidP="00E21DC1">
      <w:pPr>
        <w:pStyle w:val="BodyText"/>
      </w:pPr>
      <w:r>
        <w:t xml:space="preserve">Choices about which of these are best should not be haphazard, but be based on whether a measure corresponds to the thing it is intended to measure (‘validity’) and the degree to which the measure is accurate (suffering from bias or significant random variation from its true value). </w:t>
      </w:r>
    </w:p>
    <w:p w14:paraId="52E6731F" w14:textId="703C2BFC" w:rsidR="00E21DC1" w:rsidRDefault="00E21DC1" w:rsidP="00E21DC1">
      <w:pPr>
        <w:pStyle w:val="BodyText"/>
      </w:pPr>
      <w:r>
        <w:t>The Commission</w:t>
      </w:r>
      <w:r w:rsidR="005B65F7">
        <w:t>’</w:t>
      </w:r>
      <w:r>
        <w:t>s preferred resolution to these data issues is set out below.</w:t>
      </w:r>
    </w:p>
    <w:p w14:paraId="6DDB5ADA" w14:textId="77777777" w:rsidR="00E21DC1" w:rsidRDefault="00E21DC1" w:rsidP="00E21DC1">
      <w:pPr>
        <w:pStyle w:val="Heading3"/>
      </w:pPr>
      <w:r>
        <w:t>Data issue 1: what data source to use?</w:t>
      </w:r>
    </w:p>
    <w:p w14:paraId="1339614C" w14:textId="77777777" w:rsidR="00E21DC1" w:rsidRDefault="00E21DC1" w:rsidP="00E21DC1">
      <w:pPr>
        <w:pStyle w:val="BodyText"/>
      </w:pPr>
      <w:r>
        <w:t>The ABS is the best source of data on wages – with large sample surveys and high survey response rates that reduce non</w:t>
      </w:r>
      <w:r>
        <w:noBreakHyphen/>
        <w:t>sampling bias. Nonetheless, the ABS collects wage data through multiple surveys, which given their varying sampling frames, sample sizes, collection periods and coverage, give different answers. Overall, there are five different survey sources based on:</w:t>
      </w:r>
    </w:p>
    <w:p w14:paraId="1B565D14" w14:textId="77777777" w:rsidR="00E21DC1" w:rsidRDefault="00E21DC1" w:rsidP="00E21DC1">
      <w:pPr>
        <w:pStyle w:val="ListBullet"/>
        <w:numPr>
          <w:ilvl w:val="0"/>
          <w:numId w:val="22"/>
        </w:numPr>
      </w:pPr>
      <w:r>
        <w:t>Business survey sources</w:t>
      </w:r>
      <w:r w:rsidRPr="00312B03">
        <w:t>:</w:t>
      </w:r>
    </w:p>
    <w:p w14:paraId="5B3D9225" w14:textId="62C5C279" w:rsidR="00E21DC1" w:rsidRDefault="00D44AE5" w:rsidP="00E21DC1">
      <w:pPr>
        <w:pStyle w:val="ListBullet2"/>
        <w:numPr>
          <w:ilvl w:val="1"/>
          <w:numId w:val="22"/>
        </w:numPr>
      </w:pPr>
      <w:r>
        <w:t>T</w:t>
      </w:r>
      <w:r w:rsidR="00E21DC1">
        <w:t xml:space="preserve">he </w:t>
      </w:r>
      <w:r w:rsidR="00E21DC1" w:rsidRPr="00412923">
        <w:rPr>
          <w:i/>
          <w:iCs/>
        </w:rPr>
        <w:t>Employee Earnings and Hours</w:t>
      </w:r>
      <w:r w:rsidR="00E21DC1">
        <w:t xml:space="preserve"> (EEH) (Cat. no. 6306.0) survey focuses on wages per hour </w:t>
      </w:r>
      <w:r w:rsidR="00E21DC1" w:rsidRPr="00412923">
        <w:rPr>
          <w:i/>
          <w:iCs/>
        </w:rPr>
        <w:t xml:space="preserve">paid for </w:t>
      </w:r>
      <w:r w:rsidR="00E21DC1">
        <w:t xml:space="preserve">(rather than hours actually worked) according to the employer. It covers cash earnings and salary sacrificing where an employee forgoes parts of wages and salaries in exchange for goods and services. It is conducted in May every two years (and was postponed from May 2020 to May 2021 due to the COVID pandemic) so it does not provide continuous estimates. It covers most enterprise types except </w:t>
      </w:r>
      <w:r w:rsidR="00E21DC1">
        <w:lastRenderedPageBreak/>
        <w:t>enterprises mainly engaged in agriculture, forestry and fishing , private households employing staff and permanent armed forces. As discussed further below, it does not cover working proprietors and partners of unincorporated businesses, self</w:t>
      </w:r>
      <w:r w:rsidR="00E21DC1">
        <w:noBreakHyphen/>
        <w:t>employed people, or people paid by commission only</w:t>
      </w:r>
      <w:r>
        <w:t>.</w:t>
      </w:r>
    </w:p>
    <w:p w14:paraId="641C7306" w14:textId="75A216CC" w:rsidR="00E21DC1" w:rsidRDefault="00D44AE5" w:rsidP="00E21DC1">
      <w:pPr>
        <w:pStyle w:val="ListBullet2"/>
        <w:numPr>
          <w:ilvl w:val="1"/>
          <w:numId w:val="22"/>
        </w:numPr>
      </w:pPr>
      <w:r>
        <w:t>T</w:t>
      </w:r>
      <w:r w:rsidR="00E21DC1">
        <w:t xml:space="preserve">he </w:t>
      </w:r>
      <w:r w:rsidR="00E21DC1" w:rsidRPr="007A3ACB">
        <w:rPr>
          <w:i/>
          <w:iCs/>
        </w:rPr>
        <w:t>Average Weekly Earnings</w:t>
      </w:r>
      <w:r w:rsidR="00E21DC1">
        <w:t xml:space="preserve"> (AWE) (Cat. no. 6302.0) survey is a bi-annual survey of business units in May and November each year of their average gross weekly earnings of employees. It covers </w:t>
      </w:r>
      <w:r w:rsidR="00E21DC1" w:rsidRPr="00180682">
        <w:t>current and regular payments in cash to employees for work done</w:t>
      </w:r>
      <w:r w:rsidR="00E21DC1">
        <w:t xml:space="preserve"> and has the same significant exclusions as the EEH above</w:t>
      </w:r>
      <w:r>
        <w:t>.</w:t>
      </w:r>
    </w:p>
    <w:p w14:paraId="3275A85D" w14:textId="5EF54305" w:rsidR="00E21DC1" w:rsidRDefault="00D44AE5" w:rsidP="00E21DC1">
      <w:pPr>
        <w:pStyle w:val="ListBullet2"/>
        <w:numPr>
          <w:ilvl w:val="1"/>
          <w:numId w:val="22"/>
        </w:numPr>
      </w:pPr>
      <w:r>
        <w:t>T</w:t>
      </w:r>
      <w:r w:rsidR="00E21DC1">
        <w:t xml:space="preserve">he </w:t>
      </w:r>
      <w:r w:rsidR="00E21DC1">
        <w:rPr>
          <w:i/>
          <w:iCs/>
        </w:rPr>
        <w:t>Wage Price Index</w:t>
      </w:r>
      <w:r w:rsidR="00E21DC1">
        <w:t xml:space="preserve"> (WPI) (Cat. no. 6345.0) is a quarterly survey of public and private sector employers with a survey design that controls for job type. T</w:t>
      </w:r>
      <w:r w:rsidR="00E21DC1" w:rsidRPr="00087BBF">
        <w:t xml:space="preserve">he survey reference date is the last pay period ending on or before the third Friday of the middle month of the quarter. </w:t>
      </w:r>
      <w:r w:rsidR="00E21DC1">
        <w:t xml:space="preserve">The WPI is akin to the CPI in that it is based on a fixed ‘basket’ of job types whose wages change over time. The WPI accordingly aims to capture wage growth after excluding the effects of compositional changes in labour markets (for example, promotions and people switching jobs). </w:t>
      </w:r>
    </w:p>
    <w:p w14:paraId="66C8C2F0" w14:textId="77777777" w:rsidR="00E21DC1" w:rsidRDefault="00E21DC1" w:rsidP="00E21DC1">
      <w:pPr>
        <w:pStyle w:val="ListBullet"/>
        <w:numPr>
          <w:ilvl w:val="0"/>
          <w:numId w:val="22"/>
        </w:numPr>
      </w:pPr>
      <w:r>
        <w:t>Household survey sources – t</w:t>
      </w:r>
      <w:r w:rsidDel="008028D9">
        <w:t xml:space="preserve">he </w:t>
      </w:r>
      <w:r>
        <w:rPr>
          <w:i/>
          <w:iCs/>
        </w:rPr>
        <w:t>Characteristics of Employment</w:t>
      </w:r>
      <w:r w:rsidRPr="00F256EC">
        <w:t xml:space="preserve"> (CoE) (Cat. no. 6333.0)</w:t>
      </w:r>
      <w:r>
        <w:rPr>
          <w:i/>
          <w:iCs/>
        </w:rPr>
        <w:t xml:space="preserve"> </w:t>
      </w:r>
      <w:r>
        <w:t>supplement</w:t>
      </w:r>
      <w:r w:rsidRPr="007C14DC">
        <w:rPr>
          <w:rStyle w:val="FootnoteReference"/>
        </w:rPr>
        <w:footnoteReference w:id="2"/>
      </w:r>
      <w:r>
        <w:t xml:space="preserve"> to the main LFS (Cat. no. </w:t>
      </w:r>
      <w:r w:rsidRPr="00C07CE2">
        <w:t>6291.0.55.001</w:t>
      </w:r>
      <w:r>
        <w:t xml:space="preserve">) focuses on wages per hour </w:t>
      </w:r>
      <w:r w:rsidRPr="00C818AF">
        <w:rPr>
          <w:i/>
          <w:iCs/>
        </w:rPr>
        <w:t>actually</w:t>
      </w:r>
      <w:r>
        <w:t xml:space="preserve"> worked (in contrast to hours paid for) according to the employee. Like the EEH, the CoE excludes defence force employees, but otherwise covers other workers and all industries. Data is collected in August each year.</w:t>
      </w:r>
    </w:p>
    <w:p w14:paraId="3EEB5225" w14:textId="77777777" w:rsidR="00E21DC1" w:rsidRDefault="00E21DC1" w:rsidP="00E21DC1">
      <w:pPr>
        <w:pStyle w:val="ListBullet"/>
        <w:numPr>
          <w:ilvl w:val="0"/>
          <w:numId w:val="22"/>
        </w:numPr>
      </w:pPr>
      <w:r>
        <w:t xml:space="preserve">The </w:t>
      </w:r>
      <w:r w:rsidRPr="00D04199">
        <w:rPr>
          <w:i/>
        </w:rPr>
        <w:t>National Accounts/Labour Account</w:t>
      </w:r>
      <w:r>
        <w:t xml:space="preserve"> (Cat. no. </w:t>
      </w:r>
      <w:r w:rsidRPr="00D04199">
        <w:t>6150.0.55.003</w:t>
      </w:r>
      <w:r>
        <w:t>) draws on multiple datasets, including the EEH, the LFS and the Linked Employee-Employer Database and tax data. The main national accounts measure of wages is referred to as compensation of employees, while the hours worked measured is of hours actually worked. The hours measure includes both employees and owner</w:t>
      </w:r>
      <w:r>
        <w:noBreakHyphen/>
        <w:t xml:space="preserve">managers and tries to balance the inconsistencies between household and business surveys. </w:t>
      </w:r>
    </w:p>
    <w:p w14:paraId="64BB30ED" w14:textId="4AD146E8" w:rsidR="00E21DC1" w:rsidRDefault="00E21DC1" w:rsidP="00E21DC1">
      <w:pPr>
        <w:pStyle w:val="BodyText"/>
      </w:pPr>
      <w:r>
        <w:t>The definitional and methodological differences between these data sources can lead to significant variations in wage growth rates. While variations tend to be short</w:t>
      </w:r>
      <w:r>
        <w:noBreakHyphen/>
        <w:t>lived for most measures, the divergence between the WPI and other wage measures has risen over time, testimony to its failure to account for shifts in the type of work to higher paid jobs (figure </w:t>
      </w:r>
      <w:r w:rsidR="007C0436">
        <w:t>1</w:t>
      </w:r>
      <w:r>
        <w:t>). Higher productivity and associated wages in an economy are often associated with shifts of employees between low and high</w:t>
      </w:r>
      <w:r>
        <w:noBreakHyphen/>
        <w:t>paying jobs, which the WPI fails to measure. Accordingly, while</w:t>
      </w:r>
      <w:r w:rsidDel="007C03AD">
        <w:t xml:space="preserve"> </w:t>
      </w:r>
      <w:r>
        <w:t>useful for some purposes, the WPI is not a valid measure of the total returns to work, and so we have avoided using it to measure wage decoupling.</w:t>
      </w:r>
      <w:r w:rsidRPr="007C14DC">
        <w:rPr>
          <w:rStyle w:val="FootnoteReference"/>
        </w:rPr>
        <w:footnoteReference w:id="3"/>
      </w:r>
      <w:r>
        <w:t xml:space="preserve"> </w:t>
      </w:r>
    </w:p>
    <w:p w14:paraId="7C50EBFB" w14:textId="77777777" w:rsidR="00E21DC1" w:rsidRDefault="00E21DC1" w:rsidP="00E21DC1">
      <w:pPr>
        <w:pStyle w:val="BodyText"/>
      </w:pPr>
      <w:r>
        <w:t xml:space="preserve">While the other measures of wages follow similar trends, the estimates of compensation of employees in the National Accounts/Labour Account is the best overall measure of returns to </w:t>
      </w:r>
      <w:r w:rsidRPr="00BD03A6">
        <w:rPr>
          <w:i/>
        </w:rPr>
        <w:t>employees</w:t>
      </w:r>
      <w:r>
        <w:t>. It has greater coverage of employees and forms of payment, is produced annually, and triangulates from disparate data. It has one major deficiency for considering wage decoupling in that it does not include the implicit wages of working proprietors and the self</w:t>
      </w:r>
      <w:r>
        <w:noBreakHyphen/>
        <w:t>employed, an issue we cover further below.</w:t>
      </w:r>
    </w:p>
    <w:p w14:paraId="4779EE00" w14:textId="699DD103" w:rsidR="00E21DC1" w:rsidRPr="00146382" w:rsidRDefault="00E21DC1" w:rsidP="00E21DC1">
      <w:pPr>
        <w:pStyle w:val="FigureTableHeading"/>
      </w:pPr>
      <w:r>
        <w:lastRenderedPageBreak/>
        <w:t xml:space="preserve">Figure </w:t>
      </w:r>
      <w:r w:rsidR="002B4160">
        <w:rPr>
          <w:noProof/>
        </w:rPr>
        <w:t>1</w:t>
      </w:r>
      <w:r>
        <w:rPr>
          <w:noProof/>
        </w:rPr>
        <w:t xml:space="preserve"> </w:t>
      </w:r>
      <w:r>
        <w:t>– Different data sources give different rates of wage growth</w:t>
      </w:r>
      <w:r w:rsidRPr="00066CF5">
        <w:rPr>
          <w:vertAlign w:val="superscript"/>
        </w:rPr>
        <w:t>a</w:t>
      </w:r>
    </w:p>
    <w:p w14:paraId="2BAC4C8B" w14:textId="77777777" w:rsidR="00E21DC1" w:rsidRDefault="00E21DC1" w:rsidP="00E21DC1">
      <w:pPr>
        <w:pStyle w:val="FigureTableSubheading"/>
        <w:keepLines/>
      </w:pPr>
      <w:r>
        <w:t>Various measures of wage growth between 1997</w:t>
      </w:r>
      <w:r>
        <w:noBreakHyphen/>
        <w:t>98 and 2021</w:t>
      </w:r>
      <w:r>
        <w:noBreakHyphen/>
        <w:t>22</w:t>
      </w:r>
    </w:p>
    <w:p w14:paraId="0C014279" w14:textId="77777777" w:rsidR="00E21DC1" w:rsidRDefault="00E21DC1" w:rsidP="00E21DC1">
      <w:pPr>
        <w:pStyle w:val="Note"/>
        <w:keepLines/>
      </w:pPr>
      <w:r w:rsidRPr="00F21F94">
        <w:rPr>
          <w:noProof/>
        </w:rPr>
        <w:drawing>
          <wp:inline distT="0" distB="0" distL="0" distR="0" wp14:anchorId="721ADAF6" wp14:editId="0D52E3EC">
            <wp:extent cx="6120130" cy="2727701"/>
            <wp:effectExtent l="0" t="0" r="0" b="0"/>
            <wp:docPr id="1255756323" name="Picture 1255756323" descr="This figure shows the growth of various wage measures —— all deflated by the consumer price index — between 1997 98 and 2021 22. These four wage measures are the median wage measure for all employees in the characteristics of employment survey, the average non-managerial wage in the employee earnings and hours survey, compensation of employees per hour in the national accounts, and the wage price index. Generally, it can be seen that all other wage measures grow significantly faster than the wage price index. It can also be seen that usually, the employee earnings and hours wage measure increases faster than the rest followed by the national accounts measure followed by the characteristics of employment mea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756323" name="Picture 1255756323" descr="This figure shows the growth of various wage measures —— all deflated by the consumer price index — between 1997 98 and 2021 22. These four wage measures are the median wage measure for all employees in the characteristics of employment survey, the average non-managerial wage in the employee earnings and hours survey, compensation of employees per hour in the national accounts, and the wage price index. Generally, it can be seen that all other wage measures grow significantly faster than the wage price index. It can also be seen that usually, the employee earnings and hours wage measure increases faster than the rest followed by the national accounts measure followed by the characteristics of employment measure."/>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b="5091"/>
                    <a:stretch/>
                  </pic:blipFill>
                  <pic:spPr bwMode="auto">
                    <a:xfrm>
                      <a:off x="0" y="0"/>
                      <a:ext cx="6120130" cy="2727701"/>
                    </a:xfrm>
                    <a:prstGeom prst="rect">
                      <a:avLst/>
                    </a:prstGeom>
                    <a:noFill/>
                    <a:ln>
                      <a:noFill/>
                    </a:ln>
                    <a:extLst>
                      <a:ext uri="{53640926-AAD7-44D8-BBD7-CCE9431645EC}">
                        <a14:shadowObscured xmlns:a14="http://schemas.microsoft.com/office/drawing/2010/main"/>
                      </a:ext>
                    </a:extLst>
                  </pic:spPr>
                </pic:pic>
              </a:graphicData>
            </a:graphic>
          </wp:inline>
        </w:drawing>
      </w:r>
    </w:p>
    <w:p w14:paraId="275FC47F" w14:textId="77777777" w:rsidR="00E21DC1" w:rsidRDefault="00E21DC1" w:rsidP="00E21DC1">
      <w:pPr>
        <w:pStyle w:val="Note"/>
        <w:keepLines/>
      </w:pPr>
      <w:r w:rsidRPr="00180E66">
        <w:rPr>
          <w:b/>
          <w:bCs/>
        </w:rPr>
        <w:t>a.</w:t>
      </w:r>
      <w:r>
        <w:t xml:space="preserve"> National accounts measure is compensation of employees per hour, Characteristics of employment measure is mean wages (all employees), the Employee earnings and hours measure is non-managerial median total hourly wage. All series deflated by the consumer price index.</w:t>
      </w:r>
    </w:p>
    <w:p w14:paraId="2001F9E1" w14:textId="77777777" w:rsidR="00E21DC1" w:rsidRDefault="00E21DC1" w:rsidP="00E21DC1">
      <w:pPr>
        <w:pStyle w:val="Source"/>
        <w:jc w:val="both"/>
      </w:pPr>
      <w:r w:rsidRPr="00696447">
        <w:t xml:space="preserve">Source: </w:t>
      </w:r>
      <w:r>
        <w:t>ABS (</w:t>
      </w:r>
      <w:r w:rsidRPr="00B131FA">
        <w:rPr>
          <w:i/>
          <w:iCs/>
        </w:rPr>
        <w:t>Australian system of national accounts, 2021</w:t>
      </w:r>
      <w:r w:rsidRPr="00B131FA">
        <w:rPr>
          <w:i/>
          <w:iCs/>
        </w:rPr>
        <w:noBreakHyphen/>
        <w:t>22</w:t>
      </w:r>
      <w:r>
        <w:t>, Cat. no. </w:t>
      </w:r>
      <w:r w:rsidRPr="00F567CF">
        <w:t>5204</w:t>
      </w:r>
      <w:r>
        <w:t>, table 16</w:t>
      </w:r>
      <w:r w:rsidRPr="00A62CB8">
        <w:t>;</w:t>
      </w:r>
      <w:r>
        <w:t xml:space="preserve"> </w:t>
      </w:r>
      <w:r w:rsidRPr="004553E0">
        <w:rPr>
          <w:i/>
          <w:iCs/>
        </w:rPr>
        <w:t>Consumer Price Index, Australia</w:t>
      </w:r>
      <w:r>
        <w:t>, Cat. no. </w:t>
      </w:r>
      <w:r w:rsidRPr="00181E4E">
        <w:t>6401</w:t>
      </w:r>
      <w:r>
        <w:t xml:space="preserve">, table 1; </w:t>
      </w:r>
      <w:r w:rsidRPr="0070429E">
        <w:rPr>
          <w:i/>
          <w:iCs/>
        </w:rPr>
        <w:t>Employee Earnings and Hours, Australia, various years</w:t>
      </w:r>
      <w:r>
        <w:t>, Cat. no. </w:t>
      </w:r>
      <w:r w:rsidRPr="00424AA7">
        <w:t>6306.0.</w:t>
      </w:r>
      <w:r>
        <w:t xml:space="preserve">, data cube 4; </w:t>
      </w:r>
      <w:r w:rsidRPr="00A62CB8">
        <w:rPr>
          <w:i/>
          <w:iCs/>
        </w:rPr>
        <w:t>Employee</w:t>
      </w:r>
      <w:r>
        <w:rPr>
          <w:i/>
          <w:iCs/>
        </w:rPr>
        <w:t> </w:t>
      </w:r>
      <w:r w:rsidRPr="00A62CB8">
        <w:rPr>
          <w:i/>
          <w:iCs/>
        </w:rPr>
        <w:t>earnings, August 2022</w:t>
      </w:r>
      <w:r>
        <w:t>, Cat. no. </w:t>
      </w:r>
      <w:r>
        <w:rPr>
          <w:rFonts w:ascii="Open Sans" w:hAnsi="Open Sans" w:cs="Open Sans"/>
          <w:color w:val="000000"/>
          <w:shd w:val="clear" w:color="auto" w:fill="FFFFFF"/>
        </w:rPr>
        <w:t>6337, table 1).</w:t>
      </w:r>
    </w:p>
    <w:p w14:paraId="06DBF9FE" w14:textId="7CB2A423" w:rsidR="00E21DC1" w:rsidRDefault="00E21DC1" w:rsidP="00E21DC1">
      <w:pPr>
        <w:pStyle w:val="NoSpacing"/>
      </w:pPr>
      <w:bookmarkStart w:id="3" w:name="_Hlk137632684"/>
    </w:p>
    <w:tbl>
      <w:tblPr>
        <w:tblStyle w:val="TableGrid"/>
        <w:tblW w:w="5000" w:type="pct"/>
        <w:tblBorders>
          <w:top w:val="single" w:sz="4" w:space="0" w:color="66BCDB" w:themeColor="text2"/>
          <w:left w:val="single" w:sz="4" w:space="0" w:color="66BCDB" w:themeColor="text2"/>
          <w:bottom w:val="single" w:sz="4" w:space="0" w:color="66BCDB" w:themeColor="text2"/>
          <w:right w:val="single" w:sz="4" w:space="0" w:color="66BCDB" w:themeColor="text2"/>
          <w:insideH w:val="none" w:sz="0" w:space="0" w:color="auto"/>
          <w:insideV w:val="none" w:sz="0" w:space="0" w:color="auto"/>
        </w:tblBorders>
        <w:tblCellMar>
          <w:bottom w:w="113" w:type="dxa"/>
        </w:tblCellMar>
        <w:tblLook w:val="04A0" w:firstRow="1" w:lastRow="0" w:firstColumn="1" w:lastColumn="0" w:noHBand="0" w:noVBand="1"/>
      </w:tblPr>
      <w:tblGrid>
        <w:gridCol w:w="705"/>
        <w:gridCol w:w="8923"/>
      </w:tblGrid>
      <w:tr w:rsidR="00E21DC1" w14:paraId="638DE388" w14:textId="77777777">
        <w:trPr>
          <w:trHeight w:val="765"/>
          <w:tblHeader/>
        </w:trPr>
        <w:tc>
          <w:tcPr>
            <w:tcW w:w="366" w:type="pct"/>
            <w:tcBorders>
              <w:bottom w:val="nil"/>
            </w:tcBorders>
            <w:tcMar>
              <w:bottom w:w="0" w:type="dxa"/>
            </w:tcMar>
            <w:vAlign w:val="center"/>
          </w:tcPr>
          <w:p w14:paraId="4012432A" w14:textId="77777777" w:rsidR="00E21DC1" w:rsidRDefault="00E21DC1">
            <w:pPr>
              <w:pStyle w:val="NoSpacing"/>
              <w:keepNext/>
              <w:keepLines/>
              <w:jc w:val="right"/>
            </w:pPr>
            <w:r w:rsidRPr="00A51374">
              <w:rPr>
                <w:noProof/>
              </w:rPr>
              <w:drawing>
                <wp:inline distT="0" distB="0" distL="0" distR="0" wp14:anchorId="711B3C8B" wp14:editId="3CEEA39F">
                  <wp:extent cx="288000" cy="288000"/>
                  <wp:effectExtent l="0" t="0" r="0" b="0"/>
                  <wp:docPr id="102357077" name="Picture 1023570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Graphic 39">
                            <a:extLst>
                              <a:ext uri="{C183D7F6-B498-43B3-948B-1728B52AA6E4}">
                                <adec:decorative xmlns:adec="http://schemas.microsoft.com/office/drawing/2017/decorative" val="1"/>
                              </a:ext>
                            </a:extLst>
                          </pic:cNvPr>
                          <pic:cNvPicPr/>
                        </pic:nvPicPr>
                        <pic:blipFill>
                          <a:blip r:embed="rId28">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634" w:type="pct"/>
            <w:tcBorders>
              <w:bottom w:val="nil"/>
            </w:tcBorders>
            <w:tcMar>
              <w:bottom w:w="0" w:type="dxa"/>
            </w:tcMar>
            <w:vAlign w:val="center"/>
          </w:tcPr>
          <w:p w14:paraId="17A77D73" w14:textId="0E164D32" w:rsidR="00E21DC1" w:rsidRPr="00A2484C" w:rsidRDefault="00E21DC1">
            <w:pPr>
              <w:pStyle w:val="TableHeading"/>
              <w:keepNext/>
              <w:keepLines/>
              <w:spacing w:before="120" w:after="120"/>
              <w:contextualSpacing/>
              <w:rPr>
                <w:sz w:val="20"/>
              </w:rPr>
            </w:pPr>
            <w:r w:rsidRPr="00A2484C">
              <w:rPr>
                <w:sz w:val="20"/>
              </w:rPr>
              <w:t>Data issue conclusion 1</w:t>
            </w:r>
          </w:p>
          <w:p w14:paraId="0F845A6E" w14:textId="77777777" w:rsidR="00E21DC1" w:rsidRPr="00A2484C" w:rsidRDefault="00E21DC1">
            <w:pPr>
              <w:pStyle w:val="TableHeading"/>
              <w:keepNext/>
              <w:keepLines/>
              <w:spacing w:before="120" w:after="120"/>
              <w:contextualSpacing/>
              <w:rPr>
                <w:sz w:val="20"/>
              </w:rPr>
            </w:pPr>
            <w:r w:rsidRPr="00A2484C">
              <w:rPr>
                <w:sz w:val="20"/>
              </w:rPr>
              <w:t>What data sources that should be used to measure wages?</w:t>
            </w:r>
          </w:p>
        </w:tc>
      </w:tr>
      <w:tr w:rsidR="00E21DC1" w14:paraId="31EDD2C0" w14:textId="77777777">
        <w:tc>
          <w:tcPr>
            <w:tcW w:w="5000" w:type="pct"/>
            <w:gridSpan w:val="2"/>
            <w:tcBorders>
              <w:top w:val="nil"/>
              <w:bottom w:val="single" w:sz="4" w:space="0" w:color="66BCDB" w:themeColor="text2"/>
            </w:tcBorders>
          </w:tcPr>
          <w:p w14:paraId="555ED3BD" w14:textId="77777777" w:rsidR="00E21DC1" w:rsidRDefault="00E21DC1">
            <w:pPr>
              <w:pStyle w:val="BodyText"/>
              <w:keepLines/>
            </w:pPr>
            <w:r>
              <w:t xml:space="preserve">The National Accounts (and accompanying Labour Account) provide the best data source for employee wages for the purposes of measuring wage decoupling. Other data sources have less coverage of industries and types of payment and do not address the inconsistencies between business and household measures of hours worked. </w:t>
            </w:r>
          </w:p>
        </w:tc>
      </w:tr>
      <w:tr w:rsidR="00E21DC1" w14:paraId="1C74F978" w14:textId="77777777">
        <w:tc>
          <w:tcPr>
            <w:tcW w:w="5000" w:type="pct"/>
            <w:gridSpan w:val="2"/>
            <w:tcBorders>
              <w:top w:val="single" w:sz="4" w:space="0" w:color="66BCDB" w:themeColor="text2"/>
              <w:left w:val="nil"/>
              <w:bottom w:val="nil"/>
              <w:right w:val="nil"/>
            </w:tcBorders>
            <w:tcMar>
              <w:bottom w:w="0" w:type="dxa"/>
            </w:tcMar>
          </w:tcPr>
          <w:p w14:paraId="0BBAE878" w14:textId="6C4FD7DC" w:rsidR="00E21DC1" w:rsidRDefault="00E21DC1">
            <w:pPr>
              <w:pStyle w:val="NoSpacing"/>
              <w:spacing w:line="200" w:lineRule="atLeast"/>
            </w:pPr>
          </w:p>
        </w:tc>
      </w:tr>
    </w:tbl>
    <w:bookmarkEnd w:id="3"/>
    <w:p w14:paraId="4E933B12" w14:textId="77777777" w:rsidR="00E21DC1" w:rsidRPr="00B87D8B" w:rsidRDefault="00E21DC1" w:rsidP="00E21DC1">
      <w:pPr>
        <w:pStyle w:val="Heading3"/>
      </w:pPr>
      <w:r>
        <w:t>Data issue 2: what counts as wages?</w:t>
      </w:r>
    </w:p>
    <w:p w14:paraId="014E1083" w14:textId="259985F6" w:rsidR="00E21DC1" w:rsidRDefault="00E21DC1" w:rsidP="00E21DC1">
      <w:pPr>
        <w:pStyle w:val="BodyText"/>
      </w:pPr>
      <w:r>
        <w:t xml:space="preserve">In addition to their ordinary rate of pay, employees often receive other benefits, such as superannuation benefits, bonuses and paid overtime. Decisions about what benefits to include have effects on trends in wage growth rates because the share of labour earnings accounted for by ordinary cash earnings has changed over time. For example, employers’ social contributions, mainly superannuation benefits, have grown at a much greater pace than wages and salaries (figure 2), with the consequence that overall compensation of employees has grown (somewhat) more rapidly than wages and salaries. </w:t>
      </w:r>
    </w:p>
    <w:p w14:paraId="2ADC2571" w14:textId="7D8D5AF4" w:rsidR="00E21DC1" w:rsidRPr="00146382" w:rsidRDefault="00E21DC1" w:rsidP="00E21DC1">
      <w:pPr>
        <w:pStyle w:val="FigureTableHeading"/>
      </w:pPr>
      <w:r>
        <w:lastRenderedPageBreak/>
        <w:t xml:space="preserve">Figure </w:t>
      </w:r>
      <w:r w:rsidR="002B4160">
        <w:rPr>
          <w:noProof/>
        </w:rPr>
        <w:t>2</w:t>
      </w:r>
      <w:r>
        <w:rPr>
          <w:noProof/>
        </w:rPr>
        <w:t xml:space="preserve"> </w:t>
      </w:r>
      <w:r>
        <w:t>– Non-wage employee benefits can be substantial</w:t>
      </w:r>
      <w:r w:rsidRPr="00066CF5">
        <w:rPr>
          <w:vertAlign w:val="superscript"/>
        </w:rPr>
        <w:t>a,b</w:t>
      </w:r>
    </w:p>
    <w:p w14:paraId="5A952E33" w14:textId="77777777" w:rsidR="00E21DC1" w:rsidRDefault="00E21DC1" w:rsidP="00E21DC1">
      <w:pPr>
        <w:pStyle w:val="FigureTableSubheading"/>
        <w:keepLines/>
      </w:pPr>
      <w:r>
        <w:t>Wages and salaries, employers’ social contributions and the total of the two between 1989</w:t>
      </w:r>
      <w:r>
        <w:noBreakHyphen/>
        <w:t>90 and 2021</w:t>
      </w:r>
      <w:r>
        <w:noBreakHyphen/>
        <w:t>22</w:t>
      </w:r>
    </w:p>
    <w:p w14:paraId="281A512E" w14:textId="77777777" w:rsidR="00E21DC1" w:rsidRDefault="00E21DC1" w:rsidP="00E21DC1">
      <w:pPr>
        <w:pStyle w:val="Note"/>
        <w:keepLines/>
      </w:pPr>
      <w:r w:rsidRPr="009A042F">
        <w:rPr>
          <w:noProof/>
        </w:rPr>
        <w:drawing>
          <wp:inline distT="0" distB="0" distL="0" distR="0" wp14:anchorId="2A07DFCF" wp14:editId="39F45F0E">
            <wp:extent cx="6065886" cy="2851785"/>
            <wp:effectExtent l="0" t="0" r="0" b="0"/>
            <wp:docPr id="360535360" name="Picture 360535360" descr="This figure shows the growth of total compensation of employees and its two components: employers’ social contributions and wages and salaries between 1989 90 and 2021 22. It can be seen that while wages and salaries and total compensation of employees grew at relatively similar rates, employers’ social contributions grew at a much faster rate over this time period. This reflects, among other factors, the faster growth in employer Superannuation contributions compared to wages grow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535360" name="Picture 360535360" descr="This figure shows the growth of total compensation of employees and its two components: employers’ social contributions and wages and salaries between 1989 90 and 2021 22. It can be seen that while wages and salaries and total compensation of employees grew at relatively similar rates, employers’ social contributions grew at a much faster rate over this time period. This reflects, among other factors, the faster growth in employer Superannuation contributions compared to wages growth."/>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l="886"/>
                    <a:stretch/>
                  </pic:blipFill>
                  <pic:spPr bwMode="auto">
                    <a:xfrm>
                      <a:off x="0" y="0"/>
                      <a:ext cx="6065886" cy="2851785"/>
                    </a:xfrm>
                    <a:prstGeom prst="rect">
                      <a:avLst/>
                    </a:prstGeom>
                    <a:noFill/>
                    <a:ln>
                      <a:noFill/>
                    </a:ln>
                    <a:extLst>
                      <a:ext uri="{53640926-AAD7-44D8-BBD7-CCE9431645EC}">
                        <a14:shadowObscured xmlns:a14="http://schemas.microsoft.com/office/drawing/2010/main"/>
                      </a:ext>
                    </a:extLst>
                  </pic:spPr>
                </pic:pic>
              </a:graphicData>
            </a:graphic>
          </wp:inline>
        </w:drawing>
      </w:r>
      <w:r w:rsidRPr="00180E66">
        <w:rPr>
          <w:b/>
          <w:bCs/>
        </w:rPr>
        <w:t>a.</w:t>
      </w:r>
      <w:r>
        <w:t xml:space="preserve"> The total of wages and salaries and employers’ social contributions is referred to as ‘compensation of employees’. </w:t>
      </w:r>
      <w:r w:rsidRPr="00180E66">
        <w:rPr>
          <w:b/>
          <w:bCs/>
        </w:rPr>
        <w:t>b.</w:t>
      </w:r>
      <w:r>
        <w:t> All series are deflated by the consumer price index. All series are indexes of total compensation across all employees rather than hourly compensation.</w:t>
      </w:r>
    </w:p>
    <w:p w14:paraId="14A90A0F" w14:textId="77777777" w:rsidR="00E21DC1" w:rsidRDefault="00E21DC1" w:rsidP="00E21DC1">
      <w:pPr>
        <w:pStyle w:val="Source"/>
      </w:pPr>
      <w:r w:rsidRPr="00696447">
        <w:t>Source:</w:t>
      </w:r>
      <w:r>
        <w:t xml:space="preserve"> ABS (</w:t>
      </w:r>
      <w:r w:rsidRPr="00B131FA">
        <w:rPr>
          <w:i/>
          <w:iCs/>
        </w:rPr>
        <w:t xml:space="preserve">Australian </w:t>
      </w:r>
      <w:r>
        <w:rPr>
          <w:i/>
          <w:iCs/>
        </w:rPr>
        <w:t>S</w:t>
      </w:r>
      <w:r w:rsidRPr="00B131FA">
        <w:rPr>
          <w:i/>
          <w:iCs/>
        </w:rPr>
        <w:t xml:space="preserve">ystem of </w:t>
      </w:r>
      <w:r>
        <w:rPr>
          <w:i/>
          <w:iCs/>
        </w:rPr>
        <w:t>N</w:t>
      </w:r>
      <w:r w:rsidRPr="00B131FA">
        <w:rPr>
          <w:i/>
          <w:iCs/>
        </w:rPr>
        <w:t xml:space="preserve">ational </w:t>
      </w:r>
      <w:r>
        <w:rPr>
          <w:i/>
          <w:iCs/>
        </w:rPr>
        <w:t>A</w:t>
      </w:r>
      <w:r w:rsidRPr="00B131FA">
        <w:rPr>
          <w:i/>
          <w:iCs/>
        </w:rPr>
        <w:t>ccounts, 2021</w:t>
      </w:r>
      <w:r w:rsidRPr="00B131FA">
        <w:rPr>
          <w:i/>
          <w:iCs/>
        </w:rPr>
        <w:noBreakHyphen/>
        <w:t>22</w:t>
      </w:r>
      <w:r>
        <w:t>, Cat. no. </w:t>
      </w:r>
      <w:r w:rsidRPr="00F567CF">
        <w:t>5204</w:t>
      </w:r>
      <w:r>
        <w:t xml:space="preserve">, table 6); </w:t>
      </w:r>
      <w:r w:rsidRPr="004553E0">
        <w:rPr>
          <w:i/>
          <w:iCs/>
        </w:rPr>
        <w:t>Consumer Price Index, Australia</w:t>
      </w:r>
      <w:r>
        <w:t>, Cat. no. </w:t>
      </w:r>
      <w:r w:rsidRPr="00181E4E">
        <w:t>6401</w:t>
      </w:r>
      <w:r>
        <w:t>, table 1)</w:t>
      </w:r>
      <w:r w:rsidRPr="00696447">
        <w:t>.</w:t>
      </w:r>
    </w:p>
    <w:p w14:paraId="33F3ABB4" w14:textId="77777777" w:rsidR="00E21DC1" w:rsidRDefault="00E21DC1" w:rsidP="00E21DC1">
      <w:pPr>
        <w:pStyle w:val="BodyText"/>
      </w:pPr>
      <w:r>
        <w:t>On conceptual grounds, the returns to labour should include all benefits</w:t>
      </w:r>
      <w:r w:rsidRPr="00BF1ABA">
        <w:t xml:space="preserve"> </w:t>
      </w:r>
      <w:r>
        <w:t>provided by employers to employees regardless of the form of the benefit. This is consistent with the measure of output in labour productivity. GDP includes every type of income accruing from production.</w:t>
      </w:r>
      <w:r w:rsidRPr="007C14DC">
        <w:rPr>
          <w:rStyle w:val="FootnoteReference"/>
        </w:rPr>
        <w:footnoteReference w:id="4"/>
      </w:r>
      <w:r>
        <w:t xml:space="preserve"> </w:t>
      </w:r>
    </w:p>
    <w:p w14:paraId="260EF275" w14:textId="48A56418" w:rsidR="00E21DC1" w:rsidRDefault="00E21DC1" w:rsidP="00E21DC1">
      <w:pPr>
        <w:pStyle w:val="NoSpacing"/>
      </w:pPr>
    </w:p>
    <w:tbl>
      <w:tblPr>
        <w:tblStyle w:val="TableGrid"/>
        <w:tblW w:w="5000" w:type="pct"/>
        <w:tblBorders>
          <w:top w:val="single" w:sz="4" w:space="0" w:color="66BCDB" w:themeColor="text2"/>
          <w:left w:val="single" w:sz="4" w:space="0" w:color="66BCDB" w:themeColor="text2"/>
          <w:bottom w:val="single" w:sz="4" w:space="0" w:color="66BCDB" w:themeColor="text2"/>
          <w:right w:val="single" w:sz="4" w:space="0" w:color="66BCDB" w:themeColor="text2"/>
          <w:insideH w:val="none" w:sz="0" w:space="0" w:color="auto"/>
          <w:insideV w:val="none" w:sz="0" w:space="0" w:color="auto"/>
        </w:tblBorders>
        <w:tblCellMar>
          <w:bottom w:w="113" w:type="dxa"/>
        </w:tblCellMar>
        <w:tblLook w:val="04A0" w:firstRow="1" w:lastRow="0" w:firstColumn="1" w:lastColumn="0" w:noHBand="0" w:noVBand="1"/>
      </w:tblPr>
      <w:tblGrid>
        <w:gridCol w:w="705"/>
        <w:gridCol w:w="8923"/>
      </w:tblGrid>
      <w:tr w:rsidR="00E21DC1" w14:paraId="36C0540C" w14:textId="77777777">
        <w:trPr>
          <w:trHeight w:val="765"/>
          <w:tblHeader/>
        </w:trPr>
        <w:tc>
          <w:tcPr>
            <w:tcW w:w="366" w:type="pct"/>
            <w:tcBorders>
              <w:bottom w:val="nil"/>
            </w:tcBorders>
            <w:tcMar>
              <w:bottom w:w="0" w:type="dxa"/>
            </w:tcMar>
            <w:vAlign w:val="center"/>
          </w:tcPr>
          <w:p w14:paraId="267832B8" w14:textId="77777777" w:rsidR="00E21DC1" w:rsidRDefault="00E21DC1">
            <w:pPr>
              <w:pStyle w:val="NoSpacing"/>
              <w:keepNext/>
              <w:keepLines/>
              <w:jc w:val="right"/>
            </w:pPr>
            <w:r w:rsidRPr="00A51374">
              <w:rPr>
                <w:noProof/>
              </w:rPr>
              <w:drawing>
                <wp:inline distT="0" distB="0" distL="0" distR="0" wp14:anchorId="291842CA" wp14:editId="22C6F5A2">
                  <wp:extent cx="288000" cy="288000"/>
                  <wp:effectExtent l="0" t="0" r="0" b="0"/>
                  <wp:docPr id="81249727" name="Picture 812497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Graphic 39">
                            <a:extLst>
                              <a:ext uri="{C183D7F6-B498-43B3-948B-1728B52AA6E4}">
                                <adec:decorative xmlns:adec="http://schemas.microsoft.com/office/drawing/2017/decorative" val="1"/>
                              </a:ext>
                            </a:extLst>
                          </pic:cNvPr>
                          <pic:cNvPicPr/>
                        </pic:nvPicPr>
                        <pic:blipFill>
                          <a:blip r:embed="rId28">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634" w:type="pct"/>
            <w:tcBorders>
              <w:bottom w:val="nil"/>
            </w:tcBorders>
            <w:tcMar>
              <w:bottom w:w="0" w:type="dxa"/>
            </w:tcMar>
            <w:vAlign w:val="center"/>
          </w:tcPr>
          <w:p w14:paraId="6C3E89DE" w14:textId="35DE1E62" w:rsidR="00E21DC1" w:rsidRPr="000528B0" w:rsidRDefault="00E21DC1">
            <w:pPr>
              <w:pStyle w:val="TableHeading"/>
              <w:keepNext/>
              <w:keepLines/>
              <w:spacing w:before="120" w:after="120"/>
              <w:contextualSpacing/>
              <w:rPr>
                <w:sz w:val="20"/>
              </w:rPr>
            </w:pPr>
            <w:r w:rsidRPr="000528B0">
              <w:rPr>
                <w:sz w:val="20"/>
              </w:rPr>
              <w:t>Data issue conclusion 2</w:t>
            </w:r>
          </w:p>
          <w:p w14:paraId="363BFF5D" w14:textId="77777777" w:rsidR="00E21DC1" w:rsidRPr="000528B0" w:rsidRDefault="00E21DC1">
            <w:pPr>
              <w:pStyle w:val="TableHeading"/>
              <w:keepNext/>
              <w:keepLines/>
              <w:spacing w:before="120" w:after="120"/>
              <w:contextualSpacing/>
              <w:rPr>
                <w:sz w:val="20"/>
              </w:rPr>
            </w:pPr>
            <w:r w:rsidRPr="000528B0">
              <w:rPr>
                <w:sz w:val="20"/>
              </w:rPr>
              <w:t>What employee benefits should be counted as wages?</w:t>
            </w:r>
          </w:p>
        </w:tc>
      </w:tr>
      <w:tr w:rsidR="00E21DC1" w14:paraId="44444A5D" w14:textId="77777777">
        <w:tc>
          <w:tcPr>
            <w:tcW w:w="5000" w:type="pct"/>
            <w:gridSpan w:val="2"/>
            <w:tcBorders>
              <w:top w:val="nil"/>
              <w:bottom w:val="single" w:sz="4" w:space="0" w:color="66BCDB" w:themeColor="text2"/>
            </w:tcBorders>
          </w:tcPr>
          <w:p w14:paraId="0B653238" w14:textId="77777777" w:rsidR="00E21DC1" w:rsidRDefault="00E21DC1">
            <w:pPr>
              <w:pStyle w:val="BodyText"/>
              <w:keepLines/>
            </w:pPr>
            <w:r>
              <w:t xml:space="preserve">Measures of wages should include all forms of benefits provided by employers to employees, including fringe benefits, overtime pay and social contributions such as superannuation. The ABS national accounts measure of labour returns – ‘compensation of employees’ – includes all such benefits. </w:t>
            </w:r>
          </w:p>
        </w:tc>
      </w:tr>
      <w:tr w:rsidR="00E21DC1" w14:paraId="250D6C4B" w14:textId="77777777">
        <w:tc>
          <w:tcPr>
            <w:tcW w:w="5000" w:type="pct"/>
            <w:gridSpan w:val="2"/>
            <w:tcBorders>
              <w:top w:val="single" w:sz="4" w:space="0" w:color="66BCDB" w:themeColor="text2"/>
              <w:left w:val="nil"/>
              <w:bottom w:val="nil"/>
              <w:right w:val="nil"/>
            </w:tcBorders>
            <w:tcMar>
              <w:bottom w:w="0" w:type="dxa"/>
            </w:tcMar>
          </w:tcPr>
          <w:p w14:paraId="0AE59839" w14:textId="0BFDD8EB" w:rsidR="00E21DC1" w:rsidRDefault="00E21DC1">
            <w:pPr>
              <w:pStyle w:val="NoSpacing"/>
              <w:spacing w:line="200" w:lineRule="atLeast"/>
            </w:pPr>
          </w:p>
        </w:tc>
      </w:tr>
    </w:tbl>
    <w:p w14:paraId="0F004BD2" w14:textId="77777777" w:rsidR="00E21DC1" w:rsidRDefault="00E21DC1" w:rsidP="00E21DC1">
      <w:pPr>
        <w:pStyle w:val="Heading3"/>
      </w:pPr>
      <w:r>
        <w:t>Data issue 3: what to do about unincorporated business profits</w:t>
      </w:r>
    </w:p>
    <w:p w14:paraId="19697136" w14:textId="3C651072" w:rsidR="00E21DC1" w:rsidRDefault="00E21DC1" w:rsidP="00E21DC1">
      <w:pPr>
        <w:pStyle w:val="BodyText"/>
      </w:pPr>
      <w:r>
        <w:t>A substantial share of capital income accrues to the owner</w:t>
      </w:r>
      <w:r>
        <w:noBreakHyphen/>
        <w:t>managers of unincorporated enterprises (so</w:t>
      </w:r>
      <w:r>
        <w:noBreakHyphen/>
        <w:t>called ‘gross mixed income’), including the earnings of the self</w:t>
      </w:r>
      <w:r>
        <w:noBreakHyphen/>
        <w:t>employed (figure </w:t>
      </w:r>
      <w:r w:rsidR="007C0436">
        <w:t>3</w:t>
      </w:r>
      <w:r>
        <w:t xml:space="preserve">). Unincorporated businesses tend to be smaller than incorporated ones and often the owner of the business supplies much or </w:t>
      </w:r>
      <w:r>
        <w:lastRenderedPageBreak/>
        <w:t xml:space="preserve">all of the labour for the business. For example, gig workers would typically be classified as self-employed with their earnings comprising part of GMI despite them having many shared characteristics with employees undertaking much the same tasks. </w:t>
      </w:r>
    </w:p>
    <w:p w14:paraId="7D28E7C0" w14:textId="77777777" w:rsidR="00E21DC1" w:rsidRDefault="00E21DC1" w:rsidP="00E21DC1">
      <w:pPr>
        <w:pStyle w:val="BodyText"/>
      </w:pPr>
      <w:r>
        <w:t>The ABS National Accounts derivation of labour productivity includes the hours worked by working proprietors. Accordingly, for a conceptually sound measure of wage decoupling, the wage equivalent of the time spent by such proprietors should be counted as part of economy</w:t>
      </w:r>
      <w:r>
        <w:noBreakHyphen/>
        <w:t>wide wages. That wage is unobserved but could be seen as either the</w:t>
      </w:r>
      <w:r w:rsidRPr="00FF1FDB">
        <w:t xml:space="preserve"> </w:t>
      </w:r>
      <w:r>
        <w:t>amount the business owner would have to pay someone to perform their own tasks or the amount the manager could obtain if they were to get a job outside their own firm and earn a wage commensurate with their skills and abilities.</w:t>
      </w:r>
    </w:p>
    <w:p w14:paraId="254FA75D" w14:textId="1513A3F5" w:rsidR="00E21DC1" w:rsidRPr="00146382" w:rsidRDefault="00E21DC1" w:rsidP="00E21DC1">
      <w:pPr>
        <w:pStyle w:val="FigureTableHeading"/>
      </w:pPr>
      <w:r>
        <w:t xml:space="preserve">Figure </w:t>
      </w:r>
      <w:r w:rsidR="002B4160">
        <w:rPr>
          <w:noProof/>
        </w:rPr>
        <w:t>3</w:t>
      </w:r>
      <w:r>
        <w:rPr>
          <w:noProof/>
        </w:rPr>
        <w:t xml:space="preserve"> </w:t>
      </w:r>
      <w:r>
        <w:t>– Aggregate business income is split between corporate profits and unincorporated business profits</w:t>
      </w:r>
      <w:r w:rsidRPr="00066CF5">
        <w:rPr>
          <w:vertAlign w:val="superscript"/>
        </w:rPr>
        <w:t>a</w:t>
      </w:r>
    </w:p>
    <w:p w14:paraId="7BD462F0" w14:textId="77777777" w:rsidR="00E21DC1" w:rsidRDefault="00E21DC1" w:rsidP="00E21DC1">
      <w:pPr>
        <w:pStyle w:val="FigureTableSubheading"/>
        <w:keepLines/>
      </w:pPr>
      <w:r>
        <w:t>Shares of factor income going to corporate profits and gross mixed income (unincorporated business profits), 1959</w:t>
      </w:r>
      <w:r>
        <w:noBreakHyphen/>
        <w:t>60 to 2021</w:t>
      </w:r>
      <w:r>
        <w:noBreakHyphen/>
        <w:t>22</w:t>
      </w:r>
    </w:p>
    <w:p w14:paraId="1DE48E52" w14:textId="77777777" w:rsidR="00E21DC1" w:rsidRDefault="00E21DC1" w:rsidP="00E21DC1">
      <w:pPr>
        <w:pStyle w:val="Note"/>
        <w:keepLines/>
        <w:spacing w:before="0" w:after="0"/>
        <w:rPr>
          <w:noProof/>
        </w:rPr>
      </w:pPr>
      <w:r w:rsidRPr="002D4E13">
        <w:rPr>
          <w:noProof/>
        </w:rPr>
        <w:drawing>
          <wp:inline distT="0" distB="0" distL="0" distR="0" wp14:anchorId="45CA0ECF" wp14:editId="5939BFBC">
            <wp:extent cx="6120130" cy="2874010"/>
            <wp:effectExtent l="0" t="0" r="0" b="0"/>
            <wp:docPr id="344477950" name="Picture 344477950" descr="This chart shows the share of total factor income (a concept closely related to GDP) going to corporate profits and unincorporated business profits (called ‘gross mixed income’) respectively between 1959 60 and 2021 22. It can be seen that the share of corporate profits has increased from about 19% of total income to over 30%. Gross mixed income, over the same period, fell form over 25% to just unde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477950" name="Picture 344477950" descr="This chart shows the share of total factor income (a concept closely related to GDP) going to corporate profits and unincorporated business profits (called ‘gross mixed income’) respectively between 1959 60 and 2021 22. It can be seen that the share of corporate profits has increased from about 19% of total income to over 30%. Gross mixed income, over the same period, fell form over 25% to just under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120130" cy="2874010"/>
                    </a:xfrm>
                    <a:prstGeom prst="rect">
                      <a:avLst/>
                    </a:prstGeom>
                    <a:noFill/>
                    <a:ln>
                      <a:noFill/>
                    </a:ln>
                  </pic:spPr>
                </pic:pic>
              </a:graphicData>
            </a:graphic>
          </wp:inline>
        </w:drawing>
      </w:r>
    </w:p>
    <w:p w14:paraId="6434A073" w14:textId="77777777" w:rsidR="00E21DC1" w:rsidRDefault="00E21DC1" w:rsidP="00E21DC1">
      <w:pPr>
        <w:pStyle w:val="Note"/>
        <w:keepLines/>
      </w:pPr>
      <w:r w:rsidRPr="00180E66">
        <w:rPr>
          <w:b/>
          <w:bCs/>
        </w:rPr>
        <w:t>a.</w:t>
      </w:r>
      <w:r>
        <w:t xml:space="preserve"> ‘Profits’ is ‘gross operating surplus’ for incorporated enterprises and gross mixed income for unincorporated businesses. Both roughly correspond to earnings before interest, taxes, depreciation and amortization. </w:t>
      </w:r>
    </w:p>
    <w:p w14:paraId="51FC529D" w14:textId="4CE19698" w:rsidR="00E21DC1" w:rsidRDefault="00E21DC1" w:rsidP="00E21DC1">
      <w:pPr>
        <w:pStyle w:val="Source"/>
      </w:pPr>
      <w:r w:rsidRPr="00696447">
        <w:t xml:space="preserve">Source: </w:t>
      </w:r>
      <w:r>
        <w:t>ABS (</w:t>
      </w:r>
      <w:r w:rsidRPr="00B131FA">
        <w:rPr>
          <w:i/>
          <w:iCs/>
        </w:rPr>
        <w:t xml:space="preserve">Australian </w:t>
      </w:r>
      <w:r>
        <w:rPr>
          <w:i/>
          <w:iCs/>
        </w:rPr>
        <w:t>S</w:t>
      </w:r>
      <w:r w:rsidRPr="00B131FA">
        <w:rPr>
          <w:i/>
          <w:iCs/>
        </w:rPr>
        <w:t xml:space="preserve">ystem of </w:t>
      </w:r>
      <w:r>
        <w:rPr>
          <w:i/>
          <w:iCs/>
        </w:rPr>
        <w:t>N</w:t>
      </w:r>
      <w:r w:rsidRPr="00B131FA">
        <w:rPr>
          <w:i/>
          <w:iCs/>
        </w:rPr>
        <w:t xml:space="preserve">ational </w:t>
      </w:r>
      <w:r>
        <w:rPr>
          <w:i/>
          <w:iCs/>
        </w:rPr>
        <w:t>A</w:t>
      </w:r>
      <w:r w:rsidRPr="00B131FA">
        <w:rPr>
          <w:i/>
          <w:iCs/>
        </w:rPr>
        <w:t>ccounts, 2021</w:t>
      </w:r>
      <w:r w:rsidRPr="00B131FA">
        <w:rPr>
          <w:i/>
          <w:iCs/>
        </w:rPr>
        <w:noBreakHyphen/>
        <w:t>22</w:t>
      </w:r>
      <w:r>
        <w:t>, Cat. no. </w:t>
      </w:r>
      <w:r w:rsidRPr="00F567CF">
        <w:t>5204</w:t>
      </w:r>
      <w:r>
        <w:t>, table 6)</w:t>
      </w:r>
      <w:r w:rsidRPr="00696447">
        <w:t>.</w:t>
      </w:r>
    </w:p>
    <w:p w14:paraId="57FA2E05" w14:textId="0DD7FBE6" w:rsidR="00E21DC1" w:rsidRDefault="00E21DC1" w:rsidP="00E21DC1">
      <w:pPr>
        <w:pStyle w:val="BodyText"/>
      </w:pPr>
      <w:r>
        <w:t xml:space="preserve">There are three methods used by statistical agencies (including the ABS) for splitting unincorporated business profits between labour and capital </w:t>
      </w:r>
      <w:r w:rsidRPr="00AA1C12">
        <w:rPr>
          <w:rFonts w:ascii="Arial" w:hAnsi="Arial" w:cs="Arial"/>
          <w:szCs w:val="24"/>
        </w:rPr>
        <w:t>(ABS 2021, sec. 19.113-117)</w:t>
      </w:r>
      <w:r>
        <w:t>:</w:t>
      </w:r>
    </w:p>
    <w:p w14:paraId="33C45F9E" w14:textId="77777777" w:rsidR="00E21DC1" w:rsidRDefault="00E21DC1" w:rsidP="00E21DC1">
      <w:pPr>
        <w:pStyle w:val="ListNumber"/>
        <w:numPr>
          <w:ilvl w:val="0"/>
          <w:numId w:val="21"/>
        </w:numPr>
      </w:pPr>
      <w:r w:rsidRPr="00C4007D">
        <w:rPr>
          <w:i/>
          <w:iCs/>
        </w:rPr>
        <w:t>Assign owner</w:t>
      </w:r>
      <w:r>
        <w:rPr>
          <w:i/>
          <w:iCs/>
        </w:rPr>
        <w:noBreakHyphen/>
      </w:r>
      <w:r w:rsidRPr="00C4007D">
        <w:rPr>
          <w:i/>
          <w:iCs/>
        </w:rPr>
        <w:t xml:space="preserve">managers an implicit wage based on market </w:t>
      </w:r>
      <w:r w:rsidRPr="008724EA">
        <w:rPr>
          <w:i/>
          <w:iCs/>
        </w:rPr>
        <w:t>wage rates</w:t>
      </w:r>
      <w:r w:rsidRPr="000E6F25">
        <w:t xml:space="preserve"> times their hours worked</w:t>
      </w:r>
      <w:r>
        <w:t>.</w:t>
      </w:r>
      <w:r w:rsidDel="008724EA">
        <w:t xml:space="preserve"> </w:t>
      </w:r>
      <w:r>
        <w:t>Ideally, the wage chosen for an owner</w:t>
      </w:r>
      <w:r>
        <w:noBreakHyphen/>
        <w:t>manager would reflect</w:t>
      </w:r>
      <w:r w:rsidDel="00F47FCF">
        <w:t xml:space="preserve"> </w:t>
      </w:r>
      <w:r>
        <w:t>their skill, experience and industry, but in practice, using the industry average wage for owner</w:t>
      </w:r>
      <w:r>
        <w:noBreakHyphen/>
        <w:t>managers is likely to be a reasonable proxy given the diversity of skills and occupations of owner</w:t>
      </w:r>
      <w:r>
        <w:noBreakHyphen/>
        <w:t xml:space="preserve">managers. The capital portion of GMI is the residual income after accounting for implicit wages. </w:t>
      </w:r>
    </w:p>
    <w:p w14:paraId="0F94F629" w14:textId="77777777" w:rsidR="00E21DC1" w:rsidRDefault="00E21DC1" w:rsidP="00E21DC1">
      <w:pPr>
        <w:pStyle w:val="ListNumber"/>
        <w:numPr>
          <w:ilvl w:val="0"/>
          <w:numId w:val="21"/>
        </w:numPr>
      </w:pPr>
      <w:r w:rsidRPr="002D5288">
        <w:rPr>
          <w:i/>
          <w:iCs/>
        </w:rPr>
        <w:t>Assign owner</w:t>
      </w:r>
      <w:r>
        <w:rPr>
          <w:i/>
          <w:iCs/>
        </w:rPr>
        <w:noBreakHyphen/>
      </w:r>
      <w:r w:rsidRPr="002D5288">
        <w:rPr>
          <w:i/>
          <w:iCs/>
        </w:rPr>
        <w:t xml:space="preserve">managers an implicit return on capital </w:t>
      </w:r>
      <w:r>
        <w:t>– ideally, the return on capital would reflect the mix of assets and industry in which the asset is employed. The labour income of owner</w:t>
      </w:r>
      <w:r>
        <w:noBreakHyphen/>
        <w:t xml:space="preserve">managers is the residual income after accounting for the implicit return on capital. </w:t>
      </w:r>
    </w:p>
    <w:p w14:paraId="60B43A7D" w14:textId="77777777" w:rsidR="00E21DC1" w:rsidRPr="00952416" w:rsidRDefault="00E21DC1" w:rsidP="00E21DC1">
      <w:pPr>
        <w:pStyle w:val="ListNumber"/>
        <w:numPr>
          <w:ilvl w:val="0"/>
          <w:numId w:val="21"/>
        </w:numPr>
        <w:rPr>
          <w:spacing w:val="-4"/>
        </w:rPr>
      </w:pPr>
      <w:r w:rsidRPr="00952416">
        <w:rPr>
          <w:i/>
          <w:spacing w:val="-4"/>
        </w:rPr>
        <w:t xml:space="preserve">Take the average of the two above methods </w:t>
      </w:r>
      <w:r w:rsidRPr="00952416">
        <w:rPr>
          <w:spacing w:val="-4"/>
        </w:rPr>
        <w:t>– this is the approach taken by the Australian Bureau of Statistics (ABS) to split income between labour and capital for calculating multifactor productivity estimates.</w:t>
      </w:r>
    </w:p>
    <w:p w14:paraId="7D34C511" w14:textId="055B201C" w:rsidR="00E21DC1" w:rsidRDefault="00E21DC1" w:rsidP="00E21DC1">
      <w:pPr>
        <w:pStyle w:val="BodyText"/>
      </w:pPr>
      <w:r>
        <w:lastRenderedPageBreak/>
        <w:t>Each of these approaches has practical limitations. The first approach often gives an estimate of labour income greater than actual GMI, which implies capital losses (appendix B.1). While it is feasible for capital losses to occur in one year and for returns to be volatile, it is less credible that, as occurs, the unincorporated sector makes capital losses over a number of successive years.</w:t>
      </w:r>
    </w:p>
    <w:p w14:paraId="6C792073" w14:textId="77777777" w:rsidR="00E21DC1" w:rsidRPr="00890C87" w:rsidRDefault="00E21DC1" w:rsidP="00E21DC1">
      <w:pPr>
        <w:pStyle w:val="BodyText"/>
        <w:rPr>
          <w:spacing w:val="-4"/>
        </w:rPr>
      </w:pPr>
      <w:r w:rsidRPr="00890C87">
        <w:rPr>
          <w:spacing w:val="-4"/>
        </w:rPr>
        <w:t>The second approach generates an owner</w:t>
      </w:r>
      <w:r w:rsidRPr="00890C87">
        <w:rPr>
          <w:spacing w:val="-4"/>
        </w:rPr>
        <w:noBreakHyphen/>
        <w:t>manager wage that is much more volatile than employee wages, and is even negative in some years, which is even less credible than variations in capital returns (appendix B.1)</w:t>
      </w:r>
      <w:r w:rsidRPr="00890C87" w:rsidDel="00DA0967">
        <w:rPr>
          <w:spacing w:val="-4"/>
        </w:rPr>
        <w:t>.</w:t>
      </w:r>
      <w:r w:rsidRPr="00890C87">
        <w:rPr>
          <w:spacing w:val="-4"/>
        </w:rPr>
        <w:t xml:space="preserve"> </w:t>
      </w:r>
    </w:p>
    <w:p w14:paraId="7DDEBE9B" w14:textId="10144C15" w:rsidR="00E21DC1" w:rsidRDefault="00E21DC1" w:rsidP="00E21DC1">
      <w:pPr>
        <w:pStyle w:val="BodyText"/>
      </w:pPr>
      <w:r>
        <w:t>The third approach – which is used by the ABS – prevents labour income of owner</w:t>
      </w:r>
      <w:r>
        <w:noBreakHyphen/>
        <w:t>managers from being greater than GMI. It still results in volatile wages, but less so than the second approach. However, the estimates of owner</w:t>
      </w:r>
      <w:r>
        <w:noBreakHyphen/>
        <w:t>manager wages produced by this method implies that owner</w:t>
      </w:r>
      <w:r>
        <w:noBreakHyphen/>
        <w:t>manager wages increased at about triple the rate of employee wages between 1994</w:t>
      </w:r>
      <w:r>
        <w:noBreakHyphen/>
        <w:t>95 and 2021</w:t>
      </w:r>
      <w:r>
        <w:noBreakHyphen/>
        <w:t>22</w:t>
      </w:r>
      <w:r w:rsidRPr="007C14DC">
        <w:rPr>
          <w:rStyle w:val="FootnoteReference"/>
        </w:rPr>
        <w:footnoteReference w:id="5"/>
      </w:r>
      <w:r>
        <w:t>, which is not credible (figure </w:t>
      </w:r>
      <w:r w:rsidR="007C0436">
        <w:t>4</w:t>
      </w:r>
      <w:r>
        <w:t>).</w:t>
      </w:r>
    </w:p>
    <w:p w14:paraId="654330A0" w14:textId="49C04E75" w:rsidR="00E21DC1" w:rsidRDefault="00E21DC1" w:rsidP="00E21DC1">
      <w:pPr>
        <w:pStyle w:val="FigureTableHeading"/>
        <w:rPr>
          <w:vertAlign w:val="superscript"/>
        </w:rPr>
      </w:pPr>
      <w:r>
        <w:t xml:space="preserve">Figure </w:t>
      </w:r>
      <w:r w:rsidR="002B4160">
        <w:rPr>
          <w:noProof/>
        </w:rPr>
        <w:t>4</w:t>
      </w:r>
      <w:r>
        <w:rPr>
          <w:noProof/>
        </w:rPr>
        <w:t xml:space="preserve"> </w:t>
      </w:r>
      <w:r>
        <w:t>– The ABS decomposition of GMI implies rapid growth in wage rates for owner</w:t>
      </w:r>
      <w:r>
        <w:noBreakHyphen/>
        <w:t>managers</w:t>
      </w:r>
      <w:r w:rsidRPr="00066CF5">
        <w:rPr>
          <w:vertAlign w:val="superscript"/>
        </w:rPr>
        <w:t>a,b</w:t>
      </w:r>
    </w:p>
    <w:p w14:paraId="5DAD4EC1" w14:textId="77777777" w:rsidR="00E21DC1" w:rsidRDefault="00E21DC1" w:rsidP="00E21DC1">
      <w:pPr>
        <w:pStyle w:val="FigureTableSubheading"/>
        <w:keepLines/>
      </w:pPr>
      <w:r>
        <w:t>Various wage measure for the market sector between 1994</w:t>
      </w:r>
      <w:r>
        <w:noBreakHyphen/>
        <w:t>95 and 2021</w:t>
      </w:r>
      <w:r>
        <w:noBreakHyphen/>
        <w:t>22</w:t>
      </w:r>
    </w:p>
    <w:p w14:paraId="5CB319C7" w14:textId="0218FA2D" w:rsidR="00E21DC1" w:rsidRDefault="00E21DC1" w:rsidP="00E21DC1">
      <w:pPr>
        <w:pStyle w:val="BodyText"/>
        <w:spacing w:before="0" w:after="0"/>
      </w:pPr>
      <w:r w:rsidRPr="000F779C">
        <w:rPr>
          <w:noProof/>
        </w:rPr>
        <w:drawing>
          <wp:inline distT="0" distB="0" distL="0" distR="0" wp14:anchorId="67277166" wp14:editId="41471A8C">
            <wp:extent cx="6120130" cy="2717800"/>
            <wp:effectExtent l="0" t="0" r="0" b="0"/>
            <wp:docPr id="828853470" name="Picture 828853470" descr="This figure shows the growth of wages for owner managers, employees and both groups combined (“All wages”) between 1994 95 and 2021 22. It can be seen that while all wages and employee wages are relatively similar in their growth rates, owner manager wages have grown much faster than all or employee wages by over 2 percentage points annual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853470" name="Picture 828853470" descr="This figure shows the growth of wages for owner managers, employees and both groups combined (“All wages”) between 1994 95 and 2021 22. It can be seen that while all wages and employee wages are relatively similar in their growth rates, owner manager wages have grown much faster than all or employee wages by over 2 percentage points annually."/>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b="1925"/>
                    <a:stretch/>
                  </pic:blipFill>
                  <pic:spPr bwMode="auto">
                    <a:xfrm>
                      <a:off x="0" y="0"/>
                      <a:ext cx="6120130" cy="2717800"/>
                    </a:xfrm>
                    <a:prstGeom prst="rect">
                      <a:avLst/>
                    </a:prstGeom>
                    <a:noFill/>
                    <a:ln>
                      <a:noFill/>
                    </a:ln>
                    <a:extLst>
                      <a:ext uri="{53640926-AAD7-44D8-BBD7-CCE9431645EC}">
                        <a14:shadowObscured xmlns:a14="http://schemas.microsoft.com/office/drawing/2010/main"/>
                      </a:ext>
                    </a:extLst>
                  </pic:spPr>
                </pic:pic>
              </a:graphicData>
            </a:graphic>
          </wp:inline>
        </w:drawing>
      </w:r>
    </w:p>
    <w:p w14:paraId="5DF0D510" w14:textId="77777777" w:rsidR="00E21DC1" w:rsidRPr="00D44AE5" w:rsidRDefault="00E21DC1" w:rsidP="00E21DC1">
      <w:pPr>
        <w:pStyle w:val="Note"/>
        <w:keepLines/>
        <w:rPr>
          <w:spacing w:val="-4"/>
        </w:rPr>
      </w:pPr>
      <w:r w:rsidRPr="00D44AE5">
        <w:rPr>
          <w:b/>
          <w:bCs/>
          <w:spacing w:val="-4"/>
        </w:rPr>
        <w:t>a.</w:t>
      </w:r>
      <w:r w:rsidRPr="00D44AE5">
        <w:rPr>
          <w:spacing w:val="-4"/>
        </w:rPr>
        <w:t xml:space="preserve"> The index of the wage rates for all employed people (‘All wages’) is calculated using the ratio of total labour compensation and total hours worked from the </w:t>
      </w:r>
      <w:r w:rsidRPr="00D44AE5">
        <w:rPr>
          <w:i/>
          <w:iCs/>
          <w:spacing w:val="-4"/>
        </w:rPr>
        <w:t>Labour Account</w:t>
      </w:r>
      <w:r w:rsidRPr="00D44AE5">
        <w:rPr>
          <w:spacing w:val="-4"/>
        </w:rPr>
        <w:t>. Total labour compensation (including both employees and owner</w:t>
      </w:r>
      <w:r w:rsidRPr="00D44AE5">
        <w:rPr>
          <w:spacing w:val="-4"/>
        </w:rPr>
        <w:noBreakHyphen/>
        <w:t xml:space="preserve">managers) is derived by multiplying the labour share of income for the 16 market sector industries in the </w:t>
      </w:r>
      <w:r w:rsidRPr="00D44AE5">
        <w:rPr>
          <w:i/>
          <w:iCs/>
          <w:spacing w:val="-4"/>
        </w:rPr>
        <w:t>Industry Multifactor Productivity</w:t>
      </w:r>
      <w:r w:rsidRPr="00D44AE5">
        <w:rPr>
          <w:spacing w:val="-4"/>
        </w:rPr>
        <w:t xml:space="preserve"> publication by the total factor income in the </w:t>
      </w:r>
      <w:r w:rsidRPr="00D44AE5">
        <w:rPr>
          <w:i/>
          <w:iCs/>
          <w:spacing w:val="-4"/>
        </w:rPr>
        <w:t>National Accounts</w:t>
      </w:r>
      <w:r w:rsidRPr="00D44AE5">
        <w:rPr>
          <w:spacing w:val="-4"/>
        </w:rPr>
        <w:t xml:space="preserve">. Employee wage rates are the ratio of compensation of employees in the national accounts and hours worked per employee. Hours worked per employee is derived by using the ratio of hours worked performed by employees in the </w:t>
      </w:r>
      <w:r w:rsidRPr="00D44AE5">
        <w:rPr>
          <w:i/>
          <w:iCs/>
          <w:spacing w:val="-4"/>
        </w:rPr>
        <w:t>Labour Force Survey</w:t>
      </w:r>
      <w:r w:rsidRPr="00D44AE5">
        <w:rPr>
          <w:spacing w:val="-4"/>
        </w:rPr>
        <w:t xml:space="preserve"> by the total hours worked (both owner</w:t>
      </w:r>
      <w:r w:rsidRPr="00D44AE5">
        <w:rPr>
          <w:spacing w:val="-4"/>
        </w:rPr>
        <w:noBreakHyphen/>
        <w:t xml:space="preserve">manager and employees) in the </w:t>
      </w:r>
      <w:r w:rsidRPr="00D44AE5">
        <w:rPr>
          <w:i/>
          <w:iCs/>
          <w:spacing w:val="-4"/>
        </w:rPr>
        <w:t>Labour Account</w:t>
      </w:r>
      <w:r w:rsidRPr="00D44AE5">
        <w:rPr>
          <w:spacing w:val="-4"/>
        </w:rPr>
        <w:t>. Implicit owner</w:t>
      </w:r>
      <w:r w:rsidRPr="00D44AE5">
        <w:rPr>
          <w:spacing w:val="-4"/>
        </w:rPr>
        <w:noBreakHyphen/>
        <w:t>manager hours are calculated by taking the ratio of owner</w:t>
      </w:r>
      <w:r w:rsidRPr="00D44AE5">
        <w:rPr>
          <w:spacing w:val="-4"/>
        </w:rPr>
        <w:noBreakHyphen/>
        <w:t>manager labour income to hours worked by owner</w:t>
      </w:r>
      <w:r w:rsidRPr="00D44AE5">
        <w:rPr>
          <w:spacing w:val="-4"/>
        </w:rPr>
        <w:noBreakHyphen/>
        <w:t>managers. The labour income of owner</w:t>
      </w:r>
      <w:r w:rsidRPr="00D44AE5">
        <w:rPr>
          <w:spacing w:val="-4"/>
        </w:rPr>
        <w:noBreakHyphen/>
        <w:t>managers is calculated by differencing the total labour compensation calculated for all workers and labour compensation for employees. Hours worked for owner</w:t>
      </w:r>
      <w:r w:rsidRPr="00D44AE5">
        <w:rPr>
          <w:spacing w:val="-4"/>
        </w:rPr>
        <w:noBreakHyphen/>
        <w:t xml:space="preserve">managers is calculated by differencing hours worked by all workers and hours worked by employees. </w:t>
      </w:r>
      <w:r w:rsidRPr="00D44AE5">
        <w:rPr>
          <w:b/>
          <w:bCs/>
          <w:spacing w:val="-4"/>
        </w:rPr>
        <w:t>b.</w:t>
      </w:r>
      <w:r w:rsidRPr="00D44AE5">
        <w:rPr>
          <w:spacing w:val="-4"/>
        </w:rPr>
        <w:t xml:space="preserve"> All series are deflated by the consumer price index.</w:t>
      </w:r>
    </w:p>
    <w:p w14:paraId="7B2AA49F" w14:textId="77777777" w:rsidR="00E21DC1" w:rsidRDefault="00E21DC1" w:rsidP="00E21DC1">
      <w:pPr>
        <w:pStyle w:val="Source"/>
      </w:pPr>
      <w:r w:rsidRPr="00696447">
        <w:t xml:space="preserve">Source: </w:t>
      </w:r>
      <w:r>
        <w:t>Commission estimates using: ABS (</w:t>
      </w:r>
      <w:r w:rsidRPr="00B131FA">
        <w:rPr>
          <w:i/>
          <w:iCs/>
        </w:rPr>
        <w:t xml:space="preserve">Australian </w:t>
      </w:r>
      <w:r>
        <w:rPr>
          <w:i/>
          <w:iCs/>
        </w:rPr>
        <w:t>S</w:t>
      </w:r>
      <w:r w:rsidRPr="00B131FA">
        <w:rPr>
          <w:i/>
          <w:iCs/>
        </w:rPr>
        <w:t xml:space="preserve">ystem of </w:t>
      </w:r>
      <w:r>
        <w:rPr>
          <w:i/>
          <w:iCs/>
        </w:rPr>
        <w:t>N</w:t>
      </w:r>
      <w:r w:rsidRPr="00B131FA">
        <w:rPr>
          <w:i/>
          <w:iCs/>
        </w:rPr>
        <w:t xml:space="preserve">ational </w:t>
      </w:r>
      <w:r>
        <w:rPr>
          <w:i/>
          <w:iCs/>
        </w:rPr>
        <w:t>A</w:t>
      </w:r>
      <w:r w:rsidRPr="00B131FA">
        <w:rPr>
          <w:i/>
          <w:iCs/>
        </w:rPr>
        <w:t>ccounts, 2021</w:t>
      </w:r>
      <w:r w:rsidRPr="00B131FA">
        <w:rPr>
          <w:i/>
          <w:iCs/>
        </w:rPr>
        <w:noBreakHyphen/>
        <w:t>22</w:t>
      </w:r>
      <w:r>
        <w:t>, Cat. no. </w:t>
      </w:r>
      <w:r w:rsidRPr="00F567CF">
        <w:t>5204.0.</w:t>
      </w:r>
      <w:r>
        <w:t xml:space="preserve">, table 6; </w:t>
      </w:r>
      <w:r w:rsidRPr="00BB0F6B">
        <w:rPr>
          <w:i/>
          <w:iCs/>
        </w:rPr>
        <w:t>Labour Account Australia, March 2023</w:t>
      </w:r>
      <w:r>
        <w:t>, Cat. no. </w:t>
      </w:r>
      <w:r w:rsidRPr="00821D54">
        <w:t>6150.0.55.003.</w:t>
      </w:r>
      <w:r>
        <w:t xml:space="preserve">, industry summary tables; </w:t>
      </w:r>
      <w:r w:rsidRPr="00CA6C97">
        <w:rPr>
          <w:i/>
          <w:iCs/>
        </w:rPr>
        <w:t>Labour Force, Australia, Detailed, April 2023</w:t>
      </w:r>
      <w:r>
        <w:t>, Cat. no. </w:t>
      </w:r>
      <w:r w:rsidRPr="009541C2">
        <w:t>6291.0.55.001</w:t>
      </w:r>
      <w:r w:rsidRPr="004A2F88">
        <w:t>.</w:t>
      </w:r>
      <w:r>
        <w:t xml:space="preserve">, table EQ05; </w:t>
      </w:r>
      <w:r w:rsidRPr="004553E0">
        <w:rPr>
          <w:i/>
          <w:iCs/>
        </w:rPr>
        <w:t>Consumer Price Index, Australia</w:t>
      </w:r>
      <w:r>
        <w:t>, Cat. no. </w:t>
      </w:r>
      <w:r w:rsidRPr="00181E4E">
        <w:t>6401.0.</w:t>
      </w:r>
      <w:r>
        <w:t>, table 1).</w:t>
      </w:r>
    </w:p>
    <w:p w14:paraId="2DFA517D" w14:textId="77777777" w:rsidR="00E21DC1" w:rsidRDefault="00E21DC1" w:rsidP="00E21DC1">
      <w:pPr>
        <w:pStyle w:val="BodyText"/>
      </w:pPr>
      <w:r>
        <w:lastRenderedPageBreak/>
        <w:t>While all methods of splitting GMI between labour and capital have shortcomings, on balance, we assumed that owner</w:t>
      </w:r>
      <w:r>
        <w:noBreakHyphen/>
        <w:t>managers of unincorporated businesses earned a wage equal to the average employee. This decision reflected that:</w:t>
      </w:r>
    </w:p>
    <w:p w14:paraId="7714E746" w14:textId="77777777" w:rsidR="00E21DC1" w:rsidRPr="0058420D" w:rsidRDefault="00E21DC1" w:rsidP="00E21DC1">
      <w:pPr>
        <w:pStyle w:val="ListBullet"/>
        <w:numPr>
          <w:ilvl w:val="0"/>
          <w:numId w:val="22"/>
        </w:numPr>
      </w:pPr>
      <w:r>
        <w:t>u</w:t>
      </w:r>
      <w:r w:rsidRPr="0058420D">
        <w:t xml:space="preserve">sing the other two methods resulted in wage estimates that </w:t>
      </w:r>
      <w:r>
        <w:t>grow</w:t>
      </w:r>
      <w:r w:rsidRPr="0058420D">
        <w:t xml:space="preserve"> at faster and more volatile rates than for employees. This seems hard to justify if the outside option of working as an employee is available to an owner</w:t>
      </w:r>
      <w:r>
        <w:noBreakHyphen/>
      </w:r>
      <w:r w:rsidRPr="0058420D">
        <w:t xml:space="preserve">manager </w:t>
      </w:r>
    </w:p>
    <w:p w14:paraId="77F9517A" w14:textId="77777777" w:rsidR="00E21DC1" w:rsidRPr="0058420D" w:rsidRDefault="00E21DC1" w:rsidP="00E21DC1">
      <w:pPr>
        <w:pStyle w:val="ListBullet"/>
        <w:numPr>
          <w:ilvl w:val="0"/>
          <w:numId w:val="22"/>
        </w:numPr>
      </w:pPr>
      <w:r>
        <w:t>t</w:t>
      </w:r>
      <w:r w:rsidRPr="0058420D">
        <w:t xml:space="preserve">here are </w:t>
      </w:r>
      <w:r>
        <w:t>several</w:t>
      </w:r>
      <w:r w:rsidRPr="0058420D">
        <w:t xml:space="preserve"> reasons </w:t>
      </w:r>
      <w:r>
        <w:t xml:space="preserve">why </w:t>
      </w:r>
      <w:r w:rsidRPr="0058420D">
        <w:t>owner</w:t>
      </w:r>
      <w:r>
        <w:noBreakHyphen/>
      </w:r>
      <w:r w:rsidRPr="0058420D">
        <w:t>manager labour income</w:t>
      </w:r>
      <w:r w:rsidRPr="0058420D" w:rsidDel="00C6662A">
        <w:t xml:space="preserve"> </w:t>
      </w:r>
      <w:r>
        <w:t>may</w:t>
      </w:r>
      <w:r w:rsidRPr="0058420D">
        <w:t xml:space="preserve"> exceed total GMI.</w:t>
      </w:r>
      <w:r w:rsidRPr="002C64DA">
        <w:t xml:space="preserve"> </w:t>
      </w:r>
      <w:r>
        <w:t>In particular, i</w:t>
      </w:r>
      <w:r w:rsidRPr="002C64DA">
        <w:t xml:space="preserve">t is possible that the incongruous results reflect errors in estimating </w:t>
      </w:r>
      <w:r>
        <w:t>GMI</w:t>
      </w:r>
      <w:r w:rsidRPr="002C64DA">
        <w:t>, especially as important components of GMI are derived by using estimated ratio of GMI and GOS (gross operating surplus) to apportion total GOS and GMI. Errors in such ratios make it plausible that overall capital income may be measured adequately, but with underestimation of GMI. Other assumptions</w:t>
      </w:r>
      <w:r>
        <w:t xml:space="preserve"> by the ABS</w:t>
      </w:r>
      <w:r w:rsidRPr="002C64DA">
        <w:t>, such as those that correct for understatement of capital income, may also contribute to errors in measurement.</w:t>
      </w:r>
      <w:r>
        <w:t xml:space="preserve"> </w:t>
      </w:r>
    </w:p>
    <w:p w14:paraId="32B7A8A3" w14:textId="53C342E1" w:rsidR="00E21DC1" w:rsidRDefault="00E21DC1" w:rsidP="00E21DC1">
      <w:pPr>
        <w:pStyle w:val="NoSpacing"/>
      </w:pPr>
    </w:p>
    <w:tbl>
      <w:tblPr>
        <w:tblStyle w:val="TableGrid"/>
        <w:tblW w:w="5000" w:type="pct"/>
        <w:tblBorders>
          <w:top w:val="single" w:sz="4" w:space="0" w:color="66BCDB" w:themeColor="text2"/>
          <w:left w:val="single" w:sz="4" w:space="0" w:color="66BCDB" w:themeColor="text2"/>
          <w:bottom w:val="single" w:sz="4" w:space="0" w:color="66BCDB" w:themeColor="text2"/>
          <w:right w:val="single" w:sz="4" w:space="0" w:color="66BCDB" w:themeColor="text2"/>
          <w:insideH w:val="none" w:sz="0" w:space="0" w:color="auto"/>
          <w:insideV w:val="none" w:sz="0" w:space="0" w:color="auto"/>
        </w:tblBorders>
        <w:tblCellMar>
          <w:bottom w:w="113" w:type="dxa"/>
        </w:tblCellMar>
        <w:tblLook w:val="04A0" w:firstRow="1" w:lastRow="0" w:firstColumn="1" w:lastColumn="0" w:noHBand="0" w:noVBand="1"/>
      </w:tblPr>
      <w:tblGrid>
        <w:gridCol w:w="705"/>
        <w:gridCol w:w="8923"/>
      </w:tblGrid>
      <w:tr w:rsidR="00E21DC1" w14:paraId="055407D6" w14:textId="77777777">
        <w:trPr>
          <w:trHeight w:val="765"/>
          <w:tblHeader/>
        </w:trPr>
        <w:tc>
          <w:tcPr>
            <w:tcW w:w="366" w:type="pct"/>
            <w:tcBorders>
              <w:bottom w:val="nil"/>
            </w:tcBorders>
            <w:tcMar>
              <w:bottom w:w="0" w:type="dxa"/>
            </w:tcMar>
            <w:vAlign w:val="center"/>
          </w:tcPr>
          <w:p w14:paraId="4ACD3DAC" w14:textId="77777777" w:rsidR="00E21DC1" w:rsidRDefault="00E21DC1">
            <w:pPr>
              <w:pStyle w:val="NoSpacing"/>
              <w:keepNext/>
              <w:keepLines/>
              <w:jc w:val="right"/>
            </w:pPr>
            <w:r w:rsidRPr="00A51374">
              <w:rPr>
                <w:noProof/>
              </w:rPr>
              <w:drawing>
                <wp:inline distT="0" distB="0" distL="0" distR="0" wp14:anchorId="0E36E617" wp14:editId="6B25AF55">
                  <wp:extent cx="288000" cy="288000"/>
                  <wp:effectExtent l="0" t="0" r="0" b="0"/>
                  <wp:docPr id="1329845355" name="Picture 13298453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Graphic 39">
                            <a:extLst>
                              <a:ext uri="{C183D7F6-B498-43B3-948B-1728B52AA6E4}">
                                <adec:decorative xmlns:adec="http://schemas.microsoft.com/office/drawing/2017/decorative" val="1"/>
                              </a:ext>
                            </a:extLst>
                          </pic:cNvPr>
                          <pic:cNvPicPr/>
                        </pic:nvPicPr>
                        <pic:blipFill>
                          <a:blip r:embed="rId28">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634" w:type="pct"/>
            <w:tcBorders>
              <w:bottom w:val="nil"/>
            </w:tcBorders>
            <w:tcMar>
              <w:bottom w:w="0" w:type="dxa"/>
            </w:tcMar>
            <w:vAlign w:val="center"/>
          </w:tcPr>
          <w:p w14:paraId="3EC3BBC3" w14:textId="25406DCB" w:rsidR="00E21DC1" w:rsidRPr="000528B0" w:rsidRDefault="00E21DC1">
            <w:pPr>
              <w:pStyle w:val="TableHeading"/>
              <w:keepNext/>
              <w:keepLines/>
              <w:spacing w:before="120" w:after="120"/>
              <w:contextualSpacing/>
              <w:rPr>
                <w:sz w:val="20"/>
              </w:rPr>
            </w:pPr>
            <w:r w:rsidRPr="000528B0">
              <w:rPr>
                <w:sz w:val="20"/>
              </w:rPr>
              <w:t>Data issue conclusion 3</w:t>
            </w:r>
          </w:p>
          <w:p w14:paraId="7606FE3B" w14:textId="77777777" w:rsidR="00E21DC1" w:rsidRPr="000528B0" w:rsidRDefault="00E21DC1">
            <w:pPr>
              <w:pStyle w:val="TableHeading"/>
              <w:keepNext/>
              <w:keepLines/>
              <w:spacing w:before="120" w:after="120"/>
              <w:contextualSpacing/>
              <w:rPr>
                <w:sz w:val="20"/>
              </w:rPr>
            </w:pPr>
            <w:r w:rsidRPr="000528B0">
              <w:rPr>
                <w:sz w:val="20"/>
              </w:rPr>
              <w:t>How much of unincorporated business income should we count as wages?</w:t>
            </w:r>
          </w:p>
        </w:tc>
      </w:tr>
      <w:tr w:rsidR="00E21DC1" w14:paraId="7992FCC7" w14:textId="77777777">
        <w:tc>
          <w:tcPr>
            <w:tcW w:w="5000" w:type="pct"/>
            <w:gridSpan w:val="2"/>
            <w:tcBorders>
              <w:top w:val="nil"/>
              <w:bottom w:val="single" w:sz="4" w:space="0" w:color="66BCDB" w:themeColor="text2"/>
            </w:tcBorders>
          </w:tcPr>
          <w:p w14:paraId="03BD4D86" w14:textId="77777777" w:rsidR="00E21DC1" w:rsidRDefault="00E21DC1">
            <w:pPr>
              <w:pStyle w:val="BodyText"/>
              <w:keepLines/>
            </w:pPr>
            <w:r>
              <w:t>No method of splitting capital and labour is entirely adequate to split the profits of unincorporated businesses between labour and capital, with the three main methods all having drawbacks. The least problematic method is setting the owner</w:t>
            </w:r>
            <w:r>
              <w:noBreakHyphen/>
              <w:t xml:space="preserve">manager wage equal to the economy-average employee wage, which is consistent with their capacity to obtain a job as an employee. </w:t>
            </w:r>
          </w:p>
          <w:p w14:paraId="1053CAAD" w14:textId="77777777" w:rsidR="00E21DC1" w:rsidRDefault="00E21DC1">
            <w:pPr>
              <w:pStyle w:val="BodyText"/>
              <w:keepLines/>
            </w:pPr>
            <w:r>
              <w:t xml:space="preserve">This method produces – by construction – identical results to using compensation of employees per hour as the measure of wages. </w:t>
            </w:r>
          </w:p>
        </w:tc>
      </w:tr>
      <w:tr w:rsidR="00E21DC1" w14:paraId="4D8B0B22" w14:textId="77777777">
        <w:tc>
          <w:tcPr>
            <w:tcW w:w="5000" w:type="pct"/>
            <w:gridSpan w:val="2"/>
            <w:tcBorders>
              <w:top w:val="single" w:sz="4" w:space="0" w:color="66BCDB" w:themeColor="text2"/>
              <w:left w:val="nil"/>
              <w:bottom w:val="nil"/>
              <w:right w:val="nil"/>
            </w:tcBorders>
            <w:tcMar>
              <w:bottom w:w="0" w:type="dxa"/>
            </w:tcMar>
          </w:tcPr>
          <w:p w14:paraId="16F84566" w14:textId="04E989B5" w:rsidR="00E21DC1" w:rsidRDefault="00E21DC1">
            <w:pPr>
              <w:pStyle w:val="NoSpacing"/>
              <w:spacing w:line="200" w:lineRule="atLeast"/>
            </w:pPr>
          </w:p>
        </w:tc>
      </w:tr>
    </w:tbl>
    <w:p w14:paraId="6A36F037" w14:textId="77777777" w:rsidR="00E21DC1" w:rsidRDefault="00E21DC1" w:rsidP="00E21DC1">
      <w:pPr>
        <w:pStyle w:val="Heading3"/>
      </w:pPr>
      <w:r>
        <w:t>Data issue 4: what price deflator to use?</w:t>
      </w:r>
    </w:p>
    <w:p w14:paraId="58AA5827" w14:textId="77777777" w:rsidR="00E21DC1" w:rsidRDefault="00E21DC1" w:rsidP="00E21DC1">
      <w:pPr>
        <w:pStyle w:val="BodyText"/>
      </w:pPr>
      <w:r>
        <w:t xml:space="preserve">From the perspective of employees, the buying power of wages depend on the prices of the goods and services they buy. The dominant measure of prices faced by consumers is the CPI, though others include the implicit deflator for household final consumption expenditure and select cost of living indexes, of which the most relevant is the series for employees (Living Cost Index Employees). </w:t>
      </w:r>
    </w:p>
    <w:p w14:paraId="1A04B8C5" w14:textId="77777777" w:rsidR="00E21DC1" w:rsidRDefault="00E21DC1" w:rsidP="00E21DC1">
      <w:pPr>
        <w:pStyle w:val="BodyText"/>
      </w:pPr>
      <w:r>
        <w:t>From the viewpoint of businesses, their capacity to pay wages depends on the</w:t>
      </w:r>
      <w:r w:rsidRPr="0052119A">
        <w:t xml:space="preserve"> </w:t>
      </w:r>
      <w:r>
        <w:t>prices they can obtain for their goods and services after adjusting for the cost of intermediate inputs (such as materials, energy and outside services). In this context, the CPI is an inappropriate measure of prices for estimating wage decoupling</w:t>
      </w:r>
      <w:r w:rsidRPr="00820F9F">
        <w:t xml:space="preserve"> </w:t>
      </w:r>
      <w:r>
        <w:t xml:space="preserve">and using it would result in divergences between measured wages and labour productivity unrelated to the distribution of economic gains between labour and capital. The growth in real wages based on the CPI does not necessarily have a strong link to labour productivity because consumer price changes can reflect prices outside the control of domestic businesses – such as the price of imports, the impact of taxes (like excise, stamp duties and the goods and service tax), and subsidies (like childcare, Medicare and Pharmaceutical Benefit Scheme benefits). The CPI is also adjusted (in part) for quality improvements in goods that are largely imported, such as motor vehicles. </w:t>
      </w:r>
    </w:p>
    <w:p w14:paraId="423126EC" w14:textId="77777777" w:rsidR="00E21DC1" w:rsidRDefault="00E21DC1" w:rsidP="00E21DC1">
      <w:pPr>
        <w:pStyle w:val="BodyText"/>
      </w:pPr>
      <w:r>
        <w:t xml:space="preserve">The relevant price adjustment for wages when considering decoupling is the implicit GDP deflator. Among the different measures of producer prices, the implicit GDP deflator is the only one that is comprehensive – covering all domestic production – and either incorporates both input and output prices or uses only the </w:t>
      </w:r>
      <w:r>
        <w:lastRenderedPageBreak/>
        <w:t>prices of final products.</w:t>
      </w:r>
      <w:r w:rsidRPr="007C14DC">
        <w:rPr>
          <w:rStyle w:val="FootnoteReference"/>
        </w:rPr>
        <w:footnoteReference w:id="6"/>
      </w:r>
      <w:r>
        <w:t xml:space="preserve"> For example, the producer price index (PPI) for final domestic expenditure focuses on final goods but excludes exports, which have been a major driver of producer prices. Likewise, other PPI series, such as those for mining output, only focus on a particular industry and typically focuses on only one of either inputs or outputs prices without incorporating the two together.</w:t>
      </w:r>
    </w:p>
    <w:p w14:paraId="72AEFEE7" w14:textId="30B1BB85" w:rsidR="00E21DC1" w:rsidRDefault="00E21DC1" w:rsidP="00E21DC1">
      <w:pPr>
        <w:pStyle w:val="BodyText"/>
      </w:pPr>
      <w:r>
        <w:t>The choice of price deflator has large consequences for measured wage growth (figure </w:t>
      </w:r>
      <w:r w:rsidR="00D74B1C">
        <w:t>5</w:t>
      </w:r>
      <w:r>
        <w:t>). The disparities are most evident in the two periods 2011–2016 and 2016–2022, when real wages based on the GDP deflator grew by 2.2. and -0.6% per annum respectively, while for the CPI the respective growth rates were 0.5 and 0.7% per annum.</w:t>
      </w:r>
    </w:p>
    <w:p w14:paraId="3E75D596" w14:textId="4ABD9A3E" w:rsidR="00E21DC1" w:rsidRPr="00DF129B" w:rsidRDefault="00E21DC1" w:rsidP="00E21DC1">
      <w:pPr>
        <w:pStyle w:val="FigureTableHeading"/>
        <w:rPr>
          <w:spacing w:val="-8"/>
        </w:rPr>
      </w:pPr>
      <w:r w:rsidRPr="00DF129B">
        <w:rPr>
          <w:spacing w:val="-8"/>
        </w:rPr>
        <w:t xml:space="preserve">Figure </w:t>
      </w:r>
      <w:r w:rsidR="002B4160" w:rsidRPr="00DF129B">
        <w:rPr>
          <w:noProof/>
          <w:spacing w:val="-8"/>
        </w:rPr>
        <w:t>5</w:t>
      </w:r>
      <w:r w:rsidRPr="00DF129B">
        <w:rPr>
          <w:noProof/>
          <w:spacing w:val="-8"/>
        </w:rPr>
        <w:t xml:space="preserve"> </w:t>
      </w:r>
      <w:r w:rsidRPr="00DF129B">
        <w:rPr>
          <w:spacing w:val="-8"/>
        </w:rPr>
        <w:t>– The choice of price deflator has a significant effect on measured real wage growth</w:t>
      </w:r>
      <w:r w:rsidRPr="00DF129B">
        <w:rPr>
          <w:spacing w:val="-8"/>
          <w:vertAlign w:val="superscript"/>
        </w:rPr>
        <w:t>a</w:t>
      </w:r>
    </w:p>
    <w:p w14:paraId="498FA419" w14:textId="77777777" w:rsidR="00E21DC1" w:rsidRDefault="00E21DC1" w:rsidP="00E21DC1">
      <w:pPr>
        <w:pStyle w:val="FigureTableSubheading"/>
        <w:keepLines/>
      </w:pPr>
      <w:r>
        <w:t>1998</w:t>
      </w:r>
      <w:r>
        <w:noBreakHyphen/>
        <w:t>99 to 2021</w:t>
      </w:r>
      <w:r>
        <w:noBreakHyphen/>
        <w:t>22</w:t>
      </w:r>
    </w:p>
    <w:p w14:paraId="26972D4C" w14:textId="77777777" w:rsidR="00E21DC1" w:rsidRDefault="00E21DC1" w:rsidP="00E21DC1">
      <w:pPr>
        <w:pStyle w:val="Note"/>
        <w:keepLines/>
      </w:pPr>
      <w:r w:rsidRPr="007A2EF7">
        <w:rPr>
          <w:noProof/>
        </w:rPr>
        <w:drawing>
          <wp:inline distT="0" distB="0" distL="0" distR="0" wp14:anchorId="1FC44BD0" wp14:editId="13BB7333">
            <wp:extent cx="6120130" cy="2813050"/>
            <wp:effectExtent l="0" t="0" r="0" b="0"/>
            <wp:docPr id="680284064" name="Picture 680284064" descr="This figure shows the growth in real wages for different choices of price deflator between 1998 99 and 2021 22. These price deflators are the consumer price index, the implicit GDP deflator and the select cost of living index for employees. It can be seen that wages deflated by either of the two consumer price deflators — consumer price index and select cost of living index — had faster growth than wages deflated by the implicit GDP deflator (a proxy for producer pric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284064" name="Picture 680284064" descr="This figure shows the growth in real wages for different choices of price deflator between 1998 99 and 2021 22. These price deflators are the consumer price index, the implicit GDP deflator and the select cost of living index for employees. It can be seen that wages deflated by either of the two consumer price deflators — consumer price index and select cost of living index — had faster growth than wages deflated by the implicit GDP deflator (a proxy for producer prices). "/>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120130" cy="2813050"/>
                    </a:xfrm>
                    <a:prstGeom prst="rect">
                      <a:avLst/>
                    </a:prstGeom>
                    <a:noFill/>
                    <a:ln>
                      <a:noFill/>
                    </a:ln>
                  </pic:spPr>
                </pic:pic>
              </a:graphicData>
            </a:graphic>
          </wp:inline>
        </w:drawing>
      </w:r>
    </w:p>
    <w:p w14:paraId="10B18AC3" w14:textId="77777777" w:rsidR="00E21DC1" w:rsidRDefault="00E21DC1" w:rsidP="00E21DC1">
      <w:pPr>
        <w:pStyle w:val="Note"/>
        <w:keepLines/>
      </w:pPr>
      <w:r w:rsidRPr="00180E66">
        <w:rPr>
          <w:b/>
          <w:bCs/>
        </w:rPr>
        <w:t>a.</w:t>
      </w:r>
      <w:r>
        <w:t xml:space="preserve"> The nominal wage rate underpinning these calculations is measured as compensation of employees per hour from table 16 of the </w:t>
      </w:r>
      <w:r w:rsidRPr="00A9266E">
        <w:rPr>
          <w:i/>
          <w:iCs/>
        </w:rPr>
        <w:t>National Accounts</w:t>
      </w:r>
      <w:r>
        <w:t>. Given the assumption that wage rates of owner</w:t>
      </w:r>
      <w:r>
        <w:noBreakHyphen/>
        <w:t>managers of unincorporated enterprises obtain the same wage rates as employees, this wage rate is also equal to the wage rate for all employed Australians (owner</w:t>
      </w:r>
      <w:r>
        <w:noBreakHyphen/>
        <w:t xml:space="preserve">managers and employees together). </w:t>
      </w:r>
    </w:p>
    <w:p w14:paraId="06251FA1" w14:textId="77777777" w:rsidR="00E21DC1" w:rsidRDefault="00E21DC1" w:rsidP="00E21DC1">
      <w:pPr>
        <w:pStyle w:val="Source"/>
      </w:pPr>
      <w:r w:rsidRPr="00696447">
        <w:t>Source:</w:t>
      </w:r>
      <w:r>
        <w:t xml:space="preserve"> Commission estimates using: ABS (</w:t>
      </w:r>
      <w:r w:rsidRPr="00B131FA">
        <w:rPr>
          <w:i/>
          <w:iCs/>
        </w:rPr>
        <w:t xml:space="preserve">Australian </w:t>
      </w:r>
      <w:r>
        <w:rPr>
          <w:i/>
          <w:iCs/>
        </w:rPr>
        <w:t>S</w:t>
      </w:r>
      <w:r w:rsidRPr="00B131FA">
        <w:rPr>
          <w:i/>
          <w:iCs/>
        </w:rPr>
        <w:t xml:space="preserve">ystem of </w:t>
      </w:r>
      <w:r>
        <w:rPr>
          <w:i/>
          <w:iCs/>
        </w:rPr>
        <w:t>N</w:t>
      </w:r>
      <w:r w:rsidRPr="00B131FA">
        <w:rPr>
          <w:i/>
          <w:iCs/>
        </w:rPr>
        <w:t xml:space="preserve">ational </w:t>
      </w:r>
      <w:r>
        <w:rPr>
          <w:i/>
          <w:iCs/>
        </w:rPr>
        <w:t>A</w:t>
      </w:r>
      <w:r w:rsidRPr="00B131FA">
        <w:rPr>
          <w:i/>
          <w:iCs/>
        </w:rPr>
        <w:t>ccounts, 2021</w:t>
      </w:r>
      <w:r w:rsidRPr="00B131FA">
        <w:rPr>
          <w:i/>
          <w:iCs/>
        </w:rPr>
        <w:noBreakHyphen/>
        <w:t>22</w:t>
      </w:r>
      <w:r>
        <w:t>, Cat. no. </w:t>
      </w:r>
      <w:r w:rsidRPr="00F567CF">
        <w:t>5204</w:t>
      </w:r>
      <w:r>
        <w:t xml:space="preserve">, table 6; </w:t>
      </w:r>
      <w:r w:rsidRPr="00BB0F6B">
        <w:rPr>
          <w:i/>
          <w:iCs/>
        </w:rPr>
        <w:t>Labour Account Australia, March 2023</w:t>
      </w:r>
      <w:r>
        <w:t>, Cat. no. </w:t>
      </w:r>
      <w:r w:rsidRPr="00821D54">
        <w:t>6150.0.55.003</w:t>
      </w:r>
      <w:r>
        <w:t xml:space="preserve">, industry summary tables; </w:t>
      </w:r>
      <w:r w:rsidRPr="00CA6C97">
        <w:rPr>
          <w:i/>
          <w:iCs/>
        </w:rPr>
        <w:t>Labour Force, Australia, Detailed, April 2023</w:t>
      </w:r>
      <w:r>
        <w:t>, Cat. no. </w:t>
      </w:r>
      <w:r w:rsidRPr="009541C2">
        <w:t>6291.0.55.001</w:t>
      </w:r>
      <w:r>
        <w:t xml:space="preserve">, table EQ05; </w:t>
      </w:r>
      <w:r w:rsidRPr="004553E0">
        <w:rPr>
          <w:i/>
          <w:iCs/>
        </w:rPr>
        <w:t>Consumer Price Index, Australia</w:t>
      </w:r>
      <w:r>
        <w:t>, Cat. no. </w:t>
      </w:r>
      <w:r w:rsidRPr="00181E4E">
        <w:t>6401</w:t>
      </w:r>
      <w:r>
        <w:t>, table 1)</w:t>
      </w:r>
      <w:r w:rsidRPr="00696447">
        <w:t>.</w:t>
      </w:r>
    </w:p>
    <w:p w14:paraId="593B0D39" w14:textId="13E497DB" w:rsidR="00E21DC1" w:rsidRPr="0056301D" w:rsidRDefault="00E21DC1" w:rsidP="00E21DC1">
      <w:pPr>
        <w:pStyle w:val="BodyText"/>
        <w:rPr>
          <w:spacing w:val="-2"/>
        </w:rPr>
      </w:pPr>
      <w:r w:rsidRPr="0056301D">
        <w:rPr>
          <w:spacing w:val="-2"/>
        </w:rPr>
        <w:t xml:space="preserve">We still present results on the gap between labour productivity and real wages based on CPI to break down how much of this is due to true decoupling (the gap between productivity and real producer wages) and the relative price of consumption to production – what the ABS refers to as ‘labour’s terms of trade’ </w:t>
      </w:r>
      <w:r w:rsidRPr="0056301D">
        <w:rPr>
          <w:rFonts w:cs="Arial"/>
          <w:spacing w:val="-2"/>
          <w:szCs w:val="24"/>
        </w:rPr>
        <w:t>(ABS 2022e)</w:t>
      </w:r>
      <w:r w:rsidRPr="0056301D">
        <w:rPr>
          <w:spacing w:val="-2"/>
        </w:rPr>
        <w:t xml:space="preserve">. When consumer prices are used to deflate wages, we term this </w:t>
      </w:r>
      <w:r w:rsidRPr="0056301D">
        <w:rPr>
          <w:b/>
          <w:spacing w:val="-2"/>
        </w:rPr>
        <w:t xml:space="preserve">consumer wages </w:t>
      </w:r>
      <w:r w:rsidRPr="0056301D">
        <w:rPr>
          <w:spacing w:val="-2"/>
        </w:rPr>
        <w:t xml:space="preserve">while when producer prices are used, we refer to this as </w:t>
      </w:r>
      <w:r w:rsidRPr="0056301D">
        <w:rPr>
          <w:b/>
          <w:spacing w:val="-2"/>
        </w:rPr>
        <w:t>producer wages.</w:t>
      </w:r>
    </w:p>
    <w:p w14:paraId="49772437" w14:textId="5FCB10CF" w:rsidR="00E21DC1" w:rsidRDefault="00E21DC1" w:rsidP="00E21DC1">
      <w:pPr>
        <w:pStyle w:val="NoSpacing"/>
      </w:pPr>
    </w:p>
    <w:tbl>
      <w:tblPr>
        <w:tblStyle w:val="TableGrid"/>
        <w:tblW w:w="5000" w:type="pct"/>
        <w:tblBorders>
          <w:top w:val="single" w:sz="4" w:space="0" w:color="66BCDB" w:themeColor="text2"/>
          <w:left w:val="single" w:sz="4" w:space="0" w:color="66BCDB" w:themeColor="text2"/>
          <w:bottom w:val="single" w:sz="4" w:space="0" w:color="66BCDB" w:themeColor="text2"/>
          <w:right w:val="single" w:sz="4" w:space="0" w:color="66BCDB" w:themeColor="text2"/>
          <w:insideH w:val="none" w:sz="0" w:space="0" w:color="auto"/>
          <w:insideV w:val="none" w:sz="0" w:space="0" w:color="auto"/>
        </w:tblBorders>
        <w:tblCellMar>
          <w:bottom w:w="113" w:type="dxa"/>
        </w:tblCellMar>
        <w:tblLook w:val="04A0" w:firstRow="1" w:lastRow="0" w:firstColumn="1" w:lastColumn="0" w:noHBand="0" w:noVBand="1"/>
      </w:tblPr>
      <w:tblGrid>
        <w:gridCol w:w="705"/>
        <w:gridCol w:w="8923"/>
      </w:tblGrid>
      <w:tr w:rsidR="00E21DC1" w14:paraId="6CE76193" w14:textId="77777777">
        <w:trPr>
          <w:trHeight w:val="765"/>
          <w:tblHeader/>
        </w:trPr>
        <w:tc>
          <w:tcPr>
            <w:tcW w:w="366" w:type="pct"/>
            <w:tcBorders>
              <w:bottom w:val="nil"/>
            </w:tcBorders>
            <w:tcMar>
              <w:bottom w:w="0" w:type="dxa"/>
            </w:tcMar>
            <w:vAlign w:val="center"/>
          </w:tcPr>
          <w:p w14:paraId="7AB52A05" w14:textId="77777777" w:rsidR="00E21DC1" w:rsidRDefault="00E21DC1">
            <w:pPr>
              <w:pStyle w:val="NoSpacing"/>
              <w:keepNext/>
              <w:keepLines/>
              <w:jc w:val="right"/>
            </w:pPr>
            <w:r w:rsidRPr="00A51374">
              <w:rPr>
                <w:noProof/>
              </w:rPr>
              <w:lastRenderedPageBreak/>
              <w:drawing>
                <wp:inline distT="0" distB="0" distL="0" distR="0" wp14:anchorId="511A1A56" wp14:editId="71712C3B">
                  <wp:extent cx="288000" cy="288000"/>
                  <wp:effectExtent l="0" t="0" r="0" b="0"/>
                  <wp:docPr id="1154579991" name="Picture 11545799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Graphic 39">
                            <a:extLst>
                              <a:ext uri="{C183D7F6-B498-43B3-948B-1728B52AA6E4}">
                                <adec:decorative xmlns:adec="http://schemas.microsoft.com/office/drawing/2017/decorative" val="1"/>
                              </a:ext>
                            </a:extLst>
                          </pic:cNvPr>
                          <pic:cNvPicPr/>
                        </pic:nvPicPr>
                        <pic:blipFill>
                          <a:blip r:embed="rId28">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634" w:type="pct"/>
            <w:tcBorders>
              <w:bottom w:val="nil"/>
            </w:tcBorders>
            <w:tcMar>
              <w:bottom w:w="0" w:type="dxa"/>
            </w:tcMar>
            <w:vAlign w:val="center"/>
          </w:tcPr>
          <w:p w14:paraId="1319EC11" w14:textId="726B04CC" w:rsidR="00E21DC1" w:rsidRPr="000528B0" w:rsidRDefault="00E21DC1">
            <w:pPr>
              <w:pStyle w:val="TableHeading"/>
              <w:keepNext/>
              <w:keepLines/>
              <w:spacing w:before="120" w:after="120"/>
              <w:contextualSpacing/>
              <w:rPr>
                <w:sz w:val="20"/>
              </w:rPr>
            </w:pPr>
            <w:r w:rsidRPr="000528B0">
              <w:rPr>
                <w:sz w:val="20"/>
              </w:rPr>
              <w:t xml:space="preserve">Data issue </w:t>
            </w:r>
            <w:r w:rsidR="003C6317">
              <w:rPr>
                <w:sz w:val="20"/>
              </w:rPr>
              <w:t xml:space="preserve">conclusion </w:t>
            </w:r>
            <w:r w:rsidRPr="000528B0">
              <w:rPr>
                <w:sz w:val="20"/>
              </w:rPr>
              <w:t>4</w:t>
            </w:r>
          </w:p>
          <w:p w14:paraId="64821187" w14:textId="77777777" w:rsidR="00E21DC1" w:rsidRDefault="00E21DC1">
            <w:pPr>
              <w:pStyle w:val="TableHeading"/>
              <w:keepNext/>
              <w:keepLines/>
              <w:spacing w:before="120" w:after="120"/>
              <w:contextualSpacing/>
            </w:pPr>
            <w:r w:rsidRPr="000528B0">
              <w:rPr>
                <w:sz w:val="20"/>
              </w:rPr>
              <w:t>What price deflator to use to convert nominal into real wages?</w:t>
            </w:r>
          </w:p>
        </w:tc>
      </w:tr>
      <w:tr w:rsidR="00E21DC1" w14:paraId="5B021925" w14:textId="77777777">
        <w:tc>
          <w:tcPr>
            <w:tcW w:w="5000" w:type="pct"/>
            <w:gridSpan w:val="2"/>
            <w:tcBorders>
              <w:top w:val="nil"/>
              <w:bottom w:val="single" w:sz="4" w:space="0" w:color="66BCDB" w:themeColor="text2"/>
            </w:tcBorders>
          </w:tcPr>
          <w:p w14:paraId="03973613" w14:textId="77777777" w:rsidR="00E21DC1" w:rsidRPr="008305BC" w:rsidRDefault="00E21DC1">
            <w:pPr>
              <w:pStyle w:val="BodyText"/>
              <w:keepLines/>
            </w:pPr>
            <w:r>
              <w:t xml:space="preserve">Producer prices are preferable to consumer prices for deflating wages when comparing them to labour productivity. Businesses cannot necessarily remunerate workers based on consumer prices, which they have only incomplete control over. Moreover, the labour share of income, which is frequently used to examine how much income flows to the employed, is based on producer prices (the labour share is equal to economywide producer wages divided by labour productivity). </w:t>
            </w:r>
          </w:p>
        </w:tc>
      </w:tr>
      <w:tr w:rsidR="00E21DC1" w14:paraId="53ED4D2E" w14:textId="77777777">
        <w:tc>
          <w:tcPr>
            <w:tcW w:w="5000" w:type="pct"/>
            <w:gridSpan w:val="2"/>
            <w:tcBorders>
              <w:top w:val="single" w:sz="4" w:space="0" w:color="66BCDB" w:themeColor="text2"/>
              <w:left w:val="nil"/>
              <w:bottom w:val="nil"/>
              <w:right w:val="nil"/>
            </w:tcBorders>
            <w:tcMar>
              <w:bottom w:w="0" w:type="dxa"/>
            </w:tcMar>
          </w:tcPr>
          <w:p w14:paraId="7A8B7AA7" w14:textId="0C50C06D" w:rsidR="00E21DC1" w:rsidRDefault="00E21DC1">
            <w:pPr>
              <w:pStyle w:val="NoSpacing"/>
              <w:spacing w:line="200" w:lineRule="atLeast"/>
            </w:pPr>
          </w:p>
        </w:tc>
      </w:tr>
    </w:tbl>
    <w:p w14:paraId="51B6C8EF" w14:textId="77777777" w:rsidR="00E21DC1" w:rsidRDefault="00E21DC1" w:rsidP="00E21DC1">
      <w:pPr>
        <w:pStyle w:val="Heading3"/>
      </w:pPr>
      <w:r>
        <w:t xml:space="preserve">Data issue 5: </w:t>
      </w:r>
      <w:r w:rsidDel="00CD0F9E">
        <w:t>c</w:t>
      </w:r>
      <w:r>
        <w:t>hoice of time period</w:t>
      </w:r>
    </w:p>
    <w:p w14:paraId="6C474FE3" w14:textId="27353481" w:rsidR="00E21DC1" w:rsidRDefault="00E21DC1" w:rsidP="00E21DC1">
      <w:pPr>
        <w:pStyle w:val="BodyText"/>
      </w:pPr>
      <w:r>
        <w:t>The degree of wage decoupling (or overhang) varies over time so that the choice of period can result in different conclusions about the significance of wage decoupling. An illustration of this is the different perspectives on decoupling when the commencement date is 1985</w:t>
      </w:r>
      <w:r>
        <w:noBreakHyphen/>
        <w:t>86 compared with 1994</w:t>
      </w:r>
      <w:r>
        <w:noBreakHyphen/>
        <w:t>95 (figure </w:t>
      </w:r>
      <w:r w:rsidR="00D74B1C">
        <w:t>6</w:t>
      </w:r>
      <w:r>
        <w:t xml:space="preserve">). </w:t>
      </w:r>
    </w:p>
    <w:p w14:paraId="06D0BA38" w14:textId="74519C8C" w:rsidR="00E21DC1" w:rsidRDefault="00E21DC1" w:rsidP="00E21DC1">
      <w:pPr>
        <w:pStyle w:val="BodyText"/>
      </w:pPr>
      <w:r>
        <w:t>There are three approaches that better indicate the degree to which real wages follow labour productivity: the ratio between the two over time (figure </w:t>
      </w:r>
      <w:r w:rsidR="009559E8">
        <w:t>7</w:t>
      </w:r>
      <w:r>
        <w:t>), the differences in growth rates across business cycles (table 2) and the differences in results that arise from using different starting dates (figure </w:t>
      </w:r>
      <w:r w:rsidR="009559E8">
        <w:t>8</w:t>
      </w:r>
      <w:r>
        <w:t>). While there have been periods when aggregate real producer wages have risen at about the same rate as labour productivity (such as from 1994</w:t>
      </w:r>
      <w:r>
        <w:noBreakHyphen/>
        <w:t>95 to 1997</w:t>
      </w:r>
      <w:r>
        <w:noBreakHyphen/>
        <w:t>98 and 2009</w:t>
      </w:r>
      <w:r>
        <w:noBreakHyphen/>
        <w:t>10 to 2017</w:t>
      </w:r>
      <w:r>
        <w:noBreakHyphen/>
        <w:t>18), the long run outcome has been annual growth in labour productivity that exceeds real wage growth by about 0.5 %.</w:t>
      </w:r>
      <w:r w:rsidRPr="007C14DC">
        <w:rPr>
          <w:rStyle w:val="FootnoteReference"/>
        </w:rPr>
        <w:footnoteReference w:id="7"/>
      </w:r>
      <w:r>
        <w:t xml:space="preserve"> </w:t>
      </w:r>
    </w:p>
    <w:p w14:paraId="1084A879" w14:textId="69F9B0A1" w:rsidR="00E21DC1" w:rsidRPr="00CC271A" w:rsidRDefault="00E21DC1" w:rsidP="00E21DC1">
      <w:pPr>
        <w:pStyle w:val="BodyText"/>
        <w:rPr>
          <w:spacing w:val="-4"/>
        </w:rPr>
      </w:pPr>
      <w:r w:rsidRPr="00CC271A">
        <w:rPr>
          <w:spacing w:val="-4"/>
        </w:rPr>
        <w:t>For the purposes of considering the impact of industry composition on the aggregate results, we have used the data from 1994</w:t>
      </w:r>
      <w:r w:rsidRPr="00CC271A">
        <w:rPr>
          <w:spacing w:val="-4"/>
        </w:rPr>
        <w:noBreakHyphen/>
        <w:t>95 to 2021</w:t>
      </w:r>
      <w:r w:rsidRPr="00CC271A">
        <w:rPr>
          <w:spacing w:val="-4"/>
        </w:rPr>
        <w:noBreakHyphen/>
        <w:t>22 as this allows the use of consistent data at the industry level. The long</w:t>
      </w:r>
      <w:r w:rsidRPr="00CC271A">
        <w:rPr>
          <w:spacing w:val="-4"/>
        </w:rPr>
        <w:noBreakHyphen/>
        <w:t>run patterns for that shorter period for decoupling of productivity from real producer wages are very similar to that for the longer period shown in table 2, suggesting few biases from that approach. However, it is also evident that estimating decoupling for short periods are likely to be unreliable (figure </w:t>
      </w:r>
      <w:r w:rsidR="009559E8" w:rsidRPr="00CC271A">
        <w:rPr>
          <w:spacing w:val="-4"/>
        </w:rPr>
        <w:t>8</w:t>
      </w:r>
      <w:r w:rsidRPr="00CC271A">
        <w:rPr>
          <w:spacing w:val="-4"/>
        </w:rPr>
        <w:t xml:space="preserve">), and so should generally not be used. </w:t>
      </w:r>
    </w:p>
    <w:p w14:paraId="4C3FF14A" w14:textId="7397029B" w:rsidR="00E21DC1" w:rsidRDefault="00E21DC1" w:rsidP="00E21DC1">
      <w:pPr>
        <w:pStyle w:val="FigureTableHeading"/>
      </w:pPr>
      <w:r>
        <w:lastRenderedPageBreak/>
        <w:t>Fig</w:t>
      </w:r>
      <w:r w:rsidRPr="00DD720C">
        <w:rPr>
          <w:b/>
          <w:bCs/>
        </w:rPr>
        <w:t xml:space="preserve">ure </w:t>
      </w:r>
      <w:r w:rsidR="002B4160">
        <w:rPr>
          <w:noProof/>
        </w:rPr>
        <w:t>6</w:t>
      </w:r>
      <w:r>
        <w:rPr>
          <w:noProof/>
        </w:rPr>
        <w:t xml:space="preserve"> </w:t>
      </w:r>
      <w:r>
        <w:t>– The gap between labour productivity and real wages depends on the chosen time period</w:t>
      </w:r>
      <w:r w:rsidRPr="00066CF5">
        <w:rPr>
          <w:vertAlign w:val="superscript"/>
        </w:rPr>
        <w:t>a</w:t>
      </w:r>
      <w:r>
        <w:rPr>
          <w:vertAlign w:val="superscript"/>
        </w:rPr>
        <w:t>,b</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A0" w:firstRow="1" w:lastRow="0" w:firstColumn="1" w:lastColumn="0" w:noHBand="1" w:noVBand="1"/>
      </w:tblPr>
      <w:tblGrid>
        <w:gridCol w:w="4819"/>
        <w:gridCol w:w="4819"/>
      </w:tblGrid>
      <w:tr w:rsidR="00E21DC1" w:rsidRPr="005550A0" w14:paraId="58E74C80" w14:textId="77777777">
        <w:trPr>
          <w:tblHeader/>
        </w:trPr>
        <w:tc>
          <w:tcPr>
            <w:tcW w:w="2500" w:type="pct"/>
            <w:shd w:val="clear" w:color="auto" w:fill="auto"/>
          </w:tcPr>
          <w:p w14:paraId="4C187AB9" w14:textId="77777777" w:rsidR="00E21DC1" w:rsidRPr="005550A0" w:rsidRDefault="00E21DC1">
            <w:pPr>
              <w:pStyle w:val="TableBody"/>
            </w:pPr>
            <w:r w:rsidRPr="00E02FC4">
              <w:rPr>
                <w:noProof/>
              </w:rPr>
              <w:drawing>
                <wp:inline distT="0" distB="0" distL="0" distR="0" wp14:anchorId="1DBACF38" wp14:editId="2F5B8B13">
                  <wp:extent cx="2991485" cy="2913380"/>
                  <wp:effectExtent l="0" t="0" r="0" b="0"/>
                  <wp:docPr id="2134756112" name="Picture 2134756112" descr="This figure has two panels with both showing growth in labour productivity, producer wages and consumer wages but over different time period. In the left hand panel, these measures are shown between 1985 86 and 2021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756112" name="Picture 2134756112" descr="This figure has two panels with both showing growth in labour productivity, producer wages and consumer wages but over different time period. In the left hand panel, these measures are shown between 1985 86 and 2021 2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991485" cy="2913380"/>
                          </a:xfrm>
                          <a:prstGeom prst="rect">
                            <a:avLst/>
                          </a:prstGeom>
                          <a:noFill/>
                          <a:ln>
                            <a:noFill/>
                          </a:ln>
                        </pic:spPr>
                      </pic:pic>
                    </a:graphicData>
                  </a:graphic>
                </wp:inline>
              </w:drawing>
            </w:r>
          </w:p>
        </w:tc>
        <w:tc>
          <w:tcPr>
            <w:tcW w:w="2500" w:type="pct"/>
            <w:shd w:val="clear" w:color="auto" w:fill="auto"/>
          </w:tcPr>
          <w:p w14:paraId="6228F90D" w14:textId="77777777" w:rsidR="00E21DC1" w:rsidRPr="005550A0" w:rsidRDefault="00E21DC1">
            <w:pPr>
              <w:pStyle w:val="TableBody"/>
            </w:pPr>
            <w:r w:rsidRPr="00925134">
              <w:rPr>
                <w:noProof/>
              </w:rPr>
              <w:drawing>
                <wp:inline distT="0" distB="0" distL="0" distR="0" wp14:anchorId="4726A74E" wp14:editId="1BE07B00">
                  <wp:extent cx="2991485" cy="2913380"/>
                  <wp:effectExtent l="0" t="0" r="0" b="0"/>
                  <wp:docPr id="472760176" name="Picture 472760176" descr="In the right hand panel, these measures are shown between 1994 95 and 2021 22. Generally, it can bee seen that the left hand side, with an earlier starting date, shows a greater total gap between growth in labour productivity and growth in wag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60176" name="Picture 472760176" descr="In the right hand panel, these measures are shown between 1994 95 and 2021 22. Generally, it can bee seen that the left hand side, with an earlier starting date, shows a greater total gap between growth in labour productivity and growth in wages. "/>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991485" cy="2913380"/>
                          </a:xfrm>
                          <a:prstGeom prst="rect">
                            <a:avLst/>
                          </a:prstGeom>
                          <a:noFill/>
                          <a:ln>
                            <a:noFill/>
                          </a:ln>
                        </pic:spPr>
                      </pic:pic>
                    </a:graphicData>
                  </a:graphic>
                </wp:inline>
              </w:drawing>
            </w:r>
          </w:p>
        </w:tc>
      </w:tr>
    </w:tbl>
    <w:p w14:paraId="3C6EB01A" w14:textId="77777777" w:rsidR="00E21DC1" w:rsidRDefault="00E21DC1" w:rsidP="00E21DC1">
      <w:pPr>
        <w:pStyle w:val="Note"/>
        <w:keepLines/>
      </w:pPr>
      <w:r w:rsidRPr="00180E66">
        <w:rPr>
          <w:b/>
          <w:bCs/>
        </w:rPr>
        <w:t>a.</w:t>
      </w:r>
      <w:r>
        <w:t xml:space="preserve"> Nominal wages constructed using methodology outlined in box 1. For simplicity, using compensation of employees per hour from table 16 of the </w:t>
      </w:r>
      <w:r w:rsidRPr="00A9266E">
        <w:rPr>
          <w:i/>
          <w:iCs/>
        </w:rPr>
        <w:t>National Accounts</w:t>
      </w:r>
      <w:r>
        <w:t xml:space="preserve"> will yield – by construction – an identical result. Nominal wages are then deflated by either the consumer price index (consumer wages) or the implicit GDP deflator (producer wages). </w:t>
      </w:r>
      <w:r w:rsidRPr="00180E66">
        <w:rPr>
          <w:b/>
          <w:bCs/>
        </w:rPr>
        <w:t>b.</w:t>
      </w:r>
      <w:r>
        <w:t xml:space="preserve"> Annual average growth is the geometric growth from point to point (rather than an average of growth rates). </w:t>
      </w:r>
      <w:r w:rsidRPr="00DD3FBD">
        <w:t>Note that the ABS only has data on the split between employee and owner</w:t>
      </w:r>
      <w:r>
        <w:noBreakHyphen/>
      </w:r>
      <w:r w:rsidRPr="00DD3FBD">
        <w:t>manager hours worked back to 1985</w:t>
      </w:r>
      <w:r>
        <w:noBreakHyphen/>
      </w:r>
      <w:r w:rsidRPr="00DD3FBD">
        <w:t>86, so this is the earliest starting point due to the Commission’s chosen method of splitting GMI between capital and labour.</w:t>
      </w:r>
    </w:p>
    <w:p w14:paraId="7D66BAF8" w14:textId="77777777" w:rsidR="00E21DC1" w:rsidRPr="002D0E34" w:rsidRDefault="00E21DC1" w:rsidP="00E21DC1">
      <w:pPr>
        <w:pStyle w:val="Source"/>
        <w:rPr>
          <w:spacing w:val="-2"/>
        </w:rPr>
      </w:pPr>
      <w:r w:rsidRPr="002D0E34">
        <w:rPr>
          <w:spacing w:val="-2"/>
        </w:rPr>
        <w:t>Source: Commission estimates using: ABS (</w:t>
      </w:r>
      <w:r w:rsidRPr="002D0E34">
        <w:rPr>
          <w:i/>
          <w:spacing w:val="-2"/>
        </w:rPr>
        <w:t>Australian System of National Accounts, 2021</w:t>
      </w:r>
      <w:r w:rsidRPr="002D0E34">
        <w:rPr>
          <w:i/>
          <w:spacing w:val="-2"/>
        </w:rPr>
        <w:noBreakHyphen/>
        <w:t>22</w:t>
      </w:r>
      <w:r w:rsidRPr="002D0E34">
        <w:rPr>
          <w:spacing w:val="-2"/>
        </w:rPr>
        <w:t xml:space="preserve">, Cat. no. 5204.0., tables 1 and 6; </w:t>
      </w:r>
      <w:r w:rsidRPr="002D0E34">
        <w:rPr>
          <w:i/>
          <w:spacing w:val="-2"/>
        </w:rPr>
        <w:t>Labour Account Australia, March 2023</w:t>
      </w:r>
      <w:r w:rsidRPr="002D0E34">
        <w:rPr>
          <w:spacing w:val="-2"/>
        </w:rPr>
        <w:t xml:space="preserve">, Cat. no. 6150.0.55.003., industry summary tables; </w:t>
      </w:r>
      <w:r w:rsidRPr="002D0E34">
        <w:rPr>
          <w:i/>
          <w:spacing w:val="-2"/>
        </w:rPr>
        <w:t>Labour Force, Australia, Detailed, April 2023</w:t>
      </w:r>
      <w:r w:rsidRPr="002D0E34">
        <w:rPr>
          <w:spacing w:val="-2"/>
        </w:rPr>
        <w:t xml:space="preserve">, Cat. no. 6291.0.55.001., table EQ05; </w:t>
      </w:r>
      <w:r w:rsidRPr="002D0E34">
        <w:rPr>
          <w:i/>
          <w:spacing w:val="-2"/>
        </w:rPr>
        <w:t>Consumer Price Index, Australia</w:t>
      </w:r>
      <w:r w:rsidRPr="002D0E34">
        <w:rPr>
          <w:spacing w:val="-2"/>
        </w:rPr>
        <w:t>, Cat. no. 6401.0., table 1).</w:t>
      </w:r>
    </w:p>
    <w:p w14:paraId="691FC104" w14:textId="38DFD923" w:rsidR="00E21DC1" w:rsidRPr="00146382" w:rsidRDefault="00E21DC1" w:rsidP="00E21DC1">
      <w:pPr>
        <w:pStyle w:val="FigureTableHeading"/>
      </w:pPr>
      <w:r>
        <w:t xml:space="preserve">Figure </w:t>
      </w:r>
      <w:r w:rsidR="002B4160">
        <w:rPr>
          <w:noProof/>
        </w:rPr>
        <w:t>7</w:t>
      </w:r>
      <w:r>
        <w:rPr>
          <w:noProof/>
        </w:rPr>
        <w:t xml:space="preserve"> </w:t>
      </w:r>
      <w:r>
        <w:t>– The ratio between real wages and labour productivity has been falling</w:t>
      </w:r>
      <w:r>
        <w:rPr>
          <w:vertAlign w:val="superscript"/>
        </w:rPr>
        <w:t>a</w:t>
      </w:r>
    </w:p>
    <w:p w14:paraId="023C994A" w14:textId="77777777" w:rsidR="00E21DC1" w:rsidRDefault="00E21DC1" w:rsidP="00E21DC1">
      <w:pPr>
        <w:pStyle w:val="FigureTableSubheading"/>
        <w:keepLines/>
      </w:pPr>
      <w:r>
        <w:t>1985</w:t>
      </w:r>
      <w:r>
        <w:noBreakHyphen/>
        <w:t>86 to 2021</w:t>
      </w:r>
      <w:r>
        <w:noBreakHyphen/>
        <w:t>22</w:t>
      </w:r>
    </w:p>
    <w:p w14:paraId="69D14F66" w14:textId="77777777" w:rsidR="00E21DC1" w:rsidRDefault="00E21DC1" w:rsidP="00E21DC1">
      <w:pPr>
        <w:pStyle w:val="Note"/>
        <w:keepLines/>
        <w:spacing w:before="0" w:after="0"/>
      </w:pPr>
      <w:r w:rsidRPr="00BB0DA8">
        <w:rPr>
          <w:noProof/>
        </w:rPr>
        <w:drawing>
          <wp:inline distT="0" distB="0" distL="0" distR="0" wp14:anchorId="17D00901" wp14:editId="1C760BDF">
            <wp:extent cx="6119537" cy="2610465"/>
            <wp:effectExtent l="0" t="0" r="0" b="0"/>
            <wp:docPr id="1271496950" name="Picture 1271496950" descr="This figures shows the ratio of producer wages to labour productivity (in light blue) and the ratio of consumer wages to labour productivity (dark blue) between 1985 86 and 2021 22. It can be seen that both ratios fell significantly over this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496950" name="Picture 1271496950" descr="This figures shows the ratio of producer wages to labour productivity (in light blue) and the ratio of consumer wages to labour productivity (dark blue) between 1985 86 and 2021 22. It can be seen that both ratios fell significantly over this time."/>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t="3627" b="4663"/>
                    <a:stretch/>
                  </pic:blipFill>
                  <pic:spPr bwMode="auto">
                    <a:xfrm>
                      <a:off x="0" y="0"/>
                      <a:ext cx="6120130" cy="2610718"/>
                    </a:xfrm>
                    <a:prstGeom prst="rect">
                      <a:avLst/>
                    </a:prstGeom>
                    <a:noFill/>
                    <a:ln>
                      <a:noFill/>
                    </a:ln>
                    <a:extLst>
                      <a:ext uri="{53640926-AAD7-44D8-BBD7-CCE9431645EC}">
                        <a14:shadowObscured xmlns:a14="http://schemas.microsoft.com/office/drawing/2010/main"/>
                      </a:ext>
                    </a:extLst>
                  </pic:spPr>
                </pic:pic>
              </a:graphicData>
            </a:graphic>
          </wp:inline>
        </w:drawing>
      </w:r>
    </w:p>
    <w:p w14:paraId="1DDFD9A5" w14:textId="77777777" w:rsidR="00E21DC1" w:rsidRDefault="00E21DC1" w:rsidP="00E21DC1">
      <w:pPr>
        <w:pStyle w:val="Note"/>
      </w:pPr>
      <w:r>
        <w:rPr>
          <w:b/>
          <w:bCs/>
        </w:rPr>
        <w:t>a</w:t>
      </w:r>
      <w:r w:rsidRPr="00180E66">
        <w:rPr>
          <w:b/>
          <w:bCs/>
        </w:rPr>
        <w:t>.</w:t>
      </w:r>
      <w:r>
        <w:t xml:space="preserve"> The ratios are the values in dollars of real producer and consumer wages to the real dollar value of labour productivity. </w:t>
      </w:r>
    </w:p>
    <w:p w14:paraId="2FAD5467" w14:textId="77777777" w:rsidR="00E21DC1" w:rsidRDefault="00E21DC1" w:rsidP="00E21DC1">
      <w:pPr>
        <w:pStyle w:val="Source"/>
      </w:pPr>
      <w:r w:rsidRPr="00696447">
        <w:t xml:space="preserve">Source: </w:t>
      </w:r>
      <w:r>
        <w:t>As in the previous figure</w:t>
      </w:r>
      <w:r w:rsidRPr="00696447">
        <w:t>.</w:t>
      </w:r>
    </w:p>
    <w:p w14:paraId="278BB582" w14:textId="59C75324" w:rsidR="00E21DC1" w:rsidRDefault="00E21DC1" w:rsidP="00E21DC1">
      <w:pPr>
        <w:pStyle w:val="FigureTableHeading"/>
      </w:pPr>
      <w:r>
        <w:lastRenderedPageBreak/>
        <w:t xml:space="preserve">Table </w:t>
      </w:r>
      <w:r w:rsidR="002B4160">
        <w:rPr>
          <w:noProof/>
        </w:rPr>
        <w:t>2</w:t>
      </w:r>
      <w:r>
        <w:rPr>
          <w:noProof/>
        </w:rPr>
        <w:t xml:space="preserve"> – </w:t>
      </w:r>
      <w:r>
        <w:t>Trends in aggregate real wages and labour productivity over growth cycles</w:t>
      </w:r>
      <w:r>
        <w:rPr>
          <w:vertAlign w:val="superscript"/>
        </w:rPr>
        <w:t>a</w:t>
      </w:r>
    </w:p>
    <w:tbl>
      <w:tblPr>
        <w:tblW w:w="9639" w:type="dxa"/>
        <w:tblBorders>
          <w:bottom w:val="single" w:sz="4" w:space="0" w:color="B3B3B3"/>
        </w:tblBorders>
        <w:shd w:val="clear" w:color="000000" w:fill="auto"/>
        <w:tblLayout w:type="fixed"/>
        <w:tblCellMar>
          <w:left w:w="0" w:type="dxa"/>
          <w:right w:w="0" w:type="dxa"/>
        </w:tblCellMar>
        <w:tblLook w:val="04A0" w:firstRow="1" w:lastRow="0" w:firstColumn="1" w:lastColumn="0" w:noHBand="0" w:noVBand="1"/>
        <w:tblDescription w:val="{&quot;Ott&quot;:{&quot;FirstRow&quot;:{&quot;Font&quot;:{&quot;Bold&quot;:true,&quot;Color&quot;:{&quot;Key&quot;:&quot;TableHeading&quot;},&quot;BulletColor&quot;:{&quot;Key&quot;:&quot;TableHeading&quot;}},&quot;Alignment&quot;:{&quot;Vertical&quot;:&quot;Bottom&quot;},&quot;Borders&quot;:{&quot;Bottom&quot;:{&quot;Color&quot;:{&quot;Key&quot;:&quot;BorderColor&quot;},&quot;BorderWeight&quot;:&quot;Pt0_5&quot;,&quot;Type&quot;:&quot;Solid&quot;,&quot;Visible&quot;:true}}},&quot;LastRow&quot;:{},&quot;FirstColumn&quot;:{&quot;Font&quot;:{&quot;Bold&quot;:true,&quot;Color&quot;:{&quot;Key&quot;:&quot;TableHeading&quot;},&quot;BulletColor&quot;:{&quot;Key&quot;:&quot;TableHeading&quot;}}},&quot;LastColumn&quot;:{},&quot;BandedRow&quot;:{&quot;Item&quot;:{&quot;BackgroundColor&quot;:{&quot;Key&quot;:&quot;BandedRow&quot;}},&quot;Type&quot;:&quot;BandFirst&quot;},&quot;BandedColumn&quot;:{&quot;Item&quot;:{},&quot;Type&quot;:&quot;BandFirst&quot;},&quot;FitRowHeightPp&quot;:true,&quot;ZeroMarginsWord&quot;:true,&quot;BackgroundColor&quot;:{&quot;Key&quot;:&quot;BackgroundColor&quot;},&quot;Font&quot;:{&quot;Name&quot;:&quot;Arial (Body)&quot;,&quot;Size&quot;:9.0,&quot;SizeOverridePp&quot;:16.0,&quot;Bold&quot;:false,&quot;Italic&quot;:false,&quot;Underline&quot;:false,&quot;Color&quot;:{&quot;Key&quot;:&quot;TableBody&quot;},&quot;BulletColor&quot;:{&quot;Key&quot;:&quot;TableBody&quot;}},&quot;Alignment&quot;:{&quot;Horizontal&quot;:&quot;Left&quot;,&quot;Vertical&quot;:&quot;Top&quot;},&quot;Margin&quot;:{&quot;Left&quot;:2.83464575,&quot;Top&quot;:2.26771641,&quot;Right&quot;:5.38582659,&quot;Bottom&quot;:2.26771641},&quot;Borders&quot;:{&quot;Vertical&quot;:{&quot;Visible&quot;:false},&quot;Horizontal&quot;:{&quot;Visible&quot;:false},&quot;Bottom&quot;:{&quot;Color&quot;:{&quot;Key&quot;:&quot;BorderColor&quot;},&quot;BorderWeight&quot;:&quot;Pt0_5&quot;,&quot;Type&quot;:&quot;Solid&quot;,&quot;Visible&quot;:true}}},&quot;Ccs&quot;:{&quot;TableBody&quot;:&quot;Black&quot;,&quot;TableHeading&quot;:&quot;38, 90, 154&quot;,&quot;BandedRow&quot;:&quot;242, 242, 242&quot;,&quot;BorderColor&quot;:&quot;179, 179, 179&quot;,&quot;BackgroundColor&quot;:&quot;Transparent&quot;},&quot;Cop&quot;:{&quot;FirstRow&quot;:true,&quot;LastRow&quot;:false,&quot;FirstColumn&quot;:true,&quot;LastColumn&quot;:false,&quot;BandedRows&quot;:true,&quot;BandedColumns&quot;:false},&quot;Aaf&quot;:false}"/>
      </w:tblPr>
      <w:tblGrid>
        <w:gridCol w:w="1134"/>
        <w:gridCol w:w="1701"/>
        <w:gridCol w:w="1701"/>
        <w:gridCol w:w="1701"/>
        <w:gridCol w:w="1701"/>
        <w:gridCol w:w="1701"/>
      </w:tblGrid>
      <w:tr w:rsidR="00E21DC1" w:rsidRPr="00030C67" w14:paraId="00A85125" w14:textId="77777777" w:rsidTr="00631231">
        <w:trPr>
          <w:tblHeader/>
        </w:trPr>
        <w:tc>
          <w:tcPr>
            <w:tcW w:w="1134" w:type="dxa"/>
            <w:tcBorders>
              <w:bottom w:val="single" w:sz="4" w:space="0" w:color="B3B3B3"/>
            </w:tcBorders>
            <w:shd w:val="clear" w:color="000000" w:fill="auto"/>
            <w:vAlign w:val="bottom"/>
          </w:tcPr>
          <w:p w14:paraId="35BEF7A5" w14:textId="77777777" w:rsidR="00E21DC1" w:rsidRPr="00030C67" w:rsidRDefault="00E21DC1" w:rsidP="00CC271A">
            <w:pPr>
              <w:spacing w:before="45" w:after="45"/>
              <w:ind w:right="108"/>
              <w:jc w:val="right"/>
              <w:rPr>
                <w:rFonts w:ascii="Arial (Body)" w:hAnsi="Arial (Body)"/>
                <w:color w:val="265A9A"/>
              </w:rPr>
            </w:pPr>
          </w:p>
        </w:tc>
        <w:tc>
          <w:tcPr>
            <w:tcW w:w="1701" w:type="dxa"/>
            <w:tcBorders>
              <w:bottom w:val="single" w:sz="4" w:space="0" w:color="B3B3B3"/>
            </w:tcBorders>
            <w:shd w:val="clear" w:color="000000" w:fill="auto"/>
            <w:vAlign w:val="bottom"/>
          </w:tcPr>
          <w:p w14:paraId="7A2F505A" w14:textId="77777777" w:rsidR="00E21DC1" w:rsidRPr="00030C67" w:rsidRDefault="00E21DC1" w:rsidP="00CC271A">
            <w:pPr>
              <w:pStyle w:val="TableHeading"/>
              <w:ind w:right="113"/>
              <w:jc w:val="right"/>
            </w:pPr>
            <w:r>
              <w:t>Annual growth in labour productivity (%)</w:t>
            </w:r>
          </w:p>
        </w:tc>
        <w:tc>
          <w:tcPr>
            <w:tcW w:w="1701" w:type="dxa"/>
            <w:tcBorders>
              <w:bottom w:val="single" w:sz="4" w:space="0" w:color="B3B3B3"/>
            </w:tcBorders>
            <w:shd w:val="clear" w:color="000000" w:fill="auto"/>
            <w:vAlign w:val="bottom"/>
          </w:tcPr>
          <w:p w14:paraId="042A7D9E" w14:textId="77777777" w:rsidR="00E21DC1" w:rsidRPr="00030C67" w:rsidRDefault="00E21DC1" w:rsidP="00CC271A">
            <w:pPr>
              <w:pStyle w:val="TableHeading"/>
              <w:ind w:right="113"/>
              <w:jc w:val="right"/>
            </w:pPr>
            <w:r>
              <w:t>Annual growth in real consumer wages (%)</w:t>
            </w:r>
          </w:p>
        </w:tc>
        <w:tc>
          <w:tcPr>
            <w:tcW w:w="1701" w:type="dxa"/>
            <w:tcBorders>
              <w:bottom w:val="single" w:sz="4" w:space="0" w:color="B3B3B3"/>
            </w:tcBorders>
            <w:shd w:val="clear" w:color="000000" w:fill="auto"/>
            <w:vAlign w:val="bottom"/>
          </w:tcPr>
          <w:p w14:paraId="6D21BFAE" w14:textId="77777777" w:rsidR="00E21DC1" w:rsidRPr="00030C67" w:rsidRDefault="00E21DC1" w:rsidP="00CC271A">
            <w:pPr>
              <w:pStyle w:val="TableHeading"/>
              <w:ind w:right="113"/>
              <w:jc w:val="right"/>
            </w:pPr>
            <w:r>
              <w:t>Annual growth in real producer wages (%)</w:t>
            </w:r>
          </w:p>
        </w:tc>
        <w:tc>
          <w:tcPr>
            <w:tcW w:w="1701" w:type="dxa"/>
            <w:tcBorders>
              <w:bottom w:val="single" w:sz="4" w:space="0" w:color="B3B3B3"/>
            </w:tcBorders>
            <w:shd w:val="clear" w:color="000000" w:fill="auto"/>
            <w:vAlign w:val="bottom"/>
          </w:tcPr>
          <w:p w14:paraId="42C379A3" w14:textId="77777777" w:rsidR="00E21DC1" w:rsidRDefault="00E21DC1" w:rsidP="00CC271A">
            <w:pPr>
              <w:pStyle w:val="TableHeading"/>
              <w:ind w:right="113"/>
              <w:jc w:val="right"/>
            </w:pPr>
            <w:r>
              <w:t>Decoupling (real consumer wage)</w:t>
            </w:r>
          </w:p>
        </w:tc>
        <w:tc>
          <w:tcPr>
            <w:tcW w:w="1701" w:type="dxa"/>
            <w:tcBorders>
              <w:bottom w:val="single" w:sz="4" w:space="0" w:color="B3B3B3"/>
            </w:tcBorders>
            <w:shd w:val="clear" w:color="000000" w:fill="auto"/>
            <w:vAlign w:val="bottom"/>
          </w:tcPr>
          <w:p w14:paraId="601E2CC4" w14:textId="77777777" w:rsidR="00E21DC1" w:rsidRDefault="00E21DC1" w:rsidP="00CC271A">
            <w:pPr>
              <w:pStyle w:val="TableHeading"/>
              <w:ind w:right="113"/>
              <w:jc w:val="right"/>
            </w:pPr>
            <w:r>
              <w:t>Decoupling (real producer wage)</w:t>
            </w:r>
          </w:p>
        </w:tc>
      </w:tr>
      <w:tr w:rsidR="00E21DC1" w:rsidRPr="00030C67" w14:paraId="02B1F1EF" w14:textId="77777777" w:rsidTr="00631231">
        <w:tc>
          <w:tcPr>
            <w:tcW w:w="1134" w:type="dxa"/>
            <w:tcBorders>
              <w:top w:val="single" w:sz="4" w:space="0" w:color="B3B3B3"/>
              <w:bottom w:val="nil"/>
            </w:tcBorders>
            <w:shd w:val="clear" w:color="000000" w:fill="F2F2F2"/>
          </w:tcPr>
          <w:p w14:paraId="543DA82B" w14:textId="77777777" w:rsidR="00E21DC1" w:rsidRPr="00030C67" w:rsidRDefault="00E21DC1" w:rsidP="00E16B81">
            <w:pPr>
              <w:pStyle w:val="TableHeading"/>
              <w:spacing w:after="0"/>
            </w:pPr>
            <w:r w:rsidRPr="00B33603">
              <w:t>1988</w:t>
            </w:r>
            <w:r>
              <w:noBreakHyphen/>
            </w:r>
            <w:r w:rsidRPr="00B33603">
              <w:t>89 to</w:t>
            </w:r>
            <w:r>
              <w:br/>
            </w:r>
            <w:r w:rsidRPr="00B33603">
              <w:t>1994-95</w:t>
            </w:r>
          </w:p>
        </w:tc>
        <w:tc>
          <w:tcPr>
            <w:tcW w:w="1701" w:type="dxa"/>
            <w:tcBorders>
              <w:top w:val="single" w:sz="4" w:space="0" w:color="B3B3B3"/>
              <w:bottom w:val="nil"/>
            </w:tcBorders>
            <w:shd w:val="clear" w:color="000000" w:fill="F2F2F2"/>
          </w:tcPr>
          <w:p w14:paraId="5C696E82" w14:textId="77777777" w:rsidR="00E21DC1" w:rsidRDefault="00E21DC1" w:rsidP="00E16B81">
            <w:pPr>
              <w:pStyle w:val="TableBody"/>
              <w:spacing w:after="0"/>
              <w:ind w:right="108"/>
              <w:jc w:val="right"/>
              <w:rPr>
                <w:rFonts w:ascii="Arial (Body)" w:hAnsi="Arial (Body)"/>
                <w:color w:val="000000"/>
              </w:rPr>
            </w:pPr>
            <w:r w:rsidRPr="007B0D65">
              <w:t>1.9</w:t>
            </w:r>
          </w:p>
        </w:tc>
        <w:tc>
          <w:tcPr>
            <w:tcW w:w="1701" w:type="dxa"/>
            <w:tcBorders>
              <w:top w:val="single" w:sz="4" w:space="0" w:color="B3B3B3"/>
              <w:bottom w:val="nil"/>
            </w:tcBorders>
            <w:shd w:val="clear" w:color="000000" w:fill="F2F2F2"/>
          </w:tcPr>
          <w:p w14:paraId="53C16451" w14:textId="77777777" w:rsidR="00E21DC1" w:rsidRPr="00030C67" w:rsidRDefault="00E21DC1" w:rsidP="00E16B81">
            <w:pPr>
              <w:pStyle w:val="TableBody"/>
              <w:spacing w:after="0"/>
              <w:ind w:right="108"/>
              <w:jc w:val="right"/>
              <w:rPr>
                <w:rFonts w:ascii="Arial (Body)" w:hAnsi="Arial (Body)"/>
                <w:color w:val="000000"/>
              </w:rPr>
            </w:pPr>
            <w:r w:rsidRPr="00125606">
              <w:t>1.0</w:t>
            </w:r>
          </w:p>
        </w:tc>
        <w:tc>
          <w:tcPr>
            <w:tcW w:w="1701" w:type="dxa"/>
            <w:tcBorders>
              <w:top w:val="single" w:sz="4" w:space="0" w:color="B3B3B3"/>
              <w:bottom w:val="nil"/>
            </w:tcBorders>
            <w:shd w:val="clear" w:color="000000" w:fill="F2F2F2"/>
          </w:tcPr>
          <w:p w14:paraId="3D325144" w14:textId="77777777" w:rsidR="00E21DC1" w:rsidRPr="00030C67" w:rsidRDefault="00E21DC1" w:rsidP="00E16B81">
            <w:pPr>
              <w:pStyle w:val="TableBody"/>
              <w:spacing w:after="0"/>
              <w:ind w:right="108"/>
              <w:jc w:val="right"/>
              <w:rPr>
                <w:rFonts w:ascii="Arial (Body)" w:hAnsi="Arial (Body)"/>
                <w:color w:val="000000"/>
              </w:rPr>
            </w:pPr>
            <w:r w:rsidRPr="00C31996">
              <w:t>2.1</w:t>
            </w:r>
          </w:p>
        </w:tc>
        <w:tc>
          <w:tcPr>
            <w:tcW w:w="1701" w:type="dxa"/>
            <w:tcBorders>
              <w:top w:val="single" w:sz="4" w:space="0" w:color="B3B3B3"/>
              <w:bottom w:val="nil"/>
            </w:tcBorders>
            <w:shd w:val="clear" w:color="000000" w:fill="F2F2F2"/>
          </w:tcPr>
          <w:p w14:paraId="4E646F60" w14:textId="77777777" w:rsidR="00E21DC1" w:rsidRPr="00C31996" w:rsidRDefault="00E21DC1" w:rsidP="00E16B81">
            <w:pPr>
              <w:pStyle w:val="TableBody"/>
              <w:spacing w:after="0"/>
              <w:ind w:right="108"/>
              <w:jc w:val="right"/>
            </w:pPr>
            <w:r w:rsidRPr="00045E8A">
              <w:t>0.9</w:t>
            </w:r>
          </w:p>
        </w:tc>
        <w:tc>
          <w:tcPr>
            <w:tcW w:w="1701" w:type="dxa"/>
            <w:tcBorders>
              <w:top w:val="single" w:sz="4" w:space="0" w:color="B3B3B3"/>
              <w:bottom w:val="nil"/>
            </w:tcBorders>
            <w:shd w:val="clear" w:color="000000" w:fill="F2F2F2"/>
          </w:tcPr>
          <w:p w14:paraId="7E118F43" w14:textId="77777777" w:rsidR="00E21DC1" w:rsidRPr="00C31996" w:rsidRDefault="00E21DC1" w:rsidP="00E16B81">
            <w:pPr>
              <w:pStyle w:val="TableBody"/>
              <w:spacing w:after="0"/>
              <w:ind w:right="108"/>
              <w:jc w:val="right"/>
            </w:pPr>
            <w:r w:rsidRPr="00045E8A">
              <w:t>-0.2</w:t>
            </w:r>
          </w:p>
        </w:tc>
      </w:tr>
      <w:tr w:rsidR="00E21DC1" w:rsidRPr="00030C67" w14:paraId="00E2E359" w14:textId="77777777" w:rsidTr="00631231">
        <w:tc>
          <w:tcPr>
            <w:tcW w:w="1134" w:type="dxa"/>
            <w:tcBorders>
              <w:top w:val="nil"/>
              <w:bottom w:val="nil"/>
            </w:tcBorders>
            <w:shd w:val="clear" w:color="000000" w:fill="auto"/>
          </w:tcPr>
          <w:p w14:paraId="7F9B0336" w14:textId="77777777" w:rsidR="00E21DC1" w:rsidRPr="00030C67" w:rsidRDefault="00E21DC1" w:rsidP="00E16B81">
            <w:pPr>
              <w:pStyle w:val="TableHeading"/>
              <w:spacing w:after="0"/>
            </w:pPr>
            <w:r w:rsidRPr="00B33603">
              <w:t>1994</w:t>
            </w:r>
            <w:r>
              <w:noBreakHyphen/>
            </w:r>
            <w:r w:rsidRPr="00B33603">
              <w:t>95 to</w:t>
            </w:r>
            <w:r>
              <w:br/>
            </w:r>
            <w:r w:rsidRPr="00B33603">
              <w:t>1997-98</w:t>
            </w:r>
          </w:p>
        </w:tc>
        <w:tc>
          <w:tcPr>
            <w:tcW w:w="1701" w:type="dxa"/>
            <w:tcBorders>
              <w:top w:val="nil"/>
              <w:bottom w:val="nil"/>
            </w:tcBorders>
            <w:shd w:val="clear" w:color="000000" w:fill="auto"/>
          </w:tcPr>
          <w:p w14:paraId="78D720F5" w14:textId="77777777" w:rsidR="00E21DC1" w:rsidRDefault="00E21DC1" w:rsidP="00E16B81">
            <w:pPr>
              <w:pStyle w:val="TableBody"/>
              <w:spacing w:after="0"/>
              <w:ind w:right="108"/>
              <w:jc w:val="right"/>
              <w:rPr>
                <w:rFonts w:ascii="Arial (Body)" w:hAnsi="Arial (Body)"/>
                <w:color w:val="000000"/>
              </w:rPr>
            </w:pPr>
            <w:r w:rsidRPr="007B0D65">
              <w:t>3.1</w:t>
            </w:r>
          </w:p>
        </w:tc>
        <w:tc>
          <w:tcPr>
            <w:tcW w:w="1701" w:type="dxa"/>
            <w:tcBorders>
              <w:top w:val="nil"/>
              <w:bottom w:val="nil"/>
            </w:tcBorders>
            <w:shd w:val="clear" w:color="000000" w:fill="auto"/>
          </w:tcPr>
          <w:p w14:paraId="70184EF6" w14:textId="77777777" w:rsidR="00E21DC1" w:rsidRDefault="00E21DC1" w:rsidP="00E16B81">
            <w:pPr>
              <w:pStyle w:val="TableBody"/>
              <w:spacing w:after="0"/>
              <w:ind w:right="108"/>
              <w:jc w:val="right"/>
              <w:rPr>
                <w:rFonts w:ascii="Arial (Body)" w:hAnsi="Arial (Body)"/>
                <w:color w:val="000000"/>
              </w:rPr>
            </w:pPr>
            <w:r w:rsidRPr="00125606">
              <w:t>2.7</w:t>
            </w:r>
          </w:p>
        </w:tc>
        <w:tc>
          <w:tcPr>
            <w:tcW w:w="1701" w:type="dxa"/>
            <w:tcBorders>
              <w:top w:val="nil"/>
              <w:bottom w:val="nil"/>
            </w:tcBorders>
            <w:shd w:val="clear" w:color="000000" w:fill="auto"/>
          </w:tcPr>
          <w:p w14:paraId="6F9A2C39" w14:textId="77777777" w:rsidR="00E21DC1" w:rsidRDefault="00E21DC1" w:rsidP="00E16B81">
            <w:pPr>
              <w:pStyle w:val="TableBody"/>
              <w:spacing w:after="0"/>
              <w:ind w:right="108"/>
              <w:jc w:val="right"/>
              <w:rPr>
                <w:rFonts w:ascii="Arial (Body)" w:hAnsi="Arial (Body)"/>
                <w:color w:val="000000"/>
              </w:rPr>
            </w:pPr>
            <w:r w:rsidRPr="00C31996">
              <w:t>3.0</w:t>
            </w:r>
          </w:p>
        </w:tc>
        <w:tc>
          <w:tcPr>
            <w:tcW w:w="1701" w:type="dxa"/>
            <w:tcBorders>
              <w:top w:val="nil"/>
              <w:bottom w:val="nil"/>
            </w:tcBorders>
            <w:shd w:val="clear" w:color="000000" w:fill="auto"/>
          </w:tcPr>
          <w:p w14:paraId="089F8677" w14:textId="77777777" w:rsidR="00E21DC1" w:rsidRPr="00C31996" w:rsidRDefault="00E21DC1" w:rsidP="00E16B81">
            <w:pPr>
              <w:pStyle w:val="TableBody"/>
              <w:spacing w:after="0"/>
              <w:ind w:right="108"/>
              <w:jc w:val="right"/>
            </w:pPr>
            <w:r w:rsidRPr="00045E8A">
              <w:t>0.4</w:t>
            </w:r>
          </w:p>
        </w:tc>
        <w:tc>
          <w:tcPr>
            <w:tcW w:w="1701" w:type="dxa"/>
            <w:tcBorders>
              <w:top w:val="nil"/>
              <w:bottom w:val="nil"/>
            </w:tcBorders>
            <w:shd w:val="clear" w:color="000000" w:fill="auto"/>
          </w:tcPr>
          <w:p w14:paraId="6AF62B2A" w14:textId="77777777" w:rsidR="00E21DC1" w:rsidRPr="00C31996" w:rsidRDefault="00E21DC1" w:rsidP="00E16B81">
            <w:pPr>
              <w:pStyle w:val="TableBody"/>
              <w:spacing w:after="0"/>
              <w:ind w:right="108"/>
              <w:jc w:val="right"/>
            </w:pPr>
            <w:r w:rsidRPr="00045E8A">
              <w:t>0.1</w:t>
            </w:r>
          </w:p>
        </w:tc>
      </w:tr>
      <w:tr w:rsidR="00E21DC1" w:rsidRPr="00030C67" w14:paraId="742DF2A1" w14:textId="77777777" w:rsidTr="00631231">
        <w:tc>
          <w:tcPr>
            <w:tcW w:w="1134" w:type="dxa"/>
            <w:tcBorders>
              <w:top w:val="single" w:sz="4" w:space="0" w:color="B3B3B3"/>
              <w:bottom w:val="nil"/>
            </w:tcBorders>
            <w:shd w:val="clear" w:color="000000" w:fill="F2F2F2"/>
          </w:tcPr>
          <w:p w14:paraId="1B386ED4" w14:textId="77777777" w:rsidR="00E21DC1" w:rsidRPr="00030C67" w:rsidRDefault="00E21DC1" w:rsidP="00E16B81">
            <w:pPr>
              <w:pStyle w:val="TableHeading"/>
              <w:spacing w:after="0"/>
            </w:pPr>
            <w:r w:rsidRPr="00B33603">
              <w:t>1997</w:t>
            </w:r>
            <w:r>
              <w:noBreakHyphen/>
            </w:r>
            <w:r w:rsidRPr="00B33603">
              <w:t xml:space="preserve">98 to </w:t>
            </w:r>
            <w:r>
              <w:br/>
            </w:r>
            <w:r w:rsidRPr="00B33603">
              <w:t>2003-04</w:t>
            </w:r>
          </w:p>
        </w:tc>
        <w:tc>
          <w:tcPr>
            <w:tcW w:w="1701" w:type="dxa"/>
            <w:tcBorders>
              <w:top w:val="single" w:sz="4" w:space="0" w:color="B3B3B3"/>
              <w:bottom w:val="nil"/>
            </w:tcBorders>
            <w:shd w:val="clear" w:color="000000" w:fill="F2F2F2"/>
          </w:tcPr>
          <w:p w14:paraId="5F0075E9" w14:textId="77777777" w:rsidR="00E21DC1" w:rsidRDefault="00E21DC1" w:rsidP="00E16B81">
            <w:pPr>
              <w:pStyle w:val="TableBody"/>
              <w:spacing w:after="0"/>
              <w:ind w:right="108"/>
              <w:jc w:val="right"/>
              <w:rPr>
                <w:rFonts w:ascii="Arial (Body)" w:hAnsi="Arial (Body)"/>
                <w:color w:val="000000"/>
              </w:rPr>
            </w:pPr>
            <w:r w:rsidRPr="007B0D65">
              <w:t>1.9</w:t>
            </w:r>
          </w:p>
        </w:tc>
        <w:tc>
          <w:tcPr>
            <w:tcW w:w="1701" w:type="dxa"/>
            <w:tcBorders>
              <w:top w:val="single" w:sz="4" w:space="0" w:color="B3B3B3"/>
              <w:bottom w:val="nil"/>
            </w:tcBorders>
            <w:shd w:val="clear" w:color="000000" w:fill="F2F2F2"/>
          </w:tcPr>
          <w:p w14:paraId="2FB84825" w14:textId="77777777" w:rsidR="00E21DC1" w:rsidRDefault="00E21DC1" w:rsidP="00E16B81">
            <w:pPr>
              <w:pStyle w:val="TableBody"/>
              <w:spacing w:after="0"/>
              <w:ind w:right="108"/>
              <w:jc w:val="right"/>
              <w:rPr>
                <w:rFonts w:ascii="Arial (Body)" w:hAnsi="Arial (Body)"/>
                <w:color w:val="000000"/>
              </w:rPr>
            </w:pPr>
            <w:r w:rsidRPr="00125606">
              <w:t>1.0</w:t>
            </w:r>
          </w:p>
        </w:tc>
        <w:tc>
          <w:tcPr>
            <w:tcW w:w="1701" w:type="dxa"/>
            <w:tcBorders>
              <w:top w:val="single" w:sz="4" w:space="0" w:color="B3B3B3"/>
              <w:bottom w:val="nil"/>
            </w:tcBorders>
            <w:shd w:val="clear" w:color="000000" w:fill="F2F2F2"/>
          </w:tcPr>
          <w:p w14:paraId="4BB4832A" w14:textId="77777777" w:rsidR="00E21DC1" w:rsidRDefault="00E21DC1" w:rsidP="00E16B81">
            <w:pPr>
              <w:pStyle w:val="TableBody"/>
              <w:spacing w:after="0"/>
              <w:ind w:right="108"/>
              <w:jc w:val="right"/>
              <w:rPr>
                <w:rFonts w:ascii="Arial (Body)" w:hAnsi="Arial (Body)"/>
                <w:color w:val="000000"/>
              </w:rPr>
            </w:pPr>
            <w:r w:rsidRPr="00C31996">
              <w:t>1.1</w:t>
            </w:r>
          </w:p>
        </w:tc>
        <w:tc>
          <w:tcPr>
            <w:tcW w:w="1701" w:type="dxa"/>
            <w:tcBorders>
              <w:top w:val="single" w:sz="4" w:space="0" w:color="B3B3B3"/>
              <w:bottom w:val="nil"/>
            </w:tcBorders>
            <w:shd w:val="clear" w:color="000000" w:fill="F2F2F2"/>
          </w:tcPr>
          <w:p w14:paraId="6718C649" w14:textId="77777777" w:rsidR="00E21DC1" w:rsidRPr="00C31996" w:rsidRDefault="00E21DC1" w:rsidP="00E16B81">
            <w:pPr>
              <w:pStyle w:val="TableBody"/>
              <w:spacing w:after="0"/>
              <w:ind w:right="108"/>
              <w:jc w:val="right"/>
            </w:pPr>
            <w:r w:rsidRPr="00045E8A">
              <w:t>1.0</w:t>
            </w:r>
          </w:p>
        </w:tc>
        <w:tc>
          <w:tcPr>
            <w:tcW w:w="1701" w:type="dxa"/>
            <w:tcBorders>
              <w:top w:val="single" w:sz="4" w:space="0" w:color="B3B3B3"/>
              <w:bottom w:val="nil"/>
            </w:tcBorders>
            <w:shd w:val="clear" w:color="000000" w:fill="F2F2F2"/>
          </w:tcPr>
          <w:p w14:paraId="3C7BCB2B" w14:textId="77777777" w:rsidR="00E21DC1" w:rsidRPr="00C31996" w:rsidRDefault="00E21DC1" w:rsidP="00E16B81">
            <w:pPr>
              <w:pStyle w:val="TableBody"/>
              <w:spacing w:after="0"/>
              <w:ind w:right="108"/>
              <w:jc w:val="right"/>
            </w:pPr>
            <w:r w:rsidRPr="00045E8A">
              <w:t>0.9</w:t>
            </w:r>
          </w:p>
        </w:tc>
      </w:tr>
      <w:tr w:rsidR="00E21DC1" w:rsidRPr="00030C67" w14:paraId="7A78A589" w14:textId="77777777" w:rsidTr="00631231">
        <w:tc>
          <w:tcPr>
            <w:tcW w:w="1134" w:type="dxa"/>
            <w:tcBorders>
              <w:top w:val="nil"/>
              <w:bottom w:val="nil"/>
            </w:tcBorders>
            <w:shd w:val="clear" w:color="000000" w:fill="auto"/>
          </w:tcPr>
          <w:p w14:paraId="21C20BAB" w14:textId="77777777" w:rsidR="00E21DC1" w:rsidRPr="00030C67" w:rsidRDefault="00E21DC1" w:rsidP="00E16B81">
            <w:pPr>
              <w:pStyle w:val="TableHeading"/>
              <w:spacing w:after="0"/>
            </w:pPr>
            <w:r w:rsidRPr="00B33603">
              <w:t>2003</w:t>
            </w:r>
            <w:r>
              <w:noBreakHyphen/>
            </w:r>
            <w:r w:rsidRPr="00B33603">
              <w:t xml:space="preserve">04 to </w:t>
            </w:r>
            <w:r>
              <w:br/>
            </w:r>
            <w:r w:rsidRPr="00B33603">
              <w:t>2009-10</w:t>
            </w:r>
          </w:p>
        </w:tc>
        <w:tc>
          <w:tcPr>
            <w:tcW w:w="1701" w:type="dxa"/>
            <w:tcBorders>
              <w:top w:val="nil"/>
              <w:bottom w:val="nil"/>
            </w:tcBorders>
            <w:shd w:val="clear" w:color="000000" w:fill="auto"/>
          </w:tcPr>
          <w:p w14:paraId="2C46584B" w14:textId="77777777" w:rsidR="00E21DC1" w:rsidRDefault="00E21DC1" w:rsidP="00E16B81">
            <w:pPr>
              <w:pStyle w:val="TableBody"/>
              <w:spacing w:after="0"/>
              <w:ind w:right="108"/>
              <w:jc w:val="right"/>
              <w:rPr>
                <w:rFonts w:ascii="Arial (Body)" w:hAnsi="Arial (Body)"/>
                <w:color w:val="000000"/>
              </w:rPr>
            </w:pPr>
            <w:r w:rsidRPr="007B0D65">
              <w:t>0.9</w:t>
            </w:r>
          </w:p>
        </w:tc>
        <w:tc>
          <w:tcPr>
            <w:tcW w:w="1701" w:type="dxa"/>
            <w:tcBorders>
              <w:top w:val="nil"/>
              <w:bottom w:val="nil"/>
            </w:tcBorders>
            <w:shd w:val="clear" w:color="000000" w:fill="auto"/>
          </w:tcPr>
          <w:p w14:paraId="21B5FF6D" w14:textId="77777777" w:rsidR="00E21DC1" w:rsidRPr="00030C67" w:rsidRDefault="00E21DC1" w:rsidP="00E16B81">
            <w:pPr>
              <w:pStyle w:val="TableBody"/>
              <w:spacing w:after="0"/>
              <w:ind w:right="108"/>
              <w:jc w:val="right"/>
              <w:rPr>
                <w:rFonts w:ascii="Arial (Body)" w:hAnsi="Arial (Body)"/>
                <w:color w:val="000000"/>
              </w:rPr>
            </w:pPr>
            <w:r w:rsidRPr="00125606">
              <w:t>1.4</w:t>
            </w:r>
          </w:p>
        </w:tc>
        <w:tc>
          <w:tcPr>
            <w:tcW w:w="1701" w:type="dxa"/>
            <w:tcBorders>
              <w:top w:val="nil"/>
              <w:bottom w:val="nil"/>
            </w:tcBorders>
            <w:shd w:val="clear" w:color="000000" w:fill="auto"/>
          </w:tcPr>
          <w:p w14:paraId="5E14CBB1" w14:textId="77777777" w:rsidR="00E21DC1" w:rsidRPr="00030C67" w:rsidRDefault="00E21DC1" w:rsidP="00E16B81">
            <w:pPr>
              <w:pStyle w:val="TableBody"/>
              <w:spacing w:after="0"/>
              <w:ind w:right="108"/>
              <w:jc w:val="right"/>
              <w:rPr>
                <w:rFonts w:ascii="Arial (Body)" w:hAnsi="Arial (Body)"/>
                <w:color w:val="000000"/>
              </w:rPr>
            </w:pPr>
            <w:r w:rsidRPr="00C31996">
              <w:t>0.2</w:t>
            </w:r>
          </w:p>
        </w:tc>
        <w:tc>
          <w:tcPr>
            <w:tcW w:w="1701" w:type="dxa"/>
            <w:tcBorders>
              <w:top w:val="nil"/>
              <w:bottom w:val="nil"/>
            </w:tcBorders>
            <w:shd w:val="clear" w:color="000000" w:fill="auto"/>
          </w:tcPr>
          <w:p w14:paraId="5ED72FFF" w14:textId="77777777" w:rsidR="00E21DC1" w:rsidRPr="00C31996" w:rsidRDefault="00E21DC1" w:rsidP="00E16B81">
            <w:pPr>
              <w:pStyle w:val="TableBody"/>
              <w:spacing w:after="0"/>
              <w:ind w:right="108"/>
              <w:jc w:val="right"/>
            </w:pPr>
            <w:r w:rsidRPr="00045E8A">
              <w:t>-0.5</w:t>
            </w:r>
          </w:p>
        </w:tc>
        <w:tc>
          <w:tcPr>
            <w:tcW w:w="1701" w:type="dxa"/>
            <w:tcBorders>
              <w:top w:val="nil"/>
              <w:bottom w:val="nil"/>
            </w:tcBorders>
            <w:shd w:val="clear" w:color="000000" w:fill="auto"/>
          </w:tcPr>
          <w:p w14:paraId="00593CA8" w14:textId="77777777" w:rsidR="00E21DC1" w:rsidRPr="00C31996" w:rsidRDefault="00E21DC1" w:rsidP="00E16B81">
            <w:pPr>
              <w:pStyle w:val="TableBody"/>
              <w:spacing w:after="0"/>
              <w:ind w:right="108"/>
              <w:jc w:val="right"/>
            </w:pPr>
            <w:r w:rsidRPr="00045E8A">
              <w:t>0.7</w:t>
            </w:r>
          </w:p>
        </w:tc>
      </w:tr>
      <w:tr w:rsidR="00E21DC1" w:rsidRPr="00030C67" w14:paraId="7F15002F" w14:textId="77777777" w:rsidTr="00631231">
        <w:tc>
          <w:tcPr>
            <w:tcW w:w="1134" w:type="dxa"/>
            <w:tcBorders>
              <w:top w:val="single" w:sz="4" w:space="0" w:color="B3B3B3"/>
              <w:bottom w:val="nil"/>
            </w:tcBorders>
            <w:shd w:val="clear" w:color="000000" w:fill="F2F2F2"/>
          </w:tcPr>
          <w:p w14:paraId="017374EE" w14:textId="77777777" w:rsidR="00E21DC1" w:rsidRPr="00030C67" w:rsidRDefault="00E21DC1" w:rsidP="00E16B81">
            <w:pPr>
              <w:pStyle w:val="TableHeading"/>
              <w:spacing w:after="0"/>
            </w:pPr>
            <w:r w:rsidRPr="00B33603">
              <w:t>2009</w:t>
            </w:r>
            <w:r>
              <w:noBreakHyphen/>
            </w:r>
            <w:r w:rsidRPr="00B33603">
              <w:t xml:space="preserve">10 to </w:t>
            </w:r>
            <w:r>
              <w:br/>
            </w:r>
            <w:r w:rsidRPr="00B33603">
              <w:t>2017-18</w:t>
            </w:r>
          </w:p>
        </w:tc>
        <w:tc>
          <w:tcPr>
            <w:tcW w:w="1701" w:type="dxa"/>
            <w:tcBorders>
              <w:top w:val="single" w:sz="4" w:space="0" w:color="B3B3B3"/>
              <w:bottom w:val="nil"/>
            </w:tcBorders>
            <w:shd w:val="clear" w:color="000000" w:fill="F2F2F2"/>
          </w:tcPr>
          <w:p w14:paraId="45598F93" w14:textId="77777777" w:rsidR="00E21DC1" w:rsidRDefault="00E21DC1" w:rsidP="00E16B81">
            <w:pPr>
              <w:pStyle w:val="TableBody"/>
              <w:spacing w:after="0"/>
              <w:ind w:right="108"/>
              <w:jc w:val="right"/>
              <w:rPr>
                <w:rFonts w:ascii="Arial (Body)" w:hAnsi="Arial (Body)"/>
                <w:color w:val="000000"/>
              </w:rPr>
            </w:pPr>
            <w:r w:rsidRPr="007B0D65">
              <w:t>1.2</w:t>
            </w:r>
          </w:p>
        </w:tc>
        <w:tc>
          <w:tcPr>
            <w:tcW w:w="1701" w:type="dxa"/>
            <w:tcBorders>
              <w:top w:val="single" w:sz="4" w:space="0" w:color="B3B3B3"/>
              <w:bottom w:val="nil"/>
            </w:tcBorders>
            <w:shd w:val="clear" w:color="000000" w:fill="F2F2F2"/>
          </w:tcPr>
          <w:p w14:paraId="17E5CE53" w14:textId="77777777" w:rsidR="00E21DC1" w:rsidRDefault="00E21DC1" w:rsidP="00E16B81">
            <w:pPr>
              <w:pStyle w:val="TableBody"/>
              <w:spacing w:after="0"/>
              <w:ind w:right="108"/>
              <w:jc w:val="right"/>
              <w:rPr>
                <w:rFonts w:ascii="Arial (Body)" w:hAnsi="Arial (Body)"/>
                <w:color w:val="000000"/>
              </w:rPr>
            </w:pPr>
            <w:r w:rsidRPr="00125606">
              <w:t>0.5</w:t>
            </w:r>
          </w:p>
        </w:tc>
        <w:tc>
          <w:tcPr>
            <w:tcW w:w="1701" w:type="dxa"/>
            <w:tcBorders>
              <w:top w:val="single" w:sz="4" w:space="0" w:color="B3B3B3"/>
              <w:bottom w:val="nil"/>
            </w:tcBorders>
            <w:shd w:val="clear" w:color="000000" w:fill="F2F2F2"/>
          </w:tcPr>
          <w:p w14:paraId="662915E0" w14:textId="77777777" w:rsidR="00E21DC1" w:rsidRDefault="00E21DC1" w:rsidP="00E16B81">
            <w:pPr>
              <w:pStyle w:val="TableBody"/>
              <w:spacing w:after="0"/>
              <w:ind w:right="108"/>
              <w:jc w:val="right"/>
              <w:rPr>
                <w:rFonts w:ascii="Arial (Body)" w:hAnsi="Arial (Body)"/>
                <w:color w:val="000000"/>
              </w:rPr>
            </w:pPr>
            <w:r w:rsidRPr="00C31996">
              <w:t>1.0</w:t>
            </w:r>
          </w:p>
        </w:tc>
        <w:tc>
          <w:tcPr>
            <w:tcW w:w="1701" w:type="dxa"/>
            <w:tcBorders>
              <w:top w:val="single" w:sz="4" w:space="0" w:color="B3B3B3"/>
              <w:bottom w:val="nil"/>
            </w:tcBorders>
            <w:shd w:val="clear" w:color="000000" w:fill="F2F2F2"/>
          </w:tcPr>
          <w:p w14:paraId="51391667" w14:textId="77777777" w:rsidR="00E21DC1" w:rsidRPr="00C31996" w:rsidRDefault="00E21DC1" w:rsidP="00E16B81">
            <w:pPr>
              <w:pStyle w:val="TableBody"/>
              <w:spacing w:after="0"/>
              <w:ind w:right="108"/>
              <w:jc w:val="right"/>
            </w:pPr>
            <w:r w:rsidRPr="00045E8A">
              <w:t>0.7</w:t>
            </w:r>
          </w:p>
        </w:tc>
        <w:tc>
          <w:tcPr>
            <w:tcW w:w="1701" w:type="dxa"/>
            <w:tcBorders>
              <w:top w:val="single" w:sz="4" w:space="0" w:color="B3B3B3"/>
              <w:bottom w:val="nil"/>
            </w:tcBorders>
            <w:shd w:val="clear" w:color="000000" w:fill="F2F2F2"/>
          </w:tcPr>
          <w:p w14:paraId="161D5A11" w14:textId="77777777" w:rsidR="00E21DC1" w:rsidRPr="00C31996" w:rsidRDefault="00E21DC1" w:rsidP="00E16B81">
            <w:pPr>
              <w:pStyle w:val="TableBody"/>
              <w:spacing w:after="0"/>
              <w:ind w:right="108"/>
              <w:jc w:val="right"/>
            </w:pPr>
            <w:r w:rsidRPr="00045E8A">
              <w:t>0.2</w:t>
            </w:r>
          </w:p>
        </w:tc>
      </w:tr>
      <w:tr w:rsidR="00E21DC1" w:rsidRPr="00030C67" w14:paraId="319B9430" w14:textId="77777777" w:rsidTr="00631231">
        <w:tc>
          <w:tcPr>
            <w:tcW w:w="1134" w:type="dxa"/>
            <w:tcBorders>
              <w:top w:val="nil"/>
              <w:bottom w:val="nil"/>
            </w:tcBorders>
            <w:shd w:val="clear" w:color="000000" w:fill="auto"/>
          </w:tcPr>
          <w:p w14:paraId="63B50C40" w14:textId="77777777" w:rsidR="00E21DC1" w:rsidRPr="00030C67" w:rsidRDefault="00E21DC1" w:rsidP="00E16B81">
            <w:pPr>
              <w:pStyle w:val="TableHeading"/>
              <w:spacing w:after="0"/>
            </w:pPr>
            <w:r w:rsidRPr="00B33603">
              <w:t>2017</w:t>
            </w:r>
            <w:r>
              <w:noBreakHyphen/>
            </w:r>
            <w:r w:rsidRPr="00B33603">
              <w:t xml:space="preserve">18 to </w:t>
            </w:r>
            <w:r>
              <w:br/>
            </w:r>
            <w:r w:rsidRPr="00B33603">
              <w:t>2021-22</w:t>
            </w:r>
          </w:p>
        </w:tc>
        <w:tc>
          <w:tcPr>
            <w:tcW w:w="1701" w:type="dxa"/>
            <w:tcBorders>
              <w:top w:val="nil"/>
              <w:bottom w:val="nil"/>
            </w:tcBorders>
            <w:shd w:val="clear" w:color="000000" w:fill="auto"/>
          </w:tcPr>
          <w:p w14:paraId="33A3D2C9" w14:textId="77777777" w:rsidR="00E21DC1" w:rsidRDefault="00E21DC1" w:rsidP="00E16B81">
            <w:pPr>
              <w:pStyle w:val="TableBody"/>
              <w:spacing w:after="0"/>
              <w:ind w:right="108"/>
              <w:jc w:val="right"/>
              <w:rPr>
                <w:rFonts w:ascii="Arial (Body)" w:hAnsi="Arial (Body)"/>
                <w:color w:val="000000"/>
              </w:rPr>
            </w:pPr>
            <w:r w:rsidRPr="007B0D65">
              <w:t>1.1</w:t>
            </w:r>
          </w:p>
        </w:tc>
        <w:tc>
          <w:tcPr>
            <w:tcW w:w="1701" w:type="dxa"/>
            <w:tcBorders>
              <w:top w:val="nil"/>
              <w:bottom w:val="nil"/>
            </w:tcBorders>
            <w:shd w:val="clear" w:color="000000" w:fill="auto"/>
          </w:tcPr>
          <w:p w14:paraId="2EDA3333" w14:textId="77777777" w:rsidR="00E21DC1" w:rsidRDefault="00E21DC1" w:rsidP="00E16B81">
            <w:pPr>
              <w:pStyle w:val="TableBody"/>
              <w:spacing w:after="0"/>
              <w:ind w:right="108"/>
              <w:jc w:val="right"/>
              <w:rPr>
                <w:rFonts w:ascii="Arial (Body)" w:hAnsi="Arial (Body)"/>
                <w:color w:val="000000"/>
              </w:rPr>
            </w:pPr>
            <w:r w:rsidRPr="00125606">
              <w:t>1.3</w:t>
            </w:r>
          </w:p>
        </w:tc>
        <w:tc>
          <w:tcPr>
            <w:tcW w:w="1701" w:type="dxa"/>
            <w:tcBorders>
              <w:top w:val="nil"/>
              <w:bottom w:val="nil"/>
            </w:tcBorders>
            <w:shd w:val="clear" w:color="000000" w:fill="auto"/>
          </w:tcPr>
          <w:p w14:paraId="03EAFEA0" w14:textId="77777777" w:rsidR="00E21DC1" w:rsidRDefault="00E21DC1" w:rsidP="00E16B81">
            <w:pPr>
              <w:pStyle w:val="TableBody"/>
              <w:spacing w:after="0"/>
              <w:ind w:right="108"/>
              <w:jc w:val="right"/>
              <w:rPr>
                <w:rFonts w:ascii="Arial (Body)" w:hAnsi="Arial (Body)"/>
                <w:color w:val="000000"/>
              </w:rPr>
            </w:pPr>
            <w:r w:rsidRPr="00C31996">
              <w:t>-0.2</w:t>
            </w:r>
          </w:p>
        </w:tc>
        <w:tc>
          <w:tcPr>
            <w:tcW w:w="1701" w:type="dxa"/>
            <w:tcBorders>
              <w:top w:val="nil"/>
              <w:bottom w:val="nil"/>
            </w:tcBorders>
            <w:shd w:val="clear" w:color="000000" w:fill="auto"/>
          </w:tcPr>
          <w:p w14:paraId="69370475" w14:textId="77777777" w:rsidR="00E21DC1" w:rsidRPr="00C31996" w:rsidRDefault="00E21DC1" w:rsidP="00E16B81">
            <w:pPr>
              <w:pStyle w:val="TableBody"/>
              <w:spacing w:after="0"/>
              <w:ind w:right="108"/>
              <w:jc w:val="right"/>
            </w:pPr>
            <w:r w:rsidRPr="00045E8A">
              <w:t>-0.2</w:t>
            </w:r>
          </w:p>
        </w:tc>
        <w:tc>
          <w:tcPr>
            <w:tcW w:w="1701" w:type="dxa"/>
            <w:tcBorders>
              <w:top w:val="nil"/>
              <w:bottom w:val="nil"/>
            </w:tcBorders>
            <w:shd w:val="clear" w:color="000000" w:fill="auto"/>
          </w:tcPr>
          <w:p w14:paraId="7EB2EF84" w14:textId="77777777" w:rsidR="00E21DC1" w:rsidRPr="00C31996" w:rsidRDefault="00E21DC1" w:rsidP="00E16B81">
            <w:pPr>
              <w:pStyle w:val="TableBody"/>
              <w:spacing w:after="0"/>
              <w:ind w:right="108"/>
              <w:jc w:val="right"/>
            </w:pPr>
            <w:r w:rsidRPr="00045E8A">
              <w:t>1.3</w:t>
            </w:r>
          </w:p>
        </w:tc>
      </w:tr>
      <w:tr w:rsidR="00E21DC1" w:rsidRPr="00030C67" w14:paraId="1E0CEE4D" w14:textId="77777777" w:rsidTr="00631231">
        <w:tc>
          <w:tcPr>
            <w:tcW w:w="1134" w:type="dxa"/>
            <w:tcBorders>
              <w:top w:val="single" w:sz="4" w:space="0" w:color="B3B3B3"/>
              <w:bottom w:val="nil"/>
            </w:tcBorders>
            <w:shd w:val="clear" w:color="000000" w:fill="F2F2F2"/>
          </w:tcPr>
          <w:p w14:paraId="3890CB62" w14:textId="77777777" w:rsidR="00E21DC1" w:rsidRPr="00030C67" w:rsidRDefault="00E21DC1" w:rsidP="00E16B81">
            <w:pPr>
              <w:pStyle w:val="TableHeading"/>
              <w:spacing w:after="0"/>
            </w:pPr>
            <w:r w:rsidRPr="00B33603">
              <w:t>1988</w:t>
            </w:r>
            <w:r>
              <w:noBreakHyphen/>
            </w:r>
            <w:r w:rsidRPr="00B33603">
              <w:t xml:space="preserve">89 to </w:t>
            </w:r>
            <w:r>
              <w:br/>
            </w:r>
            <w:r w:rsidRPr="00B33603">
              <w:t>2021-22</w:t>
            </w:r>
          </w:p>
        </w:tc>
        <w:tc>
          <w:tcPr>
            <w:tcW w:w="1701" w:type="dxa"/>
            <w:tcBorders>
              <w:top w:val="single" w:sz="4" w:space="0" w:color="B3B3B3"/>
              <w:bottom w:val="nil"/>
            </w:tcBorders>
            <w:shd w:val="clear" w:color="000000" w:fill="F2F2F2"/>
          </w:tcPr>
          <w:p w14:paraId="25D72F31" w14:textId="77777777" w:rsidR="00E21DC1" w:rsidRDefault="00E21DC1" w:rsidP="00E16B81">
            <w:pPr>
              <w:pStyle w:val="TableBody"/>
              <w:spacing w:after="0"/>
              <w:ind w:right="108"/>
              <w:jc w:val="right"/>
              <w:rPr>
                <w:rFonts w:ascii="Arial (Body)" w:hAnsi="Arial (Body)"/>
                <w:color w:val="000000"/>
              </w:rPr>
            </w:pPr>
            <w:r w:rsidRPr="007B0D65">
              <w:t>1.5</w:t>
            </w:r>
          </w:p>
        </w:tc>
        <w:tc>
          <w:tcPr>
            <w:tcW w:w="1701" w:type="dxa"/>
            <w:tcBorders>
              <w:top w:val="single" w:sz="4" w:space="0" w:color="B3B3B3"/>
              <w:bottom w:val="nil"/>
            </w:tcBorders>
            <w:shd w:val="clear" w:color="000000" w:fill="F2F2F2"/>
          </w:tcPr>
          <w:p w14:paraId="4B3A344E" w14:textId="77777777" w:rsidR="00E21DC1" w:rsidRDefault="00E21DC1" w:rsidP="00E16B81">
            <w:pPr>
              <w:pStyle w:val="TableBody"/>
              <w:spacing w:after="0"/>
              <w:ind w:right="108"/>
              <w:jc w:val="right"/>
              <w:rPr>
                <w:rFonts w:ascii="Arial (Body)" w:hAnsi="Arial (Body)"/>
                <w:color w:val="000000"/>
              </w:rPr>
            </w:pPr>
            <w:r w:rsidRPr="00125606">
              <w:t>1.1</w:t>
            </w:r>
          </w:p>
        </w:tc>
        <w:tc>
          <w:tcPr>
            <w:tcW w:w="1701" w:type="dxa"/>
            <w:tcBorders>
              <w:top w:val="single" w:sz="4" w:space="0" w:color="B3B3B3"/>
              <w:bottom w:val="nil"/>
            </w:tcBorders>
            <w:shd w:val="clear" w:color="000000" w:fill="F2F2F2"/>
          </w:tcPr>
          <w:p w14:paraId="12F57572" w14:textId="77777777" w:rsidR="00E21DC1" w:rsidRDefault="00E21DC1" w:rsidP="00E16B81">
            <w:pPr>
              <w:pStyle w:val="TableBody"/>
              <w:spacing w:after="0"/>
              <w:ind w:right="108"/>
              <w:jc w:val="right"/>
              <w:rPr>
                <w:rFonts w:ascii="Arial (Body)" w:hAnsi="Arial (Body)"/>
                <w:color w:val="000000"/>
              </w:rPr>
            </w:pPr>
            <w:r w:rsidRPr="00C31996">
              <w:t>1.1</w:t>
            </w:r>
          </w:p>
        </w:tc>
        <w:tc>
          <w:tcPr>
            <w:tcW w:w="1701" w:type="dxa"/>
            <w:tcBorders>
              <w:top w:val="single" w:sz="4" w:space="0" w:color="B3B3B3"/>
              <w:bottom w:val="nil"/>
            </w:tcBorders>
            <w:shd w:val="clear" w:color="000000" w:fill="F2F2F2"/>
          </w:tcPr>
          <w:p w14:paraId="6DA75979" w14:textId="77777777" w:rsidR="00E21DC1" w:rsidRPr="00C31996" w:rsidRDefault="00E21DC1" w:rsidP="00E16B81">
            <w:pPr>
              <w:pStyle w:val="TableBody"/>
              <w:spacing w:after="0"/>
              <w:ind w:right="108"/>
              <w:jc w:val="right"/>
            </w:pPr>
            <w:r w:rsidRPr="00045E8A">
              <w:t>0.4</w:t>
            </w:r>
          </w:p>
        </w:tc>
        <w:tc>
          <w:tcPr>
            <w:tcW w:w="1701" w:type="dxa"/>
            <w:tcBorders>
              <w:top w:val="single" w:sz="4" w:space="0" w:color="B3B3B3"/>
              <w:bottom w:val="nil"/>
            </w:tcBorders>
            <w:shd w:val="clear" w:color="000000" w:fill="F2F2F2"/>
          </w:tcPr>
          <w:p w14:paraId="4820669A" w14:textId="77777777" w:rsidR="00E21DC1" w:rsidRPr="00C31996" w:rsidRDefault="00E21DC1" w:rsidP="00E16B81">
            <w:pPr>
              <w:pStyle w:val="TableBody"/>
              <w:spacing w:after="0"/>
              <w:ind w:right="108"/>
              <w:jc w:val="right"/>
            </w:pPr>
            <w:r w:rsidRPr="00045E8A">
              <w:t>0.5</w:t>
            </w:r>
          </w:p>
        </w:tc>
      </w:tr>
      <w:tr w:rsidR="00E21DC1" w:rsidRPr="00030C67" w14:paraId="27D1FCFA" w14:textId="77777777" w:rsidTr="00631231">
        <w:tc>
          <w:tcPr>
            <w:tcW w:w="1134" w:type="dxa"/>
            <w:tcBorders>
              <w:bottom w:val="single" w:sz="4" w:space="0" w:color="B3B3B3"/>
            </w:tcBorders>
            <w:shd w:val="clear" w:color="auto" w:fill="auto"/>
          </w:tcPr>
          <w:p w14:paraId="711EB6F8" w14:textId="77777777" w:rsidR="00E21DC1" w:rsidRPr="00030C67" w:rsidRDefault="00E21DC1" w:rsidP="00E16B81">
            <w:pPr>
              <w:pStyle w:val="TableHeading"/>
              <w:spacing w:after="0"/>
            </w:pPr>
            <w:r w:rsidRPr="00B33603">
              <w:t>1985</w:t>
            </w:r>
            <w:r>
              <w:noBreakHyphen/>
            </w:r>
            <w:r w:rsidRPr="00B33603">
              <w:t xml:space="preserve">86 to </w:t>
            </w:r>
            <w:r>
              <w:br/>
            </w:r>
            <w:r w:rsidRPr="00B33603">
              <w:t>2021-22</w:t>
            </w:r>
          </w:p>
        </w:tc>
        <w:tc>
          <w:tcPr>
            <w:tcW w:w="1701" w:type="dxa"/>
            <w:tcBorders>
              <w:bottom w:val="single" w:sz="4" w:space="0" w:color="B3B3B3"/>
            </w:tcBorders>
            <w:shd w:val="clear" w:color="auto" w:fill="auto"/>
          </w:tcPr>
          <w:p w14:paraId="425E2E5F" w14:textId="77777777" w:rsidR="00E21DC1" w:rsidRDefault="00E21DC1" w:rsidP="00E16B81">
            <w:pPr>
              <w:pStyle w:val="TableBody"/>
              <w:spacing w:after="0"/>
              <w:ind w:right="108"/>
              <w:jc w:val="right"/>
              <w:rPr>
                <w:rFonts w:ascii="Arial (Body)" w:hAnsi="Arial (Body)"/>
                <w:color w:val="000000"/>
              </w:rPr>
            </w:pPr>
            <w:r w:rsidRPr="007B0D65">
              <w:t>1.5</w:t>
            </w:r>
          </w:p>
        </w:tc>
        <w:tc>
          <w:tcPr>
            <w:tcW w:w="1701" w:type="dxa"/>
            <w:tcBorders>
              <w:bottom w:val="single" w:sz="4" w:space="0" w:color="B3B3B3"/>
            </w:tcBorders>
            <w:shd w:val="clear" w:color="auto" w:fill="auto"/>
          </w:tcPr>
          <w:p w14:paraId="3225CA1B" w14:textId="77777777" w:rsidR="00E21DC1" w:rsidRPr="00030C67" w:rsidRDefault="00E21DC1" w:rsidP="00E16B81">
            <w:pPr>
              <w:pStyle w:val="TableBody"/>
              <w:spacing w:after="0"/>
              <w:ind w:right="108"/>
              <w:jc w:val="right"/>
              <w:rPr>
                <w:rFonts w:ascii="Arial (Body)" w:hAnsi="Arial (Body)"/>
                <w:color w:val="000000"/>
              </w:rPr>
            </w:pPr>
            <w:r>
              <w:t>0.9</w:t>
            </w:r>
          </w:p>
        </w:tc>
        <w:tc>
          <w:tcPr>
            <w:tcW w:w="1701" w:type="dxa"/>
            <w:tcBorders>
              <w:bottom w:val="single" w:sz="4" w:space="0" w:color="B3B3B3"/>
            </w:tcBorders>
            <w:shd w:val="clear" w:color="auto" w:fill="auto"/>
          </w:tcPr>
          <w:p w14:paraId="6EC72E3F" w14:textId="77777777" w:rsidR="00E21DC1" w:rsidRPr="00030C67" w:rsidRDefault="00E21DC1" w:rsidP="00E16B81">
            <w:pPr>
              <w:pStyle w:val="TableBody"/>
              <w:spacing w:after="0"/>
              <w:ind w:right="108"/>
              <w:jc w:val="right"/>
              <w:rPr>
                <w:rFonts w:ascii="Arial (Body)" w:hAnsi="Arial (Body)"/>
                <w:color w:val="000000"/>
              </w:rPr>
            </w:pPr>
            <w:r w:rsidRPr="00C31996">
              <w:t>0.8</w:t>
            </w:r>
          </w:p>
        </w:tc>
        <w:tc>
          <w:tcPr>
            <w:tcW w:w="1701" w:type="dxa"/>
            <w:tcBorders>
              <w:bottom w:val="single" w:sz="4" w:space="0" w:color="B3B3B3"/>
            </w:tcBorders>
          </w:tcPr>
          <w:p w14:paraId="6A4608D1" w14:textId="77777777" w:rsidR="00E21DC1" w:rsidRPr="00C31996" w:rsidRDefault="00E21DC1" w:rsidP="00E16B81">
            <w:pPr>
              <w:pStyle w:val="TableBody"/>
              <w:spacing w:after="0"/>
              <w:ind w:right="108"/>
              <w:jc w:val="right"/>
            </w:pPr>
            <w:r w:rsidRPr="00045E8A">
              <w:t>0.6</w:t>
            </w:r>
          </w:p>
        </w:tc>
        <w:tc>
          <w:tcPr>
            <w:tcW w:w="1701" w:type="dxa"/>
            <w:tcBorders>
              <w:bottom w:val="single" w:sz="4" w:space="0" w:color="B3B3B3"/>
            </w:tcBorders>
          </w:tcPr>
          <w:p w14:paraId="1BCD235A" w14:textId="77777777" w:rsidR="00E21DC1" w:rsidRPr="00C31996" w:rsidRDefault="00E21DC1" w:rsidP="00E16B81">
            <w:pPr>
              <w:pStyle w:val="TableBody"/>
              <w:spacing w:after="0"/>
              <w:ind w:right="108"/>
              <w:jc w:val="right"/>
            </w:pPr>
            <w:r w:rsidRPr="00045E8A">
              <w:t>0.6</w:t>
            </w:r>
          </w:p>
        </w:tc>
      </w:tr>
    </w:tbl>
    <w:p w14:paraId="3DE2CF06" w14:textId="7743FA06" w:rsidR="00E21DC1" w:rsidRDefault="00E21DC1" w:rsidP="00E21DC1">
      <w:pPr>
        <w:pStyle w:val="Note"/>
      </w:pPr>
      <w:r w:rsidRPr="00C36914">
        <w:rPr>
          <w:b/>
          <w:bCs/>
        </w:rPr>
        <w:t>a.</w:t>
      </w:r>
      <w:r w:rsidRPr="00C36914">
        <w:t xml:space="preserve"> </w:t>
      </w:r>
      <w:r>
        <w:t xml:space="preserve">Based on growth cycles used by the ABS </w:t>
      </w:r>
      <w:r w:rsidRPr="0094212E">
        <w:rPr>
          <w:rFonts w:ascii="Arial" w:hAnsi="Arial" w:cs="Arial"/>
        </w:rPr>
        <w:t>(2022d)</w:t>
      </w:r>
      <w:r>
        <w:t xml:space="preserve"> in its analysis of decoupling from 1994</w:t>
      </w:r>
      <w:r>
        <w:noBreakHyphen/>
        <w:t xml:space="preserve">95 and from Barnes </w:t>
      </w:r>
      <w:r w:rsidRPr="006C335B">
        <w:rPr>
          <w:rFonts w:ascii="Arial" w:hAnsi="Arial" w:cs="Arial"/>
        </w:rPr>
        <w:t>(2011)</w:t>
      </w:r>
      <w:r>
        <w:t xml:space="preserve"> for the preceding cycle</w:t>
      </w:r>
      <w:r w:rsidRPr="00C36914">
        <w:t>.</w:t>
      </w:r>
    </w:p>
    <w:p w14:paraId="412CE89B" w14:textId="77777777" w:rsidR="00E21DC1" w:rsidRDefault="00E21DC1" w:rsidP="00E16B81">
      <w:pPr>
        <w:pStyle w:val="Source"/>
        <w:spacing w:after="120"/>
      </w:pPr>
      <w:r w:rsidRPr="00696447">
        <w:t xml:space="preserve">Source: </w:t>
      </w:r>
      <w:r>
        <w:t>As above</w:t>
      </w:r>
      <w:r w:rsidRPr="00696447">
        <w:t>.</w:t>
      </w:r>
    </w:p>
    <w:p w14:paraId="72E44A76" w14:textId="10076187" w:rsidR="00E21DC1" w:rsidRPr="00146382" w:rsidRDefault="00E21DC1" w:rsidP="00E16B81">
      <w:pPr>
        <w:pStyle w:val="FigureTableHeading"/>
        <w:spacing w:before="120"/>
      </w:pPr>
      <w:r>
        <w:t xml:space="preserve">Figure </w:t>
      </w:r>
      <w:r w:rsidR="002B4160">
        <w:rPr>
          <w:noProof/>
        </w:rPr>
        <w:t>8</w:t>
      </w:r>
      <w:r>
        <w:rPr>
          <w:noProof/>
        </w:rPr>
        <w:t xml:space="preserve"> </w:t>
      </w:r>
      <w:r>
        <w:t>– The degree of decoupling is stable for longer</w:t>
      </w:r>
      <w:r>
        <w:noBreakHyphen/>
        <w:t>run estimates</w:t>
      </w:r>
      <w:r w:rsidRPr="00066CF5">
        <w:rPr>
          <w:vertAlign w:val="superscript"/>
        </w:rPr>
        <w:t>a</w:t>
      </w:r>
    </w:p>
    <w:p w14:paraId="3B098E00" w14:textId="77777777" w:rsidR="00E21DC1" w:rsidRDefault="00E21DC1" w:rsidP="00E21DC1">
      <w:pPr>
        <w:pStyle w:val="FigureTableSubheading"/>
        <w:keepLines/>
      </w:pPr>
      <w:r>
        <w:t>Successive years from 1985</w:t>
      </w:r>
      <w:r>
        <w:noBreakHyphen/>
        <w:t>86 to 2021</w:t>
      </w:r>
      <w:r>
        <w:noBreakHyphen/>
        <w:t>22</w:t>
      </w:r>
    </w:p>
    <w:p w14:paraId="789956A9" w14:textId="77777777" w:rsidR="00E21DC1" w:rsidRDefault="00E21DC1" w:rsidP="00E21DC1">
      <w:pPr>
        <w:pStyle w:val="Note"/>
        <w:keepLines/>
        <w:spacing w:before="0" w:after="0"/>
        <w:rPr>
          <w:b/>
          <w:bCs/>
        </w:rPr>
      </w:pPr>
      <w:r w:rsidRPr="00B072BE">
        <w:rPr>
          <w:noProof/>
        </w:rPr>
        <w:drawing>
          <wp:inline distT="0" distB="0" distL="0" distR="0" wp14:anchorId="58ECDA0D" wp14:editId="3924809E">
            <wp:extent cx="5988050" cy="2768600"/>
            <wp:effectExtent l="0" t="0" r="0" b="0"/>
            <wp:docPr id="550919028" name="Picture 550919028" descr="This chart shows the annual gap in the growth of labour productivity and producer wages for any particular starting date and the end date of 2021-22. For example, the value of the chart at date 1992 93 shows the difference in the average annual growth rate of labour productivity and producer wages between 1992 93 and 2021 22. It can be seen for any starting point between 1985 86 and about 2010 11, the gap between annual labour productivity growth and producer wage growth is about the 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919028" name="Picture 550919028" descr="This chart shows the annual gap in the growth of labour productivity and producer wages for any particular starting date and the end date of 2021-22. For example, the value of the chart at date 1992 93 shows the difference in the average annual growth rate of labour productivity and producer wages between 1992 93 and 2021 22. It can be seen for any starting point between 1985 86 and about 2010 11, the gap between annual labour productivity growth and producer wage growth is about the same."/>
                    <pic:cNvPicPr>
                      <a:picLocks noChangeAspect="1" noChangeArrowheads="1"/>
                    </pic:cNvPicPr>
                  </pic:nvPicPr>
                  <pic:blipFill rotWithShape="1">
                    <a:blip r:embed="rId36" cstate="print">
                      <a:extLst>
                        <a:ext uri="{28A0092B-C50C-407E-A947-70E740481C1C}">
                          <a14:useLocalDpi xmlns:a14="http://schemas.microsoft.com/office/drawing/2010/main" val="0"/>
                        </a:ext>
                      </a:extLst>
                    </a:blip>
                    <a:srcRect l="2153" b="2629"/>
                    <a:stretch/>
                  </pic:blipFill>
                  <pic:spPr bwMode="auto">
                    <a:xfrm>
                      <a:off x="0" y="0"/>
                      <a:ext cx="5988394" cy="2768759"/>
                    </a:xfrm>
                    <a:prstGeom prst="rect">
                      <a:avLst/>
                    </a:prstGeom>
                    <a:noFill/>
                    <a:ln>
                      <a:noFill/>
                    </a:ln>
                    <a:extLst>
                      <a:ext uri="{53640926-AAD7-44D8-BBD7-CCE9431645EC}">
                        <a14:shadowObscured xmlns:a14="http://schemas.microsoft.com/office/drawing/2010/main"/>
                      </a:ext>
                    </a:extLst>
                  </pic:spPr>
                </pic:pic>
              </a:graphicData>
            </a:graphic>
          </wp:inline>
        </w:drawing>
      </w:r>
    </w:p>
    <w:p w14:paraId="2D9E883B" w14:textId="77777777" w:rsidR="00E21DC1" w:rsidRDefault="00E21DC1" w:rsidP="00E21DC1">
      <w:pPr>
        <w:pStyle w:val="Note"/>
      </w:pPr>
      <w:r w:rsidRPr="00180E66">
        <w:rPr>
          <w:b/>
          <w:bCs/>
        </w:rPr>
        <w:t>a.</w:t>
      </w:r>
      <w:r>
        <w:t xml:space="preserve"> For each year, the average annual growth rate in labour productivity and real producer wages are calculated between it and the end year of 2021</w:t>
      </w:r>
      <w:r>
        <w:noBreakHyphen/>
        <w:t>22, and then differenced to give the average annual decoupling rate over the relevant period. Accordingly, the first point in the chart is for 1985</w:t>
      </w:r>
      <w:r>
        <w:noBreakHyphen/>
        <w:t>86 to 2021</w:t>
      </w:r>
      <w:r>
        <w:noBreakHyphen/>
        <w:t>22 (the value shown in the bottom right-hand side of the table above), while the next observation is from 1986</w:t>
      </w:r>
      <w:r>
        <w:noBreakHyphen/>
        <w:t>87 to 2021</w:t>
      </w:r>
      <w:r>
        <w:noBreakHyphen/>
        <w:t>22 and so on. The chart shows that, it is only when the period becomes relatively short (after the period from 2010</w:t>
      </w:r>
      <w:r>
        <w:noBreakHyphen/>
        <w:t>11 to 2021</w:t>
      </w:r>
      <w:r>
        <w:noBreakHyphen/>
        <w:t>22) does the decoupling estimate deviate substantially from the long</w:t>
      </w:r>
      <w:r>
        <w:noBreakHyphen/>
        <w:t>run, which is therefore not characteristic of the long</w:t>
      </w:r>
      <w:r>
        <w:noBreakHyphen/>
        <w:t xml:space="preserve">run pattern. </w:t>
      </w:r>
    </w:p>
    <w:p w14:paraId="35DD1C92" w14:textId="77777777" w:rsidR="00E21DC1" w:rsidRDefault="00E21DC1" w:rsidP="00E21DC1">
      <w:pPr>
        <w:pStyle w:val="Source"/>
      </w:pPr>
      <w:r w:rsidRPr="00696447">
        <w:t>Source</w:t>
      </w:r>
      <w:r>
        <w:t>: As above</w:t>
      </w:r>
      <w:r w:rsidRPr="00696447">
        <w:t>.</w:t>
      </w:r>
    </w:p>
    <w:tbl>
      <w:tblPr>
        <w:tblStyle w:val="TableGrid"/>
        <w:tblW w:w="5000" w:type="pct"/>
        <w:tblBorders>
          <w:top w:val="single" w:sz="4" w:space="0" w:color="66BCDB" w:themeColor="text2"/>
          <w:left w:val="single" w:sz="4" w:space="0" w:color="66BCDB" w:themeColor="text2"/>
          <w:bottom w:val="single" w:sz="4" w:space="0" w:color="66BCDB" w:themeColor="text2"/>
          <w:right w:val="single" w:sz="4" w:space="0" w:color="66BCDB" w:themeColor="text2"/>
          <w:insideH w:val="none" w:sz="0" w:space="0" w:color="auto"/>
          <w:insideV w:val="none" w:sz="0" w:space="0" w:color="auto"/>
        </w:tblBorders>
        <w:tblCellMar>
          <w:bottom w:w="113" w:type="dxa"/>
        </w:tblCellMar>
        <w:tblLook w:val="04A0" w:firstRow="1" w:lastRow="0" w:firstColumn="1" w:lastColumn="0" w:noHBand="0" w:noVBand="1"/>
      </w:tblPr>
      <w:tblGrid>
        <w:gridCol w:w="705"/>
        <w:gridCol w:w="8923"/>
      </w:tblGrid>
      <w:tr w:rsidR="00E21DC1" w14:paraId="6D09AC95" w14:textId="77777777">
        <w:trPr>
          <w:trHeight w:val="765"/>
          <w:tblHeader/>
        </w:trPr>
        <w:tc>
          <w:tcPr>
            <w:tcW w:w="366" w:type="pct"/>
            <w:tcBorders>
              <w:bottom w:val="nil"/>
            </w:tcBorders>
            <w:tcMar>
              <w:bottom w:w="0" w:type="dxa"/>
            </w:tcMar>
            <w:vAlign w:val="center"/>
          </w:tcPr>
          <w:p w14:paraId="096A4607" w14:textId="77777777" w:rsidR="00E21DC1" w:rsidRDefault="00E21DC1">
            <w:pPr>
              <w:pStyle w:val="NoSpacing"/>
              <w:keepNext/>
              <w:keepLines/>
              <w:jc w:val="right"/>
            </w:pPr>
            <w:r w:rsidRPr="00A51374">
              <w:rPr>
                <w:noProof/>
              </w:rPr>
              <w:lastRenderedPageBreak/>
              <w:drawing>
                <wp:inline distT="0" distB="0" distL="0" distR="0" wp14:anchorId="765D6FDC" wp14:editId="79995337">
                  <wp:extent cx="288000" cy="288000"/>
                  <wp:effectExtent l="0" t="0" r="0" b="0"/>
                  <wp:docPr id="1391352448" name="Picture 13913524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Graphic 39">
                            <a:extLst>
                              <a:ext uri="{C183D7F6-B498-43B3-948B-1728B52AA6E4}">
                                <adec:decorative xmlns:adec="http://schemas.microsoft.com/office/drawing/2017/decorative" val="1"/>
                              </a:ext>
                            </a:extLst>
                          </pic:cNvPr>
                          <pic:cNvPicPr/>
                        </pic:nvPicPr>
                        <pic:blipFill>
                          <a:blip r:embed="rId28">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634" w:type="pct"/>
            <w:tcBorders>
              <w:bottom w:val="nil"/>
            </w:tcBorders>
            <w:tcMar>
              <w:bottom w:w="0" w:type="dxa"/>
            </w:tcMar>
            <w:vAlign w:val="center"/>
          </w:tcPr>
          <w:p w14:paraId="4D0D32F7" w14:textId="5F7FA550" w:rsidR="00E21DC1" w:rsidRPr="00EE3F20" w:rsidRDefault="00E21DC1">
            <w:pPr>
              <w:pStyle w:val="TableHeading"/>
              <w:keepNext/>
              <w:keepLines/>
              <w:spacing w:before="120" w:after="120"/>
              <w:contextualSpacing/>
              <w:rPr>
                <w:sz w:val="20"/>
              </w:rPr>
            </w:pPr>
            <w:r w:rsidRPr="00EE3F20">
              <w:rPr>
                <w:sz w:val="20"/>
              </w:rPr>
              <w:t xml:space="preserve">Data issue </w:t>
            </w:r>
            <w:r w:rsidR="00EE3F20" w:rsidRPr="00EE3F20">
              <w:rPr>
                <w:sz w:val="20"/>
              </w:rPr>
              <w:t xml:space="preserve">conclusion </w:t>
            </w:r>
            <w:r w:rsidRPr="00EE3F20">
              <w:rPr>
                <w:sz w:val="20"/>
              </w:rPr>
              <w:t>5</w:t>
            </w:r>
          </w:p>
          <w:p w14:paraId="0E68FEF5" w14:textId="77777777" w:rsidR="00E21DC1" w:rsidRPr="00EE3F20" w:rsidRDefault="00E21DC1">
            <w:pPr>
              <w:pStyle w:val="TableHeading"/>
              <w:keepNext/>
              <w:keepLines/>
              <w:spacing w:before="120" w:after="120"/>
              <w:contextualSpacing/>
              <w:rPr>
                <w:sz w:val="20"/>
              </w:rPr>
            </w:pPr>
            <w:r w:rsidRPr="00EE3F20">
              <w:rPr>
                <w:sz w:val="20"/>
              </w:rPr>
              <w:t>Choice of timeframe of analysis</w:t>
            </w:r>
          </w:p>
        </w:tc>
      </w:tr>
      <w:tr w:rsidR="00E21DC1" w14:paraId="17243B34" w14:textId="77777777">
        <w:tc>
          <w:tcPr>
            <w:tcW w:w="5000" w:type="pct"/>
            <w:gridSpan w:val="2"/>
            <w:tcBorders>
              <w:top w:val="nil"/>
              <w:bottom w:val="single" w:sz="4" w:space="0" w:color="66BCDB" w:themeColor="text2"/>
            </w:tcBorders>
          </w:tcPr>
          <w:p w14:paraId="272EB715" w14:textId="77777777" w:rsidR="00E21DC1" w:rsidRDefault="00E21DC1">
            <w:pPr>
              <w:pStyle w:val="BodyText"/>
              <w:keepLines/>
            </w:pPr>
            <w:r>
              <w:t xml:space="preserve">The degree of decoupling depends on the period being used and consideration of business cycle effects. However, </w:t>
            </w:r>
            <w:r w:rsidRPr="00E70561">
              <w:rPr>
                <w:i/>
              </w:rPr>
              <w:t>so long as a date before 2010</w:t>
            </w:r>
            <w:r w:rsidRPr="00E70561">
              <w:rPr>
                <w:i/>
              </w:rPr>
              <w:noBreakHyphen/>
              <w:t>11 is chosen as the starting point</w:t>
            </w:r>
            <w:r>
              <w:t>, the degree of wage decoupling is little changed regardless of the choice of time frame. Any analysis after</w:t>
            </w:r>
            <w:r w:rsidDel="00AD39A2">
              <w:t xml:space="preserve"> </w:t>
            </w:r>
            <w:r>
              <w:t xml:space="preserve">that date would likely be too vulnerable to a few outlying data points (such as the COVID-19 pandemic) so this was ruled out. </w:t>
            </w:r>
          </w:p>
          <w:p w14:paraId="46326A49" w14:textId="77777777" w:rsidR="00E21DC1" w:rsidRDefault="00E21DC1">
            <w:pPr>
              <w:pStyle w:val="BodyText"/>
              <w:keepLines/>
            </w:pPr>
            <w:r>
              <w:t>Given that starting analysis at any date before 2010</w:t>
            </w:r>
            <w:r>
              <w:noBreakHyphen/>
              <w:t>11 provides similar results, we selected 1994</w:t>
            </w:r>
            <w:r>
              <w:noBreakHyphen/>
              <w:t xml:space="preserve">95 as the starting date for examining decoupling as this is the earliest date from which rich industry level data is available for both labour productivity and wages. </w:t>
            </w:r>
          </w:p>
        </w:tc>
      </w:tr>
      <w:tr w:rsidR="00E21DC1" w14:paraId="6D5BB425" w14:textId="77777777">
        <w:tc>
          <w:tcPr>
            <w:tcW w:w="5000" w:type="pct"/>
            <w:gridSpan w:val="2"/>
            <w:tcBorders>
              <w:top w:val="single" w:sz="4" w:space="0" w:color="66BCDB" w:themeColor="text2"/>
              <w:left w:val="nil"/>
              <w:bottom w:val="nil"/>
              <w:right w:val="nil"/>
            </w:tcBorders>
            <w:tcMar>
              <w:bottom w:w="0" w:type="dxa"/>
            </w:tcMar>
          </w:tcPr>
          <w:p w14:paraId="63FFF4B5" w14:textId="56E725D6" w:rsidR="00E21DC1" w:rsidRDefault="00E21DC1">
            <w:pPr>
              <w:pStyle w:val="NoSpacing"/>
              <w:spacing w:line="200" w:lineRule="atLeast"/>
            </w:pPr>
          </w:p>
        </w:tc>
      </w:tr>
    </w:tbl>
    <w:p w14:paraId="4EA0EEB1" w14:textId="77777777" w:rsidR="00EE3F20" w:rsidRPr="00F92656" w:rsidRDefault="00EE3F20" w:rsidP="00F92656">
      <w:pPr>
        <w:pStyle w:val="BodyText"/>
      </w:pPr>
      <w:bookmarkStart w:id="4" w:name="_Toc144912349"/>
      <w:r w:rsidRPr="00F92656">
        <w:br w:type="page"/>
      </w:r>
    </w:p>
    <w:p w14:paraId="533923AF" w14:textId="464E8DC1" w:rsidR="00696D3E" w:rsidRDefault="00696D3E" w:rsidP="00696D3E">
      <w:pPr>
        <w:pStyle w:val="Heading1-nobackground"/>
      </w:pPr>
      <w:r>
        <w:lastRenderedPageBreak/>
        <w:t xml:space="preserve">Appendix B – </w:t>
      </w:r>
      <w:r w:rsidR="00087F9B">
        <w:t>M</w:t>
      </w:r>
      <w:r>
        <w:t>ethodological details</w:t>
      </w:r>
      <w:bookmarkEnd w:id="4"/>
    </w:p>
    <w:p w14:paraId="521ACEFC" w14:textId="0C145882" w:rsidR="00696D3E" w:rsidRDefault="00696D3E" w:rsidP="00696D3E">
      <w:pPr>
        <w:pStyle w:val="Heading2-nonumber"/>
      </w:pPr>
      <w:bookmarkStart w:id="5" w:name="_Toc144912350"/>
      <w:r>
        <w:t>B.1</w:t>
      </w:r>
      <w:r>
        <w:tab/>
        <w:t xml:space="preserve">Splitting </w:t>
      </w:r>
      <w:r w:rsidRPr="0086140D">
        <w:t xml:space="preserve">gross mixed income </w:t>
      </w:r>
      <w:r>
        <w:t>(GMI) between labour and capital</w:t>
      </w:r>
      <w:bookmarkEnd w:id="5"/>
    </w:p>
    <w:p w14:paraId="69836E4A" w14:textId="77777777" w:rsidR="00696D3E" w:rsidRDefault="00696D3E" w:rsidP="00696D3E">
      <w:pPr>
        <w:pStyle w:val="BodyText"/>
      </w:pPr>
      <w:r>
        <w:t>The purpose of this documents to set out rigorously the methods used for estimating decoupling to avoid ambiguity.</w:t>
      </w:r>
    </w:p>
    <w:p w14:paraId="722AF76E" w14:textId="77777777" w:rsidR="00696D3E" w:rsidRDefault="00696D3E" w:rsidP="00696D3E">
      <w:pPr>
        <w:pStyle w:val="Heading3"/>
      </w:pPr>
      <w:r>
        <w:t>Basic approach</w:t>
      </w:r>
    </w:p>
    <w:p w14:paraId="75631C09" w14:textId="77777777" w:rsidR="00696D3E" w:rsidRDefault="00696D3E" w:rsidP="00696D3E">
      <w:pPr>
        <w:pStyle w:val="BodyText"/>
      </w:pPr>
      <w:r>
        <w:t>GMI is split between labour and capital by assuming that the implicit wage rate received by owner</w:t>
      </w:r>
      <w:r>
        <w:noBreakHyphen/>
        <w:t>managers of unincorporated businesses is equal to the wage of employees for the same industry. That is, for each division industry:</w:t>
      </w:r>
    </w:p>
    <w:p w14:paraId="763786D1" w14:textId="77777777" w:rsidR="00696D3E" w:rsidRDefault="00000000" w:rsidP="00696D3E">
      <w:pPr>
        <w:pStyle w:val="BodyText"/>
      </w:pPr>
      <m:oMathPara>
        <m:oMath>
          <m:sSub>
            <m:sSubPr>
              <m:ctrlPr>
                <w:rPr>
                  <w:rFonts w:ascii="Cambria Math" w:hAnsi="Cambria Math"/>
                  <w:i/>
                </w:rPr>
              </m:ctrlPr>
            </m:sSubPr>
            <m:e>
              <m:r>
                <w:rPr>
                  <w:rFonts w:ascii="Cambria Math" w:hAnsi="Cambria Math"/>
                </w:rPr>
                <m:t>W</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E</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O</m:t>
              </m:r>
            </m:sub>
          </m:sSub>
        </m:oMath>
      </m:oMathPara>
    </w:p>
    <w:p w14:paraId="4B3C0260" w14:textId="77777777" w:rsidR="00696D3E" w:rsidRDefault="00696D3E" w:rsidP="00696D3E">
      <w:pPr>
        <w:pStyle w:val="BodyText"/>
      </w:pPr>
      <w:r>
        <w:t xml:space="preserve">where: </w:t>
      </w:r>
      <m:oMath>
        <m:sSub>
          <m:sSubPr>
            <m:ctrlPr>
              <w:rPr>
                <w:rFonts w:ascii="Cambria Math" w:hAnsi="Cambria Math"/>
                <w:i/>
              </w:rPr>
            </m:ctrlPr>
          </m:sSubPr>
          <m:e>
            <m:r>
              <w:rPr>
                <w:rFonts w:ascii="Cambria Math" w:hAnsi="Cambria Math"/>
              </w:rPr>
              <m:t>W</m:t>
            </m:r>
          </m:e>
          <m:sub>
            <m:r>
              <w:rPr>
                <w:rFonts w:ascii="Cambria Math" w:hAnsi="Cambria Math"/>
              </w:rPr>
              <m:t>T</m:t>
            </m:r>
          </m:sub>
        </m:sSub>
      </m:oMath>
      <w:r>
        <w:rPr>
          <w:rFonts w:eastAsiaTheme="minorEastAsia"/>
        </w:rPr>
        <w:t xml:space="preserve"> is the weighted average wage of owner</w:t>
      </w:r>
      <w:r>
        <w:noBreakHyphen/>
      </w:r>
      <w:r>
        <w:rPr>
          <w:rFonts w:eastAsiaTheme="minorEastAsia"/>
        </w:rPr>
        <w:t xml:space="preserve">managers and employees, </w:t>
      </w:r>
      <m:oMath>
        <m:sSub>
          <m:sSubPr>
            <m:ctrlPr>
              <w:rPr>
                <w:rFonts w:ascii="Cambria Math" w:hAnsi="Cambria Math"/>
                <w:i/>
              </w:rPr>
            </m:ctrlPr>
          </m:sSubPr>
          <m:e>
            <m:r>
              <w:rPr>
                <w:rFonts w:ascii="Cambria Math" w:hAnsi="Cambria Math"/>
              </w:rPr>
              <m:t>W</m:t>
            </m:r>
          </m:e>
          <m:sub>
            <m:r>
              <w:rPr>
                <w:rFonts w:ascii="Cambria Math" w:hAnsi="Cambria Math"/>
              </w:rPr>
              <m:t>E</m:t>
            </m:r>
          </m:sub>
        </m:sSub>
      </m:oMath>
      <w:r>
        <w:rPr>
          <w:rFonts w:eastAsiaTheme="minorEastAsia"/>
        </w:rPr>
        <w:t xml:space="preserve"> is the employee wage, and </w:t>
      </w:r>
      <m:oMath>
        <m:sSub>
          <m:sSubPr>
            <m:ctrlPr>
              <w:rPr>
                <w:rFonts w:ascii="Cambria Math" w:hAnsi="Cambria Math"/>
                <w:i/>
              </w:rPr>
            </m:ctrlPr>
          </m:sSubPr>
          <m:e>
            <m:r>
              <w:rPr>
                <w:rFonts w:ascii="Cambria Math" w:hAnsi="Cambria Math"/>
              </w:rPr>
              <m:t>W</m:t>
            </m:r>
          </m:e>
          <m:sub>
            <m:r>
              <w:rPr>
                <w:rFonts w:ascii="Cambria Math" w:hAnsi="Cambria Math"/>
              </w:rPr>
              <m:t>O</m:t>
            </m:r>
          </m:sub>
        </m:sSub>
        <m:r>
          <w:rPr>
            <w:rFonts w:ascii="Cambria Math" w:hAnsi="Cambria Math"/>
          </w:rPr>
          <m:t xml:space="preserve"> </m:t>
        </m:r>
      </m:oMath>
      <w:r>
        <w:rPr>
          <w:rFonts w:eastAsiaTheme="minorEastAsia"/>
        </w:rPr>
        <w:t>is the implicit wage of owner</w:t>
      </w:r>
      <w:r>
        <w:noBreakHyphen/>
      </w:r>
      <w:r>
        <w:rPr>
          <w:rFonts w:eastAsiaTheme="minorEastAsia"/>
        </w:rPr>
        <w:t xml:space="preserve">managers of unincorporated enterprises. </w:t>
      </w:r>
    </w:p>
    <w:p w14:paraId="5833FFDB" w14:textId="77777777" w:rsidR="00696D3E" w:rsidRDefault="00696D3E" w:rsidP="00696D3E">
      <w:pPr>
        <w:pStyle w:val="BodyText"/>
      </w:pPr>
      <w:r>
        <w:t>The wage measure then becomes:</w:t>
      </w:r>
    </w:p>
    <w:p w14:paraId="5DEB4C60" w14:textId="77777777" w:rsidR="00696D3E" w:rsidRDefault="00000000" w:rsidP="00696D3E">
      <w:pPr>
        <w:pStyle w:val="BodyText"/>
      </w:pPr>
      <m:oMathPara>
        <m:oMath>
          <m:sSub>
            <m:sSubPr>
              <m:ctrlPr>
                <w:rPr>
                  <w:rFonts w:ascii="Cambria Math" w:hAnsi="Cambria Math"/>
                  <w:i/>
                </w:rPr>
              </m:ctrlPr>
            </m:sSubPr>
            <m:e>
              <m:r>
                <w:rPr>
                  <w:rFonts w:ascii="Cambria Math" w:hAnsi="Cambria Math"/>
                </w:rPr>
                <m:t>W</m:t>
              </m:r>
            </m:e>
            <m:sub>
              <m:r>
                <w:rPr>
                  <w:rFonts w:ascii="Cambria Math" w:hAnsi="Cambria Math"/>
                </w:rPr>
                <m:t>T</m:t>
              </m:r>
            </m:sub>
          </m:sSub>
          <m:r>
            <w:rPr>
              <w:rFonts w:ascii="Cambria Math" w:hAnsi="Cambria Math"/>
            </w:rPr>
            <m:t>=</m:t>
          </m:r>
          <m:f>
            <m:fPr>
              <m:ctrlPr>
                <w:rPr>
                  <w:rFonts w:ascii="Cambria Math" w:hAnsi="Cambria Math"/>
                  <w:i/>
                </w:rPr>
              </m:ctrlPr>
            </m:fPr>
            <m:num>
              <m:r>
                <w:rPr>
                  <w:rFonts w:ascii="Cambria Math" w:hAnsi="Cambria Math"/>
                </w:rPr>
                <m:t>COE+</m:t>
              </m:r>
              <m:sSubSup>
                <m:sSubSupPr>
                  <m:ctrlPr>
                    <w:rPr>
                      <w:rFonts w:ascii="Cambria Math" w:hAnsi="Cambria Math"/>
                      <w:i/>
                    </w:rPr>
                  </m:ctrlPr>
                </m:sSubSupPr>
                <m:e>
                  <m:sSub>
                    <m:sSubPr>
                      <m:ctrlPr>
                        <w:rPr>
                          <w:rFonts w:ascii="Cambria Math" w:hAnsi="Cambria Math"/>
                          <w:i/>
                        </w:rPr>
                      </m:ctrlPr>
                    </m:sSubPr>
                    <m:e>
                      <m:r>
                        <w:rPr>
                          <w:rFonts w:ascii="Cambria Math" w:hAnsi="Cambria Math"/>
                        </w:rPr>
                        <m:t>W</m:t>
                      </m:r>
                    </m:e>
                    <m:sub>
                      <m:r>
                        <w:rPr>
                          <w:rFonts w:ascii="Cambria Math" w:hAnsi="Cambria Math"/>
                        </w:rPr>
                        <m:t>O</m:t>
                      </m:r>
                    </m:sub>
                  </m:sSub>
                  <m:r>
                    <w:rPr>
                      <w:rFonts w:ascii="Cambria Math" w:hAnsi="Cambria Math"/>
                    </w:rPr>
                    <m:t>H</m:t>
                  </m:r>
                </m:e>
                <m:sub>
                  <m:r>
                    <w:rPr>
                      <w:rFonts w:ascii="Cambria Math" w:hAnsi="Cambria Math"/>
                    </w:rPr>
                    <m:t>O</m:t>
                  </m:r>
                </m:sub>
                <m:sup>
                  <m:r>
                    <w:rPr>
                      <w:rFonts w:ascii="Cambria Math" w:hAnsi="Cambria Math"/>
                    </w:rPr>
                    <m:t>D</m:t>
                  </m:r>
                </m:sup>
              </m:sSubSup>
            </m:num>
            <m:den>
              <m:sSubSup>
                <m:sSubSupPr>
                  <m:ctrlPr>
                    <w:rPr>
                      <w:rFonts w:ascii="Cambria Math" w:hAnsi="Cambria Math"/>
                      <w:i/>
                    </w:rPr>
                  </m:ctrlPr>
                </m:sSubSupPr>
                <m:e>
                  <m:r>
                    <w:rPr>
                      <w:rFonts w:ascii="Cambria Math" w:hAnsi="Cambria Math"/>
                    </w:rPr>
                    <m:t>H</m:t>
                  </m:r>
                </m:e>
                <m:sub>
                  <m:r>
                    <w:rPr>
                      <w:rFonts w:ascii="Cambria Math" w:hAnsi="Cambria Math"/>
                    </w:rPr>
                    <m:t>T</m:t>
                  </m:r>
                </m:sub>
                <m:sup>
                  <m:r>
                    <w:rPr>
                      <w:rFonts w:ascii="Cambria Math" w:hAnsi="Cambria Math"/>
                    </w:rPr>
                    <m:t>A</m:t>
                  </m:r>
                </m:sup>
              </m:sSubSup>
            </m:den>
          </m:f>
        </m:oMath>
      </m:oMathPara>
    </w:p>
    <w:p w14:paraId="26DDD438" w14:textId="77777777" w:rsidR="00696D3E" w:rsidRDefault="00696D3E" w:rsidP="00696D3E">
      <w:pPr>
        <w:pStyle w:val="BodyText"/>
      </w:pPr>
      <w:r>
        <w:t xml:space="preserve">where: </w:t>
      </w:r>
      <m:oMath>
        <m:r>
          <w:rPr>
            <w:rFonts w:ascii="Cambria Math" w:hAnsi="Cambria Math"/>
          </w:rPr>
          <m:t>COE</m:t>
        </m:r>
      </m:oMath>
      <w:r>
        <w:rPr>
          <w:rFonts w:eastAsiaTheme="minorEastAsia"/>
        </w:rPr>
        <w:t xml:space="preserve"> is compensation of employees from tables 6 and 46 of </w:t>
      </w:r>
      <w:r w:rsidRPr="0085340A">
        <w:rPr>
          <w:rFonts w:eastAsiaTheme="minorEastAsia"/>
          <w:i/>
          <w:iCs/>
        </w:rPr>
        <w:t>Australian System of National Accounts</w:t>
      </w:r>
      <w:r>
        <w:rPr>
          <w:rFonts w:eastAsiaTheme="minorEastAsia"/>
        </w:rPr>
        <w:t xml:space="preserve">., </w:t>
      </w:r>
      <m:oMath>
        <m:sSubSup>
          <m:sSubSupPr>
            <m:ctrlPr>
              <w:rPr>
                <w:rFonts w:ascii="Cambria Math" w:hAnsi="Cambria Math"/>
                <w:i/>
              </w:rPr>
            </m:ctrlPr>
          </m:sSubSupPr>
          <m:e>
            <m:r>
              <w:rPr>
                <w:rFonts w:ascii="Cambria Math" w:hAnsi="Cambria Math"/>
              </w:rPr>
              <m:t>H</m:t>
            </m:r>
          </m:e>
          <m:sub>
            <m:r>
              <w:rPr>
                <w:rFonts w:ascii="Cambria Math" w:hAnsi="Cambria Math"/>
              </w:rPr>
              <m:t>T</m:t>
            </m:r>
          </m:sub>
          <m:sup>
            <m:r>
              <w:rPr>
                <w:rFonts w:ascii="Cambria Math" w:hAnsi="Cambria Math"/>
              </w:rPr>
              <m:t>A</m:t>
            </m:r>
          </m:sup>
        </m:sSubSup>
      </m:oMath>
      <w:r>
        <w:rPr>
          <w:rFonts w:eastAsiaTheme="minorEastAsia"/>
        </w:rPr>
        <w:t xml:space="preserve"> is the industry hours worked measured from the </w:t>
      </w:r>
      <w:r w:rsidRPr="0085340A">
        <w:rPr>
          <w:rFonts w:eastAsiaTheme="minorEastAsia"/>
          <w:i/>
          <w:iCs/>
        </w:rPr>
        <w:t>Labour Account</w:t>
      </w:r>
      <w:r>
        <w:rPr>
          <w:rFonts w:eastAsiaTheme="minorEastAsia"/>
        </w:rPr>
        <w:t xml:space="preserve"> (totally both employees and owner</w:t>
      </w:r>
      <w:r>
        <w:noBreakHyphen/>
      </w:r>
      <w:r>
        <w:rPr>
          <w:rFonts w:eastAsiaTheme="minorEastAsia"/>
        </w:rPr>
        <w:t xml:space="preserve">managers), </w:t>
      </w:r>
      <m:oMath>
        <m:sSubSup>
          <m:sSubSupPr>
            <m:ctrlPr>
              <w:rPr>
                <w:rFonts w:ascii="Cambria Math" w:hAnsi="Cambria Math"/>
                <w:i/>
              </w:rPr>
            </m:ctrlPr>
          </m:sSubSupPr>
          <m:e>
            <m:r>
              <w:rPr>
                <w:rFonts w:ascii="Cambria Math" w:hAnsi="Cambria Math"/>
              </w:rPr>
              <m:t>H</m:t>
            </m:r>
          </m:e>
          <m:sub>
            <m:r>
              <w:rPr>
                <w:rFonts w:ascii="Cambria Math" w:hAnsi="Cambria Math"/>
              </w:rPr>
              <m:t>O</m:t>
            </m:r>
          </m:sub>
          <m:sup>
            <m:r>
              <w:rPr>
                <w:rFonts w:ascii="Cambria Math" w:hAnsi="Cambria Math"/>
              </w:rPr>
              <m:t>D</m:t>
            </m:r>
          </m:sup>
        </m:sSubSup>
      </m:oMath>
      <w:r>
        <w:rPr>
          <w:rFonts w:eastAsiaTheme="minorEastAsia"/>
        </w:rPr>
        <w:t xml:space="preserve"> is the derived measure of owner</w:t>
      </w:r>
      <w:r>
        <w:noBreakHyphen/>
      </w:r>
      <w:r>
        <w:rPr>
          <w:rFonts w:eastAsiaTheme="minorEastAsia"/>
        </w:rPr>
        <w:t>manager hours worked (details below).</w:t>
      </w:r>
    </w:p>
    <w:p w14:paraId="27233DEA" w14:textId="77777777" w:rsidR="00696D3E" w:rsidRDefault="00696D3E" w:rsidP="00696D3E">
      <w:pPr>
        <w:pStyle w:val="BodyText"/>
      </w:pPr>
      <w:r>
        <w:t>Further:</w:t>
      </w:r>
    </w:p>
    <w:p w14:paraId="0E0AFE1F" w14:textId="77777777" w:rsidR="00696D3E" w:rsidRPr="00262805" w:rsidRDefault="00000000" w:rsidP="00696D3E">
      <w:pPr>
        <w:pStyle w:val="BodyText"/>
        <w:rPr>
          <w:rFonts w:eastAsiaTheme="minorEastAsia"/>
        </w:rPr>
      </w:pPr>
      <m:oMathPara>
        <m:oMath>
          <m:sSub>
            <m:sSubPr>
              <m:ctrlPr>
                <w:rPr>
                  <w:rFonts w:ascii="Cambria Math" w:hAnsi="Cambria Math"/>
                  <w:i/>
                </w:rPr>
              </m:ctrlPr>
            </m:sSubPr>
            <m:e>
              <m:r>
                <w:rPr>
                  <w:rFonts w:ascii="Cambria Math" w:hAnsi="Cambria Math"/>
                </w:rPr>
                <m:t>W</m:t>
              </m:r>
            </m:e>
            <m:sub>
              <m:r>
                <w:rPr>
                  <w:rFonts w:ascii="Cambria Math" w:hAnsi="Cambria Math"/>
                </w:rPr>
                <m:t>E</m:t>
              </m:r>
            </m:sub>
          </m:sSub>
          <m:r>
            <w:rPr>
              <w:rFonts w:ascii="Cambria Math" w:hAnsi="Cambria Math"/>
            </w:rPr>
            <m:t>=</m:t>
          </m:r>
          <m:f>
            <m:fPr>
              <m:ctrlPr>
                <w:rPr>
                  <w:rFonts w:ascii="Cambria Math" w:hAnsi="Cambria Math"/>
                  <w:i/>
                </w:rPr>
              </m:ctrlPr>
            </m:fPr>
            <m:num>
              <m:r>
                <w:rPr>
                  <w:rFonts w:ascii="Cambria Math" w:hAnsi="Cambria Math"/>
                </w:rPr>
                <m:t>COE</m:t>
              </m:r>
            </m:num>
            <m:den>
              <m:sSubSup>
                <m:sSubSupPr>
                  <m:ctrlPr>
                    <w:rPr>
                      <w:rFonts w:ascii="Cambria Math" w:hAnsi="Cambria Math"/>
                      <w:i/>
                    </w:rPr>
                  </m:ctrlPr>
                </m:sSubSupPr>
                <m:e>
                  <m:r>
                    <w:rPr>
                      <w:rFonts w:ascii="Cambria Math" w:hAnsi="Cambria Math"/>
                    </w:rPr>
                    <m:t>H</m:t>
                  </m:r>
                </m:e>
                <m:sub>
                  <m:r>
                    <w:rPr>
                      <w:rFonts w:ascii="Cambria Math" w:hAnsi="Cambria Math"/>
                    </w:rPr>
                    <m:t>E</m:t>
                  </m:r>
                </m:sub>
                <m:sup>
                  <m:r>
                    <w:rPr>
                      <w:rFonts w:ascii="Cambria Math" w:hAnsi="Cambria Math"/>
                    </w:rPr>
                    <m:t>D</m:t>
                  </m:r>
                </m:sup>
              </m:sSubSup>
            </m:den>
          </m:f>
        </m:oMath>
      </m:oMathPara>
    </w:p>
    <w:p w14:paraId="56C3A302" w14:textId="77777777" w:rsidR="00696D3E" w:rsidRDefault="00696D3E" w:rsidP="00696D3E">
      <w:pPr>
        <w:pStyle w:val="BodyText"/>
        <w:rPr>
          <w:rFonts w:eastAsiaTheme="minorEastAsia"/>
        </w:rPr>
      </w:pPr>
      <w:r>
        <w:t xml:space="preserve">where: </w:t>
      </w:r>
      <m:oMath>
        <m:sSubSup>
          <m:sSubSupPr>
            <m:ctrlPr>
              <w:rPr>
                <w:rFonts w:ascii="Cambria Math" w:hAnsi="Cambria Math"/>
                <w:i/>
              </w:rPr>
            </m:ctrlPr>
          </m:sSubSupPr>
          <m:e>
            <m:r>
              <w:rPr>
                <w:rFonts w:ascii="Cambria Math" w:hAnsi="Cambria Math"/>
              </w:rPr>
              <m:t>H</m:t>
            </m:r>
          </m:e>
          <m:sub>
            <m:r>
              <w:rPr>
                <w:rFonts w:ascii="Cambria Math" w:hAnsi="Cambria Math"/>
              </w:rPr>
              <m:t>E</m:t>
            </m:r>
          </m:sub>
          <m:sup>
            <m:r>
              <w:rPr>
                <w:rFonts w:ascii="Cambria Math" w:hAnsi="Cambria Math"/>
              </w:rPr>
              <m:t>D</m:t>
            </m:r>
          </m:sup>
        </m:sSubSup>
      </m:oMath>
      <w:r>
        <w:rPr>
          <w:rFonts w:eastAsiaTheme="minorEastAsia"/>
        </w:rPr>
        <w:t xml:space="preserve"> is the derived measure of employee hours (details below). </w:t>
      </w:r>
    </w:p>
    <w:p w14:paraId="2A5162F6" w14:textId="77777777" w:rsidR="00696D3E" w:rsidRDefault="00696D3E" w:rsidP="00696D3E">
      <w:pPr>
        <w:pStyle w:val="BodyText"/>
        <w:rPr>
          <w:rFonts w:eastAsiaTheme="minorEastAsia"/>
        </w:rPr>
      </w:pPr>
      <w:r>
        <w:rPr>
          <w:rFonts w:eastAsiaTheme="minorEastAsia"/>
        </w:rPr>
        <w:t>And by construction:</w:t>
      </w:r>
    </w:p>
    <w:p w14:paraId="0F4E4C0A" w14:textId="77777777" w:rsidR="00696D3E" w:rsidRDefault="00000000" w:rsidP="00696D3E">
      <w:pPr>
        <w:pStyle w:val="BodyText"/>
        <w:rPr>
          <w:rFonts w:eastAsiaTheme="minorEastAsia"/>
        </w:rPr>
      </w:pPr>
      <m:oMathPara>
        <m:oMath>
          <m:sSubSup>
            <m:sSubSupPr>
              <m:ctrlPr>
                <w:rPr>
                  <w:rFonts w:ascii="Cambria Math" w:hAnsi="Cambria Math"/>
                  <w:i/>
                </w:rPr>
              </m:ctrlPr>
            </m:sSubSupPr>
            <m:e>
              <m:r>
                <w:rPr>
                  <w:rFonts w:ascii="Cambria Math" w:hAnsi="Cambria Math"/>
                </w:rPr>
                <m:t>H</m:t>
              </m:r>
            </m:e>
            <m:sub>
              <m:r>
                <w:rPr>
                  <w:rFonts w:ascii="Cambria Math" w:hAnsi="Cambria Math"/>
                </w:rPr>
                <m:t>T</m:t>
              </m:r>
            </m:sub>
            <m:sup>
              <m:r>
                <w:rPr>
                  <w:rFonts w:ascii="Cambria Math" w:hAnsi="Cambria Math"/>
                </w:rPr>
                <m:t>A</m:t>
              </m:r>
            </m:sup>
          </m:sSubSup>
          <m:r>
            <w:rPr>
              <w:rFonts w:ascii="Cambria Math" w:eastAsiaTheme="minorEastAsia" w:hAnsi="Cambria Math"/>
            </w:rPr>
            <m:t xml:space="preserve">= </m:t>
          </m:r>
          <m:sSubSup>
            <m:sSubSupPr>
              <m:ctrlPr>
                <w:rPr>
                  <w:rFonts w:ascii="Cambria Math" w:hAnsi="Cambria Math"/>
                  <w:i/>
                </w:rPr>
              </m:ctrlPr>
            </m:sSubSupPr>
            <m:e>
              <m:r>
                <w:rPr>
                  <w:rFonts w:ascii="Cambria Math" w:hAnsi="Cambria Math"/>
                </w:rPr>
                <m:t>H</m:t>
              </m:r>
            </m:e>
            <m:sub>
              <m:r>
                <w:rPr>
                  <w:rFonts w:ascii="Cambria Math" w:hAnsi="Cambria Math"/>
                </w:rPr>
                <m:t>E</m:t>
              </m:r>
            </m:sub>
            <m:sup>
              <m:r>
                <w:rPr>
                  <w:rFonts w:ascii="Cambria Math" w:hAnsi="Cambria Math"/>
                </w:rPr>
                <m:t>D</m:t>
              </m:r>
            </m:sup>
          </m:sSubSup>
          <m:r>
            <w:rPr>
              <w:rFonts w:ascii="Cambria Math" w:hAnsi="Cambria Math"/>
            </w:rPr>
            <m:t>+</m:t>
          </m:r>
          <m:sSubSup>
            <m:sSubSupPr>
              <m:ctrlPr>
                <w:rPr>
                  <w:rFonts w:ascii="Cambria Math" w:hAnsi="Cambria Math"/>
                  <w:i/>
                </w:rPr>
              </m:ctrlPr>
            </m:sSubSupPr>
            <m:e>
              <m:r>
                <w:rPr>
                  <w:rFonts w:ascii="Cambria Math" w:hAnsi="Cambria Math"/>
                </w:rPr>
                <m:t>H</m:t>
              </m:r>
            </m:e>
            <m:sub>
              <m:r>
                <w:rPr>
                  <w:rFonts w:ascii="Cambria Math" w:hAnsi="Cambria Math"/>
                </w:rPr>
                <m:t>O</m:t>
              </m:r>
            </m:sub>
            <m:sup>
              <m:r>
                <w:rPr>
                  <w:rFonts w:ascii="Cambria Math" w:hAnsi="Cambria Math"/>
                </w:rPr>
                <m:t>D</m:t>
              </m:r>
            </m:sup>
          </m:sSubSup>
        </m:oMath>
      </m:oMathPara>
    </w:p>
    <w:p w14:paraId="49C7D8D9" w14:textId="77777777" w:rsidR="00696D3E" w:rsidRDefault="00696D3E" w:rsidP="00696D3E">
      <w:pPr>
        <w:pStyle w:val="BodyText"/>
      </w:pPr>
      <w:r>
        <w:t>Putting these together:</w:t>
      </w:r>
    </w:p>
    <w:p w14:paraId="12D6E609" w14:textId="77777777" w:rsidR="00696D3E" w:rsidRPr="0038750B" w:rsidRDefault="00000000" w:rsidP="00696D3E">
      <w:pPr>
        <w:pStyle w:val="BodyText"/>
        <w:rPr>
          <w:rFonts w:eastAsiaTheme="minorEastAsia"/>
        </w:rPr>
      </w:pPr>
      <m:oMathPara>
        <m:oMath>
          <m:sSub>
            <m:sSubPr>
              <m:ctrlPr>
                <w:rPr>
                  <w:rFonts w:ascii="Cambria Math" w:hAnsi="Cambria Math"/>
                  <w:i/>
                </w:rPr>
              </m:ctrlPr>
            </m:sSubPr>
            <m:e>
              <m:r>
                <w:rPr>
                  <w:rFonts w:ascii="Cambria Math" w:hAnsi="Cambria Math"/>
                </w:rPr>
                <m:t>W</m:t>
              </m:r>
            </m:e>
            <m:sub>
              <m:r>
                <w:rPr>
                  <w:rFonts w:ascii="Cambria Math" w:hAnsi="Cambria Math"/>
                </w:rPr>
                <m:t>T</m:t>
              </m:r>
            </m:sub>
          </m:sSub>
          <m:r>
            <w:rPr>
              <w:rFonts w:ascii="Cambria Math" w:hAnsi="Cambria Math"/>
            </w:rPr>
            <m:t xml:space="preserve">=COE × </m:t>
          </m:r>
          <m:d>
            <m:dPr>
              <m:ctrlPr>
                <w:rPr>
                  <w:rFonts w:ascii="Cambria Math" w:hAnsi="Cambria Math"/>
                  <w:i/>
                </w:rPr>
              </m:ctrlPr>
            </m:dPr>
            <m:e>
              <m:f>
                <m:fPr>
                  <m:ctrlPr>
                    <w:rPr>
                      <w:rFonts w:ascii="Cambria Math" w:hAnsi="Cambria Math"/>
                      <w:i/>
                    </w:rPr>
                  </m:ctrlPr>
                </m:fPr>
                <m:num>
                  <m:r>
                    <w:rPr>
                      <w:rFonts w:ascii="Cambria Math" w:hAnsi="Cambria Math"/>
                    </w:rPr>
                    <m:t>1+</m:t>
                  </m:r>
                  <m:f>
                    <m:fPr>
                      <m:ctrlPr>
                        <w:rPr>
                          <w:rFonts w:ascii="Cambria Math" w:hAnsi="Cambria Math"/>
                          <w:i/>
                        </w:rPr>
                      </m:ctrlPr>
                    </m:fPr>
                    <m:num>
                      <m:sSubSup>
                        <m:sSubSupPr>
                          <m:ctrlPr>
                            <w:rPr>
                              <w:rFonts w:ascii="Cambria Math" w:hAnsi="Cambria Math"/>
                              <w:i/>
                            </w:rPr>
                          </m:ctrlPr>
                        </m:sSubSupPr>
                        <m:e>
                          <m:r>
                            <w:rPr>
                              <w:rFonts w:ascii="Cambria Math" w:hAnsi="Cambria Math"/>
                            </w:rPr>
                            <m:t>H</m:t>
                          </m:r>
                        </m:e>
                        <m:sub>
                          <m:r>
                            <w:rPr>
                              <w:rFonts w:ascii="Cambria Math" w:hAnsi="Cambria Math"/>
                            </w:rPr>
                            <m:t>O</m:t>
                          </m:r>
                        </m:sub>
                        <m:sup>
                          <m:r>
                            <w:rPr>
                              <w:rFonts w:ascii="Cambria Math" w:hAnsi="Cambria Math"/>
                            </w:rPr>
                            <m:t>D</m:t>
                          </m:r>
                        </m:sup>
                      </m:sSubSup>
                    </m:num>
                    <m:den>
                      <m:sSubSup>
                        <m:sSubSupPr>
                          <m:ctrlPr>
                            <w:rPr>
                              <w:rFonts w:ascii="Cambria Math" w:hAnsi="Cambria Math"/>
                              <w:i/>
                            </w:rPr>
                          </m:ctrlPr>
                        </m:sSubSupPr>
                        <m:e>
                          <m:r>
                            <w:rPr>
                              <w:rFonts w:ascii="Cambria Math" w:hAnsi="Cambria Math"/>
                            </w:rPr>
                            <m:t>H</m:t>
                          </m:r>
                        </m:e>
                        <m:sub>
                          <m:r>
                            <w:rPr>
                              <w:rFonts w:ascii="Cambria Math" w:hAnsi="Cambria Math"/>
                            </w:rPr>
                            <m:t>E</m:t>
                          </m:r>
                        </m:sub>
                        <m:sup>
                          <m:r>
                            <w:rPr>
                              <w:rFonts w:ascii="Cambria Math" w:hAnsi="Cambria Math"/>
                            </w:rPr>
                            <m:t>D</m:t>
                          </m:r>
                        </m:sup>
                      </m:sSubSup>
                    </m:den>
                  </m:f>
                </m:num>
                <m:den>
                  <m:sSubSup>
                    <m:sSubSupPr>
                      <m:ctrlPr>
                        <w:rPr>
                          <w:rFonts w:ascii="Cambria Math" w:hAnsi="Cambria Math"/>
                          <w:i/>
                        </w:rPr>
                      </m:ctrlPr>
                    </m:sSubSupPr>
                    <m:e>
                      <m:r>
                        <w:rPr>
                          <w:rFonts w:ascii="Cambria Math" w:hAnsi="Cambria Math"/>
                        </w:rPr>
                        <m:t>H</m:t>
                      </m:r>
                    </m:e>
                    <m:sub>
                      <m:r>
                        <w:rPr>
                          <w:rFonts w:ascii="Cambria Math" w:hAnsi="Cambria Math"/>
                        </w:rPr>
                        <m:t>T</m:t>
                      </m:r>
                    </m:sub>
                    <m:sup>
                      <m:r>
                        <w:rPr>
                          <w:rFonts w:ascii="Cambria Math" w:hAnsi="Cambria Math"/>
                        </w:rPr>
                        <m:t>A</m:t>
                      </m:r>
                    </m:sup>
                  </m:sSubSup>
                </m:den>
              </m:f>
            </m:e>
          </m:d>
        </m:oMath>
      </m:oMathPara>
    </w:p>
    <w:p w14:paraId="59439BA5" w14:textId="77777777" w:rsidR="00696D3E" w:rsidRDefault="00696D3E" w:rsidP="00696D3E">
      <w:pPr>
        <w:pStyle w:val="BodyText"/>
      </w:pPr>
      <w:r>
        <w:rPr>
          <w:rFonts w:eastAsiaTheme="minorEastAsia"/>
        </w:rPr>
        <w:t>This calculation is repeated for each industry.</w:t>
      </w:r>
    </w:p>
    <w:p w14:paraId="11B6E183" w14:textId="77777777" w:rsidR="00696D3E" w:rsidRPr="00072F34" w:rsidRDefault="00696D3E" w:rsidP="00696D3E">
      <w:pPr>
        <w:pStyle w:val="Heading3"/>
      </w:pPr>
      <w:r>
        <w:t>Deriving employee and owner</w:t>
      </w:r>
      <w:r>
        <w:noBreakHyphen/>
        <w:t xml:space="preserve">manager hours </w:t>
      </w:r>
    </w:p>
    <w:p w14:paraId="2FF60687" w14:textId="77777777" w:rsidR="00696D3E" w:rsidRPr="00F92656" w:rsidRDefault="00696D3E" w:rsidP="00696D3E">
      <w:pPr>
        <w:rPr>
          <w:spacing w:val="-4"/>
        </w:rPr>
      </w:pPr>
      <w:r w:rsidRPr="00F92656">
        <w:rPr>
          <w:spacing w:val="-4"/>
        </w:rPr>
        <w:t>Hours worked by owner</w:t>
      </w:r>
      <w:r w:rsidRPr="00F92656">
        <w:rPr>
          <w:spacing w:val="-4"/>
        </w:rPr>
        <w:noBreakHyphen/>
        <w:t xml:space="preserve">managers of unincorporated enterprise and those of employees are not separately presented in the </w:t>
      </w:r>
      <w:r w:rsidRPr="00F92656">
        <w:rPr>
          <w:i/>
          <w:iCs/>
          <w:spacing w:val="-4"/>
        </w:rPr>
        <w:t>Labour Account</w:t>
      </w:r>
      <w:r w:rsidRPr="00F92656">
        <w:rPr>
          <w:spacing w:val="-4"/>
        </w:rPr>
        <w:t xml:space="preserve">. The shares were derived using a combination of the </w:t>
      </w:r>
      <w:r w:rsidRPr="00F92656">
        <w:rPr>
          <w:i/>
          <w:iCs/>
          <w:spacing w:val="-4"/>
        </w:rPr>
        <w:t xml:space="preserve">Labour Force Survey </w:t>
      </w:r>
      <w:r w:rsidRPr="00F92656">
        <w:rPr>
          <w:spacing w:val="-4"/>
        </w:rPr>
        <w:t xml:space="preserve">(LFS) and the </w:t>
      </w:r>
      <w:r w:rsidRPr="00F92656">
        <w:rPr>
          <w:i/>
          <w:iCs/>
          <w:spacing w:val="-4"/>
        </w:rPr>
        <w:t xml:space="preserve">Labour Account </w:t>
      </w:r>
      <w:r w:rsidRPr="00F92656">
        <w:rPr>
          <w:spacing w:val="-4"/>
        </w:rPr>
        <w:t xml:space="preserve">(these data sources needed to be combined because using unadjusted LFS estimates would lead to inconsistency with productivity statistics that use </w:t>
      </w:r>
      <w:r w:rsidRPr="00F92656">
        <w:rPr>
          <w:i/>
          <w:iCs/>
          <w:spacing w:val="-4"/>
        </w:rPr>
        <w:t xml:space="preserve">Labour Account </w:t>
      </w:r>
      <w:r w:rsidRPr="00F92656">
        <w:rPr>
          <w:spacing w:val="-4"/>
        </w:rPr>
        <w:t xml:space="preserve">measures of hours worked. </w:t>
      </w:r>
    </w:p>
    <w:p w14:paraId="0C653BC4" w14:textId="77777777" w:rsidR="00696D3E" w:rsidRDefault="00696D3E" w:rsidP="00696D3E">
      <w:r>
        <w:lastRenderedPageBreak/>
        <w:t>Employee and owner</w:t>
      </w:r>
      <w:r>
        <w:noBreakHyphen/>
        <w:t>manager hours are derived by:</w:t>
      </w:r>
    </w:p>
    <w:p w14:paraId="22B29610" w14:textId="77777777" w:rsidR="00696D3E" w:rsidRDefault="00000000" w:rsidP="00696D3E">
      <m:oMathPara>
        <m:oMath>
          <m:sSubSup>
            <m:sSubSupPr>
              <m:ctrlPr>
                <w:rPr>
                  <w:rFonts w:ascii="Cambria Math" w:hAnsi="Cambria Math"/>
                  <w:i/>
                </w:rPr>
              </m:ctrlPr>
            </m:sSubSupPr>
            <m:e>
              <m:r>
                <w:rPr>
                  <w:rFonts w:ascii="Cambria Math" w:hAnsi="Cambria Math"/>
                </w:rPr>
                <m:t>H</m:t>
              </m:r>
            </m:e>
            <m:sub>
              <m:r>
                <w:rPr>
                  <w:rFonts w:ascii="Cambria Math" w:hAnsi="Cambria Math"/>
                </w:rPr>
                <m:t>E</m:t>
              </m:r>
            </m:sub>
            <m:sup>
              <m:r>
                <w:rPr>
                  <w:rFonts w:ascii="Cambria Math" w:hAnsi="Cambria Math"/>
                </w:rPr>
                <m:t>D</m:t>
              </m:r>
            </m:sup>
          </m:sSubSup>
          <m:r>
            <w:rPr>
              <w:rFonts w:ascii="Cambria Math" w:hAnsi="Cambria Math"/>
            </w:rPr>
            <m:t>=</m:t>
          </m:r>
          <m:f>
            <m:fPr>
              <m:ctrlPr>
                <w:rPr>
                  <w:rFonts w:ascii="Cambria Math" w:hAnsi="Cambria Math"/>
                  <w:i/>
                </w:rPr>
              </m:ctrlPr>
            </m:fPr>
            <m:num>
              <m:sSubSup>
                <m:sSubSupPr>
                  <m:ctrlPr>
                    <w:rPr>
                      <w:rFonts w:ascii="Cambria Math" w:hAnsi="Cambria Math"/>
                      <w:i/>
                    </w:rPr>
                  </m:ctrlPr>
                </m:sSubSupPr>
                <m:e>
                  <m:r>
                    <w:rPr>
                      <w:rFonts w:ascii="Cambria Math" w:hAnsi="Cambria Math"/>
                    </w:rPr>
                    <m:t>H</m:t>
                  </m:r>
                </m:e>
                <m:sub>
                  <m:r>
                    <w:rPr>
                      <w:rFonts w:ascii="Cambria Math" w:hAnsi="Cambria Math"/>
                    </w:rPr>
                    <m:t>E</m:t>
                  </m:r>
                </m:sub>
                <m:sup>
                  <m:r>
                    <w:rPr>
                      <w:rFonts w:ascii="Cambria Math" w:hAnsi="Cambria Math"/>
                    </w:rPr>
                    <m:t>S</m:t>
                  </m:r>
                </m:sup>
              </m:sSubSup>
            </m:num>
            <m:den>
              <m:sSubSup>
                <m:sSubSupPr>
                  <m:ctrlPr>
                    <w:rPr>
                      <w:rFonts w:ascii="Cambria Math" w:hAnsi="Cambria Math"/>
                      <w:i/>
                    </w:rPr>
                  </m:ctrlPr>
                </m:sSubSupPr>
                <m:e>
                  <m:r>
                    <w:rPr>
                      <w:rFonts w:ascii="Cambria Math" w:hAnsi="Cambria Math"/>
                    </w:rPr>
                    <m:t>H</m:t>
                  </m:r>
                </m:e>
                <m:sub>
                  <m:r>
                    <w:rPr>
                      <w:rFonts w:ascii="Cambria Math" w:hAnsi="Cambria Math"/>
                    </w:rPr>
                    <m:t>E</m:t>
                  </m:r>
                </m:sub>
                <m:sup>
                  <m:r>
                    <w:rPr>
                      <w:rFonts w:ascii="Cambria Math" w:hAnsi="Cambria Math"/>
                    </w:rPr>
                    <m:t>S</m:t>
                  </m:r>
                </m:sup>
              </m:sSubSup>
              <m:r>
                <w:rPr>
                  <w:rFonts w:ascii="Cambria Math" w:hAnsi="Cambria Math"/>
                </w:rPr>
                <m:t>+</m:t>
              </m:r>
              <m:sSubSup>
                <m:sSubSupPr>
                  <m:ctrlPr>
                    <w:rPr>
                      <w:rFonts w:ascii="Cambria Math" w:hAnsi="Cambria Math"/>
                      <w:i/>
                    </w:rPr>
                  </m:ctrlPr>
                </m:sSubSupPr>
                <m:e>
                  <m:r>
                    <w:rPr>
                      <w:rFonts w:ascii="Cambria Math" w:hAnsi="Cambria Math"/>
                    </w:rPr>
                    <m:t>H</m:t>
                  </m:r>
                </m:e>
                <m:sub>
                  <m:r>
                    <w:rPr>
                      <w:rFonts w:ascii="Cambria Math" w:hAnsi="Cambria Math"/>
                    </w:rPr>
                    <m:t>O</m:t>
                  </m:r>
                </m:sub>
                <m:sup>
                  <m:r>
                    <w:rPr>
                      <w:rFonts w:ascii="Cambria Math" w:hAnsi="Cambria Math"/>
                    </w:rPr>
                    <m:t>S</m:t>
                  </m:r>
                </m:sup>
              </m:sSubSup>
            </m:den>
          </m:f>
          <m:r>
            <w:rPr>
              <w:rFonts w:ascii="Cambria Math" w:hAnsi="Cambria Math"/>
            </w:rPr>
            <m:t>×</m:t>
          </m:r>
          <m:sSubSup>
            <m:sSubSupPr>
              <m:ctrlPr>
                <w:rPr>
                  <w:rFonts w:ascii="Cambria Math" w:hAnsi="Cambria Math"/>
                  <w:i/>
                </w:rPr>
              </m:ctrlPr>
            </m:sSubSupPr>
            <m:e>
              <m:r>
                <w:rPr>
                  <w:rFonts w:ascii="Cambria Math" w:hAnsi="Cambria Math"/>
                </w:rPr>
                <m:t>H</m:t>
              </m:r>
            </m:e>
            <m:sub>
              <m:r>
                <w:rPr>
                  <w:rFonts w:ascii="Cambria Math" w:hAnsi="Cambria Math"/>
                </w:rPr>
                <m:t>T</m:t>
              </m:r>
            </m:sub>
            <m:sup>
              <m:r>
                <w:rPr>
                  <w:rFonts w:ascii="Cambria Math" w:hAnsi="Cambria Math"/>
                </w:rPr>
                <m:t>A</m:t>
              </m:r>
            </m:sup>
          </m:sSubSup>
        </m:oMath>
      </m:oMathPara>
    </w:p>
    <w:p w14:paraId="38339EB5" w14:textId="77777777" w:rsidR="00696D3E" w:rsidRDefault="00696D3E" w:rsidP="00696D3E">
      <w:r>
        <w:t>and</w:t>
      </w:r>
    </w:p>
    <w:p w14:paraId="2F5C56C1" w14:textId="77777777" w:rsidR="00696D3E" w:rsidRDefault="00000000" w:rsidP="00696D3E">
      <m:oMathPara>
        <m:oMath>
          <m:sSubSup>
            <m:sSubSupPr>
              <m:ctrlPr>
                <w:rPr>
                  <w:rFonts w:ascii="Cambria Math" w:hAnsi="Cambria Math"/>
                  <w:i/>
                </w:rPr>
              </m:ctrlPr>
            </m:sSubSupPr>
            <m:e>
              <m:r>
                <w:rPr>
                  <w:rFonts w:ascii="Cambria Math" w:hAnsi="Cambria Math"/>
                </w:rPr>
                <m:t>H</m:t>
              </m:r>
            </m:e>
            <m:sub>
              <m:r>
                <w:rPr>
                  <w:rFonts w:ascii="Cambria Math" w:hAnsi="Cambria Math"/>
                </w:rPr>
                <m:t>O</m:t>
              </m:r>
            </m:sub>
            <m:sup>
              <m:r>
                <w:rPr>
                  <w:rFonts w:ascii="Cambria Math" w:hAnsi="Cambria Math"/>
                </w:rPr>
                <m:t>D</m:t>
              </m:r>
            </m:sup>
          </m:sSubSup>
          <m:r>
            <w:rPr>
              <w:rFonts w:ascii="Cambria Math" w:hAnsi="Cambria Math"/>
            </w:rPr>
            <m:t>=</m:t>
          </m:r>
          <m:f>
            <m:fPr>
              <m:ctrlPr>
                <w:rPr>
                  <w:rFonts w:ascii="Cambria Math" w:hAnsi="Cambria Math"/>
                  <w:i/>
                </w:rPr>
              </m:ctrlPr>
            </m:fPr>
            <m:num>
              <m:sSubSup>
                <m:sSubSupPr>
                  <m:ctrlPr>
                    <w:rPr>
                      <w:rFonts w:ascii="Cambria Math" w:hAnsi="Cambria Math"/>
                      <w:i/>
                    </w:rPr>
                  </m:ctrlPr>
                </m:sSubSupPr>
                <m:e>
                  <m:r>
                    <w:rPr>
                      <w:rFonts w:ascii="Cambria Math" w:hAnsi="Cambria Math"/>
                    </w:rPr>
                    <m:t>H</m:t>
                  </m:r>
                </m:e>
                <m:sub>
                  <m:r>
                    <w:rPr>
                      <w:rFonts w:ascii="Cambria Math" w:hAnsi="Cambria Math"/>
                    </w:rPr>
                    <m:t>O</m:t>
                  </m:r>
                </m:sub>
                <m:sup>
                  <m:r>
                    <w:rPr>
                      <w:rFonts w:ascii="Cambria Math" w:hAnsi="Cambria Math"/>
                    </w:rPr>
                    <m:t>S</m:t>
                  </m:r>
                </m:sup>
              </m:sSubSup>
            </m:num>
            <m:den>
              <m:sSubSup>
                <m:sSubSupPr>
                  <m:ctrlPr>
                    <w:rPr>
                      <w:rFonts w:ascii="Cambria Math" w:hAnsi="Cambria Math"/>
                      <w:i/>
                    </w:rPr>
                  </m:ctrlPr>
                </m:sSubSupPr>
                <m:e>
                  <m:r>
                    <w:rPr>
                      <w:rFonts w:ascii="Cambria Math" w:hAnsi="Cambria Math"/>
                    </w:rPr>
                    <m:t>H</m:t>
                  </m:r>
                </m:e>
                <m:sub>
                  <m:r>
                    <w:rPr>
                      <w:rFonts w:ascii="Cambria Math" w:hAnsi="Cambria Math"/>
                    </w:rPr>
                    <m:t>E</m:t>
                  </m:r>
                </m:sub>
                <m:sup>
                  <m:r>
                    <w:rPr>
                      <w:rFonts w:ascii="Cambria Math" w:hAnsi="Cambria Math"/>
                    </w:rPr>
                    <m:t>S</m:t>
                  </m:r>
                </m:sup>
              </m:sSubSup>
              <m:r>
                <w:rPr>
                  <w:rFonts w:ascii="Cambria Math" w:hAnsi="Cambria Math"/>
                </w:rPr>
                <m:t>+</m:t>
              </m:r>
              <m:sSubSup>
                <m:sSubSupPr>
                  <m:ctrlPr>
                    <w:rPr>
                      <w:rFonts w:ascii="Cambria Math" w:hAnsi="Cambria Math"/>
                      <w:i/>
                    </w:rPr>
                  </m:ctrlPr>
                </m:sSubSupPr>
                <m:e>
                  <m:r>
                    <w:rPr>
                      <w:rFonts w:ascii="Cambria Math" w:hAnsi="Cambria Math"/>
                    </w:rPr>
                    <m:t>H</m:t>
                  </m:r>
                </m:e>
                <m:sub>
                  <m:r>
                    <w:rPr>
                      <w:rFonts w:ascii="Cambria Math" w:hAnsi="Cambria Math"/>
                    </w:rPr>
                    <m:t>O</m:t>
                  </m:r>
                </m:sub>
                <m:sup>
                  <m:r>
                    <w:rPr>
                      <w:rFonts w:ascii="Cambria Math" w:hAnsi="Cambria Math"/>
                    </w:rPr>
                    <m:t>S</m:t>
                  </m:r>
                </m:sup>
              </m:sSubSup>
            </m:den>
          </m:f>
          <m:r>
            <w:rPr>
              <w:rFonts w:ascii="Cambria Math" w:hAnsi="Cambria Math"/>
            </w:rPr>
            <m:t>×</m:t>
          </m:r>
          <m:sSubSup>
            <m:sSubSupPr>
              <m:ctrlPr>
                <w:rPr>
                  <w:rFonts w:ascii="Cambria Math" w:hAnsi="Cambria Math"/>
                  <w:i/>
                </w:rPr>
              </m:ctrlPr>
            </m:sSubSupPr>
            <m:e>
              <m:r>
                <w:rPr>
                  <w:rFonts w:ascii="Cambria Math" w:hAnsi="Cambria Math"/>
                </w:rPr>
                <m:t>H</m:t>
              </m:r>
            </m:e>
            <m:sub>
              <m:r>
                <w:rPr>
                  <w:rFonts w:ascii="Cambria Math" w:hAnsi="Cambria Math"/>
                </w:rPr>
                <m:t>T</m:t>
              </m:r>
            </m:sub>
            <m:sup>
              <m:r>
                <w:rPr>
                  <w:rFonts w:ascii="Cambria Math" w:hAnsi="Cambria Math"/>
                </w:rPr>
                <m:t>A</m:t>
              </m:r>
            </m:sup>
          </m:sSubSup>
        </m:oMath>
      </m:oMathPara>
    </w:p>
    <w:p w14:paraId="0478EB28" w14:textId="59DBF79B" w:rsidR="00696D3E" w:rsidRDefault="00696D3E" w:rsidP="00696D3E">
      <w:r>
        <w:t xml:space="preserve">Where: </w:t>
      </w:r>
      <m:oMath>
        <m:sSubSup>
          <m:sSubSupPr>
            <m:ctrlPr>
              <w:rPr>
                <w:rFonts w:ascii="Cambria Math" w:hAnsi="Cambria Math"/>
                <w:i/>
              </w:rPr>
            </m:ctrlPr>
          </m:sSubSupPr>
          <m:e>
            <m:r>
              <w:rPr>
                <w:rFonts w:ascii="Cambria Math" w:hAnsi="Cambria Math"/>
              </w:rPr>
              <m:t>H</m:t>
            </m:r>
          </m:e>
          <m:sub>
            <m:r>
              <w:rPr>
                <w:rFonts w:ascii="Cambria Math" w:hAnsi="Cambria Math"/>
              </w:rPr>
              <m:t>E</m:t>
            </m:r>
          </m:sub>
          <m:sup>
            <m:r>
              <w:rPr>
                <w:rFonts w:ascii="Cambria Math" w:hAnsi="Cambria Math"/>
              </w:rPr>
              <m:t>S</m:t>
            </m:r>
          </m:sup>
        </m:sSubSup>
      </m:oMath>
      <w:r>
        <w:rPr>
          <w:rFonts w:eastAsiaTheme="minorEastAsia"/>
        </w:rPr>
        <w:t xml:space="preserve"> is employee hours worked</w:t>
      </w:r>
      <w:r w:rsidRPr="007C14DC">
        <w:rPr>
          <w:rStyle w:val="FootnoteReference"/>
        </w:rPr>
        <w:footnoteReference w:id="8"/>
      </w:r>
      <w:r>
        <w:rPr>
          <w:rFonts w:eastAsiaTheme="minorEastAsia"/>
        </w:rPr>
        <w:t xml:space="preserve"> in the LFS and </w:t>
      </w:r>
      <m:oMath>
        <m:sSubSup>
          <m:sSubSupPr>
            <m:ctrlPr>
              <w:rPr>
                <w:rFonts w:ascii="Cambria Math" w:hAnsi="Cambria Math"/>
                <w:i/>
              </w:rPr>
            </m:ctrlPr>
          </m:sSubSupPr>
          <m:e>
            <m:r>
              <w:rPr>
                <w:rFonts w:ascii="Cambria Math" w:hAnsi="Cambria Math"/>
              </w:rPr>
              <m:t>H</m:t>
            </m:r>
          </m:e>
          <m:sub>
            <m:r>
              <w:rPr>
                <w:rFonts w:ascii="Cambria Math" w:hAnsi="Cambria Math"/>
              </w:rPr>
              <m:t>O</m:t>
            </m:r>
          </m:sub>
          <m:sup>
            <m:r>
              <w:rPr>
                <w:rFonts w:ascii="Cambria Math" w:hAnsi="Cambria Math"/>
              </w:rPr>
              <m:t>S</m:t>
            </m:r>
          </m:sup>
        </m:sSubSup>
      </m:oMath>
      <w:r>
        <w:rPr>
          <w:rFonts w:eastAsiaTheme="minorEastAsia"/>
        </w:rPr>
        <w:t xml:space="preserve"> is the hours worked by owner</w:t>
      </w:r>
      <w:r>
        <w:noBreakHyphen/>
      </w:r>
      <w:r>
        <w:rPr>
          <w:rFonts w:eastAsiaTheme="minorEastAsia"/>
        </w:rPr>
        <w:t xml:space="preserve">managers of unincorporated enterprises in the labour force survey. Note that employee hours incorporates both hours worked by employees and hours worked owner managers of incorporated enterprises while owner manager of unincorporated enterprise hours includes the hours of contributing family members </w:t>
      </w:r>
      <w:r w:rsidRPr="00D63B03">
        <w:rPr>
          <w:rFonts w:ascii="Arial" w:hAnsi="Arial" w:cs="Arial"/>
          <w:szCs w:val="24"/>
        </w:rPr>
        <w:t>(ABS 2022g)</w:t>
      </w:r>
      <w:r>
        <w:rPr>
          <w:rFonts w:eastAsiaTheme="minorEastAsia"/>
        </w:rPr>
        <w:t xml:space="preserve">. </w:t>
      </w:r>
    </w:p>
    <w:p w14:paraId="2DE2041F" w14:textId="77777777" w:rsidR="00696D3E" w:rsidRDefault="00696D3E" w:rsidP="00696D3E">
      <w:r>
        <w:t>Putting this together with the above wage equation:</w:t>
      </w:r>
    </w:p>
    <w:p w14:paraId="52C4E1A4" w14:textId="77777777" w:rsidR="00696D3E" w:rsidRPr="00FA6550" w:rsidRDefault="00000000" w:rsidP="00696D3E">
      <w:pPr>
        <w:pStyle w:val="BodyText"/>
        <w:rPr>
          <w:rFonts w:eastAsiaTheme="minorEastAsia"/>
        </w:rPr>
      </w:pPr>
      <m:oMathPara>
        <m:oMath>
          <m:sSub>
            <m:sSubPr>
              <m:ctrlPr>
                <w:rPr>
                  <w:rFonts w:ascii="Cambria Math" w:hAnsi="Cambria Math"/>
                  <w:i/>
                </w:rPr>
              </m:ctrlPr>
            </m:sSubPr>
            <m:e>
              <m:r>
                <w:rPr>
                  <w:rFonts w:ascii="Cambria Math" w:hAnsi="Cambria Math"/>
                </w:rPr>
                <m:t>W</m:t>
              </m:r>
            </m:e>
            <m:sub>
              <m:r>
                <w:rPr>
                  <w:rFonts w:ascii="Cambria Math" w:hAnsi="Cambria Math"/>
                </w:rPr>
                <m:t>T</m:t>
              </m:r>
            </m:sub>
          </m:sSub>
          <m:r>
            <w:rPr>
              <w:rFonts w:ascii="Cambria Math" w:hAnsi="Cambria Math"/>
            </w:rPr>
            <m:t xml:space="preserve">=COE × </m:t>
          </m:r>
          <m:d>
            <m:dPr>
              <m:ctrlPr>
                <w:rPr>
                  <w:rFonts w:ascii="Cambria Math" w:hAnsi="Cambria Math"/>
                  <w:i/>
                </w:rPr>
              </m:ctrlPr>
            </m:dPr>
            <m:e>
              <m:f>
                <m:fPr>
                  <m:ctrlPr>
                    <w:rPr>
                      <w:rFonts w:ascii="Cambria Math" w:hAnsi="Cambria Math"/>
                      <w:i/>
                    </w:rPr>
                  </m:ctrlPr>
                </m:fPr>
                <m:num>
                  <m:r>
                    <w:rPr>
                      <w:rFonts w:ascii="Cambria Math" w:hAnsi="Cambria Math"/>
                    </w:rPr>
                    <m:t>1+</m:t>
                  </m:r>
                  <m:f>
                    <m:fPr>
                      <m:ctrlPr>
                        <w:rPr>
                          <w:rFonts w:ascii="Cambria Math" w:hAnsi="Cambria Math"/>
                          <w:i/>
                        </w:rPr>
                      </m:ctrlPr>
                    </m:fPr>
                    <m:num>
                      <m:sSubSup>
                        <m:sSubSupPr>
                          <m:ctrlPr>
                            <w:rPr>
                              <w:rFonts w:ascii="Cambria Math" w:hAnsi="Cambria Math"/>
                              <w:i/>
                            </w:rPr>
                          </m:ctrlPr>
                        </m:sSubSupPr>
                        <m:e>
                          <m:r>
                            <w:rPr>
                              <w:rFonts w:ascii="Cambria Math" w:hAnsi="Cambria Math"/>
                            </w:rPr>
                            <m:t>H</m:t>
                          </m:r>
                        </m:e>
                        <m:sub>
                          <m:r>
                            <w:rPr>
                              <w:rFonts w:ascii="Cambria Math" w:hAnsi="Cambria Math"/>
                            </w:rPr>
                            <m:t>O</m:t>
                          </m:r>
                        </m:sub>
                        <m:sup>
                          <m:r>
                            <w:rPr>
                              <w:rFonts w:ascii="Cambria Math" w:hAnsi="Cambria Math"/>
                            </w:rPr>
                            <m:t>S</m:t>
                          </m:r>
                        </m:sup>
                      </m:sSubSup>
                    </m:num>
                    <m:den>
                      <m:sSubSup>
                        <m:sSubSupPr>
                          <m:ctrlPr>
                            <w:rPr>
                              <w:rFonts w:ascii="Cambria Math" w:hAnsi="Cambria Math"/>
                              <w:i/>
                            </w:rPr>
                          </m:ctrlPr>
                        </m:sSubSupPr>
                        <m:e>
                          <m:r>
                            <w:rPr>
                              <w:rFonts w:ascii="Cambria Math" w:hAnsi="Cambria Math"/>
                            </w:rPr>
                            <m:t>H</m:t>
                          </m:r>
                        </m:e>
                        <m:sub>
                          <m:r>
                            <w:rPr>
                              <w:rFonts w:ascii="Cambria Math" w:hAnsi="Cambria Math"/>
                            </w:rPr>
                            <m:t>E</m:t>
                          </m:r>
                        </m:sub>
                        <m:sup>
                          <m:r>
                            <w:rPr>
                              <w:rFonts w:ascii="Cambria Math" w:hAnsi="Cambria Math"/>
                            </w:rPr>
                            <m:t>S</m:t>
                          </m:r>
                        </m:sup>
                      </m:sSubSup>
                    </m:den>
                  </m:f>
                </m:num>
                <m:den>
                  <m:sSubSup>
                    <m:sSubSupPr>
                      <m:ctrlPr>
                        <w:rPr>
                          <w:rFonts w:ascii="Cambria Math" w:hAnsi="Cambria Math"/>
                          <w:i/>
                        </w:rPr>
                      </m:ctrlPr>
                    </m:sSubSupPr>
                    <m:e>
                      <m:r>
                        <w:rPr>
                          <w:rFonts w:ascii="Cambria Math" w:hAnsi="Cambria Math"/>
                        </w:rPr>
                        <m:t>H</m:t>
                      </m:r>
                    </m:e>
                    <m:sub>
                      <m:r>
                        <w:rPr>
                          <w:rFonts w:ascii="Cambria Math" w:hAnsi="Cambria Math"/>
                        </w:rPr>
                        <m:t>T</m:t>
                      </m:r>
                    </m:sub>
                    <m:sup>
                      <m:r>
                        <w:rPr>
                          <w:rFonts w:ascii="Cambria Math" w:hAnsi="Cambria Math"/>
                        </w:rPr>
                        <m:t>A</m:t>
                      </m:r>
                    </m:sup>
                  </m:sSubSup>
                </m:den>
              </m:f>
            </m:e>
          </m:d>
        </m:oMath>
      </m:oMathPara>
    </w:p>
    <w:p w14:paraId="66113C40" w14:textId="77777777" w:rsidR="00696D3E" w:rsidRDefault="00696D3E" w:rsidP="00696D3E">
      <w:pPr>
        <w:pStyle w:val="BodyText"/>
        <w:rPr>
          <w:rFonts w:eastAsiaTheme="minorEastAsia"/>
        </w:rPr>
      </w:pPr>
      <w:r>
        <w:rPr>
          <w:rFonts w:eastAsiaTheme="minorEastAsia"/>
        </w:rPr>
        <w:t xml:space="preserve">Accordingly, the preferred (nominal) wage measure (at the industry level) requires a combination of compensation of employees from the </w:t>
      </w:r>
      <w:r w:rsidRPr="0085340A">
        <w:rPr>
          <w:rFonts w:eastAsiaTheme="minorEastAsia"/>
          <w:i/>
          <w:iCs/>
        </w:rPr>
        <w:t>Australian System of National Accounts</w:t>
      </w:r>
      <w:r>
        <w:rPr>
          <w:rFonts w:eastAsiaTheme="minorEastAsia"/>
        </w:rPr>
        <w:t xml:space="preserve">, total hours worked (both managers and employees) from the </w:t>
      </w:r>
      <w:r w:rsidRPr="00101A2E">
        <w:rPr>
          <w:rFonts w:eastAsiaTheme="minorEastAsia"/>
          <w:i/>
          <w:iCs/>
        </w:rPr>
        <w:t>Labour Account</w:t>
      </w:r>
      <w:r>
        <w:rPr>
          <w:rFonts w:eastAsiaTheme="minorEastAsia"/>
        </w:rPr>
        <w:t xml:space="preserve">, and </w:t>
      </w:r>
      <w:r w:rsidRPr="006933D1">
        <w:rPr>
          <w:rFonts w:eastAsiaTheme="minorEastAsia"/>
        </w:rPr>
        <w:t>LFS</w:t>
      </w:r>
      <w:r>
        <w:rPr>
          <w:rFonts w:eastAsiaTheme="minorEastAsia"/>
        </w:rPr>
        <w:t xml:space="preserve"> estimates of both owner</w:t>
      </w:r>
      <w:r>
        <w:noBreakHyphen/>
      </w:r>
      <w:r>
        <w:rPr>
          <w:rFonts w:eastAsiaTheme="minorEastAsia"/>
        </w:rPr>
        <w:t xml:space="preserve">manager and employee hours worked. </w:t>
      </w:r>
    </w:p>
    <w:p w14:paraId="3E413DC4" w14:textId="77777777" w:rsidR="00696D3E" w:rsidRDefault="00696D3E" w:rsidP="00696D3E">
      <w:pPr>
        <w:pStyle w:val="BodyText"/>
        <w:rPr>
          <w:rFonts w:eastAsiaTheme="minorEastAsia"/>
        </w:rPr>
      </w:pPr>
      <w:r>
        <w:rPr>
          <w:rFonts w:eastAsiaTheme="minorEastAsia"/>
        </w:rPr>
        <w:t xml:space="preserve">At the whole economy level, this wage measure is the same as the ABS’s measure of compensation of employees per hour measure in table 16 of the </w:t>
      </w:r>
      <w:r w:rsidRPr="0085340A">
        <w:rPr>
          <w:rFonts w:eastAsiaTheme="minorEastAsia"/>
          <w:i/>
          <w:iCs/>
        </w:rPr>
        <w:t>Australian System of National Accounts</w:t>
      </w:r>
      <w:r>
        <w:rPr>
          <w:rFonts w:eastAsiaTheme="minorEastAsia"/>
          <w:i/>
          <w:iCs/>
        </w:rPr>
        <w:t xml:space="preserve">. </w:t>
      </w:r>
      <w:r w:rsidRPr="00F24CFF">
        <w:rPr>
          <w:rFonts w:eastAsiaTheme="minorEastAsia"/>
        </w:rPr>
        <w:t>However</w:t>
      </w:r>
      <w:r>
        <w:rPr>
          <w:rFonts w:eastAsiaTheme="minorEastAsia"/>
          <w:i/>
          <w:iCs/>
        </w:rPr>
        <w:t xml:space="preserve">, </w:t>
      </w:r>
      <w:r>
        <w:rPr>
          <w:rFonts w:eastAsiaTheme="minorEastAsia"/>
        </w:rPr>
        <w:t xml:space="preserve">at the industry level, this measure needs to be derived using the equation above. </w:t>
      </w:r>
    </w:p>
    <w:p w14:paraId="67EB4BDC" w14:textId="77777777" w:rsidR="00696D3E" w:rsidRDefault="00696D3E" w:rsidP="00696D3E">
      <w:pPr>
        <w:rPr>
          <w:rFonts w:eastAsiaTheme="minorEastAsia"/>
        </w:rPr>
      </w:pPr>
      <w:r>
        <w:rPr>
          <w:rFonts w:eastAsiaTheme="minorEastAsia"/>
        </w:rPr>
        <w:t>The labour share of income can also be calculated using this wage measure and derived hours measure:</w:t>
      </w:r>
    </w:p>
    <w:p w14:paraId="48CA37F3" w14:textId="77777777" w:rsidR="00696D3E" w:rsidRPr="00506A02" w:rsidRDefault="00696D3E" w:rsidP="00696D3E">
      <w:pPr>
        <w:pStyle w:val="BodyText"/>
        <w:rPr>
          <w:rFonts w:eastAsiaTheme="minorEastAsia"/>
        </w:rPr>
      </w:pPr>
      <m:oMathPara>
        <m:oMath>
          <m:r>
            <w:rPr>
              <w:rFonts w:ascii="Cambria Math" w:eastAsiaTheme="minorEastAsia" w:hAnsi="Cambria Math"/>
            </w:rPr>
            <m:t xml:space="preserve">LIS= </m:t>
          </m:r>
          <m:f>
            <m:fPr>
              <m:ctrlPr>
                <w:rPr>
                  <w:rFonts w:ascii="Cambria Math" w:eastAsiaTheme="minorEastAsia" w:hAnsi="Cambria Math"/>
                  <w:i/>
                </w:rPr>
              </m:ctrlPr>
            </m:fPr>
            <m:num>
              <m:sSub>
                <m:sSubPr>
                  <m:ctrlPr>
                    <w:rPr>
                      <w:rFonts w:ascii="Cambria Math" w:hAnsi="Cambria Math"/>
                      <w:i/>
                    </w:rPr>
                  </m:ctrlPr>
                </m:sSubPr>
                <m:e>
                  <m:r>
                    <w:rPr>
                      <w:rFonts w:ascii="Cambria Math" w:hAnsi="Cambria Math"/>
                    </w:rPr>
                    <m:t>W</m:t>
                  </m:r>
                </m:e>
                <m:sub>
                  <m:r>
                    <w:rPr>
                      <w:rFonts w:ascii="Cambria Math" w:hAnsi="Cambria Math"/>
                    </w:rPr>
                    <m:t>T</m:t>
                  </m:r>
                </m:sub>
              </m:sSub>
              <m:r>
                <w:rPr>
                  <w:rFonts w:ascii="Cambria Math" w:hAnsi="Cambria Math"/>
                </w:rPr>
                <m:t>×</m:t>
              </m:r>
              <m:sSubSup>
                <m:sSubSupPr>
                  <m:ctrlPr>
                    <w:rPr>
                      <w:rFonts w:ascii="Cambria Math" w:hAnsi="Cambria Math"/>
                      <w:i/>
                    </w:rPr>
                  </m:ctrlPr>
                </m:sSubSupPr>
                <m:e>
                  <m:r>
                    <w:rPr>
                      <w:rFonts w:ascii="Cambria Math" w:hAnsi="Cambria Math"/>
                    </w:rPr>
                    <m:t>H</m:t>
                  </m:r>
                </m:e>
                <m:sub>
                  <m:r>
                    <w:rPr>
                      <w:rFonts w:ascii="Cambria Math" w:hAnsi="Cambria Math"/>
                    </w:rPr>
                    <m:t>T</m:t>
                  </m:r>
                </m:sub>
                <m:sup>
                  <m:r>
                    <w:rPr>
                      <w:rFonts w:ascii="Cambria Math" w:hAnsi="Cambria Math"/>
                    </w:rPr>
                    <m:t>A</m:t>
                  </m:r>
                </m:sup>
              </m:sSubSup>
            </m:num>
            <m:den>
              <m:r>
                <w:rPr>
                  <w:rFonts w:ascii="Cambria Math" w:eastAsiaTheme="minorEastAsia" w:hAnsi="Cambria Math"/>
                </w:rPr>
                <m:t>TFI</m:t>
              </m:r>
            </m:den>
          </m:f>
        </m:oMath>
      </m:oMathPara>
    </w:p>
    <w:p w14:paraId="10D136E1" w14:textId="77777777" w:rsidR="00696D3E" w:rsidRPr="001E159C" w:rsidRDefault="00696D3E" w:rsidP="00696D3E">
      <w:pPr>
        <w:pStyle w:val="BodyText"/>
        <w:rPr>
          <w:rFonts w:eastAsiaTheme="minorEastAsia"/>
        </w:rPr>
      </w:pPr>
      <w:r>
        <w:rPr>
          <w:rFonts w:eastAsiaTheme="minorEastAsia"/>
        </w:rPr>
        <w:t xml:space="preserve">where: </w:t>
      </w:r>
      <m:oMath>
        <m:r>
          <w:rPr>
            <w:rFonts w:ascii="Cambria Math" w:eastAsiaTheme="minorEastAsia" w:hAnsi="Cambria Math"/>
          </w:rPr>
          <m:t>LIS</m:t>
        </m:r>
      </m:oMath>
      <w:r>
        <w:rPr>
          <w:rFonts w:eastAsiaTheme="minorEastAsia"/>
        </w:rPr>
        <w:t xml:space="preserve"> is the labour share of income for the whole economy, </w:t>
      </w:r>
      <m:oMath>
        <m:r>
          <w:rPr>
            <w:rFonts w:ascii="Cambria Math" w:eastAsiaTheme="minorEastAsia" w:hAnsi="Cambria Math"/>
          </w:rPr>
          <m:t>TFI</m:t>
        </m:r>
      </m:oMath>
      <w:r>
        <w:rPr>
          <w:rFonts w:eastAsiaTheme="minorEastAsia"/>
        </w:rPr>
        <w:t xml:space="preserve"> is the total factor income for the whole economy.</w:t>
      </w:r>
    </w:p>
    <w:p w14:paraId="453301CC" w14:textId="77777777" w:rsidR="00696D3E" w:rsidRDefault="00696D3E" w:rsidP="00696D3E">
      <w:pPr>
        <w:pStyle w:val="Heading3"/>
      </w:pPr>
      <w:r>
        <w:t>Limitations of the approach</w:t>
      </w:r>
    </w:p>
    <w:p w14:paraId="50D8C174" w14:textId="70F88A61" w:rsidR="00696D3E" w:rsidRDefault="00696D3E" w:rsidP="00696D3E">
      <w:pPr>
        <w:pStyle w:val="BodyText"/>
      </w:pPr>
      <w:r>
        <w:t>The Commission has used what it considered the least bad method for splitting the income of unincorporated businesses between labour and capital. As noted earlier, the main drawback of this approach is that the implicit capital income accruing to owner</w:t>
      </w:r>
      <w:r>
        <w:noBreakHyphen/>
        <w:t>managers of unincorporated businesses is negative in a number of financial years (and negative in even more years once depreciation is deducted as an expense – figure </w:t>
      </w:r>
      <w:r w:rsidR="00310791">
        <w:t>9</w:t>
      </w:r>
      <w:r>
        <w:t>).</w:t>
      </w:r>
    </w:p>
    <w:p w14:paraId="268270E2" w14:textId="542D4604" w:rsidR="00696D3E" w:rsidRPr="00F92656" w:rsidRDefault="00696D3E" w:rsidP="00696D3E">
      <w:pPr>
        <w:pStyle w:val="BodyText"/>
        <w:rPr>
          <w:spacing w:val="-4"/>
        </w:rPr>
      </w:pPr>
      <w:r w:rsidRPr="00F92656">
        <w:rPr>
          <w:spacing w:val="-4"/>
        </w:rPr>
        <w:t>That said, this approach avoids the excessive and unrealistic growth of owner</w:t>
      </w:r>
      <w:r w:rsidRPr="00F92656">
        <w:rPr>
          <w:spacing w:val="-4"/>
        </w:rPr>
        <w:noBreakHyphen/>
        <w:t>manager wages implied by the ABS estimates (figure </w:t>
      </w:r>
      <w:r w:rsidR="009E3F69" w:rsidRPr="00F92656">
        <w:rPr>
          <w:spacing w:val="-4"/>
        </w:rPr>
        <w:t>10</w:t>
      </w:r>
      <w:r w:rsidRPr="00F92656">
        <w:rPr>
          <w:spacing w:val="-4"/>
        </w:rPr>
        <w:t>) and the volatile (and sometimes negative) owner</w:t>
      </w:r>
      <w:r w:rsidRPr="00F92656">
        <w:rPr>
          <w:spacing w:val="-4"/>
        </w:rPr>
        <w:noBreakHyphen/>
        <w:t xml:space="preserve">manager wage rate implied by using the return on net return on corporate capital as the benchmark for the net return on unincorporated capital. </w:t>
      </w:r>
    </w:p>
    <w:p w14:paraId="75315D99" w14:textId="252A01CC" w:rsidR="00696D3E" w:rsidRPr="00146382" w:rsidRDefault="00696D3E" w:rsidP="00696D3E">
      <w:pPr>
        <w:pStyle w:val="FigureTableHeading"/>
      </w:pPr>
      <w:r>
        <w:lastRenderedPageBreak/>
        <w:t xml:space="preserve">Figure </w:t>
      </w:r>
      <w:r w:rsidR="002B4160">
        <w:rPr>
          <w:noProof/>
        </w:rPr>
        <w:t>9</w:t>
      </w:r>
      <w:r>
        <w:rPr>
          <w:noProof/>
        </w:rPr>
        <w:t xml:space="preserve"> </w:t>
      </w:r>
      <w:r>
        <w:t>– Assuming owner</w:t>
      </w:r>
      <w:r>
        <w:noBreakHyphen/>
        <w:t>manager wages equal employee wages, generates negative business profits</w:t>
      </w:r>
      <w:r w:rsidRPr="00066CF5">
        <w:rPr>
          <w:vertAlign w:val="superscript"/>
        </w:rPr>
        <w:t>a</w:t>
      </w:r>
    </w:p>
    <w:p w14:paraId="01E0AC13" w14:textId="77777777" w:rsidR="00696D3E" w:rsidRDefault="00696D3E" w:rsidP="000F14D8">
      <w:pPr>
        <w:pStyle w:val="FigureTableSubheading"/>
        <w:keepLines/>
      </w:pPr>
      <w:r>
        <w:t>Gross and net returns on capital, 1994</w:t>
      </w:r>
      <w:r>
        <w:noBreakHyphen/>
        <w:t>95 and 2021</w:t>
      </w:r>
      <w:r>
        <w:noBreakHyphen/>
        <w:t>22</w:t>
      </w:r>
    </w:p>
    <w:p w14:paraId="23360130" w14:textId="77777777" w:rsidR="00696D3E" w:rsidRDefault="00696D3E" w:rsidP="00696D3E">
      <w:pPr>
        <w:pStyle w:val="Note"/>
        <w:keepLines/>
        <w:spacing w:before="0" w:after="0"/>
        <w:rPr>
          <w:noProof/>
        </w:rPr>
      </w:pPr>
      <w:r w:rsidRPr="0021354D">
        <w:rPr>
          <w:noProof/>
        </w:rPr>
        <w:drawing>
          <wp:inline distT="0" distB="0" distL="0" distR="0" wp14:anchorId="23E53EC4" wp14:editId="5BDA5AFF">
            <wp:extent cx="6120130" cy="2540000"/>
            <wp:effectExtent l="0" t="0" r="0" b="0"/>
            <wp:docPr id="182971176" name="Picture 182971176" descr="This figure shows the gross return on capital (capital income divided by the net capital stock) and the net return on capital (capital income minus depreciation divided by the net capital stock) to unincorporated businesses after implicit wages (equal to employees) have been deducted from gross mixed income between 1994 95 and 2021 22. It can be seen that both the gross and net return on capital was negative for a number of years but that the returns increased over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71176" name="Picture 182971176" descr="This figure shows the gross return on capital (capital income divided by the net capital stock) and the net return on capital (capital income minus depreciation divided by the net capital stock) to unincorporated businesses after implicit wages (equal to employees) have been deducted from gross mixed income between 1994 95 and 2021 22. It can be seen that both the gross and net return on capital was negative for a number of years but that the returns increased over time."/>
                    <pic:cNvPicPr>
                      <a:picLocks noChangeAspect="1" noChangeArrowheads="1"/>
                    </pic:cNvPicPr>
                  </pic:nvPicPr>
                  <pic:blipFill rotWithShape="1">
                    <a:blip r:embed="rId37" cstate="print">
                      <a:extLst>
                        <a:ext uri="{28A0092B-C50C-407E-A947-70E740481C1C}">
                          <a14:useLocalDpi xmlns:a14="http://schemas.microsoft.com/office/drawing/2010/main" val="0"/>
                        </a:ext>
                      </a:extLst>
                    </a:blip>
                    <a:srcRect t="2365" b="3050"/>
                    <a:stretch/>
                  </pic:blipFill>
                  <pic:spPr bwMode="auto">
                    <a:xfrm>
                      <a:off x="0" y="0"/>
                      <a:ext cx="6120130" cy="2540000"/>
                    </a:xfrm>
                    <a:prstGeom prst="rect">
                      <a:avLst/>
                    </a:prstGeom>
                    <a:noFill/>
                    <a:ln>
                      <a:noFill/>
                    </a:ln>
                    <a:extLst>
                      <a:ext uri="{53640926-AAD7-44D8-BBD7-CCE9431645EC}">
                        <a14:shadowObscured xmlns:a14="http://schemas.microsoft.com/office/drawing/2010/main"/>
                      </a:ext>
                    </a:extLst>
                  </pic:spPr>
                </pic:pic>
              </a:graphicData>
            </a:graphic>
          </wp:inline>
        </w:drawing>
      </w:r>
    </w:p>
    <w:p w14:paraId="69D84F53" w14:textId="77777777" w:rsidR="00696D3E" w:rsidRDefault="00696D3E" w:rsidP="00696D3E">
      <w:pPr>
        <w:pStyle w:val="Note"/>
        <w:keepLines/>
      </w:pPr>
      <w:r w:rsidRPr="00180E66">
        <w:rPr>
          <w:b/>
          <w:bCs/>
        </w:rPr>
        <w:t>a.</w:t>
      </w:r>
      <w:r>
        <w:t xml:space="preserve"> The gross return on capital is defined as the ratio of capital income for unincorporated businesses (calculated using the implicit wage method described above) to the net capital stock for unincorporated businesses. Net return on capital is defined as the ratio of capital income minus consumption of fixed capital to the net capital stock.</w:t>
      </w:r>
    </w:p>
    <w:p w14:paraId="2A681F89" w14:textId="77777777" w:rsidR="00696D3E" w:rsidRDefault="00696D3E" w:rsidP="000F14D8">
      <w:pPr>
        <w:pStyle w:val="Source"/>
        <w:spacing w:after="120"/>
      </w:pPr>
      <w:r w:rsidRPr="00696447">
        <w:t xml:space="preserve">Source: </w:t>
      </w:r>
      <w:r>
        <w:t>Commission estimates using: ABS (</w:t>
      </w:r>
      <w:r w:rsidRPr="00B131FA">
        <w:rPr>
          <w:i/>
          <w:iCs/>
        </w:rPr>
        <w:t xml:space="preserve">Australian </w:t>
      </w:r>
      <w:r>
        <w:rPr>
          <w:i/>
          <w:iCs/>
        </w:rPr>
        <w:t>S</w:t>
      </w:r>
      <w:r w:rsidRPr="00B131FA">
        <w:rPr>
          <w:i/>
          <w:iCs/>
        </w:rPr>
        <w:t xml:space="preserve">ystem of </w:t>
      </w:r>
      <w:r>
        <w:rPr>
          <w:i/>
          <w:iCs/>
        </w:rPr>
        <w:t>N</w:t>
      </w:r>
      <w:r w:rsidRPr="00B131FA">
        <w:rPr>
          <w:i/>
          <w:iCs/>
        </w:rPr>
        <w:t xml:space="preserve">ational </w:t>
      </w:r>
      <w:r>
        <w:rPr>
          <w:i/>
          <w:iCs/>
        </w:rPr>
        <w:t>A</w:t>
      </w:r>
      <w:r w:rsidRPr="00B131FA">
        <w:rPr>
          <w:i/>
          <w:iCs/>
        </w:rPr>
        <w:t>ccounts, 2021</w:t>
      </w:r>
      <w:r w:rsidRPr="00B131FA">
        <w:rPr>
          <w:i/>
          <w:iCs/>
        </w:rPr>
        <w:noBreakHyphen/>
        <w:t>22</w:t>
      </w:r>
      <w:r>
        <w:t>, Cat. no. </w:t>
      </w:r>
      <w:r w:rsidRPr="00F567CF">
        <w:t>5204</w:t>
      </w:r>
      <w:r>
        <w:t xml:space="preserve">, tables 6, 57 and 58; </w:t>
      </w:r>
      <w:r w:rsidRPr="00BB0F6B">
        <w:rPr>
          <w:i/>
          <w:iCs/>
        </w:rPr>
        <w:t>Labour Account Australia, March 2023</w:t>
      </w:r>
      <w:r>
        <w:t>, Cat. no. </w:t>
      </w:r>
      <w:r w:rsidRPr="00821D54">
        <w:t>6150.0.55.003</w:t>
      </w:r>
      <w:r>
        <w:t xml:space="preserve">, industry summary tables; </w:t>
      </w:r>
      <w:r w:rsidRPr="00CA6C97">
        <w:rPr>
          <w:i/>
          <w:iCs/>
        </w:rPr>
        <w:t>Labour Force, Australia, Detailed, April 2023</w:t>
      </w:r>
      <w:r>
        <w:t>, Cat. no. </w:t>
      </w:r>
      <w:r w:rsidRPr="009541C2">
        <w:t>6291.0.55.001</w:t>
      </w:r>
      <w:r w:rsidRPr="004A2F88">
        <w:t>.</w:t>
      </w:r>
      <w:r>
        <w:t>, table EQ05)</w:t>
      </w:r>
      <w:r w:rsidRPr="00696447">
        <w:t>.</w:t>
      </w:r>
    </w:p>
    <w:p w14:paraId="778E9253" w14:textId="64507BEE" w:rsidR="00696D3E" w:rsidRPr="00146382" w:rsidRDefault="00696D3E" w:rsidP="00966261">
      <w:pPr>
        <w:pStyle w:val="FigureTableHeading"/>
        <w:spacing w:before="200"/>
      </w:pPr>
      <w:r>
        <w:t xml:space="preserve">Figure </w:t>
      </w:r>
      <w:r w:rsidR="002B4160">
        <w:rPr>
          <w:noProof/>
        </w:rPr>
        <w:t>10</w:t>
      </w:r>
      <w:r>
        <w:rPr>
          <w:noProof/>
        </w:rPr>
        <w:t xml:space="preserve"> </w:t>
      </w:r>
      <w:r>
        <w:t>– Wages of owner</w:t>
      </w:r>
      <w:r>
        <w:noBreakHyphen/>
        <w:t>managers are very low and volatile when they are assumed to receive the corporate return on capital</w:t>
      </w:r>
      <w:r w:rsidRPr="00066CF5">
        <w:rPr>
          <w:vertAlign w:val="superscript"/>
        </w:rPr>
        <w:t>a,b</w:t>
      </w:r>
    </w:p>
    <w:p w14:paraId="339065E6" w14:textId="77777777" w:rsidR="00696D3E" w:rsidRDefault="00696D3E" w:rsidP="000F14D8">
      <w:pPr>
        <w:pStyle w:val="FigureTableSubheading"/>
        <w:keepLines/>
        <w:spacing w:after="0"/>
      </w:pPr>
      <w:r>
        <w:t>Wage rates of employee and owner</w:t>
      </w:r>
      <w:r>
        <w:noBreakHyphen/>
        <w:t>managers, 1994</w:t>
      </w:r>
      <w:r>
        <w:noBreakHyphen/>
        <w:t>95 and 2021</w:t>
      </w:r>
      <w:r>
        <w:noBreakHyphen/>
        <w:t>22</w:t>
      </w:r>
    </w:p>
    <w:p w14:paraId="45A20A30" w14:textId="77777777" w:rsidR="00696D3E" w:rsidRDefault="00696D3E" w:rsidP="000F14D8">
      <w:pPr>
        <w:pStyle w:val="Note"/>
        <w:keepLines/>
        <w:spacing w:before="0"/>
        <w:rPr>
          <w:noProof/>
        </w:rPr>
      </w:pPr>
      <w:r w:rsidRPr="00284822">
        <w:rPr>
          <w:noProof/>
        </w:rPr>
        <w:drawing>
          <wp:inline distT="0" distB="0" distL="0" distR="0" wp14:anchorId="6D70DCBC" wp14:editId="168370D8">
            <wp:extent cx="6013450" cy="2527300"/>
            <wp:effectExtent l="0" t="0" r="0" b="0"/>
            <wp:docPr id="1937462561" name="Picture 1937462561" descr="This figure shows the growth of wages of employees and the implicit wages of owner managers between 1994 95 and 2021 22 when owner managers are assumed to receive the same net return on capital as corporate capital. It can be seen that the level of owner manager wages is much lower than employee wages (even being negative in one year) and that they are much more volat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462561" name="Picture 1937462561" descr="This figure shows the growth of wages of employees and the implicit wages of owner managers between 1994 95 and 2021 22 when owner managers are assumed to receive the same net return on capital as corporate capital. It can be seen that the level of owner manager wages is much lower than employee wages (even being negative in one year) and that they are much more volatile."/>
                    <pic:cNvPicPr>
                      <a:picLocks noChangeAspect="1" noChangeArrowheads="1"/>
                    </pic:cNvPicPr>
                  </pic:nvPicPr>
                  <pic:blipFill rotWithShape="1">
                    <a:blip r:embed="rId38" cstate="print">
                      <a:extLst>
                        <a:ext uri="{28A0092B-C50C-407E-A947-70E740481C1C}">
                          <a14:useLocalDpi xmlns:a14="http://schemas.microsoft.com/office/drawing/2010/main" val="0"/>
                        </a:ext>
                      </a:extLst>
                    </a:blip>
                    <a:srcRect b="2451"/>
                    <a:stretch/>
                  </pic:blipFill>
                  <pic:spPr bwMode="auto">
                    <a:xfrm>
                      <a:off x="0" y="0"/>
                      <a:ext cx="6013450" cy="2527300"/>
                    </a:xfrm>
                    <a:prstGeom prst="rect">
                      <a:avLst/>
                    </a:prstGeom>
                    <a:noFill/>
                    <a:ln>
                      <a:noFill/>
                    </a:ln>
                    <a:extLst>
                      <a:ext uri="{53640926-AAD7-44D8-BBD7-CCE9431645EC}">
                        <a14:shadowObscured xmlns:a14="http://schemas.microsoft.com/office/drawing/2010/main"/>
                      </a:ext>
                    </a:extLst>
                  </pic:spPr>
                </pic:pic>
              </a:graphicData>
            </a:graphic>
          </wp:inline>
        </w:drawing>
      </w:r>
    </w:p>
    <w:p w14:paraId="746DA0E9" w14:textId="77777777" w:rsidR="00696D3E" w:rsidRPr="00A52265" w:rsidRDefault="00696D3E" w:rsidP="00966261">
      <w:pPr>
        <w:pStyle w:val="Note"/>
        <w:keepLines/>
        <w:spacing w:before="0"/>
      </w:pPr>
      <w:r w:rsidRPr="00180E66">
        <w:rPr>
          <w:b/>
          <w:bCs/>
        </w:rPr>
        <w:t>a.</w:t>
      </w:r>
      <w:r>
        <w:t xml:space="preserve"> Owner</w:t>
      </w:r>
      <w:r>
        <w:noBreakHyphen/>
        <w:t xml:space="preserve">manager wages have been calculated assuming that unincorporated business receives the same net return on capital as the corporate sector. Net return on capital is defined as capital income (gross operating surplus for the corporate sector) less depreciation (consumption of fixed capital) then divided by the net capital stock (all values current price). Employee wages are compensation of employees per hour from table 16 of </w:t>
      </w:r>
      <w:r w:rsidRPr="00B131FA">
        <w:rPr>
          <w:i/>
          <w:iCs/>
        </w:rPr>
        <w:t>Australian system of national accounts</w:t>
      </w:r>
      <w:r>
        <w:t xml:space="preserve">. </w:t>
      </w:r>
      <w:r>
        <w:rPr>
          <w:b/>
          <w:bCs/>
        </w:rPr>
        <w:t>b</w:t>
      </w:r>
      <w:r w:rsidRPr="00180E66">
        <w:rPr>
          <w:b/>
          <w:bCs/>
        </w:rPr>
        <w:t>.</w:t>
      </w:r>
      <w:r>
        <w:rPr>
          <w:b/>
          <w:bCs/>
        </w:rPr>
        <w:t xml:space="preserve"> </w:t>
      </w:r>
      <w:r>
        <w:t xml:space="preserve">Both wage measures are deflated by the consumer price index. </w:t>
      </w:r>
    </w:p>
    <w:p w14:paraId="2CC303CE" w14:textId="77777777" w:rsidR="00696D3E" w:rsidRPr="000F14D8" w:rsidRDefault="00696D3E" w:rsidP="00696D3E">
      <w:pPr>
        <w:pStyle w:val="Source"/>
        <w:rPr>
          <w:spacing w:val="-6"/>
        </w:rPr>
      </w:pPr>
      <w:r w:rsidRPr="000F14D8">
        <w:rPr>
          <w:spacing w:val="-6"/>
        </w:rPr>
        <w:t>Source: Commission estimates using: ABS (</w:t>
      </w:r>
      <w:r w:rsidRPr="000F14D8">
        <w:rPr>
          <w:i/>
          <w:spacing w:val="-6"/>
        </w:rPr>
        <w:t>Australian System of National Accounts, 2021</w:t>
      </w:r>
      <w:r w:rsidRPr="000F14D8">
        <w:rPr>
          <w:i/>
          <w:spacing w:val="-6"/>
        </w:rPr>
        <w:noBreakHyphen/>
        <w:t>22</w:t>
      </w:r>
      <w:r w:rsidRPr="000F14D8">
        <w:rPr>
          <w:spacing w:val="-6"/>
        </w:rPr>
        <w:t xml:space="preserve">, Cat. no. 5204.0., tables 6, 57 and 58; </w:t>
      </w:r>
      <w:r w:rsidRPr="000F14D8">
        <w:rPr>
          <w:i/>
          <w:spacing w:val="-6"/>
        </w:rPr>
        <w:t>Consumer Price Index, Australia</w:t>
      </w:r>
      <w:r w:rsidRPr="000F14D8">
        <w:rPr>
          <w:spacing w:val="-6"/>
        </w:rPr>
        <w:t xml:space="preserve">, Cat. no. 6401.0., table 1; </w:t>
      </w:r>
      <w:r w:rsidRPr="000F14D8">
        <w:rPr>
          <w:i/>
          <w:spacing w:val="-6"/>
        </w:rPr>
        <w:t>Labour Account Australia, March 2023</w:t>
      </w:r>
      <w:r w:rsidRPr="000F14D8">
        <w:rPr>
          <w:spacing w:val="-6"/>
        </w:rPr>
        <w:t xml:space="preserve">, Cat. no. 6150.0.55.003., industry summary tables; </w:t>
      </w:r>
      <w:r w:rsidRPr="000F14D8">
        <w:rPr>
          <w:i/>
          <w:spacing w:val="-6"/>
        </w:rPr>
        <w:t>Labour Force, Australia, Detailed, April 2023</w:t>
      </w:r>
      <w:r w:rsidRPr="000F14D8">
        <w:rPr>
          <w:spacing w:val="-6"/>
        </w:rPr>
        <w:t>, Cat. no. 6291.0.55.001., table EQ05).</w:t>
      </w:r>
    </w:p>
    <w:p w14:paraId="5075C4BC" w14:textId="7955E587" w:rsidR="00696D3E" w:rsidRDefault="00696D3E" w:rsidP="00696D3E">
      <w:pPr>
        <w:pStyle w:val="Heading2-nonumber"/>
      </w:pPr>
      <w:bookmarkStart w:id="6" w:name="_Toc144912351"/>
      <w:r>
        <w:lastRenderedPageBreak/>
        <w:t>B.2</w:t>
      </w:r>
      <w:r>
        <w:tab/>
        <w:t xml:space="preserve">Estimating aggregate labour productivity and the </w:t>
      </w:r>
      <w:r w:rsidRPr="00B60F98">
        <w:t xml:space="preserve">gross value added </w:t>
      </w:r>
      <w:r>
        <w:t>(GVA) deflator without mining</w:t>
      </w:r>
      <w:bookmarkEnd w:id="6"/>
    </w:p>
    <w:p w14:paraId="51094466" w14:textId="77777777" w:rsidR="00696D3E" w:rsidRDefault="00696D3E" w:rsidP="00696D3E">
      <w:r>
        <w:t>The ABS publish estimates of labour productivity for several industries and aggregations of industries, including:</w:t>
      </w:r>
    </w:p>
    <w:p w14:paraId="6B91F0AB" w14:textId="77777777" w:rsidR="00696D3E" w:rsidRDefault="00696D3E" w:rsidP="00F92656">
      <w:pPr>
        <w:pStyle w:val="ListBullet"/>
      </w:pPr>
      <w:r>
        <w:t xml:space="preserve">whole economy labour productivity – in table 1 of the </w:t>
      </w:r>
      <w:r w:rsidRPr="000A1666">
        <w:rPr>
          <w:i/>
          <w:iCs/>
        </w:rPr>
        <w:t>Australian system of national accounts</w:t>
      </w:r>
    </w:p>
    <w:p w14:paraId="58CAB460" w14:textId="77777777" w:rsidR="00696D3E" w:rsidRDefault="00696D3E" w:rsidP="00F92656">
      <w:pPr>
        <w:pStyle w:val="ListBullet"/>
      </w:pPr>
      <w:r>
        <w:t xml:space="preserve">market sector labour productivity – in table 6 of the </w:t>
      </w:r>
      <w:r>
        <w:rPr>
          <w:i/>
          <w:iCs/>
        </w:rPr>
        <w:t>Estimates of Industry Multifactor Productivity</w:t>
      </w:r>
      <w:r>
        <w:t xml:space="preserve"> </w:t>
      </w:r>
    </w:p>
    <w:p w14:paraId="7376A236" w14:textId="77777777" w:rsidR="00696D3E" w:rsidRDefault="00696D3E" w:rsidP="00F92656">
      <w:pPr>
        <w:pStyle w:val="ListBullet"/>
      </w:pPr>
      <w:r>
        <w:t xml:space="preserve">industry level labour productivity for the 16 market sector industries – in table 6 of the </w:t>
      </w:r>
      <w:r>
        <w:rPr>
          <w:i/>
          <w:iCs/>
        </w:rPr>
        <w:t>Estimates of Industry Multifactor Productivity</w:t>
      </w:r>
    </w:p>
    <w:p w14:paraId="2939DB91" w14:textId="77777777" w:rsidR="00696D3E" w:rsidRPr="00F559D5" w:rsidRDefault="00696D3E" w:rsidP="00F92656">
      <w:pPr>
        <w:pStyle w:val="ListBullet"/>
      </w:pPr>
      <w:r>
        <w:t>industry level labour productivity for the three non-market sector industries</w:t>
      </w:r>
      <w:r w:rsidRPr="007C14DC">
        <w:rPr>
          <w:rStyle w:val="FootnoteReference"/>
        </w:rPr>
        <w:footnoteReference w:id="9"/>
      </w:r>
      <w:r>
        <w:t xml:space="preserve"> – can be derived using table 46 of </w:t>
      </w:r>
      <w:r w:rsidRPr="00B131FA">
        <w:rPr>
          <w:i/>
          <w:iCs/>
        </w:rPr>
        <w:t xml:space="preserve">Australian </w:t>
      </w:r>
      <w:r>
        <w:rPr>
          <w:i/>
          <w:iCs/>
        </w:rPr>
        <w:t>S</w:t>
      </w:r>
      <w:r w:rsidRPr="00B131FA">
        <w:rPr>
          <w:i/>
          <w:iCs/>
        </w:rPr>
        <w:t xml:space="preserve">ystem of </w:t>
      </w:r>
      <w:r>
        <w:rPr>
          <w:i/>
          <w:iCs/>
        </w:rPr>
        <w:t>N</w:t>
      </w:r>
      <w:r w:rsidRPr="00B131FA">
        <w:rPr>
          <w:i/>
          <w:iCs/>
        </w:rPr>
        <w:t xml:space="preserve">ational </w:t>
      </w:r>
      <w:r>
        <w:rPr>
          <w:i/>
          <w:iCs/>
        </w:rPr>
        <w:t>A</w:t>
      </w:r>
      <w:r w:rsidRPr="00B131FA">
        <w:rPr>
          <w:i/>
          <w:iCs/>
        </w:rPr>
        <w:t>ccounts</w:t>
      </w:r>
      <w:r>
        <w:rPr>
          <w:i/>
          <w:iCs/>
        </w:rPr>
        <w:t xml:space="preserve"> </w:t>
      </w:r>
      <w:r>
        <w:t xml:space="preserve">and the ‘industry summary table’ of the </w:t>
      </w:r>
      <w:r w:rsidRPr="00F07DE2">
        <w:rPr>
          <w:i/>
          <w:iCs/>
        </w:rPr>
        <w:t>Labour</w:t>
      </w:r>
      <w:r>
        <w:rPr>
          <w:i/>
          <w:iCs/>
        </w:rPr>
        <w:t> </w:t>
      </w:r>
      <w:r w:rsidRPr="00F07DE2">
        <w:rPr>
          <w:i/>
          <w:iCs/>
        </w:rPr>
        <w:t>Account</w:t>
      </w:r>
      <w:r>
        <w:t>.</w:t>
      </w:r>
    </w:p>
    <w:p w14:paraId="2BA91D86" w14:textId="77777777" w:rsidR="00696D3E" w:rsidRPr="007F3EEA" w:rsidRDefault="00696D3E" w:rsidP="00696D3E">
      <w:pPr>
        <w:pStyle w:val="BodyText"/>
      </w:pPr>
      <w:r>
        <w:t xml:space="preserve">A combination of the above publications can also be used to derive all of the associated implicit GDP/GVA deflators. For example, a combination of table 8 of the </w:t>
      </w:r>
      <w:r>
        <w:rPr>
          <w:i/>
          <w:iCs/>
        </w:rPr>
        <w:t xml:space="preserve">Estimates of Industry Multifactor Productivity </w:t>
      </w:r>
      <w:r>
        <w:t xml:space="preserve">and table 46 of </w:t>
      </w:r>
      <w:r w:rsidRPr="00B131FA">
        <w:rPr>
          <w:i/>
          <w:iCs/>
        </w:rPr>
        <w:t xml:space="preserve">Australian </w:t>
      </w:r>
      <w:r>
        <w:rPr>
          <w:i/>
          <w:iCs/>
        </w:rPr>
        <w:t>S</w:t>
      </w:r>
      <w:r w:rsidRPr="00B131FA">
        <w:rPr>
          <w:i/>
          <w:iCs/>
        </w:rPr>
        <w:t xml:space="preserve">ystem of </w:t>
      </w:r>
      <w:r>
        <w:rPr>
          <w:i/>
          <w:iCs/>
        </w:rPr>
        <w:t>N</w:t>
      </w:r>
      <w:r w:rsidRPr="00B131FA">
        <w:rPr>
          <w:i/>
          <w:iCs/>
        </w:rPr>
        <w:t xml:space="preserve">ational </w:t>
      </w:r>
      <w:r>
        <w:rPr>
          <w:i/>
          <w:iCs/>
        </w:rPr>
        <w:t>A</w:t>
      </w:r>
      <w:r w:rsidRPr="00B131FA">
        <w:rPr>
          <w:i/>
          <w:iCs/>
        </w:rPr>
        <w:t>ccount</w:t>
      </w:r>
      <w:r>
        <w:rPr>
          <w:i/>
          <w:iCs/>
        </w:rPr>
        <w:t xml:space="preserve">s </w:t>
      </w:r>
      <w:r>
        <w:t>can be used to derive the GVA deflator for the market sector, which can then be used to estimate producer wages for the entire market sector.</w:t>
      </w:r>
    </w:p>
    <w:p w14:paraId="11DE5AF9" w14:textId="77777777" w:rsidR="00696D3E" w:rsidRDefault="00696D3E" w:rsidP="00696D3E">
      <w:pPr>
        <w:pStyle w:val="BodyText"/>
      </w:pPr>
      <w:r>
        <w:t xml:space="preserve">However, aggregations of labour productivity and GVA deflators for other combinations of industries are not readily available and not easily derivable from the above publications, requiring more complex methods. </w:t>
      </w:r>
    </w:p>
    <w:p w14:paraId="1A54CC44" w14:textId="77777777" w:rsidR="00696D3E" w:rsidRDefault="00696D3E" w:rsidP="00696D3E">
      <w:pPr>
        <w:pStyle w:val="BodyText"/>
      </w:pPr>
      <w:r>
        <w:t>Real GVA in the national accounts and productivity statistics, is a chain-linked L</w:t>
      </w:r>
      <w:r w:rsidRPr="0077537E">
        <w:t xml:space="preserve">aspeyres </w:t>
      </w:r>
      <w:r>
        <w:t>index. That is, the proportional change in real GVA for any aggregation of industries is:</w:t>
      </w:r>
    </w:p>
    <w:p w14:paraId="422CFCF5" w14:textId="77777777" w:rsidR="00696D3E" w:rsidRDefault="00000000" w:rsidP="00696D3E">
      <w:pPr>
        <w:pStyle w:val="BodyText"/>
      </w:pPr>
      <m:oMathPara>
        <m:oMath>
          <m:f>
            <m:fPr>
              <m:ctrlPr>
                <w:rPr>
                  <w:rFonts w:ascii="Cambria Math" w:hAnsi="Cambria Math"/>
                  <w:i/>
                </w:rPr>
              </m:ctrlPr>
            </m:fPr>
            <m:num>
              <m:sSub>
                <m:sSubPr>
                  <m:ctrlPr>
                    <w:rPr>
                      <w:rFonts w:ascii="Cambria Math" w:hAnsi="Cambria Math"/>
                      <w:i/>
                    </w:rPr>
                  </m:ctrlPr>
                </m:sSubPr>
                <m:e>
                  <m:r>
                    <w:rPr>
                      <w:rFonts w:ascii="Cambria Math" w:hAnsi="Cambria Math"/>
                    </w:rPr>
                    <m:t>GVA</m:t>
                  </m:r>
                </m:e>
                <m:sub>
                  <m:r>
                    <w:rPr>
                      <w:rFonts w:ascii="Cambria Math" w:hAnsi="Cambria Math"/>
                    </w:rPr>
                    <m:t>t, ex</m:t>
                  </m:r>
                </m:sub>
              </m:sSub>
            </m:num>
            <m:den>
              <m:sSub>
                <m:sSubPr>
                  <m:ctrlPr>
                    <w:rPr>
                      <w:rFonts w:ascii="Cambria Math" w:hAnsi="Cambria Math"/>
                      <w:i/>
                    </w:rPr>
                  </m:ctrlPr>
                </m:sSubPr>
                <m:e>
                  <m:r>
                    <w:rPr>
                      <w:rFonts w:ascii="Cambria Math" w:hAnsi="Cambria Math"/>
                    </w:rPr>
                    <m:t>GVA</m:t>
                  </m:r>
                </m:e>
                <m:sub>
                  <m:r>
                    <w:rPr>
                      <w:rFonts w:ascii="Cambria Math" w:hAnsi="Cambria Math"/>
                    </w:rPr>
                    <m:t>t-1,ex</m:t>
                  </m:r>
                </m:sub>
              </m:sSub>
            </m:den>
          </m:f>
          <m:r>
            <w:rPr>
              <w:rFonts w:ascii="Cambria Math" w:hAnsi="Cambria Math"/>
            </w:rPr>
            <m:t>=</m:t>
          </m:r>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P</m:t>
                      </m:r>
                    </m:e>
                    <m:sub>
                      <m:r>
                        <w:rPr>
                          <w:rFonts w:ascii="Cambria Math" w:hAnsi="Cambria Math"/>
                        </w:rPr>
                        <m:t>t-1, i</m:t>
                      </m:r>
                    </m:sub>
                  </m:sSub>
                </m:e>
              </m:nary>
              <m:sSub>
                <m:sSubPr>
                  <m:ctrlPr>
                    <w:rPr>
                      <w:rFonts w:ascii="Cambria Math" w:hAnsi="Cambria Math"/>
                      <w:i/>
                    </w:rPr>
                  </m:ctrlPr>
                </m:sSubPr>
                <m:e>
                  <m:r>
                    <w:rPr>
                      <w:rFonts w:ascii="Cambria Math" w:hAnsi="Cambria Math"/>
                    </w:rPr>
                    <m:t>GVA</m:t>
                  </m:r>
                </m:e>
                <m:sub>
                  <m:r>
                    <w:rPr>
                      <w:rFonts w:ascii="Cambria Math" w:hAnsi="Cambria Math"/>
                    </w:rPr>
                    <m:t>t, i</m:t>
                  </m:r>
                </m:sub>
              </m:sSub>
            </m:num>
            <m:den>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P</m:t>
                      </m:r>
                    </m:e>
                    <m:sub>
                      <m:r>
                        <w:rPr>
                          <w:rFonts w:ascii="Cambria Math" w:hAnsi="Cambria Math"/>
                        </w:rPr>
                        <m:t>t-1, i</m:t>
                      </m:r>
                    </m:sub>
                  </m:sSub>
                </m:e>
              </m:nary>
              <m:sSub>
                <m:sSubPr>
                  <m:ctrlPr>
                    <w:rPr>
                      <w:rFonts w:ascii="Cambria Math" w:hAnsi="Cambria Math"/>
                      <w:i/>
                    </w:rPr>
                  </m:ctrlPr>
                </m:sSubPr>
                <m:e>
                  <m:r>
                    <w:rPr>
                      <w:rFonts w:ascii="Cambria Math" w:hAnsi="Cambria Math"/>
                    </w:rPr>
                    <m:t>GVA</m:t>
                  </m:r>
                </m:e>
                <m:sub>
                  <m:r>
                    <w:rPr>
                      <w:rFonts w:ascii="Cambria Math" w:hAnsi="Cambria Math"/>
                    </w:rPr>
                    <m:t>t-1, i</m:t>
                  </m:r>
                </m:sub>
              </m:sSub>
            </m:den>
          </m:f>
        </m:oMath>
      </m:oMathPara>
    </w:p>
    <w:p w14:paraId="52F11BF1" w14:textId="77777777" w:rsidR="00696D3E" w:rsidRDefault="00696D3E" w:rsidP="00696D3E">
      <w:pPr>
        <w:pStyle w:val="BodyText"/>
      </w:pPr>
      <w:r>
        <w:t xml:space="preserve">Where: </w:t>
      </w:r>
      <m:oMath>
        <m:sSub>
          <m:sSubPr>
            <m:ctrlPr>
              <w:rPr>
                <w:rFonts w:ascii="Cambria Math" w:hAnsi="Cambria Math"/>
                <w:i/>
              </w:rPr>
            </m:ctrlPr>
          </m:sSubPr>
          <m:e>
            <m:r>
              <w:rPr>
                <w:rFonts w:ascii="Cambria Math" w:hAnsi="Cambria Math"/>
              </w:rPr>
              <m:t>GVA</m:t>
            </m:r>
          </m:e>
          <m:sub>
            <m:r>
              <w:rPr>
                <w:rFonts w:ascii="Cambria Math" w:hAnsi="Cambria Math"/>
              </w:rPr>
              <m:t>t, ex</m:t>
            </m:r>
          </m:sub>
        </m:sSub>
      </m:oMath>
      <w:r>
        <w:rPr>
          <w:rFonts w:eastAsiaTheme="minorEastAsia"/>
        </w:rPr>
        <w:t xml:space="preserve"> is real GVA for the whole economy excluding mining and agriculture in year t, </w:t>
      </w:r>
      <m:oMath>
        <m:sSub>
          <m:sSubPr>
            <m:ctrlPr>
              <w:rPr>
                <w:rFonts w:ascii="Cambria Math" w:hAnsi="Cambria Math"/>
                <w:i/>
              </w:rPr>
            </m:ctrlPr>
          </m:sSubPr>
          <m:e>
            <m:r>
              <w:rPr>
                <w:rFonts w:ascii="Cambria Math" w:hAnsi="Cambria Math"/>
              </w:rPr>
              <m:t>GVA</m:t>
            </m:r>
          </m:e>
          <m:sub>
            <m:r>
              <w:rPr>
                <w:rFonts w:ascii="Cambria Math" w:hAnsi="Cambria Math"/>
              </w:rPr>
              <m:t>t, i</m:t>
            </m:r>
          </m:sub>
        </m:sSub>
      </m:oMath>
      <w:r>
        <w:rPr>
          <w:rFonts w:eastAsiaTheme="minorEastAsia"/>
        </w:rPr>
        <w:t xml:space="preserve"> is the real GVA for industry i at year i, </w:t>
      </w:r>
      <m:oMath>
        <m:sSub>
          <m:sSubPr>
            <m:ctrlPr>
              <w:rPr>
                <w:rFonts w:ascii="Cambria Math" w:hAnsi="Cambria Math"/>
                <w:i/>
              </w:rPr>
            </m:ctrlPr>
          </m:sSubPr>
          <m:e>
            <m:r>
              <w:rPr>
                <w:rFonts w:ascii="Cambria Math" w:hAnsi="Cambria Math"/>
              </w:rPr>
              <m:t>P</m:t>
            </m:r>
          </m:e>
          <m:sub>
            <m:r>
              <w:rPr>
                <w:rFonts w:ascii="Cambria Math" w:hAnsi="Cambria Math"/>
              </w:rPr>
              <m:t>t, i</m:t>
            </m:r>
          </m:sub>
        </m:sSub>
      </m:oMath>
      <w:r>
        <w:rPr>
          <w:rFonts w:eastAsiaTheme="minorEastAsia"/>
        </w:rPr>
        <w:t xml:space="preserve"> is the implicit price deflator for GVA in industry i at year t.</w:t>
      </w:r>
    </w:p>
    <w:p w14:paraId="06C9DDB2" w14:textId="77777777" w:rsidR="00696D3E" w:rsidRDefault="00696D3E" w:rsidP="00696D3E">
      <w:pPr>
        <w:pStyle w:val="BodyText"/>
      </w:pPr>
      <w:r>
        <w:t>This formula can be simplified to:</w:t>
      </w:r>
    </w:p>
    <w:p w14:paraId="094AB3C9" w14:textId="77777777" w:rsidR="00696D3E" w:rsidRDefault="00000000" w:rsidP="00696D3E">
      <w:pPr>
        <w:pStyle w:val="BodyText"/>
      </w:pPr>
      <m:oMathPara>
        <m:oMath>
          <m:f>
            <m:fPr>
              <m:ctrlPr>
                <w:rPr>
                  <w:rFonts w:ascii="Cambria Math" w:hAnsi="Cambria Math"/>
                  <w:i/>
                </w:rPr>
              </m:ctrlPr>
            </m:fPr>
            <m:num>
              <m:sSub>
                <m:sSubPr>
                  <m:ctrlPr>
                    <w:rPr>
                      <w:rFonts w:ascii="Cambria Math" w:hAnsi="Cambria Math"/>
                      <w:i/>
                    </w:rPr>
                  </m:ctrlPr>
                </m:sSubPr>
                <m:e>
                  <m:r>
                    <w:rPr>
                      <w:rFonts w:ascii="Cambria Math" w:hAnsi="Cambria Math"/>
                    </w:rPr>
                    <m:t>GVA</m:t>
                  </m:r>
                </m:e>
                <m:sub>
                  <m:r>
                    <w:rPr>
                      <w:rFonts w:ascii="Cambria Math" w:hAnsi="Cambria Math"/>
                    </w:rPr>
                    <m:t>t, ex</m:t>
                  </m:r>
                </m:sub>
              </m:sSub>
            </m:num>
            <m:den>
              <m:sSub>
                <m:sSubPr>
                  <m:ctrlPr>
                    <w:rPr>
                      <w:rFonts w:ascii="Cambria Math" w:hAnsi="Cambria Math"/>
                      <w:i/>
                    </w:rPr>
                  </m:ctrlPr>
                </m:sSubPr>
                <m:e>
                  <m:r>
                    <w:rPr>
                      <w:rFonts w:ascii="Cambria Math" w:hAnsi="Cambria Math"/>
                    </w:rPr>
                    <m:t>GVA</m:t>
                  </m:r>
                </m:e>
                <m:sub>
                  <m:r>
                    <w:rPr>
                      <w:rFonts w:ascii="Cambria Math" w:hAnsi="Cambria Math"/>
                    </w:rPr>
                    <m:t>t-1,ex</m:t>
                  </m:r>
                </m:sub>
              </m:sSub>
            </m:den>
          </m:f>
          <m:r>
            <w:rPr>
              <w:rFonts w:ascii="Cambria Math" w:hAnsi="Cambria Math"/>
            </w:rPr>
            <m:t>=</m:t>
          </m:r>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t-1, i</m:t>
                          </m:r>
                        </m:sub>
                      </m:sSub>
                    </m:num>
                    <m:den>
                      <m:sSub>
                        <m:sSubPr>
                          <m:ctrlPr>
                            <w:rPr>
                              <w:rFonts w:ascii="Cambria Math" w:hAnsi="Cambria Math"/>
                              <w:i/>
                            </w:rPr>
                          </m:ctrlPr>
                        </m:sSubPr>
                        <m:e>
                          <m:r>
                            <w:rPr>
                              <w:rFonts w:ascii="Cambria Math" w:hAnsi="Cambria Math"/>
                            </w:rPr>
                            <m:t>P</m:t>
                          </m:r>
                        </m:e>
                        <m:sub>
                          <m:r>
                            <w:rPr>
                              <w:rFonts w:ascii="Cambria Math" w:hAnsi="Cambria Math"/>
                            </w:rPr>
                            <m:t>t, i</m:t>
                          </m:r>
                        </m:sub>
                      </m:sSub>
                    </m:den>
                  </m:f>
                </m:e>
              </m:nary>
              <m:sSub>
                <m:sSubPr>
                  <m:ctrlPr>
                    <w:rPr>
                      <w:rFonts w:ascii="Cambria Math" w:hAnsi="Cambria Math"/>
                      <w:i/>
                    </w:rPr>
                  </m:ctrlPr>
                </m:sSubPr>
                <m:e>
                  <m:r>
                    <w:rPr>
                      <w:rFonts w:ascii="Cambria Math" w:hAnsi="Cambria Math"/>
                    </w:rPr>
                    <m:t>×GVA</m:t>
                  </m:r>
                </m:e>
                <m:sub>
                  <m:r>
                    <w:rPr>
                      <w:rFonts w:ascii="Cambria Math" w:hAnsi="Cambria Math"/>
                    </w:rPr>
                    <m:t>t, i, nom</m:t>
                  </m:r>
                </m:sub>
              </m:sSub>
            </m:num>
            <m:den>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GVA</m:t>
                      </m:r>
                    </m:e>
                    <m:sub>
                      <m:r>
                        <w:rPr>
                          <w:rFonts w:ascii="Cambria Math" w:hAnsi="Cambria Math"/>
                        </w:rPr>
                        <m:t>t-1, i, nom</m:t>
                      </m:r>
                    </m:sub>
                  </m:sSub>
                </m:e>
              </m:nary>
            </m:den>
          </m:f>
        </m:oMath>
      </m:oMathPara>
    </w:p>
    <w:p w14:paraId="11DFC964" w14:textId="77777777" w:rsidR="00696D3E" w:rsidRPr="00A8019D" w:rsidRDefault="00696D3E" w:rsidP="00696D3E">
      <w:pPr>
        <w:pStyle w:val="BodyText"/>
        <w:rPr>
          <w:spacing w:val="-4"/>
        </w:rPr>
      </w:pPr>
      <w:r w:rsidRPr="00A8019D">
        <w:rPr>
          <w:spacing w:val="-4"/>
        </w:rPr>
        <w:t xml:space="preserve">where: </w:t>
      </w:r>
      <m:oMath>
        <m:sSub>
          <m:sSubPr>
            <m:ctrlPr>
              <w:rPr>
                <w:rFonts w:ascii="Cambria Math" w:hAnsi="Cambria Math"/>
                <w:i/>
                <w:spacing w:val="-4"/>
              </w:rPr>
            </m:ctrlPr>
          </m:sSubPr>
          <m:e>
            <m:r>
              <w:rPr>
                <w:rFonts w:ascii="Cambria Math" w:hAnsi="Cambria Math"/>
                <w:spacing w:val="-4"/>
              </w:rPr>
              <m:t>GVA</m:t>
            </m:r>
          </m:e>
          <m:sub>
            <m:r>
              <w:rPr>
                <w:rFonts w:ascii="Cambria Math" w:hAnsi="Cambria Math"/>
                <w:spacing w:val="-4"/>
              </w:rPr>
              <m:t>t-1, i, nom</m:t>
            </m:r>
          </m:sub>
        </m:sSub>
      </m:oMath>
      <w:r w:rsidRPr="00A8019D">
        <w:rPr>
          <w:rFonts w:eastAsiaTheme="minorEastAsia"/>
          <w:spacing w:val="-4"/>
        </w:rPr>
        <w:t xml:space="preserve"> is nominal GVA in industry i in year t, </w:t>
      </w:r>
      <m:oMath>
        <m:sSub>
          <m:sSubPr>
            <m:ctrlPr>
              <w:rPr>
                <w:rFonts w:ascii="Cambria Math" w:hAnsi="Cambria Math"/>
                <w:i/>
                <w:spacing w:val="-4"/>
              </w:rPr>
            </m:ctrlPr>
          </m:sSubPr>
          <m:e>
            <m:r>
              <w:rPr>
                <w:rFonts w:ascii="Cambria Math" w:hAnsi="Cambria Math"/>
                <w:spacing w:val="-4"/>
              </w:rPr>
              <m:t>P</m:t>
            </m:r>
          </m:e>
          <m:sub>
            <m:r>
              <w:rPr>
                <w:rFonts w:ascii="Cambria Math" w:hAnsi="Cambria Math"/>
                <w:spacing w:val="-4"/>
              </w:rPr>
              <m:t>t, i</m:t>
            </m:r>
          </m:sub>
        </m:sSub>
      </m:oMath>
      <w:r w:rsidRPr="00A8019D">
        <w:rPr>
          <w:rFonts w:eastAsiaTheme="minorEastAsia"/>
          <w:spacing w:val="-4"/>
        </w:rPr>
        <w:t xml:space="preserve"> is the implicit price deflator for industry i in year t.</w:t>
      </w:r>
    </w:p>
    <w:p w14:paraId="513DAA9D" w14:textId="77777777" w:rsidR="00696D3E" w:rsidRDefault="00696D3E" w:rsidP="00696D3E">
      <w:pPr>
        <w:pStyle w:val="BodyText"/>
      </w:pPr>
      <w:r>
        <w:t xml:space="preserve">The implicit price deflators for GVA for each industry were by taking the ratio of nominal to real GVA for each industry in table 46 of the </w:t>
      </w:r>
      <w:r w:rsidRPr="00B131FA">
        <w:rPr>
          <w:i/>
          <w:iCs/>
        </w:rPr>
        <w:t xml:space="preserve">Australian </w:t>
      </w:r>
      <w:r>
        <w:rPr>
          <w:i/>
          <w:iCs/>
        </w:rPr>
        <w:t>S</w:t>
      </w:r>
      <w:r w:rsidRPr="00B131FA">
        <w:rPr>
          <w:i/>
          <w:iCs/>
        </w:rPr>
        <w:t xml:space="preserve">ystem of </w:t>
      </w:r>
      <w:r>
        <w:rPr>
          <w:i/>
          <w:iCs/>
        </w:rPr>
        <w:t>N</w:t>
      </w:r>
      <w:r w:rsidRPr="00B131FA">
        <w:rPr>
          <w:i/>
          <w:iCs/>
        </w:rPr>
        <w:t xml:space="preserve">ational </w:t>
      </w:r>
      <w:r>
        <w:rPr>
          <w:i/>
          <w:iCs/>
        </w:rPr>
        <w:t>A</w:t>
      </w:r>
      <w:r w:rsidRPr="00B131FA">
        <w:rPr>
          <w:i/>
          <w:iCs/>
        </w:rPr>
        <w:t>ccounts</w:t>
      </w:r>
      <w:r>
        <w:t>. The annual growth rates can then be chained together to get an annual index:</w:t>
      </w:r>
    </w:p>
    <w:p w14:paraId="45C72619" w14:textId="77777777" w:rsidR="00696D3E" w:rsidRDefault="00000000" w:rsidP="00696D3E">
      <w:pPr>
        <w:pStyle w:val="BodyText"/>
      </w:pPr>
      <m:oMathPara>
        <m:oMath>
          <m:sSub>
            <m:sSubPr>
              <m:ctrlPr>
                <w:rPr>
                  <w:rFonts w:ascii="Cambria Math" w:hAnsi="Cambria Math"/>
                  <w:i/>
                </w:rPr>
              </m:ctrlPr>
            </m:sSubPr>
            <m:e>
              <m:r>
                <w:rPr>
                  <w:rFonts w:ascii="Cambria Math" w:hAnsi="Cambria Math"/>
                </w:rPr>
                <m:t>GVA</m:t>
              </m:r>
            </m:e>
            <m:sub>
              <m:r>
                <w:rPr>
                  <w:rFonts w:ascii="Cambria Math" w:hAnsi="Cambria Math"/>
                </w:rPr>
                <m:t>t, ex, index</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GVA</m:t>
                  </m:r>
                </m:e>
                <m:sub>
                  <m:r>
                    <w:rPr>
                      <w:rFonts w:ascii="Cambria Math" w:hAnsi="Cambria Math"/>
                    </w:rPr>
                    <m:t>1, ex</m:t>
                  </m:r>
                </m:sub>
              </m:sSub>
            </m:num>
            <m:den>
              <m:sSub>
                <m:sSubPr>
                  <m:ctrlPr>
                    <w:rPr>
                      <w:rFonts w:ascii="Cambria Math" w:hAnsi="Cambria Math"/>
                      <w:i/>
                    </w:rPr>
                  </m:ctrlPr>
                </m:sSubPr>
                <m:e>
                  <m:r>
                    <w:rPr>
                      <w:rFonts w:ascii="Cambria Math" w:hAnsi="Cambria Math"/>
                    </w:rPr>
                    <m:t>GVA</m:t>
                  </m:r>
                </m:e>
                <m:sub>
                  <m:r>
                    <w:rPr>
                      <w:rFonts w:ascii="Cambria Math" w:hAnsi="Cambria Math"/>
                    </w:rPr>
                    <m:t>0,ex</m:t>
                  </m:r>
                </m:sub>
              </m:sSub>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GVA</m:t>
                  </m:r>
                </m:e>
                <m:sub>
                  <m:r>
                    <w:rPr>
                      <w:rFonts w:ascii="Cambria Math" w:hAnsi="Cambria Math"/>
                    </w:rPr>
                    <m:t>2, ex</m:t>
                  </m:r>
                </m:sub>
              </m:sSub>
            </m:num>
            <m:den>
              <m:sSub>
                <m:sSubPr>
                  <m:ctrlPr>
                    <w:rPr>
                      <w:rFonts w:ascii="Cambria Math" w:hAnsi="Cambria Math"/>
                      <w:i/>
                    </w:rPr>
                  </m:ctrlPr>
                </m:sSubPr>
                <m:e>
                  <m:r>
                    <w:rPr>
                      <w:rFonts w:ascii="Cambria Math" w:hAnsi="Cambria Math"/>
                    </w:rPr>
                    <m:t>GVA</m:t>
                  </m:r>
                </m:e>
                <m:sub>
                  <m:r>
                    <w:rPr>
                      <w:rFonts w:ascii="Cambria Math" w:hAnsi="Cambria Math"/>
                    </w:rPr>
                    <m:t>1,ex</m:t>
                  </m:r>
                </m:sub>
              </m:sSub>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GVA</m:t>
                  </m:r>
                </m:e>
                <m:sub>
                  <m:r>
                    <w:rPr>
                      <w:rFonts w:ascii="Cambria Math" w:hAnsi="Cambria Math"/>
                    </w:rPr>
                    <m:t>t, ex</m:t>
                  </m:r>
                </m:sub>
              </m:sSub>
            </m:num>
            <m:den>
              <m:sSub>
                <m:sSubPr>
                  <m:ctrlPr>
                    <w:rPr>
                      <w:rFonts w:ascii="Cambria Math" w:hAnsi="Cambria Math"/>
                      <w:i/>
                    </w:rPr>
                  </m:ctrlPr>
                </m:sSubPr>
                <m:e>
                  <m:r>
                    <w:rPr>
                      <w:rFonts w:ascii="Cambria Math" w:hAnsi="Cambria Math"/>
                    </w:rPr>
                    <m:t>GVA</m:t>
                  </m:r>
                </m:e>
                <m:sub>
                  <m:r>
                    <w:rPr>
                      <w:rFonts w:ascii="Cambria Math" w:hAnsi="Cambria Math"/>
                    </w:rPr>
                    <m:t>t-1,ex</m:t>
                  </m:r>
                </m:sub>
              </m:sSub>
            </m:den>
          </m:f>
          <m:r>
            <w:rPr>
              <w:rFonts w:ascii="Cambria Math" w:hAnsi="Cambria Math"/>
            </w:rPr>
            <m:t>×100</m:t>
          </m:r>
        </m:oMath>
      </m:oMathPara>
    </w:p>
    <w:p w14:paraId="040D577D" w14:textId="77777777" w:rsidR="00696D3E" w:rsidRDefault="00696D3E" w:rsidP="00696D3E">
      <w:pPr>
        <w:pStyle w:val="BodyText"/>
      </w:pPr>
      <w:r>
        <w:t>The index value will be 100 in the base year (year 0 above).</w:t>
      </w:r>
    </w:p>
    <w:p w14:paraId="0EE2180D" w14:textId="77777777" w:rsidR="00696D3E" w:rsidRDefault="00696D3E" w:rsidP="00696D3E">
      <w:pPr>
        <w:pStyle w:val="BodyText"/>
      </w:pPr>
      <w:r>
        <w:t xml:space="preserve">Finally, applying the index of real GVA to a benchmark year’s value of nominal GVA from the national accounts provides real estimates of GVA in dollars. </w:t>
      </w:r>
    </w:p>
    <w:p w14:paraId="12C162B2" w14:textId="77777777" w:rsidR="00696D3E" w:rsidRDefault="00696D3E" w:rsidP="00696D3E">
      <w:pPr>
        <w:pStyle w:val="BodyText"/>
      </w:pPr>
      <w:r>
        <w:lastRenderedPageBreak/>
        <w:t>Using this formula, real GVA was estimated for all industries excluding mining and agriculture. This was divided by total hours worked in the labour account for all industries excluding mining and agriculture:</w:t>
      </w:r>
    </w:p>
    <w:p w14:paraId="1FF41471" w14:textId="77777777" w:rsidR="00696D3E" w:rsidRDefault="00000000" w:rsidP="00696D3E">
      <w:pPr>
        <w:pStyle w:val="BodyText"/>
      </w:pPr>
      <m:oMathPara>
        <m:oMath>
          <m:sSub>
            <m:sSubPr>
              <m:ctrlPr>
                <w:rPr>
                  <w:rFonts w:ascii="Cambria Math" w:hAnsi="Cambria Math"/>
                  <w:i/>
                </w:rPr>
              </m:ctrlPr>
            </m:sSubPr>
            <m:e>
              <m:r>
                <w:rPr>
                  <w:rFonts w:ascii="Cambria Math" w:hAnsi="Cambria Math"/>
                </w:rPr>
                <m:t>LP</m:t>
              </m:r>
            </m:e>
            <m:sub>
              <m:r>
                <w:rPr>
                  <w:rFonts w:ascii="Cambria Math" w:hAnsi="Cambria Math"/>
                </w:rPr>
                <m:t>t,ex</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GVA</m:t>
                  </m:r>
                </m:e>
                <m:sub>
                  <m:r>
                    <w:rPr>
                      <w:rFonts w:ascii="Cambria Math" w:hAnsi="Cambria Math"/>
                    </w:rPr>
                    <m:t>t, ex</m:t>
                  </m:r>
                </m:sub>
              </m:sSub>
            </m:num>
            <m:den>
              <m:sSubSup>
                <m:sSubSupPr>
                  <m:ctrlPr>
                    <w:rPr>
                      <w:rFonts w:ascii="Cambria Math" w:hAnsi="Cambria Math"/>
                      <w:i/>
                    </w:rPr>
                  </m:ctrlPr>
                </m:sSubSupPr>
                <m:e>
                  <m:r>
                    <w:rPr>
                      <w:rFonts w:ascii="Cambria Math" w:hAnsi="Cambria Math"/>
                    </w:rPr>
                    <m:t>H</m:t>
                  </m:r>
                </m:e>
                <m:sub>
                  <m:r>
                    <w:rPr>
                      <w:rFonts w:ascii="Cambria Math" w:hAnsi="Cambria Math"/>
                    </w:rPr>
                    <m:t>t,ex</m:t>
                  </m:r>
                </m:sub>
                <m:sup>
                  <m:r>
                    <w:rPr>
                      <w:rFonts w:ascii="Cambria Math" w:hAnsi="Cambria Math"/>
                    </w:rPr>
                    <m:t>A</m:t>
                  </m:r>
                </m:sup>
              </m:sSubSup>
            </m:den>
          </m:f>
        </m:oMath>
      </m:oMathPara>
    </w:p>
    <w:p w14:paraId="71C0FB5B" w14:textId="77777777" w:rsidR="00696D3E" w:rsidRDefault="00696D3E" w:rsidP="00696D3E">
      <w:r>
        <w:t xml:space="preserve">where: </w:t>
      </w:r>
      <m:oMath>
        <m:sSub>
          <m:sSubPr>
            <m:ctrlPr>
              <w:rPr>
                <w:rFonts w:ascii="Cambria Math" w:hAnsi="Cambria Math"/>
                <w:i/>
              </w:rPr>
            </m:ctrlPr>
          </m:sSubPr>
          <m:e>
            <m:r>
              <w:rPr>
                <w:rFonts w:ascii="Cambria Math" w:hAnsi="Cambria Math"/>
              </w:rPr>
              <m:t>LP</m:t>
            </m:r>
          </m:e>
          <m:sub>
            <m:r>
              <w:rPr>
                <w:rFonts w:ascii="Cambria Math" w:hAnsi="Cambria Math"/>
              </w:rPr>
              <m:t>t,ex</m:t>
            </m:r>
          </m:sub>
        </m:sSub>
      </m:oMath>
      <w:r>
        <w:rPr>
          <w:rFonts w:eastAsiaTheme="minorEastAsia"/>
        </w:rPr>
        <w:t xml:space="preserve"> is labour productivity for the whole economy excluding mining and agriculture, </w:t>
      </w:r>
      <m:oMath>
        <m:sSubSup>
          <m:sSubSupPr>
            <m:ctrlPr>
              <w:rPr>
                <w:rFonts w:ascii="Cambria Math" w:hAnsi="Cambria Math"/>
                <w:i/>
              </w:rPr>
            </m:ctrlPr>
          </m:sSubSupPr>
          <m:e>
            <m:r>
              <w:rPr>
                <w:rFonts w:ascii="Cambria Math" w:hAnsi="Cambria Math"/>
              </w:rPr>
              <m:t>H</m:t>
            </m:r>
          </m:e>
          <m:sub>
            <m:r>
              <w:rPr>
                <w:rFonts w:ascii="Cambria Math" w:hAnsi="Cambria Math"/>
              </w:rPr>
              <m:t>t,ex</m:t>
            </m:r>
          </m:sub>
          <m:sup>
            <m:r>
              <w:rPr>
                <w:rFonts w:ascii="Cambria Math" w:hAnsi="Cambria Math"/>
              </w:rPr>
              <m:t>A</m:t>
            </m:r>
          </m:sup>
        </m:sSubSup>
      </m:oMath>
      <w:r>
        <w:rPr>
          <w:rFonts w:eastAsiaTheme="minorEastAsia"/>
        </w:rPr>
        <w:t xml:space="preserve"> is the </w:t>
      </w:r>
      <w:r w:rsidRPr="001E0007">
        <w:rPr>
          <w:rFonts w:eastAsiaTheme="minorEastAsia"/>
          <w:i/>
          <w:iCs/>
        </w:rPr>
        <w:t>Labour Account</w:t>
      </w:r>
      <w:r>
        <w:rPr>
          <w:rFonts w:eastAsiaTheme="minorEastAsia"/>
        </w:rPr>
        <w:t xml:space="preserve"> measure of total hours worked (owner</w:t>
      </w:r>
      <w:r>
        <w:noBreakHyphen/>
      </w:r>
      <w:r>
        <w:rPr>
          <w:rFonts w:eastAsiaTheme="minorEastAsia"/>
        </w:rPr>
        <w:t xml:space="preserve">manager plus employee) for all industries except mining, </w:t>
      </w:r>
      <m:oMath>
        <m:sSub>
          <m:sSubPr>
            <m:ctrlPr>
              <w:rPr>
                <w:rFonts w:ascii="Cambria Math" w:hAnsi="Cambria Math"/>
                <w:i/>
              </w:rPr>
            </m:ctrlPr>
          </m:sSubPr>
          <m:e>
            <m:r>
              <w:rPr>
                <w:rFonts w:ascii="Cambria Math" w:hAnsi="Cambria Math"/>
              </w:rPr>
              <m:t>GVA</m:t>
            </m:r>
          </m:e>
          <m:sub>
            <m:r>
              <w:rPr>
                <w:rFonts w:ascii="Cambria Math" w:hAnsi="Cambria Math"/>
              </w:rPr>
              <m:t>t, ex</m:t>
            </m:r>
          </m:sub>
        </m:sSub>
      </m:oMath>
      <w:r>
        <w:rPr>
          <w:rFonts w:eastAsiaTheme="minorEastAsia"/>
        </w:rPr>
        <w:t xml:space="preserve"> is the real level of GVA for all industries except mining and agriculture in year t.</w:t>
      </w:r>
    </w:p>
    <w:p w14:paraId="1377B6C4" w14:textId="77777777" w:rsidR="00696D3E" w:rsidRPr="00A8019D" w:rsidRDefault="00696D3E" w:rsidP="00696D3E">
      <w:pPr>
        <w:rPr>
          <w:spacing w:val="-4"/>
        </w:rPr>
      </w:pPr>
      <w:r w:rsidRPr="00A8019D">
        <w:rPr>
          <w:spacing w:val="-4"/>
        </w:rPr>
        <w:t>A GVA implicit deflator for all industries excluding mining and agriculture (derived above) can also be constructed:</w:t>
      </w:r>
    </w:p>
    <w:p w14:paraId="72AB3579" w14:textId="77777777" w:rsidR="00696D3E" w:rsidRPr="0071275F" w:rsidRDefault="00000000" w:rsidP="00696D3E">
      <m:oMathPara>
        <m:oMath>
          <m:sSub>
            <m:sSubPr>
              <m:ctrlPr>
                <w:rPr>
                  <w:rFonts w:ascii="Cambria Math" w:hAnsi="Cambria Math"/>
                  <w:i/>
                </w:rPr>
              </m:ctrlPr>
            </m:sSubPr>
            <m:e>
              <m:r>
                <w:rPr>
                  <w:rFonts w:ascii="Cambria Math" w:hAnsi="Cambria Math"/>
                </w:rPr>
                <m:t>P</m:t>
              </m:r>
            </m:e>
            <m:sub>
              <m:r>
                <w:rPr>
                  <w:rFonts w:ascii="Cambria Math" w:hAnsi="Cambria Math"/>
                </w:rPr>
                <m:t>t, ex</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GVA</m:t>
                  </m:r>
                </m:e>
                <m:sub>
                  <m:r>
                    <w:rPr>
                      <w:rFonts w:ascii="Cambria Math" w:hAnsi="Cambria Math"/>
                    </w:rPr>
                    <m:t>t, i, nom</m:t>
                  </m:r>
                </m:sub>
              </m:sSub>
            </m:num>
            <m:den>
              <m:sSub>
                <m:sSubPr>
                  <m:ctrlPr>
                    <w:rPr>
                      <w:rFonts w:ascii="Cambria Math" w:hAnsi="Cambria Math"/>
                      <w:i/>
                    </w:rPr>
                  </m:ctrlPr>
                </m:sSubPr>
                <m:e>
                  <m:r>
                    <w:rPr>
                      <w:rFonts w:ascii="Cambria Math" w:hAnsi="Cambria Math"/>
                    </w:rPr>
                    <m:t>GVA</m:t>
                  </m:r>
                </m:e>
                <m:sub>
                  <m:r>
                    <w:rPr>
                      <w:rFonts w:ascii="Cambria Math" w:hAnsi="Cambria Math"/>
                    </w:rPr>
                    <m:t>t, ex</m:t>
                  </m:r>
                </m:sub>
              </m:sSub>
            </m:den>
          </m:f>
        </m:oMath>
      </m:oMathPara>
    </w:p>
    <w:p w14:paraId="2D2F4C9B" w14:textId="77777777" w:rsidR="00696D3E" w:rsidRDefault="00696D3E" w:rsidP="00696D3E">
      <w:pPr>
        <w:rPr>
          <w:rFonts w:eastAsiaTheme="minorEastAsia"/>
        </w:rPr>
      </w:pPr>
      <w:r>
        <w:rPr>
          <w:rFonts w:eastAsiaTheme="minorEastAsia"/>
        </w:rPr>
        <w:t xml:space="preserve">where: </w:t>
      </w:r>
      <m:oMath>
        <m:sSub>
          <m:sSubPr>
            <m:ctrlPr>
              <w:rPr>
                <w:rFonts w:ascii="Cambria Math" w:hAnsi="Cambria Math"/>
                <w:i/>
              </w:rPr>
            </m:ctrlPr>
          </m:sSubPr>
          <m:e>
            <m:r>
              <w:rPr>
                <w:rFonts w:ascii="Cambria Math" w:hAnsi="Cambria Math"/>
              </w:rPr>
              <m:t>P</m:t>
            </m:r>
          </m:e>
          <m:sub>
            <m:r>
              <w:rPr>
                <w:rFonts w:ascii="Cambria Math" w:hAnsi="Cambria Math"/>
              </w:rPr>
              <m:t>t, ex</m:t>
            </m:r>
          </m:sub>
        </m:sSub>
      </m:oMath>
      <w:r>
        <w:rPr>
          <w:rFonts w:eastAsiaTheme="minorEastAsia"/>
        </w:rPr>
        <w:t xml:space="preserve"> is the implicit price deflator for aggregate GVA for all industries except mining and agriculture. </w:t>
      </w:r>
    </w:p>
    <w:p w14:paraId="0A9AB4A6" w14:textId="77777777" w:rsidR="00696D3E" w:rsidRDefault="00696D3E" w:rsidP="00696D3E">
      <w:pPr>
        <w:rPr>
          <w:rFonts w:eastAsiaTheme="minorEastAsia"/>
        </w:rPr>
      </w:pPr>
      <w:r>
        <w:rPr>
          <w:rFonts w:eastAsiaTheme="minorEastAsia"/>
        </w:rPr>
        <w:t>This price deflator can be used to derive producer wages for all industries other than mining and agriculture:</w:t>
      </w:r>
    </w:p>
    <w:p w14:paraId="6C10EBB7" w14:textId="77777777" w:rsidR="00696D3E" w:rsidRPr="0033640F" w:rsidRDefault="00000000" w:rsidP="00696D3E">
      <w:pPr>
        <w:rPr>
          <w:rFonts w:eastAsiaTheme="minorEastAsia"/>
        </w:rPr>
      </w:pPr>
      <m:oMathPara>
        <m:oMath>
          <m:sSub>
            <m:sSubPr>
              <m:ctrlPr>
                <w:rPr>
                  <w:rFonts w:ascii="Cambria Math" w:hAnsi="Cambria Math"/>
                  <w:i/>
                </w:rPr>
              </m:ctrlPr>
            </m:sSubPr>
            <m:e>
              <m:r>
                <w:rPr>
                  <w:rFonts w:ascii="Cambria Math" w:hAnsi="Cambria Math"/>
                </w:rPr>
                <m:t>W</m:t>
              </m:r>
            </m:e>
            <m:sub>
              <m:r>
                <w:rPr>
                  <w:rFonts w:ascii="Cambria Math" w:hAnsi="Cambria Math"/>
                </w:rPr>
                <m:t>t,ex, p</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W</m:t>
                  </m:r>
                </m:e>
                <m:sub>
                  <m:r>
                    <w:rPr>
                      <w:rFonts w:ascii="Cambria Math" w:hAnsi="Cambria Math"/>
                    </w:rPr>
                    <m:t>t,ex,nom</m:t>
                  </m:r>
                </m:sub>
              </m:sSub>
            </m:num>
            <m:den>
              <m:sSub>
                <m:sSubPr>
                  <m:ctrlPr>
                    <w:rPr>
                      <w:rFonts w:ascii="Cambria Math" w:hAnsi="Cambria Math"/>
                      <w:i/>
                    </w:rPr>
                  </m:ctrlPr>
                </m:sSubPr>
                <m:e>
                  <m:r>
                    <w:rPr>
                      <w:rFonts w:ascii="Cambria Math" w:hAnsi="Cambria Math"/>
                    </w:rPr>
                    <m:t>P</m:t>
                  </m:r>
                </m:e>
                <m:sub>
                  <m:r>
                    <w:rPr>
                      <w:rFonts w:ascii="Cambria Math" w:hAnsi="Cambria Math"/>
                    </w:rPr>
                    <m:t>t, ex</m:t>
                  </m:r>
                </m:sub>
              </m:sSub>
            </m:den>
          </m:f>
        </m:oMath>
      </m:oMathPara>
    </w:p>
    <w:p w14:paraId="602FBA26" w14:textId="77777777" w:rsidR="00696D3E" w:rsidRPr="0071275F" w:rsidRDefault="00696D3E" w:rsidP="00696D3E">
      <w:r>
        <w:rPr>
          <w:rFonts w:eastAsiaTheme="minorEastAsia"/>
        </w:rPr>
        <w:t xml:space="preserve">where: </w:t>
      </w:r>
      <m:oMath>
        <m:sSub>
          <m:sSubPr>
            <m:ctrlPr>
              <w:rPr>
                <w:rFonts w:ascii="Cambria Math" w:hAnsi="Cambria Math"/>
                <w:i/>
              </w:rPr>
            </m:ctrlPr>
          </m:sSubPr>
          <m:e>
            <m:r>
              <w:rPr>
                <w:rFonts w:ascii="Cambria Math" w:hAnsi="Cambria Math"/>
              </w:rPr>
              <m:t>W</m:t>
            </m:r>
          </m:e>
          <m:sub>
            <m:r>
              <w:rPr>
                <w:rFonts w:ascii="Cambria Math" w:hAnsi="Cambria Math"/>
              </w:rPr>
              <m:t>t,ex, p</m:t>
            </m:r>
          </m:sub>
        </m:sSub>
      </m:oMath>
      <w:r>
        <w:rPr>
          <w:rFonts w:eastAsiaTheme="minorEastAsia"/>
        </w:rPr>
        <w:t xml:space="preserve"> is the producer wage for all industries except mining and agriculture in year t and </w:t>
      </w:r>
      <m:oMath>
        <m:sSub>
          <m:sSubPr>
            <m:ctrlPr>
              <w:rPr>
                <w:rFonts w:ascii="Cambria Math" w:hAnsi="Cambria Math"/>
                <w:i/>
              </w:rPr>
            </m:ctrlPr>
          </m:sSubPr>
          <m:e>
            <m:r>
              <w:rPr>
                <w:rFonts w:ascii="Cambria Math" w:hAnsi="Cambria Math"/>
              </w:rPr>
              <m:t>W</m:t>
            </m:r>
          </m:e>
          <m:sub>
            <m:r>
              <w:rPr>
                <w:rFonts w:ascii="Cambria Math" w:hAnsi="Cambria Math"/>
              </w:rPr>
              <m:t>t,ex,nom</m:t>
            </m:r>
          </m:sub>
        </m:sSub>
      </m:oMath>
      <w:r>
        <w:rPr>
          <w:rFonts w:eastAsiaTheme="minorEastAsia"/>
        </w:rPr>
        <w:t xml:space="preserve"> is the nominal wage for all industries except mining and agriculture in year t. </w:t>
      </w:r>
    </w:p>
    <w:p w14:paraId="22052896" w14:textId="77777777" w:rsidR="00696D3E" w:rsidRDefault="00696D3E" w:rsidP="00696D3E">
      <w:pPr>
        <w:rPr>
          <w:rFonts w:eastAsiaTheme="minorEastAsia"/>
        </w:rPr>
      </w:pPr>
      <w:r>
        <w:rPr>
          <w:rFonts w:eastAsiaTheme="minorEastAsia"/>
        </w:rPr>
        <w:t>Nominal wages are constructed using the methodology outlined in appendixes A and B.1.</w:t>
      </w:r>
    </w:p>
    <w:p w14:paraId="3AF2C1BB" w14:textId="632CC526" w:rsidR="00696D3E" w:rsidRPr="00966261" w:rsidRDefault="00696D3E" w:rsidP="00696D3E">
      <w:pPr>
        <w:pStyle w:val="Heading2-nonumber"/>
        <w:rPr>
          <w:spacing w:val="-6"/>
        </w:rPr>
      </w:pPr>
      <w:bookmarkStart w:id="7" w:name="_Toc144912352"/>
      <w:r w:rsidRPr="00966261">
        <w:rPr>
          <w:spacing w:val="-6"/>
        </w:rPr>
        <w:t>B.3</w:t>
      </w:r>
      <w:r w:rsidRPr="00966261">
        <w:rPr>
          <w:spacing w:val="-6"/>
        </w:rPr>
        <w:tab/>
        <w:t>Decomposing the change in the labour share of income</w:t>
      </w:r>
      <w:bookmarkEnd w:id="7"/>
    </w:p>
    <w:p w14:paraId="0DFF0877" w14:textId="56A65C8A" w:rsidR="00696D3E" w:rsidRDefault="00696D3E" w:rsidP="00696D3E">
      <w:r>
        <w:t>The labour share of income has fallen across the whole economy and for several individual industries (table 3). However, the contribution of each industry to the overall reduction varies significantly. The contribution of each individual industry to the change in the economywide labour share of income is:</w:t>
      </w:r>
    </w:p>
    <w:p w14:paraId="0BF4756E" w14:textId="77777777" w:rsidR="00696D3E" w:rsidRDefault="00696D3E" w:rsidP="00696D3E">
      <m:oMathPara>
        <m:oMath>
          <m:r>
            <w:rPr>
              <w:rFonts w:ascii="Cambria Math" w:hAnsi="Cambria Math"/>
            </w:rPr>
            <m:t>∆</m:t>
          </m:r>
          <m:sSub>
            <m:sSubPr>
              <m:ctrlPr>
                <w:rPr>
                  <w:rFonts w:ascii="Cambria Math" w:hAnsi="Cambria Math"/>
                  <w:i/>
                </w:rPr>
              </m:ctrlPr>
            </m:sSubPr>
            <m:e>
              <m:r>
                <w:rPr>
                  <w:rFonts w:ascii="Cambria Math" w:hAnsi="Cambria Math"/>
                </w:rPr>
                <m:t>LIS</m:t>
              </m:r>
            </m:e>
            <m:sub>
              <m:r>
                <w:rPr>
                  <w:rFonts w:ascii="Cambria Math" w:hAnsi="Cambria Math"/>
                </w:rPr>
                <m:t>All</m:t>
              </m:r>
            </m:sub>
          </m:sSub>
          <m:r>
            <w:rPr>
              <w:rFonts w:ascii="Cambria Math" w:eastAsiaTheme="minorEastAsia" w:hAnsi="Cambria Math"/>
            </w:rPr>
            <m:t>=</m:t>
          </m:r>
          <m:nary>
            <m:naryPr>
              <m:chr m:val="∑"/>
              <m:limLoc m:val="undOvr"/>
              <m:subHide m:val="1"/>
              <m:supHide m:val="1"/>
              <m:ctrlPr>
                <w:rPr>
                  <w:rFonts w:ascii="Cambria Math" w:eastAsiaTheme="minorEastAsia" w:hAnsi="Cambria Math"/>
                  <w:i/>
                </w:rPr>
              </m:ctrlPr>
            </m:naryPr>
            <m:sub/>
            <m:sup/>
            <m:e>
              <m:sSub>
                <m:sSubPr>
                  <m:ctrlPr>
                    <w:rPr>
                      <w:rFonts w:ascii="Cambria Math" w:eastAsiaTheme="minorEastAsia" w:hAnsi="Cambria Math"/>
                      <w:i/>
                    </w:rPr>
                  </m:ctrlPr>
                </m:sSubPr>
                <m:e>
                  <m:acc>
                    <m:accPr>
                      <m:chr m:val="̅"/>
                      <m:ctrlPr>
                        <w:rPr>
                          <w:rFonts w:ascii="Cambria Math" w:eastAsiaTheme="minorEastAsia" w:hAnsi="Cambria Math"/>
                          <w:i/>
                        </w:rPr>
                      </m:ctrlPr>
                    </m:accPr>
                    <m:e>
                      <m:r>
                        <w:rPr>
                          <w:rFonts w:ascii="Cambria Math" w:eastAsiaTheme="minorEastAsia" w:hAnsi="Cambria Math"/>
                        </w:rPr>
                        <m:t>s</m:t>
                      </m:r>
                    </m:e>
                  </m:acc>
                </m:e>
                <m:sub>
                  <m:r>
                    <w:rPr>
                      <w:rFonts w:ascii="Cambria Math" w:eastAsiaTheme="minorEastAsia" w:hAnsi="Cambria Math"/>
                    </w:rPr>
                    <m:t>TFI,i</m:t>
                  </m:r>
                </m:sub>
              </m:sSub>
              <m:r>
                <w:rPr>
                  <w:rFonts w:ascii="Cambria Math" w:eastAsiaTheme="minorEastAsia" w:hAnsi="Cambria Math"/>
                </w:rPr>
                <m:t>×</m:t>
              </m:r>
            </m:e>
          </m:nary>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LIS</m:t>
              </m:r>
            </m:e>
            <m:sub>
              <m:r>
                <w:rPr>
                  <w:rFonts w:ascii="Cambria Math" w:eastAsiaTheme="minorEastAsia" w:hAnsi="Cambria Math"/>
                </w:rPr>
                <m:t>i</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TFI,i</m:t>
              </m:r>
            </m:sub>
          </m:sSub>
          <m:r>
            <w:rPr>
              <w:rFonts w:ascii="Cambria Math" w:eastAsiaTheme="minorEastAsia" w:hAnsi="Cambria Math"/>
            </w:rPr>
            <m:t>×(</m:t>
          </m:r>
          <m:sSub>
            <m:sSubPr>
              <m:ctrlPr>
                <w:rPr>
                  <w:rFonts w:ascii="Cambria Math" w:eastAsiaTheme="minorEastAsia" w:hAnsi="Cambria Math"/>
                  <w:i/>
                </w:rPr>
              </m:ctrlPr>
            </m:sSubPr>
            <m:e>
              <m:acc>
                <m:accPr>
                  <m:chr m:val="̅"/>
                  <m:ctrlPr>
                    <w:rPr>
                      <w:rFonts w:ascii="Cambria Math" w:eastAsiaTheme="minorEastAsia" w:hAnsi="Cambria Math"/>
                      <w:i/>
                    </w:rPr>
                  </m:ctrlPr>
                </m:accPr>
                <m:e>
                  <m:r>
                    <w:rPr>
                      <w:rFonts w:ascii="Cambria Math" w:eastAsiaTheme="minorEastAsia" w:hAnsi="Cambria Math"/>
                    </w:rPr>
                    <m:t>LIS</m:t>
                  </m:r>
                </m:e>
              </m:acc>
            </m:e>
            <m:sub>
              <m:r>
                <w:rPr>
                  <w:rFonts w:ascii="Cambria Math" w:eastAsiaTheme="minorEastAsia" w:hAnsi="Cambria Math"/>
                </w:rPr>
                <m:t>i</m:t>
              </m:r>
            </m:sub>
          </m:sSub>
          <m:r>
            <w:rPr>
              <w:rFonts w:ascii="Cambria Math" w:eastAsiaTheme="minorEastAsia" w:hAnsi="Cambria Math"/>
            </w:rPr>
            <m:t>-</m:t>
          </m:r>
          <m:sSub>
            <m:sSubPr>
              <m:ctrlPr>
                <w:rPr>
                  <w:rFonts w:ascii="Cambria Math" w:eastAsiaTheme="minorEastAsia" w:hAnsi="Cambria Math"/>
                  <w:i/>
                </w:rPr>
              </m:ctrlPr>
            </m:sSubPr>
            <m:e>
              <m:acc>
                <m:accPr>
                  <m:chr m:val="̅"/>
                  <m:ctrlPr>
                    <w:rPr>
                      <w:rFonts w:ascii="Cambria Math" w:eastAsiaTheme="minorEastAsia" w:hAnsi="Cambria Math"/>
                      <w:i/>
                    </w:rPr>
                  </m:ctrlPr>
                </m:accPr>
                <m:e>
                  <m:r>
                    <w:rPr>
                      <w:rFonts w:ascii="Cambria Math" w:eastAsiaTheme="minorEastAsia" w:hAnsi="Cambria Math"/>
                    </w:rPr>
                    <m:t>LIS</m:t>
                  </m:r>
                </m:e>
              </m:acc>
            </m:e>
            <m:sub>
              <m:r>
                <w:rPr>
                  <w:rFonts w:ascii="Cambria Math" w:eastAsiaTheme="minorEastAsia" w:hAnsi="Cambria Math"/>
                </w:rPr>
                <m:t>All</m:t>
              </m:r>
            </m:sub>
          </m:sSub>
          <m:r>
            <w:rPr>
              <w:rFonts w:ascii="Cambria Math" w:eastAsiaTheme="minorEastAsia" w:hAnsi="Cambria Math"/>
            </w:rPr>
            <m:t>)</m:t>
          </m:r>
        </m:oMath>
      </m:oMathPara>
    </w:p>
    <w:p w14:paraId="3C49B947" w14:textId="77777777" w:rsidR="00696D3E" w:rsidRDefault="00696D3E" w:rsidP="00696D3E">
      <w:pPr>
        <w:rPr>
          <w:rFonts w:eastAsiaTheme="minorEastAsia"/>
        </w:rPr>
      </w:pPr>
      <w:r>
        <w:t xml:space="preserve">where: </w:t>
      </w:r>
      <m:oMath>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TFI,i</m:t>
            </m:r>
          </m:sub>
        </m:sSub>
      </m:oMath>
      <w:r>
        <w:rPr>
          <w:rFonts w:eastAsiaTheme="minorEastAsia"/>
        </w:rPr>
        <w:t xml:space="preserve"> is the share of total factor income for each industry i, </w:t>
      </w:r>
      <m:oMath>
        <m:sSub>
          <m:sSubPr>
            <m:ctrlPr>
              <w:rPr>
                <w:rFonts w:ascii="Cambria Math" w:eastAsiaTheme="minorEastAsia" w:hAnsi="Cambria Math"/>
                <w:i/>
              </w:rPr>
            </m:ctrlPr>
          </m:sSubPr>
          <m:e>
            <m:r>
              <w:rPr>
                <w:rFonts w:ascii="Cambria Math" w:eastAsiaTheme="minorEastAsia" w:hAnsi="Cambria Math"/>
              </w:rPr>
              <m:t>LIS</m:t>
            </m:r>
          </m:e>
          <m:sub>
            <m:r>
              <w:rPr>
                <w:rFonts w:ascii="Cambria Math" w:eastAsiaTheme="minorEastAsia" w:hAnsi="Cambria Math"/>
              </w:rPr>
              <m:t>i</m:t>
            </m:r>
          </m:sub>
        </m:sSub>
      </m:oMath>
      <w:r>
        <w:rPr>
          <w:rFonts w:eastAsiaTheme="minorEastAsia"/>
        </w:rPr>
        <w:t xml:space="preserve"> is the labour share of income in industry i, </w:t>
      </w:r>
      <m:oMath>
        <m:sSub>
          <m:sSubPr>
            <m:ctrlPr>
              <w:rPr>
                <w:rFonts w:ascii="Cambria Math" w:eastAsiaTheme="minorEastAsia" w:hAnsi="Cambria Math"/>
                <w:i/>
              </w:rPr>
            </m:ctrlPr>
          </m:sSubPr>
          <m:e>
            <m:r>
              <w:rPr>
                <w:rFonts w:ascii="Cambria Math" w:eastAsiaTheme="minorEastAsia" w:hAnsi="Cambria Math"/>
              </w:rPr>
              <m:t>LIS</m:t>
            </m:r>
          </m:e>
          <m:sub>
            <m:r>
              <w:rPr>
                <w:rFonts w:ascii="Cambria Math" w:eastAsiaTheme="minorEastAsia" w:hAnsi="Cambria Math"/>
              </w:rPr>
              <m:t>All</m:t>
            </m:r>
          </m:sub>
        </m:sSub>
      </m:oMath>
      <w:r>
        <w:rPr>
          <w:rFonts w:eastAsiaTheme="minorEastAsia"/>
        </w:rPr>
        <w:t> is the labour share of income for the whole economy. A bar above a variable indicates the average of variable in the two years, 1994</w:t>
      </w:r>
      <w:r>
        <w:rPr>
          <w:rFonts w:eastAsiaTheme="minorEastAsia"/>
        </w:rPr>
        <w:noBreakHyphen/>
        <w:t>95 and 2021</w:t>
      </w:r>
      <w:r>
        <w:rPr>
          <w:rFonts w:eastAsiaTheme="minorEastAsia"/>
        </w:rPr>
        <w:noBreakHyphen/>
        <w:t xml:space="preserve">22, while a </w:t>
      </w:r>
      <m:oMath>
        <m:r>
          <w:rPr>
            <w:rFonts w:ascii="Cambria Math" w:hAnsi="Cambria Math"/>
          </w:rPr>
          <m:t>∆</m:t>
        </m:r>
      </m:oMath>
      <w:r>
        <w:rPr>
          <w:rFonts w:eastAsiaTheme="minorEastAsia"/>
        </w:rPr>
        <w:t xml:space="preserve"> indicates the change in the variable (arithmetic difference) between years 1994</w:t>
      </w:r>
      <w:r>
        <w:rPr>
          <w:rFonts w:eastAsiaTheme="minorEastAsia"/>
        </w:rPr>
        <w:noBreakHyphen/>
        <w:t>95 and 2021</w:t>
      </w:r>
      <w:r>
        <w:rPr>
          <w:rFonts w:eastAsiaTheme="minorEastAsia"/>
        </w:rPr>
        <w:noBreakHyphen/>
        <w:t>22. That is:</w:t>
      </w:r>
    </w:p>
    <w:p w14:paraId="7355BB19" w14:textId="77777777" w:rsidR="00696D3E" w:rsidRPr="0004586E" w:rsidRDefault="00696D3E" w:rsidP="00696D3E">
      <w:pPr>
        <w:rPr>
          <w:rFonts w:eastAsiaTheme="minorEastAsia"/>
        </w:rPr>
      </w:pPr>
      <m:oMathPara>
        <m:oMath>
          <m:r>
            <w:rPr>
              <w:rFonts w:ascii="Cambria Math" w:hAnsi="Cambria Math"/>
            </w:rPr>
            <m:t xml:space="preserve">∆x= </m:t>
          </m:r>
          <m:sSub>
            <m:sSubPr>
              <m:ctrlPr>
                <w:rPr>
                  <w:rFonts w:ascii="Cambria Math" w:hAnsi="Cambria Math"/>
                  <w:i/>
                </w:rPr>
              </m:ctrlPr>
            </m:sSubPr>
            <m:e>
              <m:r>
                <w:rPr>
                  <w:rFonts w:ascii="Cambria Math" w:hAnsi="Cambria Math"/>
                </w:rPr>
                <m:t>x</m:t>
              </m:r>
            </m:e>
            <m:sub>
              <m:r>
                <w:rPr>
                  <w:rFonts w:ascii="Cambria Math" w:hAnsi="Cambria Math"/>
                </w:rPr>
                <m:t>2021-22</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1994-95</m:t>
              </m:r>
            </m:sub>
          </m:sSub>
        </m:oMath>
      </m:oMathPara>
    </w:p>
    <w:p w14:paraId="3AF793E9" w14:textId="77777777" w:rsidR="00696D3E" w:rsidRDefault="00696D3E" w:rsidP="00696D3E">
      <w:pPr>
        <w:rPr>
          <w:rFonts w:eastAsiaTheme="minorEastAsia"/>
        </w:rPr>
      </w:pPr>
      <w:r>
        <w:rPr>
          <w:rFonts w:eastAsiaTheme="minorEastAsia"/>
        </w:rPr>
        <w:t>while:</w:t>
      </w:r>
    </w:p>
    <w:p w14:paraId="46F225CA" w14:textId="77777777" w:rsidR="00696D3E" w:rsidRDefault="00000000" w:rsidP="00696D3E">
      <m:oMathPara>
        <m:oMath>
          <m:acc>
            <m:accPr>
              <m:chr m:val="̅"/>
              <m:ctrlPr>
                <w:rPr>
                  <w:rFonts w:ascii="Cambria Math" w:hAnsi="Cambria Math"/>
                  <w:i/>
                </w:rPr>
              </m:ctrlPr>
            </m:accPr>
            <m:e>
              <m:r>
                <w:rPr>
                  <w:rFonts w:ascii="Cambria Math" w:hAnsi="Cambria Math"/>
                </w:rPr>
                <m:t>x</m:t>
              </m:r>
            </m:e>
          </m:acc>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x</m:t>
                  </m:r>
                </m:e>
                <m:sub>
                  <m:r>
                    <w:rPr>
                      <w:rFonts w:ascii="Cambria Math" w:hAnsi="Cambria Math"/>
                    </w:rPr>
                    <m:t>2021-22</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1994-95</m:t>
                  </m:r>
                </m:sub>
              </m:sSub>
            </m:num>
            <m:den>
              <m:r>
                <w:rPr>
                  <w:rFonts w:ascii="Cambria Math" w:hAnsi="Cambria Math"/>
                </w:rPr>
                <m:t>2</m:t>
              </m:r>
            </m:den>
          </m:f>
        </m:oMath>
      </m:oMathPara>
    </w:p>
    <w:p w14:paraId="52A08F8C" w14:textId="77777777" w:rsidR="00696D3E" w:rsidRDefault="00696D3E" w:rsidP="00696D3E">
      <w:r>
        <w:t>The decomposition relates to the change in the labour share of income between 1994</w:t>
      </w:r>
      <w:r>
        <w:noBreakHyphen/>
        <w:t>95 and 2021</w:t>
      </w:r>
      <w:r>
        <w:noBreakHyphen/>
        <w:t xml:space="preserve">22. The decomposition has two components. The first term in </w:t>
      </w:r>
      <m:oMath>
        <m:r>
          <w:rPr>
            <w:rFonts w:ascii="Cambria Math" w:hAnsi="Cambria Math"/>
          </w:rPr>
          <m:t>∆</m:t>
        </m:r>
        <m:sSub>
          <m:sSubPr>
            <m:ctrlPr>
              <w:rPr>
                <w:rFonts w:ascii="Cambria Math" w:hAnsi="Cambria Math"/>
                <w:i/>
              </w:rPr>
            </m:ctrlPr>
          </m:sSubPr>
          <m:e>
            <m:r>
              <w:rPr>
                <w:rFonts w:ascii="Cambria Math" w:hAnsi="Cambria Math"/>
              </w:rPr>
              <m:t>LIS</m:t>
            </m:r>
          </m:e>
          <m:sub>
            <m:r>
              <w:rPr>
                <w:rFonts w:ascii="Cambria Math" w:hAnsi="Cambria Math"/>
              </w:rPr>
              <m:t>All</m:t>
            </m:r>
          </m:sub>
        </m:sSub>
      </m:oMath>
      <w:r>
        <w:t xml:space="preserve"> is the ‘within effect’. This is the overall effect of an industry on the labour share of income controlling for any impacts associated with changes in the industry’s share of the economy. The second term is the ‘between effect’, which is the effect of the industry on the labour share of income stemming from changes in its share of the economy. For example, mining has a relatively low labour income share and has grown in significance in the economy, decreasing the economywide labour share even if the mining industry’s labour share remained unchanged. As it happens, the labour share of mining has also declined, so that holding fixed its share of the economy, this has also contributed to a lower economywide labour share. </w:t>
      </w:r>
    </w:p>
    <w:p w14:paraId="74AFCD8A" w14:textId="77777777" w:rsidR="00696D3E" w:rsidRDefault="00696D3E" w:rsidP="00696D3E">
      <w:pPr>
        <w:pStyle w:val="BodyText"/>
      </w:pPr>
      <w:r>
        <w:lastRenderedPageBreak/>
        <w:t xml:space="preserve">Both ‘within’ and ‘between’ effects made important contributions to the overall change in the labour share of income with the most important industries being mining and agriculture (table 4). Note there are differences in the total estimated change in the share of income due to rounding errors. </w:t>
      </w:r>
    </w:p>
    <w:p w14:paraId="176D259D" w14:textId="0E21F8EF" w:rsidR="00696D3E" w:rsidRDefault="00696D3E" w:rsidP="00696D3E">
      <w:pPr>
        <w:pStyle w:val="FigureTableHeading"/>
      </w:pPr>
      <w:r>
        <w:t xml:space="preserve">Table </w:t>
      </w:r>
      <w:r w:rsidR="002B4160">
        <w:rPr>
          <w:noProof/>
        </w:rPr>
        <w:t>3</w:t>
      </w:r>
      <w:r>
        <w:rPr>
          <w:noProof/>
        </w:rPr>
        <w:t xml:space="preserve"> – </w:t>
      </w:r>
      <w:r>
        <w:t>Labour income shares have fallen more in mining and agriculture</w:t>
      </w:r>
      <w:r>
        <w:rPr>
          <w:vertAlign w:val="superscript"/>
        </w:rPr>
        <w:t>a,b</w:t>
      </w:r>
    </w:p>
    <w:p w14:paraId="5148C2E3" w14:textId="77777777" w:rsidR="00696D3E" w:rsidRDefault="00696D3E" w:rsidP="00696D3E">
      <w:pPr>
        <w:pStyle w:val="FigureTableSubheading"/>
      </w:pPr>
      <w:r>
        <w:t>Labour income share by industry division between 1994</w:t>
      </w:r>
      <w:r>
        <w:noBreakHyphen/>
        <w:t>95 and 2021</w:t>
      </w:r>
      <w:r>
        <w:noBreakHyphen/>
        <w:t xml:space="preserve">22 </w:t>
      </w:r>
    </w:p>
    <w:tbl>
      <w:tblPr>
        <w:tblW w:w="5000" w:type="pct"/>
        <w:tblBorders>
          <w:bottom w:val="single" w:sz="4" w:space="0" w:color="B3B3B3"/>
        </w:tblBorders>
        <w:shd w:val="clear" w:color="000000" w:fill="auto"/>
        <w:tblCellMar>
          <w:left w:w="0" w:type="dxa"/>
          <w:right w:w="0" w:type="dxa"/>
        </w:tblCellMar>
        <w:tblLook w:val="04A0" w:firstRow="1" w:lastRow="0" w:firstColumn="1" w:lastColumn="0" w:noHBand="0" w:noVBand="1"/>
        <w:tblDescription w:val="{&quot;Ott&quot;:{&quot;FirstRow&quot;:{&quot;Font&quot;:{&quot;Bold&quot;:true,&quot;Color&quot;:{&quot;Key&quot;:&quot;TableHeading&quot;},&quot;BulletColor&quot;:{&quot;Key&quot;:&quot;TableHeading&quot;}},&quot;Alignment&quot;:{&quot;Vertical&quot;:&quot;Bottom&quot;},&quot;Borders&quot;:{&quot;Bottom&quot;:{&quot;Color&quot;:{&quot;Key&quot;:&quot;BorderColor&quot;},&quot;BorderWeight&quot;:&quot;Pt0_5&quot;,&quot;Type&quot;:&quot;Solid&quot;,&quot;Visible&quot;:true}}},&quot;LastRow&quot;:{},&quot;FirstColumn&quot;:{&quot;Font&quot;:{&quot;Bold&quot;:true,&quot;Color&quot;:{&quot;Key&quot;:&quot;TableHeading&quot;},&quot;BulletColor&quot;:{&quot;Key&quot;:&quot;TableHeading&quot;}}},&quot;LastColumn&quot;:{},&quot;BandedRow&quot;:{&quot;Item&quot;:{&quot;BackgroundColor&quot;:{&quot;Key&quot;:&quot;BandedRow&quot;}},&quot;Type&quot;:&quot;BandFirst&quot;},&quot;BandedColumn&quot;:{&quot;Item&quot;:{},&quot;Type&quot;:&quot;BandFirst&quot;},&quot;FitRowHeightPp&quot;:true,&quot;ZeroMarginsWord&quot;:true,&quot;BackgroundColor&quot;:{&quot;Key&quot;:&quot;BackgroundColor&quot;},&quot;Font&quot;:{&quot;Name&quot;:&quot;Arial (Body)&quot;,&quot;Size&quot;:9.0,&quot;SizeOverridePp&quot;:16.0,&quot;Bold&quot;:false,&quot;Italic&quot;:false,&quot;Underline&quot;:false,&quot;Color&quot;:{&quot;Key&quot;:&quot;TableBody&quot;},&quot;BulletColor&quot;:{&quot;Key&quot;:&quot;TableBody&quot;}},&quot;Alignment&quot;:{&quot;Horizontal&quot;:&quot;Left&quot;,&quot;Vertical&quot;:&quot;Top&quot;},&quot;Margin&quot;:{&quot;Left&quot;:2.83464575,&quot;Top&quot;:2.26771641,&quot;Right&quot;:5.38582659,&quot;Bottom&quot;:2.26771641},&quot;Borders&quot;:{&quot;Vertical&quot;:{&quot;Visible&quot;:false},&quot;Horizontal&quot;:{&quot;Visible&quot;:false},&quot;Bottom&quot;:{&quot;Color&quot;:{&quot;Key&quot;:&quot;BorderColor&quot;},&quot;BorderWeight&quot;:&quot;Pt0_5&quot;,&quot;Type&quot;:&quot;Solid&quot;,&quot;Visible&quot;:true}}},&quot;Ccs&quot;:{&quot;TableBody&quot;:&quot;Black&quot;,&quot;TableHeading&quot;:&quot;38, 90, 154&quot;,&quot;BandedRow&quot;:&quot;242, 242, 242&quot;,&quot;BorderColor&quot;:&quot;179, 179, 179&quot;,&quot;BackgroundColor&quot;:&quot;Transparent&quot;},&quot;Cop&quot;:{&quot;FirstRow&quot;:true,&quot;LastRow&quot;:false,&quot;FirstColumn&quot;:true,&quot;LastColumn&quot;:false,&quot;BandedRows&quot;:true,&quot;BandedColumns&quot;:false},&quot;Aaf&quot;:false}"/>
      </w:tblPr>
      <w:tblGrid>
        <w:gridCol w:w="780"/>
        <w:gridCol w:w="437"/>
        <w:gridCol w:w="437"/>
        <w:gridCol w:w="437"/>
        <w:gridCol w:w="437"/>
        <w:gridCol w:w="437"/>
        <w:gridCol w:w="437"/>
        <w:gridCol w:w="437"/>
        <w:gridCol w:w="437"/>
        <w:gridCol w:w="438"/>
        <w:gridCol w:w="438"/>
        <w:gridCol w:w="438"/>
        <w:gridCol w:w="438"/>
        <w:gridCol w:w="438"/>
        <w:gridCol w:w="438"/>
        <w:gridCol w:w="438"/>
        <w:gridCol w:w="438"/>
        <w:gridCol w:w="438"/>
        <w:gridCol w:w="438"/>
        <w:gridCol w:w="438"/>
        <w:gridCol w:w="544"/>
      </w:tblGrid>
      <w:tr w:rsidR="00696D3E" w:rsidRPr="00030C67" w14:paraId="7E101588" w14:textId="77777777">
        <w:trPr>
          <w:tblHeader/>
        </w:trPr>
        <w:tc>
          <w:tcPr>
            <w:tcW w:w="405" w:type="pct"/>
            <w:tcBorders>
              <w:bottom w:val="single" w:sz="4" w:space="0" w:color="B3B3B3"/>
            </w:tcBorders>
            <w:shd w:val="clear" w:color="000000" w:fill="auto"/>
            <w:vAlign w:val="bottom"/>
          </w:tcPr>
          <w:p w14:paraId="6F6969E9" w14:textId="77777777" w:rsidR="00696D3E" w:rsidRPr="008A7E36" w:rsidRDefault="00696D3E">
            <w:pPr>
              <w:pStyle w:val="TableHeading"/>
            </w:pPr>
          </w:p>
        </w:tc>
        <w:tc>
          <w:tcPr>
            <w:tcW w:w="227" w:type="pct"/>
            <w:tcBorders>
              <w:bottom w:val="single" w:sz="4" w:space="0" w:color="B3B3B3"/>
            </w:tcBorders>
            <w:shd w:val="clear" w:color="000000" w:fill="auto"/>
          </w:tcPr>
          <w:p w14:paraId="3A10FB9E" w14:textId="77777777" w:rsidR="00696D3E" w:rsidRPr="00030C67" w:rsidRDefault="00696D3E">
            <w:pPr>
              <w:pStyle w:val="TableHeading"/>
              <w:ind w:right="57"/>
              <w:jc w:val="right"/>
            </w:pPr>
            <w:r>
              <w:t>A</w:t>
            </w:r>
          </w:p>
        </w:tc>
        <w:tc>
          <w:tcPr>
            <w:tcW w:w="227" w:type="pct"/>
            <w:tcBorders>
              <w:bottom w:val="single" w:sz="4" w:space="0" w:color="B3B3B3"/>
            </w:tcBorders>
            <w:shd w:val="clear" w:color="000000" w:fill="auto"/>
          </w:tcPr>
          <w:p w14:paraId="3891AC7F" w14:textId="77777777" w:rsidR="00696D3E" w:rsidRPr="00030C67" w:rsidRDefault="00696D3E">
            <w:pPr>
              <w:pStyle w:val="TableHeading"/>
              <w:ind w:right="57"/>
              <w:jc w:val="right"/>
            </w:pPr>
            <w:r>
              <w:t>B</w:t>
            </w:r>
          </w:p>
        </w:tc>
        <w:tc>
          <w:tcPr>
            <w:tcW w:w="227" w:type="pct"/>
            <w:tcBorders>
              <w:bottom w:val="single" w:sz="4" w:space="0" w:color="B3B3B3"/>
            </w:tcBorders>
            <w:shd w:val="clear" w:color="000000" w:fill="auto"/>
          </w:tcPr>
          <w:p w14:paraId="479364A5" w14:textId="77777777" w:rsidR="00696D3E" w:rsidRPr="00030C67" w:rsidRDefault="00696D3E">
            <w:pPr>
              <w:pStyle w:val="TableHeading"/>
              <w:ind w:right="57"/>
              <w:jc w:val="right"/>
            </w:pPr>
            <w:r>
              <w:t>C</w:t>
            </w:r>
          </w:p>
        </w:tc>
        <w:tc>
          <w:tcPr>
            <w:tcW w:w="227" w:type="pct"/>
            <w:tcBorders>
              <w:bottom w:val="single" w:sz="4" w:space="0" w:color="B3B3B3"/>
            </w:tcBorders>
            <w:shd w:val="clear" w:color="000000" w:fill="auto"/>
          </w:tcPr>
          <w:p w14:paraId="7C88E5FB" w14:textId="77777777" w:rsidR="00696D3E" w:rsidRPr="00030C67" w:rsidRDefault="00696D3E">
            <w:pPr>
              <w:pStyle w:val="TableHeading"/>
              <w:ind w:right="57"/>
              <w:jc w:val="right"/>
            </w:pPr>
            <w:r>
              <w:t>D</w:t>
            </w:r>
          </w:p>
        </w:tc>
        <w:tc>
          <w:tcPr>
            <w:tcW w:w="227" w:type="pct"/>
            <w:tcBorders>
              <w:bottom w:val="single" w:sz="4" w:space="0" w:color="B3B3B3"/>
            </w:tcBorders>
            <w:shd w:val="clear" w:color="000000" w:fill="auto"/>
          </w:tcPr>
          <w:p w14:paraId="2AEBB86F" w14:textId="77777777" w:rsidR="00696D3E" w:rsidRPr="00030C67" w:rsidRDefault="00696D3E">
            <w:pPr>
              <w:pStyle w:val="TableHeading"/>
              <w:ind w:right="57"/>
              <w:jc w:val="right"/>
            </w:pPr>
            <w:r>
              <w:t>E</w:t>
            </w:r>
          </w:p>
        </w:tc>
        <w:tc>
          <w:tcPr>
            <w:tcW w:w="227" w:type="pct"/>
            <w:tcBorders>
              <w:bottom w:val="single" w:sz="4" w:space="0" w:color="B3B3B3"/>
            </w:tcBorders>
            <w:shd w:val="clear" w:color="000000" w:fill="auto"/>
          </w:tcPr>
          <w:p w14:paraId="300F43AE" w14:textId="77777777" w:rsidR="00696D3E" w:rsidRPr="00030C67" w:rsidRDefault="00696D3E">
            <w:pPr>
              <w:pStyle w:val="TableHeading"/>
              <w:ind w:left="0" w:right="57"/>
              <w:jc w:val="right"/>
            </w:pPr>
            <w:r>
              <w:t>F</w:t>
            </w:r>
          </w:p>
        </w:tc>
        <w:tc>
          <w:tcPr>
            <w:tcW w:w="227" w:type="pct"/>
            <w:tcBorders>
              <w:bottom w:val="single" w:sz="4" w:space="0" w:color="B3B3B3"/>
            </w:tcBorders>
            <w:shd w:val="clear" w:color="000000" w:fill="auto"/>
          </w:tcPr>
          <w:p w14:paraId="54A43D61" w14:textId="77777777" w:rsidR="00696D3E" w:rsidRPr="00030C67" w:rsidRDefault="00696D3E">
            <w:pPr>
              <w:pStyle w:val="TableHeading"/>
              <w:ind w:right="57"/>
              <w:jc w:val="right"/>
            </w:pPr>
            <w:r>
              <w:t>G</w:t>
            </w:r>
          </w:p>
        </w:tc>
        <w:tc>
          <w:tcPr>
            <w:tcW w:w="227" w:type="pct"/>
            <w:tcBorders>
              <w:bottom w:val="single" w:sz="4" w:space="0" w:color="B3B3B3"/>
            </w:tcBorders>
            <w:shd w:val="clear" w:color="000000" w:fill="auto"/>
          </w:tcPr>
          <w:p w14:paraId="3BD3A3E8" w14:textId="77777777" w:rsidR="00696D3E" w:rsidRPr="00030C67" w:rsidRDefault="00696D3E">
            <w:pPr>
              <w:pStyle w:val="TableHeading"/>
              <w:ind w:right="57"/>
              <w:jc w:val="right"/>
            </w:pPr>
            <w:r>
              <w:t>H</w:t>
            </w:r>
          </w:p>
        </w:tc>
        <w:tc>
          <w:tcPr>
            <w:tcW w:w="227" w:type="pct"/>
            <w:tcBorders>
              <w:bottom w:val="single" w:sz="4" w:space="0" w:color="B3B3B3"/>
            </w:tcBorders>
            <w:shd w:val="clear" w:color="000000" w:fill="auto"/>
          </w:tcPr>
          <w:p w14:paraId="4143C3D0" w14:textId="77777777" w:rsidR="00696D3E" w:rsidRPr="00030C67" w:rsidRDefault="00696D3E">
            <w:pPr>
              <w:pStyle w:val="TableHeading"/>
              <w:ind w:right="57"/>
              <w:jc w:val="right"/>
            </w:pPr>
            <w:r>
              <w:t>I</w:t>
            </w:r>
          </w:p>
        </w:tc>
        <w:tc>
          <w:tcPr>
            <w:tcW w:w="227" w:type="pct"/>
            <w:tcBorders>
              <w:bottom w:val="single" w:sz="4" w:space="0" w:color="B3B3B3"/>
            </w:tcBorders>
            <w:shd w:val="clear" w:color="000000" w:fill="auto"/>
          </w:tcPr>
          <w:p w14:paraId="5FBBD5CE" w14:textId="77777777" w:rsidR="00696D3E" w:rsidRPr="00030C67" w:rsidRDefault="00696D3E">
            <w:pPr>
              <w:pStyle w:val="TableHeading"/>
              <w:ind w:right="57"/>
              <w:jc w:val="right"/>
            </w:pPr>
            <w:r>
              <w:t>J</w:t>
            </w:r>
          </w:p>
        </w:tc>
        <w:tc>
          <w:tcPr>
            <w:tcW w:w="227" w:type="pct"/>
            <w:tcBorders>
              <w:bottom w:val="single" w:sz="4" w:space="0" w:color="B3B3B3"/>
            </w:tcBorders>
            <w:shd w:val="clear" w:color="000000" w:fill="auto"/>
          </w:tcPr>
          <w:p w14:paraId="44063878" w14:textId="77777777" w:rsidR="00696D3E" w:rsidRPr="00030C67" w:rsidRDefault="00696D3E">
            <w:pPr>
              <w:pStyle w:val="TableHeading"/>
              <w:ind w:right="57"/>
              <w:jc w:val="right"/>
            </w:pPr>
            <w:r>
              <w:t>K</w:t>
            </w:r>
          </w:p>
        </w:tc>
        <w:tc>
          <w:tcPr>
            <w:tcW w:w="227" w:type="pct"/>
            <w:tcBorders>
              <w:bottom w:val="single" w:sz="4" w:space="0" w:color="B3B3B3"/>
            </w:tcBorders>
            <w:shd w:val="clear" w:color="000000" w:fill="auto"/>
          </w:tcPr>
          <w:p w14:paraId="3DB13E5E" w14:textId="77777777" w:rsidR="00696D3E" w:rsidRPr="00030C67" w:rsidRDefault="00696D3E">
            <w:pPr>
              <w:pStyle w:val="TableHeading"/>
              <w:ind w:right="57"/>
              <w:jc w:val="right"/>
            </w:pPr>
            <w:r>
              <w:t>L</w:t>
            </w:r>
          </w:p>
        </w:tc>
        <w:tc>
          <w:tcPr>
            <w:tcW w:w="227" w:type="pct"/>
            <w:tcBorders>
              <w:bottom w:val="single" w:sz="4" w:space="0" w:color="B3B3B3"/>
            </w:tcBorders>
            <w:shd w:val="clear" w:color="000000" w:fill="auto"/>
          </w:tcPr>
          <w:p w14:paraId="53B26FC4" w14:textId="77777777" w:rsidR="00696D3E" w:rsidRPr="00030C67" w:rsidRDefault="00696D3E">
            <w:pPr>
              <w:pStyle w:val="TableHeading"/>
              <w:ind w:right="57"/>
              <w:jc w:val="right"/>
            </w:pPr>
            <w:r>
              <w:t>M</w:t>
            </w:r>
          </w:p>
        </w:tc>
        <w:tc>
          <w:tcPr>
            <w:tcW w:w="227" w:type="pct"/>
            <w:tcBorders>
              <w:bottom w:val="single" w:sz="4" w:space="0" w:color="B3B3B3"/>
            </w:tcBorders>
            <w:shd w:val="clear" w:color="000000" w:fill="auto"/>
          </w:tcPr>
          <w:p w14:paraId="7F76A750" w14:textId="77777777" w:rsidR="00696D3E" w:rsidRPr="00030C67" w:rsidRDefault="00696D3E">
            <w:pPr>
              <w:pStyle w:val="TableHeading"/>
              <w:ind w:right="57"/>
              <w:jc w:val="right"/>
            </w:pPr>
            <w:r>
              <w:t>N</w:t>
            </w:r>
          </w:p>
        </w:tc>
        <w:tc>
          <w:tcPr>
            <w:tcW w:w="227" w:type="pct"/>
            <w:tcBorders>
              <w:bottom w:val="single" w:sz="4" w:space="0" w:color="B3B3B3"/>
            </w:tcBorders>
            <w:shd w:val="clear" w:color="000000" w:fill="auto"/>
          </w:tcPr>
          <w:p w14:paraId="05FDA499" w14:textId="77777777" w:rsidR="00696D3E" w:rsidRPr="00030C67" w:rsidRDefault="00696D3E">
            <w:pPr>
              <w:pStyle w:val="TableHeading"/>
              <w:ind w:right="57"/>
              <w:jc w:val="right"/>
            </w:pPr>
            <w:r>
              <w:t>O</w:t>
            </w:r>
          </w:p>
        </w:tc>
        <w:tc>
          <w:tcPr>
            <w:tcW w:w="227" w:type="pct"/>
            <w:tcBorders>
              <w:bottom w:val="single" w:sz="4" w:space="0" w:color="B3B3B3"/>
            </w:tcBorders>
            <w:shd w:val="clear" w:color="000000" w:fill="auto"/>
          </w:tcPr>
          <w:p w14:paraId="6EA030DC" w14:textId="77777777" w:rsidR="00696D3E" w:rsidRPr="00030C67" w:rsidRDefault="00696D3E">
            <w:pPr>
              <w:pStyle w:val="TableHeading"/>
              <w:ind w:right="57"/>
              <w:jc w:val="right"/>
            </w:pPr>
            <w:r>
              <w:t>P</w:t>
            </w:r>
          </w:p>
        </w:tc>
        <w:tc>
          <w:tcPr>
            <w:tcW w:w="227" w:type="pct"/>
            <w:tcBorders>
              <w:bottom w:val="single" w:sz="4" w:space="0" w:color="B3B3B3"/>
            </w:tcBorders>
            <w:shd w:val="clear" w:color="000000" w:fill="auto"/>
          </w:tcPr>
          <w:p w14:paraId="127F595E" w14:textId="77777777" w:rsidR="00696D3E" w:rsidRPr="00030C67" w:rsidRDefault="00696D3E">
            <w:pPr>
              <w:pStyle w:val="TableHeading"/>
              <w:ind w:right="57"/>
              <w:jc w:val="right"/>
            </w:pPr>
            <w:r>
              <w:t>Q</w:t>
            </w:r>
          </w:p>
        </w:tc>
        <w:tc>
          <w:tcPr>
            <w:tcW w:w="227" w:type="pct"/>
            <w:tcBorders>
              <w:bottom w:val="single" w:sz="4" w:space="0" w:color="B3B3B3"/>
            </w:tcBorders>
            <w:shd w:val="clear" w:color="000000" w:fill="auto"/>
          </w:tcPr>
          <w:p w14:paraId="3A941EED" w14:textId="77777777" w:rsidR="00696D3E" w:rsidRPr="00030C67" w:rsidRDefault="00696D3E">
            <w:pPr>
              <w:pStyle w:val="TableHeading"/>
              <w:ind w:right="57"/>
              <w:jc w:val="right"/>
            </w:pPr>
            <w:r>
              <w:t>R</w:t>
            </w:r>
          </w:p>
        </w:tc>
        <w:tc>
          <w:tcPr>
            <w:tcW w:w="227" w:type="pct"/>
            <w:tcBorders>
              <w:bottom w:val="single" w:sz="4" w:space="0" w:color="B3B3B3"/>
            </w:tcBorders>
            <w:shd w:val="clear" w:color="000000" w:fill="auto"/>
          </w:tcPr>
          <w:p w14:paraId="5F733147" w14:textId="77777777" w:rsidR="00696D3E" w:rsidRPr="00030C67" w:rsidRDefault="00696D3E">
            <w:pPr>
              <w:pStyle w:val="TableHeading"/>
              <w:ind w:right="57"/>
              <w:jc w:val="right"/>
            </w:pPr>
            <w:r>
              <w:t>S</w:t>
            </w:r>
          </w:p>
        </w:tc>
        <w:tc>
          <w:tcPr>
            <w:tcW w:w="282" w:type="pct"/>
            <w:tcBorders>
              <w:bottom w:val="single" w:sz="4" w:space="0" w:color="B3B3B3"/>
            </w:tcBorders>
            <w:shd w:val="clear" w:color="000000" w:fill="auto"/>
            <w:vAlign w:val="bottom"/>
          </w:tcPr>
          <w:p w14:paraId="6136600F" w14:textId="77777777" w:rsidR="00696D3E" w:rsidRPr="00030C67" w:rsidRDefault="00696D3E">
            <w:pPr>
              <w:pStyle w:val="TableHeading"/>
              <w:ind w:right="57"/>
              <w:jc w:val="right"/>
            </w:pPr>
            <w:r>
              <w:t>Total</w:t>
            </w:r>
          </w:p>
        </w:tc>
      </w:tr>
      <w:tr w:rsidR="00696D3E" w:rsidRPr="00030C67" w14:paraId="3835B720" w14:textId="77777777">
        <w:tc>
          <w:tcPr>
            <w:tcW w:w="405" w:type="pct"/>
            <w:tcBorders>
              <w:top w:val="single" w:sz="4" w:space="0" w:color="B3B3B3"/>
              <w:bottom w:val="nil"/>
            </w:tcBorders>
            <w:shd w:val="clear" w:color="000000" w:fill="F2F2F2"/>
          </w:tcPr>
          <w:p w14:paraId="4A170CCC" w14:textId="77777777" w:rsidR="00696D3E" w:rsidRPr="00030C67" w:rsidRDefault="00696D3E">
            <w:pPr>
              <w:pStyle w:val="TableHeading"/>
            </w:pPr>
            <w:r w:rsidRPr="00635B50">
              <w:t>1995</w:t>
            </w:r>
          </w:p>
        </w:tc>
        <w:tc>
          <w:tcPr>
            <w:tcW w:w="227" w:type="pct"/>
            <w:tcBorders>
              <w:top w:val="single" w:sz="4" w:space="0" w:color="B3B3B3"/>
              <w:bottom w:val="nil"/>
            </w:tcBorders>
            <w:shd w:val="clear" w:color="000000" w:fill="F2F2F2"/>
          </w:tcPr>
          <w:p w14:paraId="7152DAD4" w14:textId="77777777" w:rsidR="00696D3E" w:rsidRPr="00030C67" w:rsidRDefault="00696D3E">
            <w:pPr>
              <w:pStyle w:val="TableBody"/>
              <w:spacing w:before="45" w:after="45"/>
              <w:ind w:right="57"/>
              <w:jc w:val="right"/>
              <w:rPr>
                <w:rFonts w:ascii="Arial (Body)" w:hAnsi="Arial (Body)"/>
                <w:color w:val="000000"/>
              </w:rPr>
            </w:pPr>
            <w:r w:rsidRPr="00DA3DF8">
              <w:t>87</w:t>
            </w:r>
          </w:p>
        </w:tc>
        <w:tc>
          <w:tcPr>
            <w:tcW w:w="227" w:type="pct"/>
            <w:tcBorders>
              <w:top w:val="single" w:sz="4" w:space="0" w:color="B3B3B3"/>
              <w:bottom w:val="nil"/>
            </w:tcBorders>
            <w:shd w:val="clear" w:color="000000" w:fill="F2F2F2"/>
          </w:tcPr>
          <w:p w14:paraId="12A1E65D" w14:textId="77777777" w:rsidR="00696D3E" w:rsidRDefault="00696D3E">
            <w:pPr>
              <w:pStyle w:val="TableBody"/>
              <w:spacing w:before="45" w:after="45"/>
              <w:ind w:right="57"/>
              <w:jc w:val="right"/>
              <w:rPr>
                <w:rFonts w:ascii="Arial (Body)" w:hAnsi="Arial (Body)"/>
                <w:color w:val="000000"/>
              </w:rPr>
            </w:pPr>
            <w:r w:rsidRPr="00DA3DF8">
              <w:t>29</w:t>
            </w:r>
          </w:p>
        </w:tc>
        <w:tc>
          <w:tcPr>
            <w:tcW w:w="227" w:type="pct"/>
            <w:tcBorders>
              <w:top w:val="single" w:sz="4" w:space="0" w:color="B3B3B3"/>
              <w:bottom w:val="nil"/>
            </w:tcBorders>
            <w:shd w:val="clear" w:color="000000" w:fill="F2F2F2"/>
          </w:tcPr>
          <w:p w14:paraId="680F2E43" w14:textId="77777777" w:rsidR="00696D3E" w:rsidRDefault="00696D3E">
            <w:pPr>
              <w:pStyle w:val="TableBody"/>
              <w:spacing w:before="45" w:after="45"/>
              <w:ind w:right="57"/>
              <w:jc w:val="right"/>
              <w:rPr>
                <w:rFonts w:ascii="Arial (Body)" w:hAnsi="Arial (Body)"/>
                <w:color w:val="000000"/>
              </w:rPr>
            </w:pPr>
            <w:r w:rsidRPr="00DA3DF8">
              <w:t>60</w:t>
            </w:r>
          </w:p>
        </w:tc>
        <w:tc>
          <w:tcPr>
            <w:tcW w:w="227" w:type="pct"/>
            <w:tcBorders>
              <w:top w:val="single" w:sz="4" w:space="0" w:color="B3B3B3"/>
              <w:bottom w:val="nil"/>
            </w:tcBorders>
            <w:shd w:val="clear" w:color="000000" w:fill="F2F2F2"/>
          </w:tcPr>
          <w:p w14:paraId="296EAE30" w14:textId="77777777" w:rsidR="00696D3E" w:rsidRDefault="00696D3E">
            <w:pPr>
              <w:pStyle w:val="TableBody"/>
              <w:spacing w:before="45" w:after="45"/>
              <w:ind w:right="57"/>
              <w:jc w:val="right"/>
              <w:rPr>
                <w:rFonts w:ascii="Arial (Body)" w:hAnsi="Arial (Body)"/>
                <w:color w:val="000000"/>
              </w:rPr>
            </w:pPr>
            <w:r w:rsidRPr="00DA3DF8">
              <w:t>36</w:t>
            </w:r>
          </w:p>
        </w:tc>
        <w:tc>
          <w:tcPr>
            <w:tcW w:w="227" w:type="pct"/>
            <w:tcBorders>
              <w:top w:val="single" w:sz="4" w:space="0" w:color="B3B3B3"/>
              <w:bottom w:val="nil"/>
            </w:tcBorders>
            <w:shd w:val="clear" w:color="000000" w:fill="F2F2F2"/>
          </w:tcPr>
          <w:p w14:paraId="161D25DB" w14:textId="77777777" w:rsidR="00696D3E" w:rsidRDefault="00696D3E">
            <w:pPr>
              <w:pStyle w:val="TableBody"/>
              <w:spacing w:before="45" w:after="45"/>
              <w:ind w:right="57"/>
              <w:jc w:val="right"/>
              <w:rPr>
                <w:rFonts w:ascii="Arial (Body)" w:hAnsi="Arial (Body)"/>
                <w:color w:val="000000"/>
              </w:rPr>
            </w:pPr>
            <w:r w:rsidRPr="00DA3DF8">
              <w:t>80</w:t>
            </w:r>
          </w:p>
        </w:tc>
        <w:tc>
          <w:tcPr>
            <w:tcW w:w="227" w:type="pct"/>
            <w:tcBorders>
              <w:top w:val="single" w:sz="4" w:space="0" w:color="B3B3B3"/>
              <w:bottom w:val="nil"/>
            </w:tcBorders>
            <w:shd w:val="clear" w:color="000000" w:fill="F2F2F2"/>
          </w:tcPr>
          <w:p w14:paraId="774201CC" w14:textId="77777777" w:rsidR="00696D3E" w:rsidRDefault="00696D3E">
            <w:pPr>
              <w:pStyle w:val="TableBody"/>
              <w:spacing w:before="45" w:after="45"/>
              <w:ind w:right="57"/>
              <w:jc w:val="right"/>
              <w:rPr>
                <w:rFonts w:ascii="Arial (Body)" w:hAnsi="Arial (Body)"/>
                <w:color w:val="000000"/>
              </w:rPr>
            </w:pPr>
            <w:r w:rsidRPr="00DA3DF8">
              <w:t>66</w:t>
            </w:r>
          </w:p>
        </w:tc>
        <w:tc>
          <w:tcPr>
            <w:tcW w:w="227" w:type="pct"/>
            <w:tcBorders>
              <w:top w:val="single" w:sz="4" w:space="0" w:color="B3B3B3"/>
              <w:bottom w:val="nil"/>
            </w:tcBorders>
            <w:shd w:val="clear" w:color="000000" w:fill="F2F2F2"/>
          </w:tcPr>
          <w:p w14:paraId="3A4BD4A3" w14:textId="77777777" w:rsidR="00696D3E" w:rsidRDefault="00696D3E">
            <w:pPr>
              <w:pStyle w:val="TableBody"/>
              <w:spacing w:before="45" w:after="45"/>
              <w:ind w:right="57"/>
              <w:jc w:val="right"/>
              <w:rPr>
                <w:rFonts w:ascii="Arial (Body)" w:hAnsi="Arial (Body)"/>
                <w:color w:val="000000"/>
              </w:rPr>
            </w:pPr>
            <w:r w:rsidRPr="00DA3DF8">
              <w:t>80</w:t>
            </w:r>
          </w:p>
        </w:tc>
        <w:tc>
          <w:tcPr>
            <w:tcW w:w="227" w:type="pct"/>
            <w:tcBorders>
              <w:top w:val="single" w:sz="4" w:space="0" w:color="B3B3B3"/>
              <w:bottom w:val="nil"/>
            </w:tcBorders>
            <w:shd w:val="clear" w:color="000000" w:fill="F2F2F2"/>
          </w:tcPr>
          <w:p w14:paraId="0A294FDA" w14:textId="77777777" w:rsidR="00696D3E" w:rsidRDefault="00696D3E">
            <w:pPr>
              <w:pStyle w:val="TableBody"/>
              <w:spacing w:before="45" w:after="45"/>
              <w:ind w:right="57"/>
              <w:jc w:val="right"/>
              <w:rPr>
                <w:rFonts w:ascii="Arial (Body)" w:hAnsi="Arial (Body)"/>
                <w:color w:val="000000"/>
              </w:rPr>
            </w:pPr>
            <w:r w:rsidRPr="00DA3DF8">
              <w:t>96</w:t>
            </w:r>
          </w:p>
        </w:tc>
        <w:tc>
          <w:tcPr>
            <w:tcW w:w="227" w:type="pct"/>
            <w:tcBorders>
              <w:top w:val="single" w:sz="4" w:space="0" w:color="B3B3B3"/>
              <w:bottom w:val="nil"/>
            </w:tcBorders>
            <w:shd w:val="clear" w:color="000000" w:fill="F2F2F2"/>
          </w:tcPr>
          <w:p w14:paraId="6DE9217A" w14:textId="77777777" w:rsidR="00696D3E" w:rsidRDefault="00696D3E">
            <w:pPr>
              <w:pStyle w:val="TableBody"/>
              <w:spacing w:before="45" w:after="45"/>
              <w:ind w:right="57"/>
              <w:jc w:val="right"/>
              <w:rPr>
                <w:rFonts w:ascii="Arial (Body)" w:hAnsi="Arial (Body)"/>
                <w:color w:val="000000"/>
              </w:rPr>
            </w:pPr>
            <w:r w:rsidRPr="00DA3DF8">
              <w:t>74</w:t>
            </w:r>
          </w:p>
        </w:tc>
        <w:tc>
          <w:tcPr>
            <w:tcW w:w="227" w:type="pct"/>
            <w:tcBorders>
              <w:top w:val="single" w:sz="4" w:space="0" w:color="B3B3B3"/>
              <w:bottom w:val="nil"/>
            </w:tcBorders>
            <w:shd w:val="clear" w:color="000000" w:fill="F2F2F2"/>
          </w:tcPr>
          <w:p w14:paraId="23B649DF" w14:textId="77777777" w:rsidR="00696D3E" w:rsidRDefault="00696D3E">
            <w:pPr>
              <w:pStyle w:val="TableBody"/>
              <w:spacing w:before="45" w:after="45"/>
              <w:ind w:right="57"/>
              <w:jc w:val="right"/>
              <w:rPr>
                <w:rFonts w:ascii="Arial (Body)" w:hAnsi="Arial (Body)"/>
                <w:color w:val="000000"/>
              </w:rPr>
            </w:pPr>
            <w:r w:rsidRPr="00DA3DF8">
              <w:t>42</w:t>
            </w:r>
          </w:p>
        </w:tc>
        <w:tc>
          <w:tcPr>
            <w:tcW w:w="227" w:type="pct"/>
            <w:tcBorders>
              <w:top w:val="single" w:sz="4" w:space="0" w:color="B3B3B3"/>
              <w:bottom w:val="nil"/>
            </w:tcBorders>
            <w:shd w:val="clear" w:color="000000" w:fill="F2F2F2"/>
          </w:tcPr>
          <w:p w14:paraId="233CAFED" w14:textId="77777777" w:rsidR="00696D3E" w:rsidRDefault="00696D3E">
            <w:pPr>
              <w:pStyle w:val="TableBody"/>
              <w:spacing w:before="45" w:after="45"/>
              <w:ind w:right="57"/>
              <w:jc w:val="right"/>
              <w:rPr>
                <w:rFonts w:ascii="Arial (Body)" w:hAnsi="Arial (Body)"/>
                <w:color w:val="000000"/>
              </w:rPr>
            </w:pPr>
            <w:r w:rsidRPr="00DA3DF8">
              <w:t>40</w:t>
            </w:r>
          </w:p>
        </w:tc>
        <w:tc>
          <w:tcPr>
            <w:tcW w:w="227" w:type="pct"/>
            <w:tcBorders>
              <w:top w:val="single" w:sz="4" w:space="0" w:color="B3B3B3"/>
              <w:bottom w:val="nil"/>
            </w:tcBorders>
            <w:shd w:val="clear" w:color="000000" w:fill="F2F2F2"/>
          </w:tcPr>
          <w:p w14:paraId="6A35EE9D" w14:textId="77777777" w:rsidR="00696D3E" w:rsidRDefault="00696D3E">
            <w:pPr>
              <w:pStyle w:val="TableBody"/>
              <w:spacing w:before="45" w:after="45"/>
              <w:ind w:right="57"/>
              <w:jc w:val="right"/>
              <w:rPr>
                <w:rFonts w:ascii="Arial (Body)" w:hAnsi="Arial (Body)"/>
                <w:color w:val="000000"/>
              </w:rPr>
            </w:pPr>
            <w:r w:rsidRPr="00DA3DF8">
              <w:t>45</w:t>
            </w:r>
          </w:p>
        </w:tc>
        <w:tc>
          <w:tcPr>
            <w:tcW w:w="227" w:type="pct"/>
            <w:tcBorders>
              <w:top w:val="single" w:sz="4" w:space="0" w:color="B3B3B3"/>
              <w:bottom w:val="nil"/>
            </w:tcBorders>
            <w:shd w:val="clear" w:color="000000" w:fill="F2F2F2"/>
          </w:tcPr>
          <w:p w14:paraId="320FDCDF" w14:textId="77777777" w:rsidR="00696D3E" w:rsidRDefault="00696D3E">
            <w:pPr>
              <w:pStyle w:val="TableBody"/>
              <w:spacing w:before="45" w:after="45"/>
              <w:ind w:right="57"/>
              <w:jc w:val="right"/>
              <w:rPr>
                <w:rFonts w:ascii="Arial (Body)" w:hAnsi="Arial (Body)"/>
                <w:color w:val="000000"/>
              </w:rPr>
            </w:pPr>
            <w:r w:rsidRPr="00DA3DF8">
              <w:t>107</w:t>
            </w:r>
          </w:p>
        </w:tc>
        <w:tc>
          <w:tcPr>
            <w:tcW w:w="227" w:type="pct"/>
            <w:tcBorders>
              <w:top w:val="single" w:sz="4" w:space="0" w:color="B3B3B3"/>
              <w:bottom w:val="nil"/>
            </w:tcBorders>
            <w:shd w:val="clear" w:color="000000" w:fill="F2F2F2"/>
          </w:tcPr>
          <w:p w14:paraId="259916B4" w14:textId="77777777" w:rsidR="00696D3E" w:rsidRDefault="00696D3E">
            <w:pPr>
              <w:pStyle w:val="TableBody"/>
              <w:spacing w:before="45" w:after="45"/>
              <w:ind w:right="57"/>
              <w:jc w:val="right"/>
              <w:rPr>
                <w:rFonts w:ascii="Arial (Body)" w:hAnsi="Arial (Body)"/>
                <w:color w:val="000000"/>
              </w:rPr>
            </w:pPr>
            <w:r w:rsidRPr="00DA3DF8">
              <w:t>108</w:t>
            </w:r>
          </w:p>
        </w:tc>
        <w:tc>
          <w:tcPr>
            <w:tcW w:w="227" w:type="pct"/>
            <w:tcBorders>
              <w:top w:val="single" w:sz="4" w:space="0" w:color="B3B3B3"/>
              <w:bottom w:val="nil"/>
            </w:tcBorders>
            <w:shd w:val="clear" w:color="000000" w:fill="F2F2F2"/>
          </w:tcPr>
          <w:p w14:paraId="7D08BA00" w14:textId="77777777" w:rsidR="00696D3E" w:rsidRDefault="00696D3E">
            <w:pPr>
              <w:pStyle w:val="TableBody"/>
              <w:spacing w:before="45" w:after="45"/>
              <w:ind w:right="57"/>
              <w:jc w:val="right"/>
              <w:rPr>
                <w:rFonts w:ascii="Arial (Body)" w:hAnsi="Arial (Body)"/>
                <w:color w:val="000000"/>
              </w:rPr>
            </w:pPr>
            <w:r w:rsidRPr="00DA3DF8">
              <w:t>83</w:t>
            </w:r>
          </w:p>
        </w:tc>
        <w:tc>
          <w:tcPr>
            <w:tcW w:w="227" w:type="pct"/>
            <w:tcBorders>
              <w:top w:val="single" w:sz="4" w:space="0" w:color="B3B3B3"/>
              <w:bottom w:val="nil"/>
            </w:tcBorders>
            <w:shd w:val="clear" w:color="000000" w:fill="F2F2F2"/>
          </w:tcPr>
          <w:p w14:paraId="52D47E32" w14:textId="77777777" w:rsidR="00696D3E" w:rsidRPr="00030C67" w:rsidRDefault="00696D3E">
            <w:pPr>
              <w:pStyle w:val="TableBody"/>
              <w:spacing w:before="45" w:after="45"/>
              <w:ind w:right="57"/>
              <w:jc w:val="right"/>
              <w:rPr>
                <w:rFonts w:ascii="Arial (Body)" w:hAnsi="Arial (Body)"/>
                <w:color w:val="000000"/>
              </w:rPr>
            </w:pPr>
            <w:r w:rsidRPr="00DA3DF8">
              <w:t>91</w:t>
            </w:r>
          </w:p>
        </w:tc>
        <w:tc>
          <w:tcPr>
            <w:tcW w:w="227" w:type="pct"/>
            <w:tcBorders>
              <w:top w:val="single" w:sz="4" w:space="0" w:color="B3B3B3"/>
              <w:bottom w:val="nil"/>
            </w:tcBorders>
            <w:shd w:val="clear" w:color="000000" w:fill="F2F2F2"/>
          </w:tcPr>
          <w:p w14:paraId="3CFA2918" w14:textId="77777777" w:rsidR="00696D3E" w:rsidRPr="00030C67" w:rsidRDefault="00696D3E">
            <w:pPr>
              <w:pStyle w:val="TableBody"/>
              <w:spacing w:before="45" w:after="45"/>
              <w:ind w:right="57"/>
              <w:jc w:val="right"/>
              <w:rPr>
                <w:rFonts w:ascii="Arial (Body)" w:hAnsi="Arial (Body)"/>
                <w:color w:val="000000"/>
              </w:rPr>
            </w:pPr>
            <w:r w:rsidRPr="00DA3DF8">
              <w:t>87</w:t>
            </w:r>
          </w:p>
        </w:tc>
        <w:tc>
          <w:tcPr>
            <w:tcW w:w="227" w:type="pct"/>
            <w:tcBorders>
              <w:top w:val="single" w:sz="4" w:space="0" w:color="B3B3B3"/>
              <w:bottom w:val="nil"/>
            </w:tcBorders>
            <w:shd w:val="clear" w:color="000000" w:fill="F2F2F2"/>
          </w:tcPr>
          <w:p w14:paraId="64074AE5" w14:textId="77777777" w:rsidR="00696D3E" w:rsidRPr="00030C67" w:rsidRDefault="00696D3E">
            <w:pPr>
              <w:pStyle w:val="TableBody"/>
              <w:spacing w:before="45" w:after="45"/>
              <w:ind w:right="57"/>
              <w:jc w:val="right"/>
              <w:rPr>
                <w:rFonts w:ascii="Arial (Body)" w:hAnsi="Arial (Body)"/>
                <w:color w:val="000000"/>
              </w:rPr>
            </w:pPr>
            <w:r w:rsidRPr="00DA3DF8">
              <w:t>82</w:t>
            </w:r>
          </w:p>
        </w:tc>
        <w:tc>
          <w:tcPr>
            <w:tcW w:w="227" w:type="pct"/>
            <w:tcBorders>
              <w:top w:val="single" w:sz="4" w:space="0" w:color="B3B3B3"/>
              <w:bottom w:val="nil"/>
            </w:tcBorders>
            <w:shd w:val="clear" w:color="000000" w:fill="F2F2F2"/>
          </w:tcPr>
          <w:p w14:paraId="06D1107B" w14:textId="77777777" w:rsidR="00696D3E" w:rsidRPr="00030C67" w:rsidRDefault="00696D3E">
            <w:pPr>
              <w:pStyle w:val="TableBody"/>
              <w:spacing w:before="45" w:after="45"/>
              <w:ind w:right="57"/>
              <w:jc w:val="right"/>
              <w:rPr>
                <w:rFonts w:ascii="Arial (Body)" w:hAnsi="Arial (Body)"/>
                <w:color w:val="000000"/>
              </w:rPr>
            </w:pPr>
            <w:r w:rsidRPr="00DA3DF8">
              <w:t>87</w:t>
            </w:r>
          </w:p>
        </w:tc>
        <w:tc>
          <w:tcPr>
            <w:tcW w:w="282" w:type="pct"/>
            <w:tcBorders>
              <w:top w:val="single" w:sz="4" w:space="0" w:color="B3B3B3"/>
              <w:bottom w:val="nil"/>
            </w:tcBorders>
            <w:shd w:val="clear" w:color="000000" w:fill="F2F2F2"/>
          </w:tcPr>
          <w:p w14:paraId="1D71F7A2" w14:textId="77777777" w:rsidR="00696D3E" w:rsidRPr="00030C67" w:rsidRDefault="00696D3E">
            <w:pPr>
              <w:pStyle w:val="TableBody"/>
              <w:spacing w:before="45" w:after="45"/>
              <w:ind w:right="57"/>
              <w:jc w:val="right"/>
              <w:rPr>
                <w:rFonts w:ascii="Arial (Body)" w:hAnsi="Arial (Body)"/>
                <w:color w:val="000000"/>
              </w:rPr>
            </w:pPr>
            <w:r w:rsidRPr="00E63CA7">
              <w:t>64</w:t>
            </w:r>
          </w:p>
        </w:tc>
      </w:tr>
      <w:tr w:rsidR="00696D3E" w:rsidRPr="00030C67" w14:paraId="00C4238A" w14:textId="77777777">
        <w:tc>
          <w:tcPr>
            <w:tcW w:w="405" w:type="pct"/>
            <w:tcBorders>
              <w:top w:val="nil"/>
              <w:bottom w:val="nil"/>
            </w:tcBorders>
            <w:shd w:val="clear" w:color="000000" w:fill="auto"/>
          </w:tcPr>
          <w:p w14:paraId="7FBF2615" w14:textId="77777777" w:rsidR="00696D3E" w:rsidRPr="00030C67" w:rsidRDefault="00696D3E">
            <w:pPr>
              <w:pStyle w:val="TableHeading"/>
            </w:pPr>
            <w:r w:rsidRPr="00635B50">
              <w:t>1996</w:t>
            </w:r>
          </w:p>
        </w:tc>
        <w:tc>
          <w:tcPr>
            <w:tcW w:w="227" w:type="pct"/>
            <w:tcBorders>
              <w:top w:val="nil"/>
              <w:bottom w:val="nil"/>
            </w:tcBorders>
            <w:shd w:val="clear" w:color="000000" w:fill="auto"/>
          </w:tcPr>
          <w:p w14:paraId="6324DD33" w14:textId="77777777" w:rsidR="00696D3E" w:rsidRPr="00030C67" w:rsidRDefault="00696D3E">
            <w:pPr>
              <w:pStyle w:val="TableBody"/>
              <w:spacing w:before="45" w:after="45"/>
              <w:ind w:right="57"/>
              <w:jc w:val="right"/>
              <w:rPr>
                <w:rFonts w:ascii="Arial (Body)" w:hAnsi="Arial (Body)"/>
                <w:color w:val="000000"/>
              </w:rPr>
            </w:pPr>
            <w:r w:rsidRPr="00DA3DF8">
              <w:t>69</w:t>
            </w:r>
          </w:p>
        </w:tc>
        <w:tc>
          <w:tcPr>
            <w:tcW w:w="227" w:type="pct"/>
            <w:tcBorders>
              <w:top w:val="nil"/>
              <w:bottom w:val="nil"/>
            </w:tcBorders>
            <w:shd w:val="clear" w:color="000000" w:fill="auto"/>
          </w:tcPr>
          <w:p w14:paraId="1846EB2F" w14:textId="77777777" w:rsidR="00696D3E" w:rsidRDefault="00696D3E">
            <w:pPr>
              <w:pStyle w:val="TableBody"/>
              <w:spacing w:before="45" w:after="45"/>
              <w:ind w:right="57"/>
              <w:jc w:val="right"/>
              <w:rPr>
                <w:rFonts w:ascii="Arial (Body)" w:hAnsi="Arial (Body)"/>
                <w:color w:val="000000"/>
              </w:rPr>
            </w:pPr>
            <w:r w:rsidRPr="00DA3DF8">
              <w:t>29</w:t>
            </w:r>
          </w:p>
        </w:tc>
        <w:tc>
          <w:tcPr>
            <w:tcW w:w="227" w:type="pct"/>
            <w:tcBorders>
              <w:top w:val="nil"/>
              <w:bottom w:val="nil"/>
            </w:tcBorders>
            <w:shd w:val="clear" w:color="000000" w:fill="auto"/>
          </w:tcPr>
          <w:p w14:paraId="73B93500" w14:textId="77777777" w:rsidR="00696D3E" w:rsidRDefault="00696D3E">
            <w:pPr>
              <w:pStyle w:val="TableBody"/>
              <w:spacing w:before="45" w:after="45"/>
              <w:ind w:right="57"/>
              <w:jc w:val="right"/>
              <w:rPr>
                <w:rFonts w:ascii="Arial (Body)" w:hAnsi="Arial (Body)"/>
                <w:color w:val="000000"/>
              </w:rPr>
            </w:pPr>
            <w:r w:rsidRPr="00DA3DF8">
              <w:t>64</w:t>
            </w:r>
          </w:p>
        </w:tc>
        <w:tc>
          <w:tcPr>
            <w:tcW w:w="227" w:type="pct"/>
            <w:tcBorders>
              <w:top w:val="nil"/>
              <w:bottom w:val="nil"/>
            </w:tcBorders>
            <w:shd w:val="clear" w:color="000000" w:fill="auto"/>
          </w:tcPr>
          <w:p w14:paraId="2333336B" w14:textId="77777777" w:rsidR="00696D3E" w:rsidRDefault="00696D3E">
            <w:pPr>
              <w:pStyle w:val="TableBody"/>
              <w:spacing w:before="45" w:after="45"/>
              <w:ind w:right="57"/>
              <w:jc w:val="right"/>
              <w:rPr>
                <w:rFonts w:ascii="Arial (Body)" w:hAnsi="Arial (Body)"/>
                <w:color w:val="000000"/>
              </w:rPr>
            </w:pPr>
            <w:r w:rsidRPr="00DA3DF8">
              <w:t>38</w:t>
            </w:r>
          </w:p>
        </w:tc>
        <w:tc>
          <w:tcPr>
            <w:tcW w:w="227" w:type="pct"/>
            <w:tcBorders>
              <w:top w:val="nil"/>
              <w:bottom w:val="nil"/>
            </w:tcBorders>
            <w:shd w:val="clear" w:color="000000" w:fill="auto"/>
          </w:tcPr>
          <w:p w14:paraId="7E48516E" w14:textId="77777777" w:rsidR="00696D3E" w:rsidRDefault="00696D3E">
            <w:pPr>
              <w:pStyle w:val="TableBody"/>
              <w:spacing w:before="45" w:after="45"/>
              <w:ind w:right="57"/>
              <w:jc w:val="right"/>
              <w:rPr>
                <w:rFonts w:ascii="Arial (Body)" w:hAnsi="Arial (Body)"/>
                <w:color w:val="000000"/>
              </w:rPr>
            </w:pPr>
            <w:r w:rsidRPr="00DA3DF8">
              <w:t>80</w:t>
            </w:r>
          </w:p>
        </w:tc>
        <w:tc>
          <w:tcPr>
            <w:tcW w:w="227" w:type="pct"/>
            <w:tcBorders>
              <w:top w:val="nil"/>
              <w:bottom w:val="nil"/>
            </w:tcBorders>
            <w:shd w:val="clear" w:color="000000" w:fill="auto"/>
          </w:tcPr>
          <w:p w14:paraId="3768E6B1" w14:textId="77777777" w:rsidR="00696D3E" w:rsidRDefault="00696D3E">
            <w:pPr>
              <w:pStyle w:val="TableBody"/>
              <w:spacing w:before="45" w:after="45"/>
              <w:ind w:right="57"/>
              <w:jc w:val="right"/>
              <w:rPr>
                <w:rFonts w:ascii="Arial (Body)" w:hAnsi="Arial (Body)"/>
                <w:color w:val="000000"/>
              </w:rPr>
            </w:pPr>
            <w:r w:rsidRPr="00DA3DF8">
              <w:t>63</w:t>
            </w:r>
          </w:p>
        </w:tc>
        <w:tc>
          <w:tcPr>
            <w:tcW w:w="227" w:type="pct"/>
            <w:tcBorders>
              <w:top w:val="nil"/>
              <w:bottom w:val="nil"/>
            </w:tcBorders>
            <w:shd w:val="clear" w:color="000000" w:fill="auto"/>
          </w:tcPr>
          <w:p w14:paraId="4E66E659" w14:textId="77777777" w:rsidR="00696D3E" w:rsidRDefault="00696D3E">
            <w:pPr>
              <w:pStyle w:val="TableBody"/>
              <w:spacing w:before="45" w:after="45"/>
              <w:ind w:right="57"/>
              <w:jc w:val="right"/>
              <w:rPr>
                <w:rFonts w:ascii="Arial (Body)" w:hAnsi="Arial (Body)"/>
                <w:color w:val="000000"/>
              </w:rPr>
            </w:pPr>
            <w:r w:rsidRPr="00DA3DF8">
              <w:t>79</w:t>
            </w:r>
          </w:p>
        </w:tc>
        <w:tc>
          <w:tcPr>
            <w:tcW w:w="227" w:type="pct"/>
            <w:tcBorders>
              <w:top w:val="nil"/>
              <w:bottom w:val="nil"/>
            </w:tcBorders>
            <w:shd w:val="clear" w:color="000000" w:fill="auto"/>
          </w:tcPr>
          <w:p w14:paraId="5C9FBA33" w14:textId="77777777" w:rsidR="00696D3E" w:rsidRDefault="00696D3E">
            <w:pPr>
              <w:pStyle w:val="TableBody"/>
              <w:spacing w:before="45" w:after="45"/>
              <w:ind w:right="57"/>
              <w:jc w:val="right"/>
              <w:rPr>
                <w:rFonts w:ascii="Arial (Body)" w:hAnsi="Arial (Body)"/>
                <w:color w:val="000000"/>
              </w:rPr>
            </w:pPr>
            <w:r w:rsidRPr="00DA3DF8">
              <w:t>97</w:t>
            </w:r>
          </w:p>
        </w:tc>
        <w:tc>
          <w:tcPr>
            <w:tcW w:w="227" w:type="pct"/>
            <w:tcBorders>
              <w:top w:val="nil"/>
              <w:bottom w:val="nil"/>
            </w:tcBorders>
            <w:shd w:val="clear" w:color="000000" w:fill="auto"/>
          </w:tcPr>
          <w:p w14:paraId="76B71682" w14:textId="77777777" w:rsidR="00696D3E" w:rsidRDefault="00696D3E">
            <w:pPr>
              <w:pStyle w:val="TableBody"/>
              <w:spacing w:before="45" w:after="45"/>
              <w:ind w:right="57"/>
              <w:jc w:val="right"/>
              <w:rPr>
                <w:rFonts w:ascii="Arial (Body)" w:hAnsi="Arial (Body)"/>
                <w:color w:val="000000"/>
              </w:rPr>
            </w:pPr>
            <w:r w:rsidRPr="00DA3DF8">
              <w:t>74</w:t>
            </w:r>
          </w:p>
        </w:tc>
        <w:tc>
          <w:tcPr>
            <w:tcW w:w="227" w:type="pct"/>
            <w:tcBorders>
              <w:top w:val="nil"/>
              <w:bottom w:val="nil"/>
            </w:tcBorders>
            <w:shd w:val="clear" w:color="000000" w:fill="auto"/>
          </w:tcPr>
          <w:p w14:paraId="68E76D37" w14:textId="77777777" w:rsidR="00696D3E" w:rsidRDefault="00696D3E">
            <w:pPr>
              <w:pStyle w:val="TableBody"/>
              <w:spacing w:before="45" w:after="45"/>
              <w:ind w:right="57"/>
              <w:jc w:val="right"/>
              <w:rPr>
                <w:rFonts w:ascii="Arial (Body)" w:hAnsi="Arial (Body)"/>
                <w:color w:val="000000"/>
              </w:rPr>
            </w:pPr>
            <w:r w:rsidRPr="00DA3DF8">
              <w:t>43</w:t>
            </w:r>
          </w:p>
        </w:tc>
        <w:tc>
          <w:tcPr>
            <w:tcW w:w="227" w:type="pct"/>
            <w:tcBorders>
              <w:top w:val="nil"/>
              <w:bottom w:val="nil"/>
            </w:tcBorders>
            <w:shd w:val="clear" w:color="000000" w:fill="auto"/>
          </w:tcPr>
          <w:p w14:paraId="1155B7B7" w14:textId="77777777" w:rsidR="00696D3E" w:rsidRDefault="00696D3E">
            <w:pPr>
              <w:pStyle w:val="TableBody"/>
              <w:spacing w:before="45" w:after="45"/>
              <w:ind w:right="57"/>
              <w:jc w:val="right"/>
              <w:rPr>
                <w:rFonts w:ascii="Arial (Body)" w:hAnsi="Arial (Body)"/>
                <w:color w:val="000000"/>
              </w:rPr>
            </w:pPr>
            <w:r w:rsidRPr="00DA3DF8">
              <w:t>41</w:t>
            </w:r>
          </w:p>
        </w:tc>
        <w:tc>
          <w:tcPr>
            <w:tcW w:w="227" w:type="pct"/>
            <w:tcBorders>
              <w:top w:val="nil"/>
              <w:bottom w:val="nil"/>
            </w:tcBorders>
            <w:shd w:val="clear" w:color="000000" w:fill="auto"/>
          </w:tcPr>
          <w:p w14:paraId="2075AE11" w14:textId="77777777" w:rsidR="00696D3E" w:rsidRDefault="00696D3E">
            <w:pPr>
              <w:pStyle w:val="TableBody"/>
              <w:spacing w:before="45" w:after="45"/>
              <w:ind w:right="57"/>
              <w:jc w:val="right"/>
              <w:rPr>
                <w:rFonts w:ascii="Arial (Body)" w:hAnsi="Arial (Body)"/>
                <w:color w:val="000000"/>
              </w:rPr>
            </w:pPr>
            <w:r w:rsidRPr="00DA3DF8">
              <w:t>44</w:t>
            </w:r>
          </w:p>
        </w:tc>
        <w:tc>
          <w:tcPr>
            <w:tcW w:w="227" w:type="pct"/>
            <w:tcBorders>
              <w:top w:val="nil"/>
              <w:bottom w:val="nil"/>
            </w:tcBorders>
            <w:shd w:val="clear" w:color="000000" w:fill="auto"/>
          </w:tcPr>
          <w:p w14:paraId="5DA379B2" w14:textId="77777777" w:rsidR="00696D3E" w:rsidRDefault="00696D3E">
            <w:pPr>
              <w:pStyle w:val="TableBody"/>
              <w:spacing w:before="45" w:after="45"/>
              <w:ind w:right="57"/>
              <w:jc w:val="right"/>
              <w:rPr>
                <w:rFonts w:ascii="Arial (Body)" w:hAnsi="Arial (Body)"/>
                <w:color w:val="000000"/>
              </w:rPr>
            </w:pPr>
            <w:r w:rsidRPr="00DA3DF8">
              <w:t>109</w:t>
            </w:r>
          </w:p>
        </w:tc>
        <w:tc>
          <w:tcPr>
            <w:tcW w:w="227" w:type="pct"/>
            <w:tcBorders>
              <w:top w:val="nil"/>
              <w:bottom w:val="nil"/>
            </w:tcBorders>
            <w:shd w:val="clear" w:color="000000" w:fill="auto"/>
          </w:tcPr>
          <w:p w14:paraId="6380925B" w14:textId="77777777" w:rsidR="00696D3E" w:rsidRDefault="00696D3E">
            <w:pPr>
              <w:pStyle w:val="TableBody"/>
              <w:spacing w:before="45" w:after="45"/>
              <w:ind w:right="57"/>
              <w:jc w:val="right"/>
              <w:rPr>
                <w:rFonts w:ascii="Arial (Body)" w:hAnsi="Arial (Body)"/>
                <w:color w:val="000000"/>
              </w:rPr>
            </w:pPr>
            <w:r w:rsidRPr="00DA3DF8">
              <w:t>107</w:t>
            </w:r>
          </w:p>
        </w:tc>
        <w:tc>
          <w:tcPr>
            <w:tcW w:w="227" w:type="pct"/>
            <w:tcBorders>
              <w:top w:val="nil"/>
              <w:bottom w:val="nil"/>
            </w:tcBorders>
            <w:shd w:val="clear" w:color="000000" w:fill="auto"/>
          </w:tcPr>
          <w:p w14:paraId="567B8E17" w14:textId="77777777" w:rsidR="00696D3E" w:rsidRDefault="00696D3E">
            <w:pPr>
              <w:pStyle w:val="TableBody"/>
              <w:spacing w:before="45" w:after="45"/>
              <w:ind w:right="57"/>
              <w:jc w:val="right"/>
              <w:rPr>
                <w:rFonts w:ascii="Arial (Body)" w:hAnsi="Arial (Body)"/>
                <w:color w:val="000000"/>
              </w:rPr>
            </w:pPr>
            <w:r w:rsidRPr="00DA3DF8">
              <w:t>83</w:t>
            </w:r>
          </w:p>
        </w:tc>
        <w:tc>
          <w:tcPr>
            <w:tcW w:w="227" w:type="pct"/>
            <w:tcBorders>
              <w:top w:val="nil"/>
              <w:bottom w:val="nil"/>
            </w:tcBorders>
            <w:shd w:val="clear" w:color="000000" w:fill="auto"/>
          </w:tcPr>
          <w:p w14:paraId="5D06EACF" w14:textId="77777777" w:rsidR="00696D3E" w:rsidRPr="00030C67" w:rsidRDefault="00696D3E">
            <w:pPr>
              <w:pStyle w:val="TableBody"/>
              <w:spacing w:before="45" w:after="45"/>
              <w:ind w:right="57"/>
              <w:jc w:val="right"/>
              <w:rPr>
                <w:rFonts w:ascii="Arial (Body)" w:hAnsi="Arial (Body)"/>
                <w:color w:val="000000"/>
              </w:rPr>
            </w:pPr>
            <w:r w:rsidRPr="00DA3DF8">
              <w:t>90</w:t>
            </w:r>
          </w:p>
        </w:tc>
        <w:tc>
          <w:tcPr>
            <w:tcW w:w="227" w:type="pct"/>
            <w:tcBorders>
              <w:top w:val="nil"/>
              <w:bottom w:val="nil"/>
            </w:tcBorders>
            <w:shd w:val="clear" w:color="000000" w:fill="auto"/>
          </w:tcPr>
          <w:p w14:paraId="6D6AFAF6" w14:textId="77777777" w:rsidR="00696D3E" w:rsidRPr="00030C67" w:rsidRDefault="00696D3E">
            <w:pPr>
              <w:pStyle w:val="TableBody"/>
              <w:spacing w:before="45" w:after="45"/>
              <w:ind w:right="57"/>
              <w:jc w:val="right"/>
              <w:rPr>
                <w:rFonts w:ascii="Arial (Body)" w:hAnsi="Arial (Body)"/>
                <w:color w:val="000000"/>
              </w:rPr>
            </w:pPr>
            <w:r w:rsidRPr="00DA3DF8">
              <w:t>87</w:t>
            </w:r>
          </w:p>
        </w:tc>
        <w:tc>
          <w:tcPr>
            <w:tcW w:w="227" w:type="pct"/>
            <w:tcBorders>
              <w:top w:val="nil"/>
              <w:bottom w:val="nil"/>
            </w:tcBorders>
            <w:shd w:val="clear" w:color="000000" w:fill="auto"/>
          </w:tcPr>
          <w:p w14:paraId="3C2AA18F" w14:textId="77777777" w:rsidR="00696D3E" w:rsidRPr="00030C67" w:rsidRDefault="00696D3E">
            <w:pPr>
              <w:pStyle w:val="TableBody"/>
              <w:spacing w:before="45" w:after="45"/>
              <w:ind w:right="57"/>
              <w:jc w:val="right"/>
              <w:rPr>
                <w:rFonts w:ascii="Arial (Body)" w:hAnsi="Arial (Body)"/>
                <w:color w:val="000000"/>
              </w:rPr>
            </w:pPr>
            <w:r w:rsidRPr="00DA3DF8">
              <w:t>96</w:t>
            </w:r>
          </w:p>
        </w:tc>
        <w:tc>
          <w:tcPr>
            <w:tcW w:w="227" w:type="pct"/>
            <w:tcBorders>
              <w:top w:val="nil"/>
              <w:bottom w:val="nil"/>
            </w:tcBorders>
            <w:shd w:val="clear" w:color="000000" w:fill="auto"/>
          </w:tcPr>
          <w:p w14:paraId="4A84BDE5" w14:textId="77777777" w:rsidR="00696D3E" w:rsidRPr="00030C67" w:rsidRDefault="00696D3E">
            <w:pPr>
              <w:pStyle w:val="TableBody"/>
              <w:spacing w:before="45" w:after="45"/>
              <w:ind w:right="57"/>
              <w:jc w:val="right"/>
              <w:rPr>
                <w:rFonts w:ascii="Arial (Body)" w:hAnsi="Arial (Body)"/>
                <w:color w:val="000000"/>
              </w:rPr>
            </w:pPr>
            <w:r w:rsidRPr="00DA3DF8">
              <w:t>85</w:t>
            </w:r>
          </w:p>
        </w:tc>
        <w:tc>
          <w:tcPr>
            <w:tcW w:w="282" w:type="pct"/>
            <w:tcBorders>
              <w:top w:val="nil"/>
              <w:bottom w:val="nil"/>
            </w:tcBorders>
            <w:shd w:val="clear" w:color="000000" w:fill="auto"/>
          </w:tcPr>
          <w:p w14:paraId="6175D6F3" w14:textId="77777777" w:rsidR="00696D3E" w:rsidRPr="00030C67" w:rsidRDefault="00696D3E">
            <w:pPr>
              <w:pStyle w:val="TableBody"/>
              <w:spacing w:before="45" w:after="45"/>
              <w:ind w:right="57"/>
              <w:jc w:val="right"/>
              <w:rPr>
                <w:rFonts w:ascii="Arial (Body)" w:hAnsi="Arial (Body)"/>
                <w:color w:val="000000"/>
              </w:rPr>
            </w:pPr>
            <w:r w:rsidRPr="00E63CA7">
              <w:t>64</w:t>
            </w:r>
          </w:p>
        </w:tc>
      </w:tr>
      <w:tr w:rsidR="00696D3E" w:rsidRPr="00030C67" w14:paraId="19BEF209" w14:textId="77777777">
        <w:tc>
          <w:tcPr>
            <w:tcW w:w="405" w:type="pct"/>
            <w:shd w:val="clear" w:color="000000" w:fill="F2F2F2"/>
          </w:tcPr>
          <w:p w14:paraId="7F9410E3" w14:textId="77777777" w:rsidR="00696D3E" w:rsidRPr="00030C67" w:rsidRDefault="00696D3E">
            <w:pPr>
              <w:pStyle w:val="TableHeading"/>
            </w:pPr>
            <w:r w:rsidRPr="00635B50">
              <w:t>1997</w:t>
            </w:r>
          </w:p>
        </w:tc>
        <w:tc>
          <w:tcPr>
            <w:tcW w:w="227" w:type="pct"/>
            <w:shd w:val="clear" w:color="000000" w:fill="F2F2F2"/>
          </w:tcPr>
          <w:p w14:paraId="6E58D7AA" w14:textId="77777777" w:rsidR="00696D3E" w:rsidRPr="00030C67" w:rsidRDefault="00696D3E">
            <w:pPr>
              <w:pStyle w:val="TableBody"/>
              <w:spacing w:before="45" w:after="45"/>
              <w:ind w:right="57"/>
              <w:jc w:val="right"/>
              <w:rPr>
                <w:rFonts w:ascii="Arial (Body)" w:hAnsi="Arial (Body)"/>
                <w:color w:val="000000"/>
              </w:rPr>
            </w:pPr>
            <w:r w:rsidRPr="00DA3DF8">
              <w:t>74</w:t>
            </w:r>
          </w:p>
        </w:tc>
        <w:tc>
          <w:tcPr>
            <w:tcW w:w="227" w:type="pct"/>
            <w:shd w:val="clear" w:color="000000" w:fill="F2F2F2"/>
          </w:tcPr>
          <w:p w14:paraId="61567C3B" w14:textId="77777777" w:rsidR="00696D3E" w:rsidRDefault="00696D3E">
            <w:pPr>
              <w:pStyle w:val="TableBody"/>
              <w:spacing w:before="45" w:after="45"/>
              <w:ind w:right="57"/>
              <w:jc w:val="right"/>
              <w:rPr>
                <w:rFonts w:ascii="Arial (Body)" w:hAnsi="Arial (Body)"/>
                <w:color w:val="000000"/>
              </w:rPr>
            </w:pPr>
            <w:r w:rsidRPr="00DA3DF8">
              <w:t>30</w:t>
            </w:r>
          </w:p>
        </w:tc>
        <w:tc>
          <w:tcPr>
            <w:tcW w:w="227" w:type="pct"/>
            <w:shd w:val="clear" w:color="000000" w:fill="F2F2F2"/>
          </w:tcPr>
          <w:p w14:paraId="4DE8DDCA" w14:textId="77777777" w:rsidR="00696D3E" w:rsidRDefault="00696D3E">
            <w:pPr>
              <w:pStyle w:val="TableBody"/>
              <w:spacing w:before="45" w:after="45"/>
              <w:ind w:right="57"/>
              <w:jc w:val="right"/>
              <w:rPr>
                <w:rFonts w:ascii="Arial (Body)" w:hAnsi="Arial (Body)"/>
                <w:color w:val="000000"/>
              </w:rPr>
            </w:pPr>
            <w:r w:rsidRPr="00DA3DF8">
              <w:t>63</w:t>
            </w:r>
          </w:p>
        </w:tc>
        <w:tc>
          <w:tcPr>
            <w:tcW w:w="227" w:type="pct"/>
            <w:shd w:val="clear" w:color="000000" w:fill="F2F2F2"/>
          </w:tcPr>
          <w:p w14:paraId="79917FF9" w14:textId="77777777" w:rsidR="00696D3E" w:rsidRDefault="00696D3E">
            <w:pPr>
              <w:pStyle w:val="TableBody"/>
              <w:spacing w:before="45" w:after="45"/>
              <w:ind w:right="57"/>
              <w:jc w:val="right"/>
              <w:rPr>
                <w:rFonts w:ascii="Arial (Body)" w:hAnsi="Arial (Body)"/>
                <w:color w:val="000000"/>
              </w:rPr>
            </w:pPr>
            <w:r w:rsidRPr="00DA3DF8">
              <w:t>36</w:t>
            </w:r>
          </w:p>
        </w:tc>
        <w:tc>
          <w:tcPr>
            <w:tcW w:w="227" w:type="pct"/>
            <w:shd w:val="clear" w:color="000000" w:fill="F2F2F2"/>
          </w:tcPr>
          <w:p w14:paraId="5DE75B62" w14:textId="77777777" w:rsidR="00696D3E" w:rsidRDefault="00696D3E">
            <w:pPr>
              <w:pStyle w:val="TableBody"/>
              <w:spacing w:before="45" w:after="45"/>
              <w:ind w:right="57"/>
              <w:jc w:val="right"/>
              <w:rPr>
                <w:rFonts w:ascii="Arial (Body)" w:hAnsi="Arial (Body)"/>
                <w:color w:val="000000"/>
              </w:rPr>
            </w:pPr>
            <w:r w:rsidRPr="00DA3DF8">
              <w:t>75</w:t>
            </w:r>
          </w:p>
        </w:tc>
        <w:tc>
          <w:tcPr>
            <w:tcW w:w="227" w:type="pct"/>
            <w:shd w:val="clear" w:color="000000" w:fill="F2F2F2"/>
          </w:tcPr>
          <w:p w14:paraId="0FA9960C" w14:textId="77777777" w:rsidR="00696D3E" w:rsidRDefault="00696D3E">
            <w:pPr>
              <w:pStyle w:val="TableBody"/>
              <w:spacing w:before="45" w:after="45"/>
              <w:ind w:right="57"/>
              <w:jc w:val="right"/>
              <w:rPr>
                <w:rFonts w:ascii="Arial (Body)" w:hAnsi="Arial (Body)"/>
                <w:color w:val="000000"/>
              </w:rPr>
            </w:pPr>
            <w:r w:rsidRPr="00DA3DF8">
              <w:t>66</w:t>
            </w:r>
          </w:p>
        </w:tc>
        <w:tc>
          <w:tcPr>
            <w:tcW w:w="227" w:type="pct"/>
            <w:shd w:val="clear" w:color="000000" w:fill="F2F2F2"/>
          </w:tcPr>
          <w:p w14:paraId="77EDFCDC" w14:textId="77777777" w:rsidR="00696D3E" w:rsidRDefault="00696D3E">
            <w:pPr>
              <w:pStyle w:val="TableBody"/>
              <w:spacing w:before="45" w:after="45"/>
              <w:ind w:right="57"/>
              <w:jc w:val="right"/>
              <w:rPr>
                <w:rFonts w:ascii="Arial (Body)" w:hAnsi="Arial (Body)"/>
                <w:color w:val="000000"/>
              </w:rPr>
            </w:pPr>
            <w:r w:rsidRPr="00DA3DF8">
              <w:t>82</w:t>
            </w:r>
          </w:p>
        </w:tc>
        <w:tc>
          <w:tcPr>
            <w:tcW w:w="227" w:type="pct"/>
            <w:shd w:val="clear" w:color="000000" w:fill="F2F2F2"/>
          </w:tcPr>
          <w:p w14:paraId="000A6E19" w14:textId="77777777" w:rsidR="00696D3E" w:rsidRDefault="00696D3E">
            <w:pPr>
              <w:pStyle w:val="TableBody"/>
              <w:spacing w:before="45" w:after="45"/>
              <w:ind w:right="57"/>
              <w:jc w:val="right"/>
              <w:rPr>
                <w:rFonts w:ascii="Arial (Body)" w:hAnsi="Arial (Body)"/>
                <w:color w:val="000000"/>
              </w:rPr>
            </w:pPr>
            <w:r w:rsidRPr="00DA3DF8">
              <w:t>99</w:t>
            </w:r>
          </w:p>
        </w:tc>
        <w:tc>
          <w:tcPr>
            <w:tcW w:w="227" w:type="pct"/>
            <w:shd w:val="clear" w:color="000000" w:fill="F2F2F2"/>
          </w:tcPr>
          <w:p w14:paraId="2B2E7765" w14:textId="77777777" w:rsidR="00696D3E" w:rsidRDefault="00696D3E">
            <w:pPr>
              <w:pStyle w:val="TableBody"/>
              <w:spacing w:before="45" w:after="45"/>
              <w:ind w:right="57"/>
              <w:jc w:val="right"/>
              <w:rPr>
                <w:rFonts w:ascii="Arial (Body)" w:hAnsi="Arial (Body)"/>
                <w:color w:val="000000"/>
              </w:rPr>
            </w:pPr>
            <w:r w:rsidRPr="00DA3DF8">
              <w:t>80</w:t>
            </w:r>
          </w:p>
        </w:tc>
        <w:tc>
          <w:tcPr>
            <w:tcW w:w="227" w:type="pct"/>
            <w:shd w:val="clear" w:color="000000" w:fill="F2F2F2"/>
          </w:tcPr>
          <w:p w14:paraId="30A72E04" w14:textId="77777777" w:rsidR="00696D3E" w:rsidRDefault="00696D3E">
            <w:pPr>
              <w:pStyle w:val="TableBody"/>
              <w:spacing w:before="45" w:after="45"/>
              <w:ind w:right="57"/>
              <w:jc w:val="right"/>
              <w:rPr>
                <w:rFonts w:ascii="Arial (Body)" w:hAnsi="Arial (Body)"/>
                <w:color w:val="000000"/>
              </w:rPr>
            </w:pPr>
            <w:r w:rsidRPr="00DA3DF8">
              <w:t>41</w:t>
            </w:r>
          </w:p>
        </w:tc>
        <w:tc>
          <w:tcPr>
            <w:tcW w:w="227" w:type="pct"/>
            <w:shd w:val="clear" w:color="000000" w:fill="F2F2F2"/>
          </w:tcPr>
          <w:p w14:paraId="189D2C24" w14:textId="77777777" w:rsidR="00696D3E" w:rsidRDefault="00696D3E">
            <w:pPr>
              <w:pStyle w:val="TableBody"/>
              <w:spacing w:before="45" w:after="45"/>
              <w:ind w:right="57"/>
              <w:jc w:val="right"/>
              <w:rPr>
                <w:rFonts w:ascii="Arial (Body)" w:hAnsi="Arial (Body)"/>
                <w:color w:val="000000"/>
              </w:rPr>
            </w:pPr>
            <w:r w:rsidRPr="00DA3DF8">
              <w:t>42</w:t>
            </w:r>
          </w:p>
        </w:tc>
        <w:tc>
          <w:tcPr>
            <w:tcW w:w="227" w:type="pct"/>
            <w:shd w:val="clear" w:color="000000" w:fill="F2F2F2"/>
          </w:tcPr>
          <w:p w14:paraId="60B32F00" w14:textId="77777777" w:rsidR="00696D3E" w:rsidRDefault="00696D3E">
            <w:pPr>
              <w:pStyle w:val="TableBody"/>
              <w:spacing w:before="45" w:after="45"/>
              <w:ind w:right="57"/>
              <w:jc w:val="right"/>
              <w:rPr>
                <w:rFonts w:ascii="Arial (Body)" w:hAnsi="Arial (Body)"/>
                <w:color w:val="000000"/>
              </w:rPr>
            </w:pPr>
            <w:r w:rsidRPr="00DA3DF8">
              <w:t>43</w:t>
            </w:r>
          </w:p>
        </w:tc>
        <w:tc>
          <w:tcPr>
            <w:tcW w:w="227" w:type="pct"/>
            <w:shd w:val="clear" w:color="000000" w:fill="F2F2F2"/>
          </w:tcPr>
          <w:p w14:paraId="551F0F9B" w14:textId="77777777" w:rsidR="00696D3E" w:rsidRDefault="00696D3E">
            <w:pPr>
              <w:pStyle w:val="TableBody"/>
              <w:spacing w:before="45" w:after="45"/>
              <w:ind w:right="57"/>
              <w:jc w:val="right"/>
              <w:rPr>
                <w:rFonts w:ascii="Arial (Body)" w:hAnsi="Arial (Body)"/>
                <w:color w:val="000000"/>
              </w:rPr>
            </w:pPr>
            <w:r w:rsidRPr="00DA3DF8">
              <w:t>106</w:t>
            </w:r>
          </w:p>
        </w:tc>
        <w:tc>
          <w:tcPr>
            <w:tcW w:w="227" w:type="pct"/>
            <w:shd w:val="clear" w:color="000000" w:fill="F2F2F2"/>
          </w:tcPr>
          <w:p w14:paraId="23A689C6" w14:textId="77777777" w:rsidR="00696D3E" w:rsidRDefault="00696D3E">
            <w:pPr>
              <w:pStyle w:val="TableBody"/>
              <w:spacing w:before="45" w:after="45"/>
              <w:ind w:right="57"/>
              <w:jc w:val="right"/>
              <w:rPr>
                <w:rFonts w:ascii="Arial (Body)" w:hAnsi="Arial (Body)"/>
                <w:color w:val="000000"/>
              </w:rPr>
            </w:pPr>
            <w:r w:rsidRPr="00DA3DF8">
              <w:t>105</w:t>
            </w:r>
          </w:p>
        </w:tc>
        <w:tc>
          <w:tcPr>
            <w:tcW w:w="227" w:type="pct"/>
            <w:shd w:val="clear" w:color="000000" w:fill="F2F2F2"/>
          </w:tcPr>
          <w:p w14:paraId="470029F3" w14:textId="77777777" w:rsidR="00696D3E" w:rsidRDefault="00696D3E">
            <w:pPr>
              <w:pStyle w:val="TableBody"/>
              <w:spacing w:before="45" w:after="45"/>
              <w:ind w:right="57"/>
              <w:jc w:val="right"/>
              <w:rPr>
                <w:rFonts w:ascii="Arial (Body)" w:hAnsi="Arial (Body)"/>
                <w:color w:val="000000"/>
              </w:rPr>
            </w:pPr>
            <w:r w:rsidRPr="00DA3DF8">
              <w:t>84</w:t>
            </w:r>
          </w:p>
        </w:tc>
        <w:tc>
          <w:tcPr>
            <w:tcW w:w="227" w:type="pct"/>
            <w:shd w:val="clear" w:color="000000" w:fill="F2F2F2"/>
          </w:tcPr>
          <w:p w14:paraId="6C5631E1" w14:textId="77777777" w:rsidR="00696D3E" w:rsidRPr="00030C67" w:rsidRDefault="00696D3E">
            <w:pPr>
              <w:pStyle w:val="TableBody"/>
              <w:spacing w:before="45" w:after="45"/>
              <w:ind w:right="57"/>
              <w:jc w:val="right"/>
              <w:rPr>
                <w:rFonts w:ascii="Arial (Body)" w:hAnsi="Arial (Body)"/>
                <w:color w:val="000000"/>
              </w:rPr>
            </w:pPr>
            <w:r w:rsidRPr="00DA3DF8">
              <w:t>91</w:t>
            </w:r>
          </w:p>
        </w:tc>
        <w:tc>
          <w:tcPr>
            <w:tcW w:w="227" w:type="pct"/>
            <w:shd w:val="clear" w:color="000000" w:fill="F2F2F2"/>
          </w:tcPr>
          <w:p w14:paraId="41C48670" w14:textId="77777777" w:rsidR="00696D3E" w:rsidRPr="00030C67" w:rsidRDefault="00696D3E">
            <w:pPr>
              <w:pStyle w:val="TableBody"/>
              <w:spacing w:before="45" w:after="45"/>
              <w:ind w:right="57"/>
              <w:jc w:val="right"/>
              <w:rPr>
                <w:rFonts w:ascii="Arial (Body)" w:hAnsi="Arial (Body)"/>
                <w:color w:val="000000"/>
              </w:rPr>
            </w:pPr>
            <w:r w:rsidRPr="00DA3DF8">
              <w:t>88</w:t>
            </w:r>
          </w:p>
        </w:tc>
        <w:tc>
          <w:tcPr>
            <w:tcW w:w="227" w:type="pct"/>
            <w:shd w:val="clear" w:color="000000" w:fill="F2F2F2"/>
          </w:tcPr>
          <w:p w14:paraId="2B6660B6" w14:textId="77777777" w:rsidR="00696D3E" w:rsidRPr="00030C67" w:rsidRDefault="00696D3E">
            <w:pPr>
              <w:pStyle w:val="TableBody"/>
              <w:spacing w:before="45" w:after="45"/>
              <w:ind w:right="57"/>
              <w:jc w:val="right"/>
              <w:rPr>
                <w:rFonts w:ascii="Arial (Body)" w:hAnsi="Arial (Body)"/>
                <w:color w:val="000000"/>
              </w:rPr>
            </w:pPr>
            <w:r w:rsidRPr="00DA3DF8">
              <w:t>94</w:t>
            </w:r>
          </w:p>
        </w:tc>
        <w:tc>
          <w:tcPr>
            <w:tcW w:w="227" w:type="pct"/>
            <w:shd w:val="clear" w:color="000000" w:fill="F2F2F2"/>
          </w:tcPr>
          <w:p w14:paraId="119900C9" w14:textId="77777777" w:rsidR="00696D3E" w:rsidRPr="00030C67" w:rsidRDefault="00696D3E">
            <w:pPr>
              <w:pStyle w:val="TableBody"/>
              <w:spacing w:before="45" w:after="45"/>
              <w:ind w:right="57"/>
              <w:jc w:val="right"/>
              <w:rPr>
                <w:rFonts w:ascii="Arial (Body)" w:hAnsi="Arial (Body)"/>
                <w:color w:val="000000"/>
              </w:rPr>
            </w:pPr>
            <w:r w:rsidRPr="00DA3DF8">
              <w:t>87</w:t>
            </w:r>
          </w:p>
        </w:tc>
        <w:tc>
          <w:tcPr>
            <w:tcW w:w="282" w:type="pct"/>
            <w:shd w:val="clear" w:color="000000" w:fill="F2F2F2"/>
          </w:tcPr>
          <w:p w14:paraId="35BFCA41" w14:textId="77777777" w:rsidR="00696D3E" w:rsidRPr="00030C67" w:rsidRDefault="00696D3E">
            <w:pPr>
              <w:pStyle w:val="TableBody"/>
              <w:spacing w:before="45" w:after="45"/>
              <w:ind w:right="57"/>
              <w:jc w:val="right"/>
              <w:rPr>
                <w:rFonts w:ascii="Arial (Body)" w:hAnsi="Arial (Body)"/>
                <w:color w:val="000000"/>
              </w:rPr>
            </w:pPr>
            <w:r w:rsidRPr="00E63CA7">
              <w:t>65</w:t>
            </w:r>
          </w:p>
        </w:tc>
      </w:tr>
      <w:tr w:rsidR="00696D3E" w:rsidRPr="00030C67" w14:paraId="62C7821B" w14:textId="77777777">
        <w:tc>
          <w:tcPr>
            <w:tcW w:w="405" w:type="pct"/>
            <w:shd w:val="clear" w:color="auto" w:fill="auto"/>
          </w:tcPr>
          <w:p w14:paraId="4D58159E" w14:textId="77777777" w:rsidR="00696D3E" w:rsidRPr="00030C67" w:rsidRDefault="00696D3E">
            <w:pPr>
              <w:pStyle w:val="TableHeading"/>
            </w:pPr>
            <w:r w:rsidRPr="00635B50">
              <w:t>1998</w:t>
            </w:r>
          </w:p>
        </w:tc>
        <w:tc>
          <w:tcPr>
            <w:tcW w:w="227" w:type="pct"/>
            <w:shd w:val="clear" w:color="auto" w:fill="auto"/>
          </w:tcPr>
          <w:p w14:paraId="474219C7" w14:textId="77777777" w:rsidR="00696D3E" w:rsidRDefault="00696D3E">
            <w:pPr>
              <w:pStyle w:val="TableBody"/>
              <w:spacing w:before="45" w:after="45"/>
              <w:ind w:right="57"/>
              <w:jc w:val="right"/>
              <w:rPr>
                <w:rFonts w:ascii="Arial (Body)" w:hAnsi="Arial (Body)"/>
                <w:color w:val="000000"/>
              </w:rPr>
            </w:pPr>
            <w:r w:rsidRPr="00DA3DF8">
              <w:t>72</w:t>
            </w:r>
          </w:p>
        </w:tc>
        <w:tc>
          <w:tcPr>
            <w:tcW w:w="227" w:type="pct"/>
            <w:shd w:val="clear" w:color="auto" w:fill="auto"/>
          </w:tcPr>
          <w:p w14:paraId="4DE3B6CB" w14:textId="77777777" w:rsidR="00696D3E" w:rsidRDefault="00696D3E">
            <w:pPr>
              <w:pStyle w:val="TableBody"/>
              <w:spacing w:before="45" w:after="45"/>
              <w:ind w:right="57"/>
              <w:jc w:val="right"/>
              <w:rPr>
                <w:rFonts w:ascii="Arial (Body)" w:hAnsi="Arial (Body)"/>
                <w:color w:val="000000"/>
              </w:rPr>
            </w:pPr>
            <w:r w:rsidRPr="00DA3DF8">
              <w:t>29</w:t>
            </w:r>
          </w:p>
        </w:tc>
        <w:tc>
          <w:tcPr>
            <w:tcW w:w="227" w:type="pct"/>
            <w:shd w:val="clear" w:color="auto" w:fill="auto"/>
          </w:tcPr>
          <w:p w14:paraId="33E858DF" w14:textId="77777777" w:rsidR="00696D3E" w:rsidRDefault="00696D3E">
            <w:pPr>
              <w:pStyle w:val="TableBody"/>
              <w:spacing w:before="45" w:after="45"/>
              <w:ind w:right="57"/>
              <w:jc w:val="right"/>
              <w:rPr>
                <w:rFonts w:ascii="Arial (Body)" w:hAnsi="Arial (Body)"/>
                <w:color w:val="000000"/>
              </w:rPr>
            </w:pPr>
            <w:r w:rsidRPr="00DA3DF8">
              <w:t>61</w:t>
            </w:r>
          </w:p>
        </w:tc>
        <w:tc>
          <w:tcPr>
            <w:tcW w:w="227" w:type="pct"/>
            <w:shd w:val="clear" w:color="auto" w:fill="auto"/>
          </w:tcPr>
          <w:p w14:paraId="73A635A8" w14:textId="77777777" w:rsidR="00696D3E" w:rsidRDefault="00696D3E">
            <w:pPr>
              <w:pStyle w:val="TableBody"/>
              <w:spacing w:before="45" w:after="45"/>
              <w:ind w:right="57"/>
              <w:jc w:val="right"/>
              <w:rPr>
                <w:rFonts w:ascii="Arial (Body)" w:hAnsi="Arial (Body)"/>
                <w:color w:val="000000"/>
              </w:rPr>
            </w:pPr>
            <w:r w:rsidRPr="00DA3DF8">
              <w:t>31</w:t>
            </w:r>
          </w:p>
        </w:tc>
        <w:tc>
          <w:tcPr>
            <w:tcW w:w="227" w:type="pct"/>
            <w:shd w:val="clear" w:color="auto" w:fill="auto"/>
          </w:tcPr>
          <w:p w14:paraId="4A655548" w14:textId="77777777" w:rsidR="00696D3E" w:rsidRDefault="00696D3E">
            <w:pPr>
              <w:pStyle w:val="TableBody"/>
              <w:spacing w:before="45" w:after="45"/>
              <w:ind w:right="57"/>
              <w:jc w:val="right"/>
              <w:rPr>
                <w:rFonts w:ascii="Arial (Body)" w:hAnsi="Arial (Body)"/>
                <w:color w:val="000000"/>
              </w:rPr>
            </w:pPr>
            <w:r w:rsidRPr="00DA3DF8">
              <w:t>75</w:t>
            </w:r>
          </w:p>
        </w:tc>
        <w:tc>
          <w:tcPr>
            <w:tcW w:w="227" w:type="pct"/>
            <w:shd w:val="clear" w:color="auto" w:fill="auto"/>
          </w:tcPr>
          <w:p w14:paraId="2C8590B0" w14:textId="77777777" w:rsidR="00696D3E" w:rsidRDefault="00696D3E">
            <w:pPr>
              <w:pStyle w:val="TableBody"/>
              <w:spacing w:before="45" w:after="45"/>
              <w:ind w:right="57"/>
              <w:jc w:val="right"/>
              <w:rPr>
                <w:rFonts w:ascii="Arial (Body)" w:hAnsi="Arial (Body)"/>
                <w:color w:val="000000"/>
              </w:rPr>
            </w:pPr>
            <w:r w:rsidRPr="00DA3DF8">
              <w:t>69</w:t>
            </w:r>
          </w:p>
        </w:tc>
        <w:tc>
          <w:tcPr>
            <w:tcW w:w="227" w:type="pct"/>
            <w:shd w:val="clear" w:color="auto" w:fill="auto"/>
          </w:tcPr>
          <w:p w14:paraId="1B0C6823" w14:textId="77777777" w:rsidR="00696D3E" w:rsidRDefault="00696D3E">
            <w:pPr>
              <w:pStyle w:val="TableBody"/>
              <w:spacing w:before="45" w:after="45"/>
              <w:ind w:right="57"/>
              <w:jc w:val="right"/>
              <w:rPr>
                <w:rFonts w:ascii="Arial (Body)" w:hAnsi="Arial (Body)"/>
                <w:color w:val="000000"/>
              </w:rPr>
            </w:pPr>
            <w:r w:rsidRPr="00DA3DF8">
              <w:t>82</w:t>
            </w:r>
          </w:p>
        </w:tc>
        <w:tc>
          <w:tcPr>
            <w:tcW w:w="227" w:type="pct"/>
            <w:shd w:val="clear" w:color="auto" w:fill="auto"/>
          </w:tcPr>
          <w:p w14:paraId="4603C308" w14:textId="77777777" w:rsidR="00696D3E" w:rsidRDefault="00696D3E">
            <w:pPr>
              <w:pStyle w:val="TableBody"/>
              <w:spacing w:before="45" w:after="45"/>
              <w:ind w:right="57"/>
              <w:jc w:val="right"/>
              <w:rPr>
                <w:rFonts w:ascii="Arial (Body)" w:hAnsi="Arial (Body)"/>
                <w:color w:val="000000"/>
              </w:rPr>
            </w:pPr>
            <w:r w:rsidRPr="00DA3DF8">
              <w:t>96</w:t>
            </w:r>
          </w:p>
        </w:tc>
        <w:tc>
          <w:tcPr>
            <w:tcW w:w="227" w:type="pct"/>
            <w:shd w:val="clear" w:color="auto" w:fill="auto"/>
          </w:tcPr>
          <w:p w14:paraId="195DEC37" w14:textId="77777777" w:rsidR="00696D3E" w:rsidRDefault="00696D3E">
            <w:pPr>
              <w:pStyle w:val="TableBody"/>
              <w:spacing w:before="45" w:after="45"/>
              <w:ind w:right="57"/>
              <w:jc w:val="right"/>
              <w:rPr>
                <w:rFonts w:ascii="Arial (Body)" w:hAnsi="Arial (Body)"/>
                <w:color w:val="000000"/>
              </w:rPr>
            </w:pPr>
            <w:r w:rsidRPr="00DA3DF8">
              <w:t>75</w:t>
            </w:r>
          </w:p>
        </w:tc>
        <w:tc>
          <w:tcPr>
            <w:tcW w:w="227" w:type="pct"/>
            <w:shd w:val="clear" w:color="auto" w:fill="auto"/>
          </w:tcPr>
          <w:p w14:paraId="433BB972" w14:textId="77777777" w:rsidR="00696D3E" w:rsidRDefault="00696D3E">
            <w:pPr>
              <w:pStyle w:val="TableBody"/>
              <w:spacing w:before="45" w:after="45"/>
              <w:ind w:right="57"/>
              <w:jc w:val="right"/>
              <w:rPr>
                <w:rFonts w:ascii="Arial (Body)" w:hAnsi="Arial (Body)"/>
                <w:color w:val="000000"/>
              </w:rPr>
            </w:pPr>
            <w:r w:rsidRPr="00DA3DF8">
              <w:t>39</w:t>
            </w:r>
          </w:p>
        </w:tc>
        <w:tc>
          <w:tcPr>
            <w:tcW w:w="227" w:type="pct"/>
            <w:shd w:val="clear" w:color="auto" w:fill="auto"/>
          </w:tcPr>
          <w:p w14:paraId="65461E7B" w14:textId="77777777" w:rsidR="00696D3E" w:rsidRDefault="00696D3E">
            <w:pPr>
              <w:pStyle w:val="TableBody"/>
              <w:spacing w:before="45" w:after="45"/>
              <w:ind w:right="57"/>
              <w:jc w:val="right"/>
              <w:rPr>
                <w:rFonts w:ascii="Arial (Body)" w:hAnsi="Arial (Body)"/>
                <w:color w:val="000000"/>
              </w:rPr>
            </w:pPr>
            <w:r w:rsidRPr="00DA3DF8">
              <w:t>43</w:t>
            </w:r>
          </w:p>
        </w:tc>
        <w:tc>
          <w:tcPr>
            <w:tcW w:w="227" w:type="pct"/>
            <w:shd w:val="clear" w:color="auto" w:fill="auto"/>
          </w:tcPr>
          <w:p w14:paraId="4E0C4D3E" w14:textId="77777777" w:rsidR="00696D3E" w:rsidRDefault="00696D3E">
            <w:pPr>
              <w:pStyle w:val="TableBody"/>
              <w:spacing w:before="45" w:after="45"/>
              <w:ind w:right="57"/>
              <w:jc w:val="right"/>
              <w:rPr>
                <w:rFonts w:ascii="Arial (Body)" w:hAnsi="Arial (Body)"/>
                <w:color w:val="000000"/>
              </w:rPr>
            </w:pPr>
            <w:r w:rsidRPr="00DA3DF8">
              <w:t>45</w:t>
            </w:r>
          </w:p>
        </w:tc>
        <w:tc>
          <w:tcPr>
            <w:tcW w:w="227" w:type="pct"/>
            <w:shd w:val="clear" w:color="auto" w:fill="auto"/>
          </w:tcPr>
          <w:p w14:paraId="48FC2754" w14:textId="77777777" w:rsidR="00696D3E" w:rsidRDefault="00696D3E">
            <w:pPr>
              <w:pStyle w:val="TableBody"/>
              <w:spacing w:before="45" w:after="45"/>
              <w:ind w:right="57"/>
              <w:jc w:val="right"/>
              <w:rPr>
                <w:rFonts w:ascii="Arial (Body)" w:hAnsi="Arial (Body)"/>
                <w:color w:val="000000"/>
              </w:rPr>
            </w:pPr>
            <w:r w:rsidRPr="00DA3DF8">
              <w:t>109</w:t>
            </w:r>
          </w:p>
        </w:tc>
        <w:tc>
          <w:tcPr>
            <w:tcW w:w="227" w:type="pct"/>
            <w:shd w:val="clear" w:color="auto" w:fill="auto"/>
          </w:tcPr>
          <w:p w14:paraId="0C7D9943" w14:textId="77777777" w:rsidR="00696D3E" w:rsidRDefault="00696D3E">
            <w:pPr>
              <w:pStyle w:val="TableBody"/>
              <w:spacing w:before="45" w:after="45"/>
              <w:ind w:right="57"/>
              <w:jc w:val="right"/>
              <w:rPr>
                <w:rFonts w:ascii="Arial (Body)" w:hAnsi="Arial (Body)"/>
                <w:color w:val="000000"/>
              </w:rPr>
            </w:pPr>
            <w:r w:rsidRPr="00DA3DF8">
              <w:t>104</w:t>
            </w:r>
          </w:p>
        </w:tc>
        <w:tc>
          <w:tcPr>
            <w:tcW w:w="227" w:type="pct"/>
            <w:shd w:val="clear" w:color="auto" w:fill="auto"/>
          </w:tcPr>
          <w:p w14:paraId="496D475A" w14:textId="77777777" w:rsidR="00696D3E" w:rsidRDefault="00696D3E">
            <w:pPr>
              <w:pStyle w:val="TableBody"/>
              <w:spacing w:before="45" w:after="45"/>
              <w:ind w:right="57"/>
              <w:jc w:val="right"/>
              <w:rPr>
                <w:rFonts w:ascii="Arial (Body)" w:hAnsi="Arial (Body)"/>
                <w:color w:val="000000"/>
              </w:rPr>
            </w:pPr>
            <w:r w:rsidRPr="00DA3DF8">
              <w:t>84</w:t>
            </w:r>
          </w:p>
        </w:tc>
        <w:tc>
          <w:tcPr>
            <w:tcW w:w="227" w:type="pct"/>
            <w:shd w:val="clear" w:color="auto" w:fill="auto"/>
          </w:tcPr>
          <w:p w14:paraId="00572164" w14:textId="77777777" w:rsidR="00696D3E" w:rsidRPr="00030C67" w:rsidRDefault="00696D3E">
            <w:pPr>
              <w:pStyle w:val="TableBody"/>
              <w:spacing w:before="45" w:after="45"/>
              <w:ind w:right="57"/>
              <w:jc w:val="right"/>
              <w:rPr>
                <w:rFonts w:ascii="Arial (Body)" w:hAnsi="Arial (Body)"/>
                <w:color w:val="000000"/>
              </w:rPr>
            </w:pPr>
            <w:r w:rsidRPr="00DA3DF8">
              <w:t>91</w:t>
            </w:r>
          </w:p>
        </w:tc>
        <w:tc>
          <w:tcPr>
            <w:tcW w:w="227" w:type="pct"/>
            <w:shd w:val="clear" w:color="auto" w:fill="auto"/>
          </w:tcPr>
          <w:p w14:paraId="29A896B4" w14:textId="77777777" w:rsidR="00696D3E" w:rsidRPr="00030C67" w:rsidRDefault="00696D3E">
            <w:pPr>
              <w:pStyle w:val="TableBody"/>
              <w:spacing w:before="45" w:after="45"/>
              <w:ind w:right="57"/>
              <w:jc w:val="right"/>
              <w:rPr>
                <w:rFonts w:ascii="Arial (Body)" w:hAnsi="Arial (Body)"/>
                <w:color w:val="000000"/>
              </w:rPr>
            </w:pPr>
            <w:r w:rsidRPr="00DA3DF8">
              <w:t>89</w:t>
            </w:r>
          </w:p>
        </w:tc>
        <w:tc>
          <w:tcPr>
            <w:tcW w:w="227" w:type="pct"/>
            <w:shd w:val="clear" w:color="auto" w:fill="auto"/>
          </w:tcPr>
          <w:p w14:paraId="43AA32A9" w14:textId="77777777" w:rsidR="00696D3E" w:rsidRPr="00030C67" w:rsidRDefault="00696D3E">
            <w:pPr>
              <w:pStyle w:val="TableBody"/>
              <w:spacing w:before="45" w:after="45"/>
              <w:ind w:right="57"/>
              <w:jc w:val="right"/>
              <w:rPr>
                <w:rFonts w:ascii="Arial (Body)" w:hAnsi="Arial (Body)"/>
                <w:color w:val="000000"/>
              </w:rPr>
            </w:pPr>
            <w:r w:rsidRPr="00DA3DF8">
              <w:t>80</w:t>
            </w:r>
          </w:p>
        </w:tc>
        <w:tc>
          <w:tcPr>
            <w:tcW w:w="227" w:type="pct"/>
            <w:shd w:val="clear" w:color="auto" w:fill="auto"/>
          </w:tcPr>
          <w:p w14:paraId="73665941" w14:textId="77777777" w:rsidR="00696D3E" w:rsidRPr="00030C67" w:rsidRDefault="00696D3E">
            <w:pPr>
              <w:pStyle w:val="TableBody"/>
              <w:spacing w:before="45" w:after="45"/>
              <w:ind w:right="57"/>
              <w:jc w:val="right"/>
              <w:rPr>
                <w:rFonts w:ascii="Arial (Body)" w:hAnsi="Arial (Body)"/>
                <w:color w:val="000000"/>
              </w:rPr>
            </w:pPr>
            <w:r w:rsidRPr="00DA3DF8">
              <w:t>87</w:t>
            </w:r>
          </w:p>
        </w:tc>
        <w:tc>
          <w:tcPr>
            <w:tcW w:w="282" w:type="pct"/>
            <w:shd w:val="clear" w:color="auto" w:fill="auto"/>
          </w:tcPr>
          <w:p w14:paraId="387B06FA" w14:textId="77777777" w:rsidR="00696D3E" w:rsidRPr="00030C67" w:rsidRDefault="00696D3E">
            <w:pPr>
              <w:pStyle w:val="TableBody"/>
              <w:spacing w:before="45" w:after="45"/>
              <w:ind w:right="57"/>
              <w:jc w:val="right"/>
              <w:rPr>
                <w:rFonts w:ascii="Arial (Body)" w:hAnsi="Arial (Body)"/>
                <w:color w:val="000000"/>
              </w:rPr>
            </w:pPr>
            <w:r w:rsidRPr="00E63CA7">
              <w:t>64</w:t>
            </w:r>
          </w:p>
        </w:tc>
      </w:tr>
      <w:tr w:rsidR="00696D3E" w:rsidRPr="00030C67" w14:paraId="5E7851B5" w14:textId="77777777">
        <w:tc>
          <w:tcPr>
            <w:tcW w:w="405" w:type="pct"/>
            <w:shd w:val="clear" w:color="000000" w:fill="F2F2F2"/>
          </w:tcPr>
          <w:p w14:paraId="1AD7251F" w14:textId="77777777" w:rsidR="00696D3E" w:rsidRPr="00030C67" w:rsidRDefault="00696D3E">
            <w:pPr>
              <w:pStyle w:val="TableHeading"/>
            </w:pPr>
            <w:r w:rsidRPr="00635B50">
              <w:t>1999</w:t>
            </w:r>
          </w:p>
        </w:tc>
        <w:tc>
          <w:tcPr>
            <w:tcW w:w="227" w:type="pct"/>
            <w:shd w:val="clear" w:color="000000" w:fill="F2F2F2"/>
          </w:tcPr>
          <w:p w14:paraId="4AB7CB89" w14:textId="77777777" w:rsidR="00696D3E" w:rsidRDefault="00696D3E">
            <w:pPr>
              <w:pStyle w:val="TableBody"/>
              <w:spacing w:before="45" w:after="45"/>
              <w:ind w:right="57"/>
              <w:jc w:val="right"/>
              <w:rPr>
                <w:rFonts w:ascii="Arial (Body)" w:hAnsi="Arial (Body)"/>
                <w:color w:val="000000"/>
              </w:rPr>
            </w:pPr>
            <w:r w:rsidRPr="00DA3DF8">
              <w:t>69</w:t>
            </w:r>
          </w:p>
        </w:tc>
        <w:tc>
          <w:tcPr>
            <w:tcW w:w="227" w:type="pct"/>
            <w:shd w:val="clear" w:color="000000" w:fill="F2F2F2"/>
          </w:tcPr>
          <w:p w14:paraId="0808263B" w14:textId="77777777" w:rsidR="00696D3E" w:rsidRDefault="00696D3E">
            <w:pPr>
              <w:pStyle w:val="TableBody"/>
              <w:spacing w:before="45" w:after="45"/>
              <w:ind w:right="57"/>
              <w:jc w:val="right"/>
              <w:rPr>
                <w:rFonts w:ascii="Arial (Body)" w:hAnsi="Arial (Body)"/>
                <w:color w:val="000000"/>
              </w:rPr>
            </w:pPr>
            <w:r w:rsidRPr="00DA3DF8">
              <w:t>29</w:t>
            </w:r>
          </w:p>
        </w:tc>
        <w:tc>
          <w:tcPr>
            <w:tcW w:w="227" w:type="pct"/>
            <w:shd w:val="clear" w:color="000000" w:fill="F2F2F2"/>
          </w:tcPr>
          <w:p w14:paraId="3BAF68A5" w14:textId="77777777" w:rsidR="00696D3E" w:rsidRDefault="00696D3E">
            <w:pPr>
              <w:pStyle w:val="TableBody"/>
              <w:spacing w:before="45" w:after="45"/>
              <w:ind w:right="57"/>
              <w:jc w:val="right"/>
              <w:rPr>
                <w:rFonts w:ascii="Arial (Body)" w:hAnsi="Arial (Body)"/>
                <w:color w:val="000000"/>
              </w:rPr>
            </w:pPr>
            <w:r w:rsidRPr="00DA3DF8">
              <w:t>62</w:t>
            </w:r>
          </w:p>
        </w:tc>
        <w:tc>
          <w:tcPr>
            <w:tcW w:w="227" w:type="pct"/>
            <w:shd w:val="clear" w:color="000000" w:fill="F2F2F2"/>
          </w:tcPr>
          <w:p w14:paraId="534E5928" w14:textId="77777777" w:rsidR="00696D3E" w:rsidRDefault="00696D3E">
            <w:pPr>
              <w:pStyle w:val="TableBody"/>
              <w:spacing w:before="45" w:after="45"/>
              <w:ind w:right="57"/>
              <w:jc w:val="right"/>
              <w:rPr>
                <w:rFonts w:ascii="Arial (Body)" w:hAnsi="Arial (Body)"/>
                <w:color w:val="000000"/>
              </w:rPr>
            </w:pPr>
            <w:r w:rsidRPr="00DA3DF8">
              <w:t>31</w:t>
            </w:r>
          </w:p>
        </w:tc>
        <w:tc>
          <w:tcPr>
            <w:tcW w:w="227" w:type="pct"/>
            <w:shd w:val="clear" w:color="000000" w:fill="F2F2F2"/>
          </w:tcPr>
          <w:p w14:paraId="7FBF3DDA" w14:textId="77777777" w:rsidR="00696D3E" w:rsidRDefault="00696D3E">
            <w:pPr>
              <w:pStyle w:val="TableBody"/>
              <w:spacing w:before="45" w:after="45"/>
              <w:ind w:right="57"/>
              <w:jc w:val="right"/>
              <w:rPr>
                <w:rFonts w:ascii="Arial (Body)" w:hAnsi="Arial (Body)"/>
                <w:color w:val="000000"/>
              </w:rPr>
            </w:pPr>
            <w:r w:rsidRPr="00DA3DF8">
              <w:t>75</w:t>
            </w:r>
          </w:p>
        </w:tc>
        <w:tc>
          <w:tcPr>
            <w:tcW w:w="227" w:type="pct"/>
            <w:shd w:val="clear" w:color="000000" w:fill="F2F2F2"/>
          </w:tcPr>
          <w:p w14:paraId="66B4CABB" w14:textId="77777777" w:rsidR="00696D3E" w:rsidRDefault="00696D3E">
            <w:pPr>
              <w:pStyle w:val="TableBody"/>
              <w:spacing w:before="45" w:after="45"/>
              <w:ind w:right="57"/>
              <w:jc w:val="right"/>
              <w:rPr>
                <w:rFonts w:ascii="Arial (Body)" w:hAnsi="Arial (Body)"/>
                <w:color w:val="000000"/>
              </w:rPr>
            </w:pPr>
            <w:r w:rsidRPr="00DA3DF8">
              <w:t>70</w:t>
            </w:r>
          </w:p>
        </w:tc>
        <w:tc>
          <w:tcPr>
            <w:tcW w:w="227" w:type="pct"/>
            <w:shd w:val="clear" w:color="000000" w:fill="F2F2F2"/>
          </w:tcPr>
          <w:p w14:paraId="40D24F8F" w14:textId="77777777" w:rsidR="00696D3E" w:rsidRDefault="00696D3E">
            <w:pPr>
              <w:pStyle w:val="TableBody"/>
              <w:spacing w:before="45" w:after="45"/>
              <w:ind w:right="57"/>
              <w:jc w:val="right"/>
              <w:rPr>
                <w:rFonts w:ascii="Arial (Body)" w:hAnsi="Arial (Body)"/>
                <w:color w:val="000000"/>
              </w:rPr>
            </w:pPr>
            <w:r w:rsidRPr="00DA3DF8">
              <w:t>81</w:t>
            </w:r>
          </w:p>
        </w:tc>
        <w:tc>
          <w:tcPr>
            <w:tcW w:w="227" w:type="pct"/>
            <w:shd w:val="clear" w:color="000000" w:fill="F2F2F2"/>
          </w:tcPr>
          <w:p w14:paraId="5F4302CE" w14:textId="77777777" w:rsidR="00696D3E" w:rsidRDefault="00696D3E">
            <w:pPr>
              <w:pStyle w:val="TableBody"/>
              <w:spacing w:before="45" w:after="45"/>
              <w:ind w:right="57"/>
              <w:jc w:val="right"/>
              <w:rPr>
                <w:rFonts w:ascii="Arial (Body)" w:hAnsi="Arial (Body)"/>
                <w:color w:val="000000"/>
              </w:rPr>
            </w:pPr>
            <w:r w:rsidRPr="00DA3DF8">
              <w:t>91</w:t>
            </w:r>
          </w:p>
        </w:tc>
        <w:tc>
          <w:tcPr>
            <w:tcW w:w="227" w:type="pct"/>
            <w:shd w:val="clear" w:color="000000" w:fill="F2F2F2"/>
          </w:tcPr>
          <w:p w14:paraId="28CF7B38" w14:textId="77777777" w:rsidR="00696D3E" w:rsidRDefault="00696D3E">
            <w:pPr>
              <w:pStyle w:val="TableBody"/>
              <w:spacing w:before="45" w:after="45"/>
              <w:ind w:right="57"/>
              <w:jc w:val="right"/>
              <w:rPr>
                <w:rFonts w:ascii="Arial (Body)" w:hAnsi="Arial (Body)"/>
                <w:color w:val="000000"/>
              </w:rPr>
            </w:pPr>
            <w:r w:rsidRPr="00DA3DF8">
              <w:t>72</w:t>
            </w:r>
          </w:p>
        </w:tc>
        <w:tc>
          <w:tcPr>
            <w:tcW w:w="227" w:type="pct"/>
            <w:shd w:val="clear" w:color="000000" w:fill="F2F2F2"/>
          </w:tcPr>
          <w:p w14:paraId="3AB6D9C7" w14:textId="77777777" w:rsidR="00696D3E" w:rsidRDefault="00696D3E">
            <w:pPr>
              <w:pStyle w:val="TableBody"/>
              <w:spacing w:before="45" w:after="45"/>
              <w:ind w:right="57"/>
              <w:jc w:val="right"/>
              <w:rPr>
                <w:rFonts w:ascii="Arial (Body)" w:hAnsi="Arial (Body)"/>
                <w:color w:val="000000"/>
              </w:rPr>
            </w:pPr>
            <w:r w:rsidRPr="00DA3DF8">
              <w:t>38</w:t>
            </w:r>
          </w:p>
        </w:tc>
        <w:tc>
          <w:tcPr>
            <w:tcW w:w="227" w:type="pct"/>
            <w:shd w:val="clear" w:color="000000" w:fill="F2F2F2"/>
          </w:tcPr>
          <w:p w14:paraId="13CD773F" w14:textId="77777777" w:rsidR="00696D3E" w:rsidRDefault="00696D3E">
            <w:pPr>
              <w:pStyle w:val="TableBody"/>
              <w:spacing w:before="45" w:after="45"/>
              <w:ind w:right="57"/>
              <w:jc w:val="right"/>
              <w:rPr>
                <w:rFonts w:ascii="Arial (Body)" w:hAnsi="Arial (Body)"/>
                <w:color w:val="000000"/>
              </w:rPr>
            </w:pPr>
            <w:r w:rsidRPr="00DA3DF8">
              <w:t>41</w:t>
            </w:r>
          </w:p>
        </w:tc>
        <w:tc>
          <w:tcPr>
            <w:tcW w:w="227" w:type="pct"/>
            <w:shd w:val="clear" w:color="000000" w:fill="F2F2F2"/>
          </w:tcPr>
          <w:p w14:paraId="4C645818" w14:textId="77777777" w:rsidR="00696D3E" w:rsidRDefault="00696D3E">
            <w:pPr>
              <w:pStyle w:val="TableBody"/>
              <w:spacing w:before="45" w:after="45"/>
              <w:ind w:right="57"/>
              <w:jc w:val="right"/>
              <w:rPr>
                <w:rFonts w:ascii="Arial (Body)" w:hAnsi="Arial (Body)"/>
                <w:color w:val="000000"/>
              </w:rPr>
            </w:pPr>
            <w:r w:rsidRPr="00DA3DF8">
              <w:t>50</w:t>
            </w:r>
          </w:p>
        </w:tc>
        <w:tc>
          <w:tcPr>
            <w:tcW w:w="227" w:type="pct"/>
            <w:shd w:val="clear" w:color="000000" w:fill="F2F2F2"/>
          </w:tcPr>
          <w:p w14:paraId="40947100" w14:textId="77777777" w:rsidR="00696D3E" w:rsidRDefault="00696D3E">
            <w:pPr>
              <w:pStyle w:val="TableBody"/>
              <w:spacing w:before="45" w:after="45"/>
              <w:ind w:right="57"/>
              <w:jc w:val="right"/>
              <w:rPr>
                <w:rFonts w:ascii="Arial (Body)" w:hAnsi="Arial (Body)"/>
                <w:color w:val="000000"/>
              </w:rPr>
            </w:pPr>
            <w:r w:rsidRPr="00DA3DF8">
              <w:t>109</w:t>
            </w:r>
          </w:p>
        </w:tc>
        <w:tc>
          <w:tcPr>
            <w:tcW w:w="227" w:type="pct"/>
            <w:shd w:val="clear" w:color="000000" w:fill="F2F2F2"/>
          </w:tcPr>
          <w:p w14:paraId="19BFF680" w14:textId="77777777" w:rsidR="00696D3E" w:rsidRDefault="00696D3E">
            <w:pPr>
              <w:pStyle w:val="TableBody"/>
              <w:spacing w:before="45" w:after="45"/>
              <w:ind w:right="57"/>
              <w:jc w:val="right"/>
              <w:rPr>
                <w:rFonts w:ascii="Arial (Body)" w:hAnsi="Arial (Body)"/>
                <w:color w:val="000000"/>
              </w:rPr>
            </w:pPr>
            <w:r w:rsidRPr="00DA3DF8">
              <w:t>108</w:t>
            </w:r>
          </w:p>
        </w:tc>
        <w:tc>
          <w:tcPr>
            <w:tcW w:w="227" w:type="pct"/>
            <w:shd w:val="clear" w:color="000000" w:fill="F2F2F2"/>
          </w:tcPr>
          <w:p w14:paraId="74605CBF" w14:textId="77777777" w:rsidR="00696D3E" w:rsidRDefault="00696D3E">
            <w:pPr>
              <w:pStyle w:val="TableBody"/>
              <w:spacing w:before="45" w:after="45"/>
              <w:ind w:right="57"/>
              <w:jc w:val="right"/>
              <w:rPr>
                <w:rFonts w:ascii="Arial (Body)" w:hAnsi="Arial (Body)"/>
                <w:color w:val="000000"/>
              </w:rPr>
            </w:pPr>
            <w:r w:rsidRPr="00DA3DF8">
              <w:t>83</w:t>
            </w:r>
          </w:p>
        </w:tc>
        <w:tc>
          <w:tcPr>
            <w:tcW w:w="227" w:type="pct"/>
            <w:shd w:val="clear" w:color="000000" w:fill="F2F2F2"/>
          </w:tcPr>
          <w:p w14:paraId="2FD2F9D5" w14:textId="77777777" w:rsidR="00696D3E" w:rsidRPr="00030C67" w:rsidRDefault="00696D3E">
            <w:pPr>
              <w:pStyle w:val="TableBody"/>
              <w:spacing w:before="45" w:after="45"/>
              <w:ind w:right="57"/>
              <w:jc w:val="right"/>
              <w:rPr>
                <w:rFonts w:ascii="Arial (Body)" w:hAnsi="Arial (Body)"/>
                <w:color w:val="000000"/>
              </w:rPr>
            </w:pPr>
            <w:r w:rsidRPr="00DA3DF8">
              <w:t>91</w:t>
            </w:r>
          </w:p>
        </w:tc>
        <w:tc>
          <w:tcPr>
            <w:tcW w:w="227" w:type="pct"/>
            <w:shd w:val="clear" w:color="000000" w:fill="F2F2F2"/>
          </w:tcPr>
          <w:p w14:paraId="4BC73054" w14:textId="77777777" w:rsidR="00696D3E" w:rsidRPr="00030C67" w:rsidRDefault="00696D3E">
            <w:pPr>
              <w:pStyle w:val="TableBody"/>
              <w:spacing w:before="45" w:after="45"/>
              <w:ind w:right="57"/>
              <w:jc w:val="right"/>
              <w:rPr>
                <w:rFonts w:ascii="Arial (Body)" w:hAnsi="Arial (Body)"/>
                <w:color w:val="000000"/>
              </w:rPr>
            </w:pPr>
            <w:r w:rsidRPr="00DA3DF8">
              <w:t>88</w:t>
            </w:r>
          </w:p>
        </w:tc>
        <w:tc>
          <w:tcPr>
            <w:tcW w:w="227" w:type="pct"/>
            <w:shd w:val="clear" w:color="000000" w:fill="F2F2F2"/>
          </w:tcPr>
          <w:p w14:paraId="3395D916" w14:textId="77777777" w:rsidR="00696D3E" w:rsidRPr="00030C67" w:rsidRDefault="00696D3E">
            <w:pPr>
              <w:pStyle w:val="TableBody"/>
              <w:spacing w:before="45" w:after="45"/>
              <w:ind w:right="57"/>
              <w:jc w:val="right"/>
              <w:rPr>
                <w:rFonts w:ascii="Arial (Body)" w:hAnsi="Arial (Body)"/>
                <w:color w:val="000000"/>
              </w:rPr>
            </w:pPr>
            <w:r w:rsidRPr="00DA3DF8">
              <w:t>78</w:t>
            </w:r>
          </w:p>
        </w:tc>
        <w:tc>
          <w:tcPr>
            <w:tcW w:w="227" w:type="pct"/>
            <w:shd w:val="clear" w:color="000000" w:fill="F2F2F2"/>
          </w:tcPr>
          <w:p w14:paraId="16B60147" w14:textId="77777777" w:rsidR="00696D3E" w:rsidRPr="00030C67" w:rsidRDefault="00696D3E">
            <w:pPr>
              <w:pStyle w:val="TableBody"/>
              <w:spacing w:before="45" w:after="45"/>
              <w:ind w:right="57"/>
              <w:jc w:val="right"/>
              <w:rPr>
                <w:rFonts w:ascii="Arial (Body)" w:hAnsi="Arial (Body)"/>
                <w:color w:val="000000"/>
              </w:rPr>
            </w:pPr>
            <w:r w:rsidRPr="00DA3DF8">
              <w:t>87</w:t>
            </w:r>
          </w:p>
        </w:tc>
        <w:tc>
          <w:tcPr>
            <w:tcW w:w="282" w:type="pct"/>
            <w:shd w:val="clear" w:color="000000" w:fill="F2F2F2"/>
          </w:tcPr>
          <w:p w14:paraId="5F5BC3ED" w14:textId="77777777" w:rsidR="00696D3E" w:rsidRPr="00030C67" w:rsidRDefault="00696D3E">
            <w:pPr>
              <w:pStyle w:val="TableBody"/>
              <w:spacing w:before="45" w:after="45"/>
              <w:ind w:right="57"/>
              <w:jc w:val="right"/>
              <w:rPr>
                <w:rFonts w:ascii="Arial (Body)" w:hAnsi="Arial (Body)"/>
                <w:color w:val="000000"/>
              </w:rPr>
            </w:pPr>
            <w:r w:rsidRPr="00E63CA7">
              <w:t>64</w:t>
            </w:r>
          </w:p>
        </w:tc>
      </w:tr>
      <w:tr w:rsidR="00696D3E" w:rsidRPr="00030C67" w14:paraId="04C9B552" w14:textId="77777777">
        <w:tc>
          <w:tcPr>
            <w:tcW w:w="405" w:type="pct"/>
            <w:shd w:val="clear" w:color="auto" w:fill="auto"/>
          </w:tcPr>
          <w:p w14:paraId="48E37B33" w14:textId="77777777" w:rsidR="00696D3E" w:rsidRPr="00030C67" w:rsidRDefault="00696D3E">
            <w:pPr>
              <w:pStyle w:val="TableHeading"/>
            </w:pPr>
            <w:r w:rsidRPr="00635B50">
              <w:t>2000</w:t>
            </w:r>
          </w:p>
        </w:tc>
        <w:tc>
          <w:tcPr>
            <w:tcW w:w="227" w:type="pct"/>
            <w:shd w:val="clear" w:color="auto" w:fill="auto"/>
          </w:tcPr>
          <w:p w14:paraId="59FA2353" w14:textId="77777777" w:rsidR="00696D3E" w:rsidRDefault="00696D3E">
            <w:pPr>
              <w:pStyle w:val="TableBody"/>
              <w:spacing w:before="45" w:after="45"/>
              <w:ind w:right="57"/>
              <w:jc w:val="right"/>
              <w:rPr>
                <w:rFonts w:ascii="Arial (Body)" w:hAnsi="Arial (Body)"/>
                <w:color w:val="000000"/>
              </w:rPr>
            </w:pPr>
            <w:r w:rsidRPr="00DA3DF8">
              <w:t>67</w:t>
            </w:r>
          </w:p>
        </w:tc>
        <w:tc>
          <w:tcPr>
            <w:tcW w:w="227" w:type="pct"/>
            <w:shd w:val="clear" w:color="auto" w:fill="auto"/>
          </w:tcPr>
          <w:p w14:paraId="6C2A1226" w14:textId="77777777" w:rsidR="00696D3E" w:rsidRDefault="00696D3E">
            <w:pPr>
              <w:pStyle w:val="TableBody"/>
              <w:spacing w:before="45" w:after="45"/>
              <w:ind w:right="57"/>
              <w:jc w:val="right"/>
              <w:rPr>
                <w:rFonts w:ascii="Arial (Body)" w:hAnsi="Arial (Body)"/>
                <w:color w:val="000000"/>
              </w:rPr>
            </w:pPr>
            <w:r w:rsidRPr="00DA3DF8">
              <w:t>23</w:t>
            </w:r>
          </w:p>
        </w:tc>
        <w:tc>
          <w:tcPr>
            <w:tcW w:w="227" w:type="pct"/>
            <w:shd w:val="clear" w:color="auto" w:fill="auto"/>
          </w:tcPr>
          <w:p w14:paraId="25072455" w14:textId="77777777" w:rsidR="00696D3E" w:rsidRDefault="00696D3E">
            <w:pPr>
              <w:pStyle w:val="TableBody"/>
              <w:spacing w:before="45" w:after="45"/>
              <w:ind w:right="57"/>
              <w:jc w:val="right"/>
              <w:rPr>
                <w:rFonts w:ascii="Arial (Body)" w:hAnsi="Arial (Body)"/>
                <w:color w:val="000000"/>
              </w:rPr>
            </w:pPr>
            <w:r w:rsidRPr="00DA3DF8">
              <w:t>61</w:t>
            </w:r>
          </w:p>
        </w:tc>
        <w:tc>
          <w:tcPr>
            <w:tcW w:w="227" w:type="pct"/>
            <w:shd w:val="clear" w:color="auto" w:fill="auto"/>
          </w:tcPr>
          <w:p w14:paraId="1E099358" w14:textId="77777777" w:rsidR="00696D3E" w:rsidRDefault="00696D3E">
            <w:pPr>
              <w:pStyle w:val="TableBody"/>
              <w:spacing w:before="45" w:after="45"/>
              <w:ind w:right="57"/>
              <w:jc w:val="right"/>
              <w:rPr>
                <w:rFonts w:ascii="Arial (Body)" w:hAnsi="Arial (Body)"/>
                <w:color w:val="000000"/>
              </w:rPr>
            </w:pPr>
            <w:r w:rsidRPr="00DA3DF8">
              <w:t>33</w:t>
            </w:r>
          </w:p>
        </w:tc>
        <w:tc>
          <w:tcPr>
            <w:tcW w:w="227" w:type="pct"/>
            <w:shd w:val="clear" w:color="auto" w:fill="auto"/>
          </w:tcPr>
          <w:p w14:paraId="70664EDD" w14:textId="77777777" w:rsidR="00696D3E" w:rsidRDefault="00696D3E">
            <w:pPr>
              <w:pStyle w:val="TableBody"/>
              <w:spacing w:before="45" w:after="45"/>
              <w:ind w:right="57"/>
              <w:jc w:val="right"/>
              <w:rPr>
                <w:rFonts w:ascii="Arial (Body)" w:hAnsi="Arial (Body)"/>
                <w:color w:val="000000"/>
              </w:rPr>
            </w:pPr>
            <w:r w:rsidRPr="00DA3DF8">
              <w:t>72</w:t>
            </w:r>
          </w:p>
        </w:tc>
        <w:tc>
          <w:tcPr>
            <w:tcW w:w="227" w:type="pct"/>
            <w:shd w:val="clear" w:color="auto" w:fill="auto"/>
          </w:tcPr>
          <w:p w14:paraId="1FEC6175" w14:textId="77777777" w:rsidR="00696D3E" w:rsidRDefault="00696D3E">
            <w:pPr>
              <w:pStyle w:val="TableBody"/>
              <w:spacing w:before="45" w:after="45"/>
              <w:ind w:right="57"/>
              <w:jc w:val="right"/>
              <w:rPr>
                <w:rFonts w:ascii="Arial (Body)" w:hAnsi="Arial (Body)"/>
                <w:color w:val="000000"/>
              </w:rPr>
            </w:pPr>
            <w:r w:rsidRPr="00DA3DF8">
              <w:t>73</w:t>
            </w:r>
          </w:p>
        </w:tc>
        <w:tc>
          <w:tcPr>
            <w:tcW w:w="227" w:type="pct"/>
            <w:shd w:val="clear" w:color="auto" w:fill="auto"/>
          </w:tcPr>
          <w:p w14:paraId="4A639201" w14:textId="77777777" w:rsidR="00696D3E" w:rsidRDefault="00696D3E">
            <w:pPr>
              <w:pStyle w:val="TableBody"/>
              <w:spacing w:before="45" w:after="45"/>
              <w:ind w:right="57"/>
              <w:jc w:val="right"/>
              <w:rPr>
                <w:rFonts w:ascii="Arial (Body)" w:hAnsi="Arial (Body)"/>
                <w:color w:val="000000"/>
              </w:rPr>
            </w:pPr>
            <w:r w:rsidRPr="00DA3DF8">
              <w:t>84</w:t>
            </w:r>
          </w:p>
        </w:tc>
        <w:tc>
          <w:tcPr>
            <w:tcW w:w="227" w:type="pct"/>
            <w:shd w:val="clear" w:color="auto" w:fill="auto"/>
          </w:tcPr>
          <w:p w14:paraId="68E51BA9" w14:textId="77777777" w:rsidR="00696D3E" w:rsidRDefault="00696D3E">
            <w:pPr>
              <w:pStyle w:val="TableBody"/>
              <w:spacing w:before="45" w:after="45"/>
              <w:ind w:right="57"/>
              <w:jc w:val="right"/>
              <w:rPr>
                <w:rFonts w:ascii="Arial (Body)" w:hAnsi="Arial (Body)"/>
                <w:color w:val="000000"/>
              </w:rPr>
            </w:pPr>
            <w:r w:rsidRPr="00DA3DF8">
              <w:t>92</w:t>
            </w:r>
          </w:p>
        </w:tc>
        <w:tc>
          <w:tcPr>
            <w:tcW w:w="227" w:type="pct"/>
            <w:shd w:val="clear" w:color="auto" w:fill="auto"/>
          </w:tcPr>
          <w:p w14:paraId="3863006E" w14:textId="77777777" w:rsidR="00696D3E" w:rsidRDefault="00696D3E">
            <w:pPr>
              <w:pStyle w:val="TableBody"/>
              <w:spacing w:before="45" w:after="45"/>
              <w:ind w:right="57"/>
              <w:jc w:val="right"/>
              <w:rPr>
                <w:rFonts w:ascii="Arial (Body)" w:hAnsi="Arial (Body)"/>
                <w:color w:val="000000"/>
              </w:rPr>
            </w:pPr>
            <w:r w:rsidRPr="00DA3DF8">
              <w:t>74</w:t>
            </w:r>
          </w:p>
        </w:tc>
        <w:tc>
          <w:tcPr>
            <w:tcW w:w="227" w:type="pct"/>
            <w:shd w:val="clear" w:color="auto" w:fill="auto"/>
          </w:tcPr>
          <w:p w14:paraId="4914543A" w14:textId="77777777" w:rsidR="00696D3E" w:rsidRDefault="00696D3E">
            <w:pPr>
              <w:pStyle w:val="TableBody"/>
              <w:spacing w:before="45" w:after="45"/>
              <w:ind w:right="57"/>
              <w:jc w:val="right"/>
              <w:rPr>
                <w:rFonts w:ascii="Arial (Body)" w:hAnsi="Arial (Body)"/>
                <w:color w:val="000000"/>
              </w:rPr>
            </w:pPr>
            <w:r w:rsidRPr="00DA3DF8">
              <w:t>40</w:t>
            </w:r>
          </w:p>
        </w:tc>
        <w:tc>
          <w:tcPr>
            <w:tcW w:w="227" w:type="pct"/>
            <w:shd w:val="clear" w:color="auto" w:fill="auto"/>
          </w:tcPr>
          <w:p w14:paraId="2BF00DDD" w14:textId="77777777" w:rsidR="00696D3E" w:rsidRDefault="00696D3E">
            <w:pPr>
              <w:pStyle w:val="TableBody"/>
              <w:spacing w:before="45" w:after="45"/>
              <w:ind w:right="57"/>
              <w:jc w:val="right"/>
              <w:rPr>
                <w:rFonts w:ascii="Arial (Body)" w:hAnsi="Arial (Body)"/>
                <w:color w:val="000000"/>
              </w:rPr>
            </w:pPr>
            <w:r w:rsidRPr="00DA3DF8">
              <w:t>41</w:t>
            </w:r>
          </w:p>
        </w:tc>
        <w:tc>
          <w:tcPr>
            <w:tcW w:w="227" w:type="pct"/>
            <w:shd w:val="clear" w:color="auto" w:fill="auto"/>
          </w:tcPr>
          <w:p w14:paraId="33509421" w14:textId="77777777" w:rsidR="00696D3E" w:rsidRDefault="00696D3E">
            <w:pPr>
              <w:pStyle w:val="TableBody"/>
              <w:spacing w:before="45" w:after="45"/>
              <w:ind w:right="57"/>
              <w:jc w:val="right"/>
              <w:rPr>
                <w:rFonts w:ascii="Arial (Body)" w:hAnsi="Arial (Body)"/>
                <w:color w:val="000000"/>
              </w:rPr>
            </w:pPr>
            <w:r w:rsidRPr="00DA3DF8">
              <w:t>45</w:t>
            </w:r>
          </w:p>
        </w:tc>
        <w:tc>
          <w:tcPr>
            <w:tcW w:w="227" w:type="pct"/>
            <w:shd w:val="clear" w:color="auto" w:fill="auto"/>
          </w:tcPr>
          <w:p w14:paraId="354F7C59" w14:textId="77777777" w:rsidR="00696D3E" w:rsidRDefault="00696D3E">
            <w:pPr>
              <w:pStyle w:val="TableBody"/>
              <w:spacing w:before="45" w:after="45"/>
              <w:ind w:right="57"/>
              <w:jc w:val="right"/>
              <w:rPr>
                <w:rFonts w:ascii="Arial (Body)" w:hAnsi="Arial (Body)"/>
                <w:color w:val="000000"/>
              </w:rPr>
            </w:pPr>
            <w:r w:rsidRPr="00DA3DF8">
              <w:t>106</w:t>
            </w:r>
          </w:p>
        </w:tc>
        <w:tc>
          <w:tcPr>
            <w:tcW w:w="227" w:type="pct"/>
            <w:shd w:val="clear" w:color="auto" w:fill="auto"/>
          </w:tcPr>
          <w:p w14:paraId="45622B50" w14:textId="77777777" w:rsidR="00696D3E" w:rsidRDefault="00696D3E">
            <w:pPr>
              <w:pStyle w:val="TableBody"/>
              <w:spacing w:before="45" w:after="45"/>
              <w:ind w:right="57"/>
              <w:jc w:val="right"/>
              <w:rPr>
                <w:rFonts w:ascii="Arial (Body)" w:hAnsi="Arial (Body)"/>
                <w:color w:val="000000"/>
              </w:rPr>
            </w:pPr>
            <w:r w:rsidRPr="00DA3DF8">
              <w:t>109</w:t>
            </w:r>
          </w:p>
        </w:tc>
        <w:tc>
          <w:tcPr>
            <w:tcW w:w="227" w:type="pct"/>
            <w:shd w:val="clear" w:color="auto" w:fill="auto"/>
          </w:tcPr>
          <w:p w14:paraId="622472C1" w14:textId="77777777" w:rsidR="00696D3E" w:rsidRDefault="00696D3E">
            <w:pPr>
              <w:pStyle w:val="TableBody"/>
              <w:spacing w:before="45" w:after="45"/>
              <w:ind w:right="57"/>
              <w:jc w:val="right"/>
              <w:rPr>
                <w:rFonts w:ascii="Arial (Body)" w:hAnsi="Arial (Body)"/>
                <w:color w:val="000000"/>
              </w:rPr>
            </w:pPr>
            <w:r w:rsidRPr="00DA3DF8">
              <w:t>83</w:t>
            </w:r>
          </w:p>
        </w:tc>
        <w:tc>
          <w:tcPr>
            <w:tcW w:w="227" w:type="pct"/>
            <w:shd w:val="clear" w:color="auto" w:fill="auto"/>
          </w:tcPr>
          <w:p w14:paraId="2B533606" w14:textId="77777777" w:rsidR="00696D3E" w:rsidRPr="00030C67" w:rsidRDefault="00696D3E">
            <w:pPr>
              <w:pStyle w:val="TableBody"/>
              <w:spacing w:before="45" w:after="45"/>
              <w:ind w:right="57"/>
              <w:jc w:val="right"/>
              <w:rPr>
                <w:rFonts w:ascii="Arial (Body)" w:hAnsi="Arial (Body)"/>
                <w:color w:val="000000"/>
              </w:rPr>
            </w:pPr>
            <w:r w:rsidRPr="00DA3DF8">
              <w:t>90</w:t>
            </w:r>
          </w:p>
        </w:tc>
        <w:tc>
          <w:tcPr>
            <w:tcW w:w="227" w:type="pct"/>
            <w:shd w:val="clear" w:color="auto" w:fill="auto"/>
          </w:tcPr>
          <w:p w14:paraId="324C4AD7" w14:textId="77777777" w:rsidR="00696D3E" w:rsidRPr="00030C67" w:rsidRDefault="00696D3E">
            <w:pPr>
              <w:pStyle w:val="TableBody"/>
              <w:spacing w:before="45" w:after="45"/>
              <w:ind w:right="57"/>
              <w:jc w:val="right"/>
              <w:rPr>
                <w:rFonts w:ascii="Arial (Body)" w:hAnsi="Arial (Body)"/>
                <w:color w:val="000000"/>
              </w:rPr>
            </w:pPr>
            <w:r w:rsidRPr="00DA3DF8">
              <w:t>87</w:t>
            </w:r>
          </w:p>
        </w:tc>
        <w:tc>
          <w:tcPr>
            <w:tcW w:w="227" w:type="pct"/>
            <w:shd w:val="clear" w:color="auto" w:fill="auto"/>
          </w:tcPr>
          <w:p w14:paraId="33DFD899" w14:textId="77777777" w:rsidR="00696D3E" w:rsidRPr="00030C67" w:rsidRDefault="00696D3E">
            <w:pPr>
              <w:pStyle w:val="TableBody"/>
              <w:spacing w:before="45" w:after="45"/>
              <w:ind w:right="57"/>
              <w:jc w:val="right"/>
              <w:rPr>
                <w:rFonts w:ascii="Arial (Body)" w:hAnsi="Arial (Body)"/>
                <w:color w:val="000000"/>
              </w:rPr>
            </w:pPr>
            <w:r w:rsidRPr="00DA3DF8">
              <w:t>73</w:t>
            </w:r>
          </w:p>
        </w:tc>
        <w:tc>
          <w:tcPr>
            <w:tcW w:w="227" w:type="pct"/>
            <w:shd w:val="clear" w:color="auto" w:fill="auto"/>
          </w:tcPr>
          <w:p w14:paraId="2D852BCB" w14:textId="77777777" w:rsidR="00696D3E" w:rsidRPr="00030C67" w:rsidRDefault="00696D3E">
            <w:pPr>
              <w:pStyle w:val="TableBody"/>
              <w:spacing w:before="45" w:after="45"/>
              <w:ind w:right="57"/>
              <w:jc w:val="right"/>
              <w:rPr>
                <w:rFonts w:ascii="Arial (Body)" w:hAnsi="Arial (Body)"/>
                <w:color w:val="000000"/>
              </w:rPr>
            </w:pPr>
            <w:r w:rsidRPr="00DA3DF8">
              <w:t>88</w:t>
            </w:r>
          </w:p>
        </w:tc>
        <w:tc>
          <w:tcPr>
            <w:tcW w:w="282" w:type="pct"/>
            <w:shd w:val="clear" w:color="auto" w:fill="auto"/>
          </w:tcPr>
          <w:p w14:paraId="68EDC5CA" w14:textId="77777777" w:rsidR="00696D3E" w:rsidRPr="00030C67" w:rsidRDefault="00696D3E">
            <w:pPr>
              <w:pStyle w:val="TableBody"/>
              <w:spacing w:before="45" w:after="45"/>
              <w:ind w:right="57"/>
              <w:jc w:val="right"/>
              <w:rPr>
                <w:rFonts w:ascii="Arial (Body)" w:hAnsi="Arial (Body)"/>
                <w:color w:val="000000"/>
              </w:rPr>
            </w:pPr>
            <w:r w:rsidRPr="00E63CA7">
              <w:t>63</w:t>
            </w:r>
          </w:p>
        </w:tc>
      </w:tr>
      <w:tr w:rsidR="00696D3E" w:rsidRPr="00030C67" w14:paraId="5457F2B2" w14:textId="77777777">
        <w:tc>
          <w:tcPr>
            <w:tcW w:w="405" w:type="pct"/>
            <w:shd w:val="clear" w:color="000000" w:fill="F2F2F2"/>
          </w:tcPr>
          <w:p w14:paraId="493DC396" w14:textId="77777777" w:rsidR="00696D3E" w:rsidRPr="00030C67" w:rsidRDefault="00696D3E">
            <w:pPr>
              <w:pStyle w:val="TableHeading"/>
            </w:pPr>
            <w:r w:rsidRPr="00635B50">
              <w:t>2001</w:t>
            </w:r>
          </w:p>
        </w:tc>
        <w:tc>
          <w:tcPr>
            <w:tcW w:w="227" w:type="pct"/>
            <w:shd w:val="clear" w:color="000000" w:fill="F2F2F2"/>
          </w:tcPr>
          <w:p w14:paraId="61851F31" w14:textId="77777777" w:rsidR="00696D3E" w:rsidRDefault="00696D3E">
            <w:pPr>
              <w:pStyle w:val="TableBody"/>
              <w:spacing w:before="45" w:after="45"/>
              <w:ind w:right="57"/>
              <w:jc w:val="right"/>
              <w:rPr>
                <w:rFonts w:ascii="Arial (Body)" w:hAnsi="Arial (Body)"/>
                <w:color w:val="000000"/>
              </w:rPr>
            </w:pPr>
            <w:r w:rsidRPr="00DA3DF8">
              <w:t>58</w:t>
            </w:r>
          </w:p>
        </w:tc>
        <w:tc>
          <w:tcPr>
            <w:tcW w:w="227" w:type="pct"/>
            <w:shd w:val="clear" w:color="000000" w:fill="F2F2F2"/>
          </w:tcPr>
          <w:p w14:paraId="4B0A8280" w14:textId="77777777" w:rsidR="00696D3E" w:rsidRDefault="00696D3E">
            <w:pPr>
              <w:pStyle w:val="TableBody"/>
              <w:spacing w:before="45" w:after="45"/>
              <w:ind w:right="57"/>
              <w:jc w:val="right"/>
              <w:rPr>
                <w:rFonts w:ascii="Arial (Body)" w:hAnsi="Arial (Body)"/>
                <w:color w:val="000000"/>
              </w:rPr>
            </w:pPr>
            <w:r w:rsidRPr="00DA3DF8">
              <w:t>20</w:t>
            </w:r>
          </w:p>
        </w:tc>
        <w:tc>
          <w:tcPr>
            <w:tcW w:w="227" w:type="pct"/>
            <w:shd w:val="clear" w:color="000000" w:fill="F2F2F2"/>
          </w:tcPr>
          <w:p w14:paraId="6D3D5152" w14:textId="77777777" w:rsidR="00696D3E" w:rsidRDefault="00696D3E">
            <w:pPr>
              <w:pStyle w:val="TableBody"/>
              <w:spacing w:before="45" w:after="45"/>
              <w:ind w:right="57"/>
              <w:jc w:val="right"/>
              <w:rPr>
                <w:rFonts w:ascii="Arial (Body)" w:hAnsi="Arial (Body)"/>
                <w:color w:val="000000"/>
              </w:rPr>
            </w:pPr>
            <w:r w:rsidRPr="00DA3DF8">
              <w:t>63</w:t>
            </w:r>
          </w:p>
        </w:tc>
        <w:tc>
          <w:tcPr>
            <w:tcW w:w="227" w:type="pct"/>
            <w:shd w:val="clear" w:color="000000" w:fill="F2F2F2"/>
          </w:tcPr>
          <w:p w14:paraId="6465BB69" w14:textId="77777777" w:rsidR="00696D3E" w:rsidRDefault="00696D3E">
            <w:pPr>
              <w:pStyle w:val="TableBody"/>
              <w:spacing w:before="45" w:after="45"/>
              <w:ind w:right="57"/>
              <w:jc w:val="right"/>
              <w:rPr>
                <w:rFonts w:ascii="Arial (Body)" w:hAnsi="Arial (Body)"/>
                <w:color w:val="000000"/>
              </w:rPr>
            </w:pPr>
            <w:r w:rsidRPr="00DA3DF8">
              <w:t>33</w:t>
            </w:r>
          </w:p>
        </w:tc>
        <w:tc>
          <w:tcPr>
            <w:tcW w:w="227" w:type="pct"/>
            <w:shd w:val="clear" w:color="000000" w:fill="F2F2F2"/>
          </w:tcPr>
          <w:p w14:paraId="2DD39877" w14:textId="77777777" w:rsidR="00696D3E" w:rsidRDefault="00696D3E">
            <w:pPr>
              <w:pStyle w:val="TableBody"/>
              <w:spacing w:before="45" w:after="45"/>
              <w:ind w:right="57"/>
              <w:jc w:val="right"/>
              <w:rPr>
                <w:rFonts w:ascii="Arial (Body)" w:hAnsi="Arial (Body)"/>
                <w:color w:val="000000"/>
              </w:rPr>
            </w:pPr>
            <w:r w:rsidRPr="00DA3DF8">
              <w:t>84</w:t>
            </w:r>
          </w:p>
        </w:tc>
        <w:tc>
          <w:tcPr>
            <w:tcW w:w="227" w:type="pct"/>
            <w:shd w:val="clear" w:color="000000" w:fill="F2F2F2"/>
          </w:tcPr>
          <w:p w14:paraId="298CE798" w14:textId="77777777" w:rsidR="00696D3E" w:rsidRDefault="00696D3E">
            <w:pPr>
              <w:pStyle w:val="TableBody"/>
              <w:spacing w:before="45" w:after="45"/>
              <w:ind w:right="57"/>
              <w:jc w:val="right"/>
              <w:rPr>
                <w:rFonts w:ascii="Arial (Body)" w:hAnsi="Arial (Body)"/>
                <w:color w:val="000000"/>
              </w:rPr>
            </w:pPr>
            <w:r w:rsidRPr="00DA3DF8">
              <w:t>73</w:t>
            </w:r>
          </w:p>
        </w:tc>
        <w:tc>
          <w:tcPr>
            <w:tcW w:w="227" w:type="pct"/>
            <w:shd w:val="clear" w:color="000000" w:fill="F2F2F2"/>
          </w:tcPr>
          <w:p w14:paraId="1D9D8E4F" w14:textId="77777777" w:rsidR="00696D3E" w:rsidRDefault="00696D3E">
            <w:pPr>
              <w:pStyle w:val="TableBody"/>
              <w:spacing w:before="45" w:after="45"/>
              <w:ind w:right="57"/>
              <w:jc w:val="right"/>
              <w:rPr>
                <w:rFonts w:ascii="Arial (Body)" w:hAnsi="Arial (Body)"/>
                <w:color w:val="000000"/>
              </w:rPr>
            </w:pPr>
            <w:r w:rsidRPr="00DA3DF8">
              <w:t>83</w:t>
            </w:r>
          </w:p>
        </w:tc>
        <w:tc>
          <w:tcPr>
            <w:tcW w:w="227" w:type="pct"/>
            <w:shd w:val="clear" w:color="000000" w:fill="F2F2F2"/>
          </w:tcPr>
          <w:p w14:paraId="4069293E" w14:textId="77777777" w:rsidR="00696D3E" w:rsidRDefault="00696D3E">
            <w:pPr>
              <w:pStyle w:val="TableBody"/>
              <w:spacing w:before="45" w:after="45"/>
              <w:ind w:right="57"/>
              <w:jc w:val="right"/>
              <w:rPr>
                <w:rFonts w:ascii="Arial (Body)" w:hAnsi="Arial (Body)"/>
                <w:color w:val="000000"/>
              </w:rPr>
            </w:pPr>
            <w:r w:rsidRPr="00DA3DF8">
              <w:t>92</w:t>
            </w:r>
          </w:p>
        </w:tc>
        <w:tc>
          <w:tcPr>
            <w:tcW w:w="227" w:type="pct"/>
            <w:shd w:val="clear" w:color="000000" w:fill="F2F2F2"/>
          </w:tcPr>
          <w:p w14:paraId="1D600060" w14:textId="77777777" w:rsidR="00696D3E" w:rsidRDefault="00696D3E">
            <w:pPr>
              <w:pStyle w:val="TableBody"/>
              <w:spacing w:before="45" w:after="45"/>
              <w:ind w:right="57"/>
              <w:jc w:val="right"/>
              <w:rPr>
                <w:rFonts w:ascii="Arial (Body)" w:hAnsi="Arial (Body)"/>
                <w:color w:val="000000"/>
              </w:rPr>
            </w:pPr>
            <w:r w:rsidRPr="00DA3DF8">
              <w:t>76</w:t>
            </w:r>
          </w:p>
        </w:tc>
        <w:tc>
          <w:tcPr>
            <w:tcW w:w="227" w:type="pct"/>
            <w:shd w:val="clear" w:color="000000" w:fill="F2F2F2"/>
          </w:tcPr>
          <w:p w14:paraId="06FB15FB" w14:textId="77777777" w:rsidR="00696D3E" w:rsidRDefault="00696D3E">
            <w:pPr>
              <w:pStyle w:val="TableBody"/>
              <w:spacing w:before="45" w:after="45"/>
              <w:ind w:right="57"/>
              <w:jc w:val="right"/>
              <w:rPr>
                <w:rFonts w:ascii="Arial (Body)" w:hAnsi="Arial (Body)"/>
                <w:color w:val="000000"/>
              </w:rPr>
            </w:pPr>
            <w:r w:rsidRPr="00DA3DF8">
              <w:t>39</w:t>
            </w:r>
          </w:p>
        </w:tc>
        <w:tc>
          <w:tcPr>
            <w:tcW w:w="227" w:type="pct"/>
            <w:shd w:val="clear" w:color="000000" w:fill="F2F2F2"/>
          </w:tcPr>
          <w:p w14:paraId="6986ED03" w14:textId="77777777" w:rsidR="00696D3E" w:rsidRDefault="00696D3E">
            <w:pPr>
              <w:pStyle w:val="TableBody"/>
              <w:spacing w:before="45" w:after="45"/>
              <w:ind w:right="57"/>
              <w:jc w:val="right"/>
              <w:rPr>
                <w:rFonts w:ascii="Arial (Body)" w:hAnsi="Arial (Body)"/>
                <w:color w:val="000000"/>
              </w:rPr>
            </w:pPr>
            <w:r w:rsidRPr="00DA3DF8">
              <w:t>42</w:t>
            </w:r>
          </w:p>
        </w:tc>
        <w:tc>
          <w:tcPr>
            <w:tcW w:w="227" w:type="pct"/>
            <w:shd w:val="clear" w:color="000000" w:fill="F2F2F2"/>
          </w:tcPr>
          <w:p w14:paraId="783F7A15" w14:textId="77777777" w:rsidR="00696D3E" w:rsidRDefault="00696D3E">
            <w:pPr>
              <w:pStyle w:val="TableBody"/>
              <w:spacing w:before="45" w:after="45"/>
              <w:ind w:right="57"/>
              <w:jc w:val="right"/>
              <w:rPr>
                <w:rFonts w:ascii="Arial (Body)" w:hAnsi="Arial (Body)"/>
                <w:color w:val="000000"/>
              </w:rPr>
            </w:pPr>
            <w:r w:rsidRPr="00DA3DF8">
              <w:t>46</w:t>
            </w:r>
          </w:p>
        </w:tc>
        <w:tc>
          <w:tcPr>
            <w:tcW w:w="227" w:type="pct"/>
            <w:shd w:val="clear" w:color="000000" w:fill="F2F2F2"/>
          </w:tcPr>
          <w:p w14:paraId="363B6A58" w14:textId="77777777" w:rsidR="00696D3E" w:rsidRDefault="00696D3E">
            <w:pPr>
              <w:pStyle w:val="TableBody"/>
              <w:spacing w:before="45" w:after="45"/>
              <w:ind w:right="57"/>
              <w:jc w:val="right"/>
              <w:rPr>
                <w:rFonts w:ascii="Arial (Body)" w:hAnsi="Arial (Body)"/>
                <w:color w:val="000000"/>
              </w:rPr>
            </w:pPr>
            <w:r w:rsidRPr="00DA3DF8">
              <w:t>104</w:t>
            </w:r>
          </w:p>
        </w:tc>
        <w:tc>
          <w:tcPr>
            <w:tcW w:w="227" w:type="pct"/>
            <w:shd w:val="clear" w:color="000000" w:fill="F2F2F2"/>
          </w:tcPr>
          <w:p w14:paraId="206B8F68" w14:textId="77777777" w:rsidR="00696D3E" w:rsidRDefault="00696D3E">
            <w:pPr>
              <w:pStyle w:val="TableBody"/>
              <w:spacing w:before="45" w:after="45"/>
              <w:ind w:right="57"/>
              <w:jc w:val="right"/>
              <w:rPr>
                <w:rFonts w:ascii="Arial (Body)" w:hAnsi="Arial (Body)"/>
                <w:color w:val="000000"/>
              </w:rPr>
            </w:pPr>
            <w:r w:rsidRPr="00DA3DF8">
              <w:t>108</w:t>
            </w:r>
          </w:p>
        </w:tc>
        <w:tc>
          <w:tcPr>
            <w:tcW w:w="227" w:type="pct"/>
            <w:shd w:val="clear" w:color="000000" w:fill="F2F2F2"/>
          </w:tcPr>
          <w:p w14:paraId="59694FAA" w14:textId="77777777" w:rsidR="00696D3E" w:rsidRDefault="00696D3E">
            <w:pPr>
              <w:pStyle w:val="TableBody"/>
              <w:spacing w:before="45" w:after="45"/>
              <w:ind w:right="57"/>
              <w:jc w:val="right"/>
              <w:rPr>
                <w:rFonts w:ascii="Arial (Body)" w:hAnsi="Arial (Body)"/>
                <w:color w:val="000000"/>
              </w:rPr>
            </w:pPr>
            <w:r w:rsidRPr="00DA3DF8">
              <w:t>82</w:t>
            </w:r>
          </w:p>
        </w:tc>
        <w:tc>
          <w:tcPr>
            <w:tcW w:w="227" w:type="pct"/>
            <w:shd w:val="clear" w:color="000000" w:fill="F2F2F2"/>
          </w:tcPr>
          <w:p w14:paraId="38220027" w14:textId="77777777" w:rsidR="00696D3E" w:rsidRPr="00030C67" w:rsidRDefault="00696D3E">
            <w:pPr>
              <w:pStyle w:val="TableBody"/>
              <w:spacing w:before="45" w:after="45"/>
              <w:ind w:right="57"/>
              <w:jc w:val="right"/>
              <w:rPr>
                <w:rFonts w:ascii="Arial (Body)" w:hAnsi="Arial (Body)"/>
                <w:color w:val="000000"/>
              </w:rPr>
            </w:pPr>
            <w:r w:rsidRPr="00DA3DF8">
              <w:t>89</w:t>
            </w:r>
          </w:p>
        </w:tc>
        <w:tc>
          <w:tcPr>
            <w:tcW w:w="227" w:type="pct"/>
            <w:shd w:val="clear" w:color="000000" w:fill="F2F2F2"/>
          </w:tcPr>
          <w:p w14:paraId="0B6CB861" w14:textId="77777777" w:rsidR="00696D3E" w:rsidRPr="00030C67" w:rsidRDefault="00696D3E">
            <w:pPr>
              <w:pStyle w:val="TableBody"/>
              <w:spacing w:before="45" w:after="45"/>
              <w:ind w:right="57"/>
              <w:jc w:val="right"/>
              <w:rPr>
                <w:rFonts w:ascii="Arial (Body)" w:hAnsi="Arial (Body)"/>
                <w:color w:val="000000"/>
              </w:rPr>
            </w:pPr>
            <w:r w:rsidRPr="00DA3DF8">
              <w:t>88</w:t>
            </w:r>
          </w:p>
        </w:tc>
        <w:tc>
          <w:tcPr>
            <w:tcW w:w="227" w:type="pct"/>
            <w:shd w:val="clear" w:color="000000" w:fill="F2F2F2"/>
          </w:tcPr>
          <w:p w14:paraId="64EA1D67" w14:textId="77777777" w:rsidR="00696D3E" w:rsidRPr="00030C67" w:rsidRDefault="00696D3E">
            <w:pPr>
              <w:pStyle w:val="TableBody"/>
              <w:spacing w:before="45" w:after="45"/>
              <w:ind w:right="57"/>
              <w:jc w:val="right"/>
              <w:rPr>
                <w:rFonts w:ascii="Arial (Body)" w:hAnsi="Arial (Body)"/>
                <w:color w:val="000000"/>
              </w:rPr>
            </w:pPr>
            <w:r w:rsidRPr="00DA3DF8">
              <w:t>75</w:t>
            </w:r>
          </w:p>
        </w:tc>
        <w:tc>
          <w:tcPr>
            <w:tcW w:w="227" w:type="pct"/>
            <w:shd w:val="clear" w:color="000000" w:fill="F2F2F2"/>
          </w:tcPr>
          <w:p w14:paraId="0476F328" w14:textId="77777777" w:rsidR="00696D3E" w:rsidRPr="00030C67" w:rsidRDefault="00696D3E">
            <w:pPr>
              <w:pStyle w:val="TableBody"/>
              <w:spacing w:before="45" w:after="45"/>
              <w:ind w:right="57"/>
              <w:jc w:val="right"/>
              <w:rPr>
                <w:rFonts w:ascii="Arial (Body)" w:hAnsi="Arial (Body)"/>
                <w:color w:val="000000"/>
              </w:rPr>
            </w:pPr>
            <w:r w:rsidRPr="00DA3DF8">
              <w:t>89</w:t>
            </w:r>
          </w:p>
        </w:tc>
        <w:tc>
          <w:tcPr>
            <w:tcW w:w="282" w:type="pct"/>
            <w:shd w:val="clear" w:color="000000" w:fill="F2F2F2"/>
          </w:tcPr>
          <w:p w14:paraId="625AE6DF" w14:textId="77777777" w:rsidR="00696D3E" w:rsidRPr="00030C67" w:rsidRDefault="00696D3E">
            <w:pPr>
              <w:pStyle w:val="TableBody"/>
              <w:spacing w:before="45" w:after="45"/>
              <w:ind w:right="57"/>
              <w:jc w:val="right"/>
              <w:rPr>
                <w:rFonts w:ascii="Arial (Body)" w:hAnsi="Arial (Body)"/>
                <w:color w:val="000000"/>
              </w:rPr>
            </w:pPr>
            <w:r w:rsidRPr="00E63CA7">
              <w:t>64</w:t>
            </w:r>
          </w:p>
        </w:tc>
      </w:tr>
      <w:tr w:rsidR="00696D3E" w:rsidRPr="00030C67" w14:paraId="0795C26D" w14:textId="77777777">
        <w:tc>
          <w:tcPr>
            <w:tcW w:w="405" w:type="pct"/>
            <w:shd w:val="clear" w:color="auto" w:fill="auto"/>
          </w:tcPr>
          <w:p w14:paraId="4D066FE7" w14:textId="77777777" w:rsidR="00696D3E" w:rsidRPr="00030C67" w:rsidRDefault="00696D3E">
            <w:pPr>
              <w:pStyle w:val="TableHeading"/>
            </w:pPr>
            <w:r w:rsidRPr="00635B50">
              <w:t>2002</w:t>
            </w:r>
          </w:p>
        </w:tc>
        <w:tc>
          <w:tcPr>
            <w:tcW w:w="227" w:type="pct"/>
            <w:shd w:val="clear" w:color="auto" w:fill="auto"/>
          </w:tcPr>
          <w:p w14:paraId="0AFFD793" w14:textId="77777777" w:rsidR="00696D3E" w:rsidRDefault="00696D3E">
            <w:pPr>
              <w:pStyle w:val="TableBody"/>
              <w:spacing w:before="45" w:after="45"/>
              <w:ind w:right="57"/>
              <w:jc w:val="right"/>
              <w:rPr>
                <w:rFonts w:ascii="Arial (Body)" w:hAnsi="Arial (Body)"/>
                <w:color w:val="000000"/>
              </w:rPr>
            </w:pPr>
            <w:r w:rsidRPr="00DA3DF8">
              <w:t>45</w:t>
            </w:r>
          </w:p>
        </w:tc>
        <w:tc>
          <w:tcPr>
            <w:tcW w:w="227" w:type="pct"/>
            <w:shd w:val="clear" w:color="auto" w:fill="auto"/>
          </w:tcPr>
          <w:p w14:paraId="13FDD009" w14:textId="77777777" w:rsidR="00696D3E" w:rsidRDefault="00696D3E">
            <w:pPr>
              <w:pStyle w:val="TableBody"/>
              <w:spacing w:before="45" w:after="45"/>
              <w:ind w:right="57"/>
              <w:jc w:val="right"/>
              <w:rPr>
                <w:rFonts w:ascii="Arial (Body)" w:hAnsi="Arial (Body)"/>
                <w:color w:val="000000"/>
              </w:rPr>
            </w:pPr>
            <w:r w:rsidRPr="00DA3DF8">
              <w:t>21</w:t>
            </w:r>
          </w:p>
        </w:tc>
        <w:tc>
          <w:tcPr>
            <w:tcW w:w="227" w:type="pct"/>
            <w:shd w:val="clear" w:color="auto" w:fill="auto"/>
          </w:tcPr>
          <w:p w14:paraId="0B22B480" w14:textId="77777777" w:rsidR="00696D3E" w:rsidRDefault="00696D3E">
            <w:pPr>
              <w:pStyle w:val="TableBody"/>
              <w:spacing w:before="45" w:after="45"/>
              <w:ind w:right="57"/>
              <w:jc w:val="right"/>
              <w:rPr>
                <w:rFonts w:ascii="Arial (Body)" w:hAnsi="Arial (Body)"/>
                <w:color w:val="000000"/>
              </w:rPr>
            </w:pPr>
            <w:r w:rsidRPr="00DA3DF8">
              <w:t>62</w:t>
            </w:r>
          </w:p>
        </w:tc>
        <w:tc>
          <w:tcPr>
            <w:tcW w:w="227" w:type="pct"/>
            <w:shd w:val="clear" w:color="auto" w:fill="auto"/>
          </w:tcPr>
          <w:p w14:paraId="4D735410" w14:textId="77777777" w:rsidR="00696D3E" w:rsidRDefault="00696D3E">
            <w:pPr>
              <w:pStyle w:val="TableBody"/>
              <w:spacing w:before="45" w:after="45"/>
              <w:ind w:right="57"/>
              <w:jc w:val="right"/>
              <w:rPr>
                <w:rFonts w:ascii="Arial (Body)" w:hAnsi="Arial (Body)"/>
                <w:color w:val="000000"/>
              </w:rPr>
            </w:pPr>
            <w:r w:rsidRPr="00DA3DF8">
              <w:t>33</w:t>
            </w:r>
          </w:p>
        </w:tc>
        <w:tc>
          <w:tcPr>
            <w:tcW w:w="227" w:type="pct"/>
            <w:shd w:val="clear" w:color="auto" w:fill="auto"/>
          </w:tcPr>
          <w:p w14:paraId="5C6CC12D" w14:textId="77777777" w:rsidR="00696D3E" w:rsidRDefault="00696D3E">
            <w:pPr>
              <w:pStyle w:val="TableBody"/>
              <w:spacing w:before="45" w:after="45"/>
              <w:ind w:right="57"/>
              <w:jc w:val="right"/>
              <w:rPr>
                <w:rFonts w:ascii="Arial (Body)" w:hAnsi="Arial (Body)"/>
                <w:color w:val="000000"/>
              </w:rPr>
            </w:pPr>
            <w:r w:rsidRPr="00DA3DF8">
              <w:t>79</w:t>
            </w:r>
          </w:p>
        </w:tc>
        <w:tc>
          <w:tcPr>
            <w:tcW w:w="227" w:type="pct"/>
            <w:shd w:val="clear" w:color="auto" w:fill="auto"/>
          </w:tcPr>
          <w:p w14:paraId="533BD39B" w14:textId="77777777" w:rsidR="00696D3E" w:rsidRDefault="00696D3E">
            <w:pPr>
              <w:pStyle w:val="TableBody"/>
              <w:spacing w:before="45" w:after="45"/>
              <w:ind w:right="57"/>
              <w:jc w:val="right"/>
              <w:rPr>
                <w:rFonts w:ascii="Arial (Body)" w:hAnsi="Arial (Body)"/>
                <w:color w:val="000000"/>
              </w:rPr>
            </w:pPr>
            <w:r w:rsidRPr="00DA3DF8">
              <w:t>70</w:t>
            </w:r>
          </w:p>
        </w:tc>
        <w:tc>
          <w:tcPr>
            <w:tcW w:w="227" w:type="pct"/>
            <w:shd w:val="clear" w:color="auto" w:fill="auto"/>
          </w:tcPr>
          <w:p w14:paraId="3931CF9B" w14:textId="77777777" w:rsidR="00696D3E" w:rsidRDefault="00696D3E">
            <w:pPr>
              <w:pStyle w:val="TableBody"/>
              <w:spacing w:before="45" w:after="45"/>
              <w:ind w:right="57"/>
              <w:jc w:val="right"/>
              <w:rPr>
                <w:rFonts w:ascii="Arial (Body)" w:hAnsi="Arial (Body)"/>
                <w:color w:val="000000"/>
              </w:rPr>
            </w:pPr>
            <w:r w:rsidRPr="00DA3DF8">
              <w:t>80</w:t>
            </w:r>
          </w:p>
        </w:tc>
        <w:tc>
          <w:tcPr>
            <w:tcW w:w="227" w:type="pct"/>
            <w:shd w:val="clear" w:color="auto" w:fill="auto"/>
          </w:tcPr>
          <w:p w14:paraId="46F62F2C" w14:textId="77777777" w:rsidR="00696D3E" w:rsidRDefault="00696D3E">
            <w:pPr>
              <w:pStyle w:val="TableBody"/>
              <w:spacing w:before="45" w:after="45"/>
              <w:ind w:right="57"/>
              <w:jc w:val="right"/>
              <w:rPr>
                <w:rFonts w:ascii="Arial (Body)" w:hAnsi="Arial (Body)"/>
                <w:color w:val="000000"/>
              </w:rPr>
            </w:pPr>
            <w:r w:rsidRPr="00DA3DF8">
              <w:t>93</w:t>
            </w:r>
          </w:p>
        </w:tc>
        <w:tc>
          <w:tcPr>
            <w:tcW w:w="227" w:type="pct"/>
            <w:shd w:val="clear" w:color="auto" w:fill="auto"/>
          </w:tcPr>
          <w:p w14:paraId="6D7C77DC" w14:textId="77777777" w:rsidR="00696D3E" w:rsidRDefault="00696D3E">
            <w:pPr>
              <w:pStyle w:val="TableBody"/>
              <w:spacing w:before="45" w:after="45"/>
              <w:ind w:right="57"/>
              <w:jc w:val="right"/>
              <w:rPr>
                <w:rFonts w:ascii="Arial (Body)" w:hAnsi="Arial (Body)"/>
                <w:color w:val="000000"/>
              </w:rPr>
            </w:pPr>
            <w:r w:rsidRPr="00DA3DF8">
              <w:t>72</w:t>
            </w:r>
          </w:p>
        </w:tc>
        <w:tc>
          <w:tcPr>
            <w:tcW w:w="227" w:type="pct"/>
            <w:shd w:val="clear" w:color="auto" w:fill="auto"/>
          </w:tcPr>
          <w:p w14:paraId="5B0F1AB2" w14:textId="77777777" w:rsidR="00696D3E" w:rsidRDefault="00696D3E">
            <w:pPr>
              <w:pStyle w:val="TableBody"/>
              <w:spacing w:before="45" w:after="45"/>
              <w:ind w:right="57"/>
              <w:jc w:val="right"/>
              <w:rPr>
                <w:rFonts w:ascii="Arial (Body)" w:hAnsi="Arial (Body)"/>
                <w:color w:val="000000"/>
              </w:rPr>
            </w:pPr>
            <w:r w:rsidRPr="00DA3DF8">
              <w:t>38</w:t>
            </w:r>
          </w:p>
        </w:tc>
        <w:tc>
          <w:tcPr>
            <w:tcW w:w="227" w:type="pct"/>
            <w:shd w:val="clear" w:color="auto" w:fill="auto"/>
          </w:tcPr>
          <w:p w14:paraId="6D800E88" w14:textId="77777777" w:rsidR="00696D3E" w:rsidRDefault="00696D3E">
            <w:pPr>
              <w:pStyle w:val="TableBody"/>
              <w:spacing w:before="45" w:after="45"/>
              <w:ind w:right="57"/>
              <w:jc w:val="right"/>
              <w:rPr>
                <w:rFonts w:ascii="Arial (Body)" w:hAnsi="Arial (Body)"/>
                <w:color w:val="000000"/>
              </w:rPr>
            </w:pPr>
            <w:r w:rsidRPr="00DA3DF8">
              <w:t>42</w:t>
            </w:r>
          </w:p>
        </w:tc>
        <w:tc>
          <w:tcPr>
            <w:tcW w:w="227" w:type="pct"/>
            <w:shd w:val="clear" w:color="auto" w:fill="auto"/>
          </w:tcPr>
          <w:p w14:paraId="64BA5883" w14:textId="77777777" w:rsidR="00696D3E" w:rsidRDefault="00696D3E">
            <w:pPr>
              <w:pStyle w:val="TableBody"/>
              <w:spacing w:before="45" w:after="45"/>
              <w:ind w:right="57"/>
              <w:jc w:val="right"/>
              <w:rPr>
                <w:rFonts w:ascii="Arial (Body)" w:hAnsi="Arial (Body)"/>
                <w:color w:val="000000"/>
              </w:rPr>
            </w:pPr>
            <w:r w:rsidRPr="00DA3DF8">
              <w:t>43</w:t>
            </w:r>
          </w:p>
        </w:tc>
        <w:tc>
          <w:tcPr>
            <w:tcW w:w="227" w:type="pct"/>
            <w:shd w:val="clear" w:color="auto" w:fill="auto"/>
          </w:tcPr>
          <w:p w14:paraId="5BE28303" w14:textId="77777777" w:rsidR="00696D3E" w:rsidRDefault="00696D3E">
            <w:pPr>
              <w:pStyle w:val="TableBody"/>
              <w:spacing w:before="45" w:after="45"/>
              <w:ind w:right="57"/>
              <w:jc w:val="right"/>
              <w:rPr>
                <w:rFonts w:ascii="Arial (Body)" w:hAnsi="Arial (Body)"/>
                <w:color w:val="000000"/>
              </w:rPr>
            </w:pPr>
            <w:r w:rsidRPr="00DA3DF8">
              <w:t>104</w:t>
            </w:r>
          </w:p>
        </w:tc>
        <w:tc>
          <w:tcPr>
            <w:tcW w:w="227" w:type="pct"/>
            <w:shd w:val="clear" w:color="auto" w:fill="auto"/>
          </w:tcPr>
          <w:p w14:paraId="1BC8F9BC" w14:textId="77777777" w:rsidR="00696D3E" w:rsidRDefault="00696D3E">
            <w:pPr>
              <w:pStyle w:val="TableBody"/>
              <w:spacing w:before="45" w:after="45"/>
              <w:ind w:right="57"/>
              <w:jc w:val="right"/>
              <w:rPr>
                <w:rFonts w:ascii="Arial (Body)" w:hAnsi="Arial (Body)"/>
                <w:color w:val="000000"/>
              </w:rPr>
            </w:pPr>
            <w:r w:rsidRPr="00DA3DF8">
              <w:t>107</w:t>
            </w:r>
          </w:p>
        </w:tc>
        <w:tc>
          <w:tcPr>
            <w:tcW w:w="227" w:type="pct"/>
            <w:shd w:val="clear" w:color="auto" w:fill="auto"/>
          </w:tcPr>
          <w:p w14:paraId="08216D81" w14:textId="77777777" w:rsidR="00696D3E" w:rsidRDefault="00696D3E">
            <w:pPr>
              <w:pStyle w:val="TableBody"/>
              <w:spacing w:before="45" w:after="45"/>
              <w:ind w:right="57"/>
              <w:jc w:val="right"/>
              <w:rPr>
                <w:rFonts w:ascii="Arial (Body)" w:hAnsi="Arial (Body)"/>
                <w:color w:val="000000"/>
              </w:rPr>
            </w:pPr>
            <w:r w:rsidRPr="00DA3DF8">
              <w:t>83</w:t>
            </w:r>
          </w:p>
        </w:tc>
        <w:tc>
          <w:tcPr>
            <w:tcW w:w="227" w:type="pct"/>
            <w:shd w:val="clear" w:color="auto" w:fill="auto"/>
          </w:tcPr>
          <w:p w14:paraId="057296EE" w14:textId="77777777" w:rsidR="00696D3E" w:rsidRPr="00030C67" w:rsidRDefault="00696D3E">
            <w:pPr>
              <w:pStyle w:val="TableBody"/>
              <w:spacing w:before="45" w:after="45"/>
              <w:ind w:right="57"/>
              <w:jc w:val="right"/>
              <w:rPr>
                <w:rFonts w:ascii="Arial (Body)" w:hAnsi="Arial (Body)"/>
                <w:color w:val="000000"/>
              </w:rPr>
            </w:pPr>
            <w:r w:rsidRPr="00DA3DF8">
              <w:t>88</w:t>
            </w:r>
          </w:p>
        </w:tc>
        <w:tc>
          <w:tcPr>
            <w:tcW w:w="227" w:type="pct"/>
            <w:shd w:val="clear" w:color="auto" w:fill="auto"/>
          </w:tcPr>
          <w:p w14:paraId="1814CA42" w14:textId="77777777" w:rsidR="00696D3E" w:rsidRPr="00030C67" w:rsidRDefault="00696D3E">
            <w:pPr>
              <w:pStyle w:val="TableBody"/>
              <w:spacing w:before="45" w:after="45"/>
              <w:ind w:right="57"/>
              <w:jc w:val="right"/>
              <w:rPr>
                <w:rFonts w:ascii="Arial (Body)" w:hAnsi="Arial (Body)"/>
                <w:color w:val="000000"/>
              </w:rPr>
            </w:pPr>
            <w:r w:rsidRPr="00DA3DF8">
              <w:t>88</w:t>
            </w:r>
          </w:p>
        </w:tc>
        <w:tc>
          <w:tcPr>
            <w:tcW w:w="227" w:type="pct"/>
            <w:shd w:val="clear" w:color="auto" w:fill="auto"/>
          </w:tcPr>
          <w:p w14:paraId="709FF661" w14:textId="77777777" w:rsidR="00696D3E" w:rsidRPr="00030C67" w:rsidRDefault="00696D3E">
            <w:pPr>
              <w:pStyle w:val="TableBody"/>
              <w:spacing w:before="45" w:after="45"/>
              <w:ind w:right="57"/>
              <w:jc w:val="right"/>
              <w:rPr>
                <w:rFonts w:ascii="Arial (Body)" w:hAnsi="Arial (Body)"/>
                <w:color w:val="000000"/>
              </w:rPr>
            </w:pPr>
            <w:r w:rsidRPr="00DA3DF8">
              <w:t>74</w:t>
            </w:r>
          </w:p>
        </w:tc>
        <w:tc>
          <w:tcPr>
            <w:tcW w:w="227" w:type="pct"/>
            <w:shd w:val="clear" w:color="auto" w:fill="auto"/>
          </w:tcPr>
          <w:p w14:paraId="43BBCE1D" w14:textId="77777777" w:rsidR="00696D3E" w:rsidRPr="00030C67" w:rsidRDefault="00696D3E">
            <w:pPr>
              <w:pStyle w:val="TableBody"/>
              <w:spacing w:before="45" w:after="45"/>
              <w:ind w:right="57"/>
              <w:jc w:val="right"/>
              <w:rPr>
                <w:rFonts w:ascii="Arial (Body)" w:hAnsi="Arial (Body)"/>
                <w:color w:val="000000"/>
              </w:rPr>
            </w:pPr>
            <w:r w:rsidRPr="00DA3DF8">
              <w:t>87</w:t>
            </w:r>
          </w:p>
        </w:tc>
        <w:tc>
          <w:tcPr>
            <w:tcW w:w="282" w:type="pct"/>
            <w:shd w:val="clear" w:color="auto" w:fill="auto"/>
          </w:tcPr>
          <w:p w14:paraId="16DF1783" w14:textId="77777777" w:rsidR="00696D3E" w:rsidRPr="00030C67" w:rsidRDefault="00696D3E">
            <w:pPr>
              <w:pStyle w:val="TableBody"/>
              <w:spacing w:before="45" w:after="45"/>
              <w:ind w:right="57"/>
              <w:jc w:val="right"/>
              <w:rPr>
                <w:rFonts w:ascii="Arial (Body)" w:hAnsi="Arial (Body)"/>
                <w:color w:val="000000"/>
              </w:rPr>
            </w:pPr>
            <w:r w:rsidRPr="00E63CA7">
              <w:t>62</w:t>
            </w:r>
          </w:p>
        </w:tc>
      </w:tr>
      <w:tr w:rsidR="00696D3E" w:rsidRPr="00030C67" w14:paraId="3CCC6679" w14:textId="77777777">
        <w:tc>
          <w:tcPr>
            <w:tcW w:w="405" w:type="pct"/>
            <w:shd w:val="clear" w:color="000000" w:fill="F2F2F2"/>
          </w:tcPr>
          <w:p w14:paraId="17508E2A" w14:textId="77777777" w:rsidR="00696D3E" w:rsidRPr="00030C67" w:rsidRDefault="00696D3E">
            <w:pPr>
              <w:pStyle w:val="TableHeading"/>
            </w:pPr>
            <w:r w:rsidRPr="00635B50">
              <w:t>2003</w:t>
            </w:r>
          </w:p>
        </w:tc>
        <w:tc>
          <w:tcPr>
            <w:tcW w:w="227" w:type="pct"/>
            <w:shd w:val="clear" w:color="000000" w:fill="F2F2F2"/>
          </w:tcPr>
          <w:p w14:paraId="086AAE70" w14:textId="77777777" w:rsidR="00696D3E" w:rsidRDefault="00696D3E">
            <w:pPr>
              <w:pStyle w:val="TableBody"/>
              <w:spacing w:before="45" w:after="45"/>
              <w:ind w:right="57"/>
              <w:jc w:val="right"/>
              <w:rPr>
                <w:rFonts w:ascii="Arial (Body)" w:hAnsi="Arial (Body)"/>
                <w:color w:val="000000"/>
              </w:rPr>
            </w:pPr>
            <w:r w:rsidRPr="00DA3DF8">
              <w:t>57</w:t>
            </w:r>
          </w:p>
        </w:tc>
        <w:tc>
          <w:tcPr>
            <w:tcW w:w="227" w:type="pct"/>
            <w:shd w:val="clear" w:color="000000" w:fill="F2F2F2"/>
          </w:tcPr>
          <w:p w14:paraId="7FB2B59B" w14:textId="77777777" w:rsidR="00696D3E" w:rsidRDefault="00696D3E">
            <w:pPr>
              <w:pStyle w:val="TableBody"/>
              <w:spacing w:before="45" w:after="45"/>
              <w:ind w:right="57"/>
              <w:jc w:val="right"/>
              <w:rPr>
                <w:rFonts w:ascii="Arial (Body)" w:hAnsi="Arial (Body)"/>
                <w:color w:val="000000"/>
              </w:rPr>
            </w:pPr>
            <w:r w:rsidRPr="00DA3DF8">
              <w:t>22</w:t>
            </w:r>
          </w:p>
        </w:tc>
        <w:tc>
          <w:tcPr>
            <w:tcW w:w="227" w:type="pct"/>
            <w:shd w:val="clear" w:color="000000" w:fill="F2F2F2"/>
          </w:tcPr>
          <w:p w14:paraId="05EE00FC" w14:textId="77777777" w:rsidR="00696D3E" w:rsidRDefault="00696D3E">
            <w:pPr>
              <w:pStyle w:val="TableBody"/>
              <w:spacing w:before="45" w:after="45"/>
              <w:ind w:right="57"/>
              <w:jc w:val="right"/>
              <w:rPr>
                <w:rFonts w:ascii="Arial (Body)" w:hAnsi="Arial (Body)"/>
                <w:color w:val="000000"/>
              </w:rPr>
            </w:pPr>
            <w:r w:rsidRPr="00DA3DF8">
              <w:t>62</w:t>
            </w:r>
          </w:p>
        </w:tc>
        <w:tc>
          <w:tcPr>
            <w:tcW w:w="227" w:type="pct"/>
            <w:shd w:val="clear" w:color="000000" w:fill="F2F2F2"/>
          </w:tcPr>
          <w:p w14:paraId="16A878D3" w14:textId="77777777" w:rsidR="00696D3E" w:rsidRDefault="00696D3E">
            <w:pPr>
              <w:pStyle w:val="TableBody"/>
              <w:spacing w:before="45" w:after="45"/>
              <w:ind w:right="57"/>
              <w:jc w:val="right"/>
              <w:rPr>
                <w:rFonts w:ascii="Arial (Body)" w:hAnsi="Arial (Body)"/>
                <w:color w:val="000000"/>
              </w:rPr>
            </w:pPr>
            <w:r w:rsidRPr="00DA3DF8">
              <w:t>34</w:t>
            </w:r>
          </w:p>
        </w:tc>
        <w:tc>
          <w:tcPr>
            <w:tcW w:w="227" w:type="pct"/>
            <w:shd w:val="clear" w:color="000000" w:fill="F2F2F2"/>
          </w:tcPr>
          <w:p w14:paraId="582FEFBF" w14:textId="77777777" w:rsidR="00696D3E" w:rsidRDefault="00696D3E">
            <w:pPr>
              <w:pStyle w:val="TableBody"/>
              <w:spacing w:before="45" w:after="45"/>
              <w:ind w:right="57"/>
              <w:jc w:val="right"/>
              <w:rPr>
                <w:rFonts w:ascii="Arial (Body)" w:hAnsi="Arial (Body)"/>
                <w:color w:val="000000"/>
              </w:rPr>
            </w:pPr>
            <w:r w:rsidRPr="00DA3DF8">
              <w:t>75</w:t>
            </w:r>
          </w:p>
        </w:tc>
        <w:tc>
          <w:tcPr>
            <w:tcW w:w="227" w:type="pct"/>
            <w:shd w:val="clear" w:color="000000" w:fill="F2F2F2"/>
          </w:tcPr>
          <w:p w14:paraId="420D5BF6" w14:textId="77777777" w:rsidR="00696D3E" w:rsidRDefault="00696D3E">
            <w:pPr>
              <w:pStyle w:val="TableBody"/>
              <w:spacing w:before="45" w:after="45"/>
              <w:ind w:right="57"/>
              <w:jc w:val="right"/>
              <w:rPr>
                <w:rFonts w:ascii="Arial (Body)" w:hAnsi="Arial (Body)"/>
                <w:color w:val="000000"/>
              </w:rPr>
            </w:pPr>
            <w:r w:rsidRPr="00DA3DF8">
              <w:t>66</w:t>
            </w:r>
          </w:p>
        </w:tc>
        <w:tc>
          <w:tcPr>
            <w:tcW w:w="227" w:type="pct"/>
            <w:shd w:val="clear" w:color="000000" w:fill="F2F2F2"/>
          </w:tcPr>
          <w:p w14:paraId="158DC396" w14:textId="77777777" w:rsidR="00696D3E" w:rsidRDefault="00696D3E">
            <w:pPr>
              <w:pStyle w:val="TableBody"/>
              <w:spacing w:before="45" w:after="45"/>
              <w:ind w:right="57"/>
              <w:jc w:val="right"/>
              <w:rPr>
                <w:rFonts w:ascii="Arial (Body)" w:hAnsi="Arial (Body)"/>
                <w:color w:val="000000"/>
              </w:rPr>
            </w:pPr>
            <w:r w:rsidRPr="00DA3DF8">
              <w:t>81</w:t>
            </w:r>
          </w:p>
        </w:tc>
        <w:tc>
          <w:tcPr>
            <w:tcW w:w="227" w:type="pct"/>
            <w:shd w:val="clear" w:color="000000" w:fill="F2F2F2"/>
          </w:tcPr>
          <w:p w14:paraId="7A951573" w14:textId="77777777" w:rsidR="00696D3E" w:rsidRDefault="00696D3E">
            <w:pPr>
              <w:pStyle w:val="TableBody"/>
              <w:spacing w:before="45" w:after="45"/>
              <w:ind w:right="57"/>
              <w:jc w:val="right"/>
              <w:rPr>
                <w:rFonts w:ascii="Arial (Body)" w:hAnsi="Arial (Body)"/>
                <w:color w:val="000000"/>
              </w:rPr>
            </w:pPr>
            <w:r w:rsidRPr="00DA3DF8">
              <w:t>91</w:t>
            </w:r>
          </w:p>
        </w:tc>
        <w:tc>
          <w:tcPr>
            <w:tcW w:w="227" w:type="pct"/>
            <w:shd w:val="clear" w:color="000000" w:fill="F2F2F2"/>
          </w:tcPr>
          <w:p w14:paraId="4464D350" w14:textId="77777777" w:rsidR="00696D3E" w:rsidRDefault="00696D3E">
            <w:pPr>
              <w:pStyle w:val="TableBody"/>
              <w:spacing w:before="45" w:after="45"/>
              <w:ind w:right="57"/>
              <w:jc w:val="right"/>
              <w:rPr>
                <w:rFonts w:ascii="Arial (Body)" w:hAnsi="Arial (Body)"/>
                <w:color w:val="000000"/>
              </w:rPr>
            </w:pPr>
            <w:r w:rsidRPr="00DA3DF8">
              <w:t>67</w:t>
            </w:r>
          </w:p>
        </w:tc>
        <w:tc>
          <w:tcPr>
            <w:tcW w:w="227" w:type="pct"/>
            <w:shd w:val="clear" w:color="000000" w:fill="F2F2F2"/>
          </w:tcPr>
          <w:p w14:paraId="6B0B8BB0" w14:textId="77777777" w:rsidR="00696D3E" w:rsidRDefault="00696D3E">
            <w:pPr>
              <w:pStyle w:val="TableBody"/>
              <w:spacing w:before="45" w:after="45"/>
              <w:ind w:right="57"/>
              <w:jc w:val="right"/>
              <w:rPr>
                <w:rFonts w:ascii="Arial (Body)" w:hAnsi="Arial (Body)"/>
                <w:color w:val="000000"/>
              </w:rPr>
            </w:pPr>
            <w:r w:rsidRPr="00DA3DF8">
              <w:t>36</w:t>
            </w:r>
          </w:p>
        </w:tc>
        <w:tc>
          <w:tcPr>
            <w:tcW w:w="227" w:type="pct"/>
            <w:shd w:val="clear" w:color="000000" w:fill="F2F2F2"/>
          </w:tcPr>
          <w:p w14:paraId="34FAC0CB" w14:textId="77777777" w:rsidR="00696D3E" w:rsidRDefault="00696D3E">
            <w:pPr>
              <w:pStyle w:val="TableBody"/>
              <w:spacing w:before="45" w:after="45"/>
              <w:ind w:right="57"/>
              <w:jc w:val="right"/>
              <w:rPr>
                <w:rFonts w:ascii="Arial (Body)" w:hAnsi="Arial (Body)"/>
                <w:color w:val="000000"/>
              </w:rPr>
            </w:pPr>
            <w:r w:rsidRPr="00DA3DF8">
              <w:t>42</w:t>
            </w:r>
          </w:p>
        </w:tc>
        <w:tc>
          <w:tcPr>
            <w:tcW w:w="227" w:type="pct"/>
            <w:shd w:val="clear" w:color="000000" w:fill="F2F2F2"/>
          </w:tcPr>
          <w:p w14:paraId="12C30E48" w14:textId="77777777" w:rsidR="00696D3E" w:rsidRDefault="00696D3E">
            <w:pPr>
              <w:pStyle w:val="TableBody"/>
              <w:spacing w:before="45" w:after="45"/>
              <w:ind w:right="57"/>
              <w:jc w:val="right"/>
              <w:rPr>
                <w:rFonts w:ascii="Arial (Body)" w:hAnsi="Arial (Body)"/>
                <w:color w:val="000000"/>
              </w:rPr>
            </w:pPr>
            <w:r w:rsidRPr="00DA3DF8">
              <w:t>43</w:t>
            </w:r>
          </w:p>
        </w:tc>
        <w:tc>
          <w:tcPr>
            <w:tcW w:w="227" w:type="pct"/>
            <w:shd w:val="clear" w:color="000000" w:fill="F2F2F2"/>
          </w:tcPr>
          <w:p w14:paraId="60078E29" w14:textId="77777777" w:rsidR="00696D3E" w:rsidRDefault="00696D3E">
            <w:pPr>
              <w:pStyle w:val="TableBody"/>
              <w:spacing w:before="45" w:after="45"/>
              <w:ind w:right="57"/>
              <w:jc w:val="right"/>
              <w:rPr>
                <w:rFonts w:ascii="Arial (Body)" w:hAnsi="Arial (Body)"/>
                <w:color w:val="000000"/>
              </w:rPr>
            </w:pPr>
            <w:r w:rsidRPr="00DA3DF8">
              <w:t>103</w:t>
            </w:r>
          </w:p>
        </w:tc>
        <w:tc>
          <w:tcPr>
            <w:tcW w:w="227" w:type="pct"/>
            <w:shd w:val="clear" w:color="000000" w:fill="F2F2F2"/>
          </w:tcPr>
          <w:p w14:paraId="1CE5A8F7" w14:textId="77777777" w:rsidR="00696D3E" w:rsidRDefault="00696D3E">
            <w:pPr>
              <w:pStyle w:val="TableBody"/>
              <w:spacing w:before="45" w:after="45"/>
              <w:ind w:right="57"/>
              <w:jc w:val="right"/>
              <w:rPr>
                <w:rFonts w:ascii="Arial (Body)" w:hAnsi="Arial (Body)"/>
                <w:color w:val="000000"/>
              </w:rPr>
            </w:pPr>
            <w:r w:rsidRPr="00DA3DF8">
              <w:t>109</w:t>
            </w:r>
          </w:p>
        </w:tc>
        <w:tc>
          <w:tcPr>
            <w:tcW w:w="227" w:type="pct"/>
            <w:shd w:val="clear" w:color="000000" w:fill="F2F2F2"/>
          </w:tcPr>
          <w:p w14:paraId="318FDF0D" w14:textId="77777777" w:rsidR="00696D3E" w:rsidRDefault="00696D3E">
            <w:pPr>
              <w:pStyle w:val="TableBody"/>
              <w:spacing w:before="45" w:after="45"/>
              <w:ind w:right="57"/>
              <w:jc w:val="right"/>
              <w:rPr>
                <w:rFonts w:ascii="Arial (Body)" w:hAnsi="Arial (Body)"/>
                <w:color w:val="000000"/>
              </w:rPr>
            </w:pPr>
            <w:r w:rsidRPr="00DA3DF8">
              <w:t>83</w:t>
            </w:r>
          </w:p>
        </w:tc>
        <w:tc>
          <w:tcPr>
            <w:tcW w:w="227" w:type="pct"/>
            <w:shd w:val="clear" w:color="000000" w:fill="F2F2F2"/>
          </w:tcPr>
          <w:p w14:paraId="776CCEF6" w14:textId="77777777" w:rsidR="00696D3E" w:rsidRPr="00030C67" w:rsidRDefault="00696D3E">
            <w:pPr>
              <w:pStyle w:val="TableBody"/>
              <w:spacing w:before="45" w:after="45"/>
              <w:ind w:right="57"/>
              <w:jc w:val="right"/>
              <w:rPr>
                <w:rFonts w:ascii="Arial (Body)" w:hAnsi="Arial (Body)"/>
                <w:color w:val="000000"/>
              </w:rPr>
            </w:pPr>
            <w:r w:rsidRPr="00DA3DF8">
              <w:t>90</w:t>
            </w:r>
          </w:p>
        </w:tc>
        <w:tc>
          <w:tcPr>
            <w:tcW w:w="227" w:type="pct"/>
            <w:shd w:val="clear" w:color="000000" w:fill="F2F2F2"/>
          </w:tcPr>
          <w:p w14:paraId="244C9A05" w14:textId="77777777" w:rsidR="00696D3E" w:rsidRPr="00030C67" w:rsidRDefault="00696D3E">
            <w:pPr>
              <w:pStyle w:val="TableBody"/>
              <w:spacing w:before="45" w:after="45"/>
              <w:ind w:right="57"/>
              <w:jc w:val="right"/>
              <w:rPr>
                <w:rFonts w:ascii="Arial (Body)" w:hAnsi="Arial (Body)"/>
                <w:color w:val="000000"/>
              </w:rPr>
            </w:pPr>
            <w:r w:rsidRPr="00DA3DF8">
              <w:t>89</w:t>
            </w:r>
          </w:p>
        </w:tc>
        <w:tc>
          <w:tcPr>
            <w:tcW w:w="227" w:type="pct"/>
            <w:shd w:val="clear" w:color="000000" w:fill="F2F2F2"/>
          </w:tcPr>
          <w:p w14:paraId="29BD85F6" w14:textId="77777777" w:rsidR="00696D3E" w:rsidRPr="00030C67" w:rsidRDefault="00696D3E">
            <w:pPr>
              <w:pStyle w:val="TableBody"/>
              <w:spacing w:before="45" w:after="45"/>
              <w:ind w:right="57"/>
              <w:jc w:val="right"/>
              <w:rPr>
                <w:rFonts w:ascii="Arial (Body)" w:hAnsi="Arial (Body)"/>
                <w:color w:val="000000"/>
              </w:rPr>
            </w:pPr>
            <w:r w:rsidRPr="00DA3DF8">
              <w:t>75</w:t>
            </w:r>
          </w:p>
        </w:tc>
        <w:tc>
          <w:tcPr>
            <w:tcW w:w="227" w:type="pct"/>
            <w:shd w:val="clear" w:color="000000" w:fill="F2F2F2"/>
          </w:tcPr>
          <w:p w14:paraId="66C90788" w14:textId="77777777" w:rsidR="00696D3E" w:rsidRPr="00030C67" w:rsidRDefault="00696D3E">
            <w:pPr>
              <w:pStyle w:val="TableBody"/>
              <w:spacing w:before="45" w:after="45"/>
              <w:ind w:right="57"/>
              <w:jc w:val="right"/>
              <w:rPr>
                <w:rFonts w:ascii="Arial (Body)" w:hAnsi="Arial (Body)"/>
                <w:color w:val="000000"/>
              </w:rPr>
            </w:pPr>
            <w:r w:rsidRPr="00DA3DF8">
              <w:t>84</w:t>
            </w:r>
          </w:p>
        </w:tc>
        <w:tc>
          <w:tcPr>
            <w:tcW w:w="282" w:type="pct"/>
            <w:shd w:val="clear" w:color="000000" w:fill="F2F2F2"/>
          </w:tcPr>
          <w:p w14:paraId="4932CC17" w14:textId="77777777" w:rsidR="00696D3E" w:rsidRPr="00030C67" w:rsidRDefault="00696D3E">
            <w:pPr>
              <w:pStyle w:val="TableBody"/>
              <w:spacing w:before="45" w:after="45"/>
              <w:ind w:right="57"/>
              <w:jc w:val="right"/>
              <w:rPr>
                <w:rFonts w:ascii="Arial (Body)" w:hAnsi="Arial (Body)"/>
                <w:color w:val="000000"/>
              </w:rPr>
            </w:pPr>
            <w:r w:rsidRPr="00E63CA7">
              <w:t>63</w:t>
            </w:r>
          </w:p>
        </w:tc>
      </w:tr>
      <w:tr w:rsidR="00696D3E" w:rsidRPr="00030C67" w14:paraId="0661097A" w14:textId="77777777">
        <w:tc>
          <w:tcPr>
            <w:tcW w:w="405" w:type="pct"/>
            <w:shd w:val="clear" w:color="auto" w:fill="auto"/>
          </w:tcPr>
          <w:p w14:paraId="0883FAD0" w14:textId="77777777" w:rsidR="00696D3E" w:rsidRPr="00635B50" w:rsidRDefault="00696D3E">
            <w:pPr>
              <w:pStyle w:val="TableHeading"/>
            </w:pPr>
            <w:r>
              <w:t>2004</w:t>
            </w:r>
          </w:p>
        </w:tc>
        <w:tc>
          <w:tcPr>
            <w:tcW w:w="227" w:type="pct"/>
            <w:shd w:val="clear" w:color="auto" w:fill="auto"/>
          </w:tcPr>
          <w:p w14:paraId="4A39C2A5" w14:textId="77777777" w:rsidR="00696D3E" w:rsidRDefault="00696D3E">
            <w:pPr>
              <w:pStyle w:val="TableBody"/>
              <w:spacing w:before="45" w:after="45"/>
              <w:ind w:right="57"/>
              <w:jc w:val="right"/>
              <w:rPr>
                <w:rFonts w:ascii="Arial (Body)" w:hAnsi="Arial (Body)"/>
                <w:color w:val="000000"/>
              </w:rPr>
            </w:pPr>
            <w:r w:rsidRPr="00DA3DF8">
              <w:t>52</w:t>
            </w:r>
          </w:p>
        </w:tc>
        <w:tc>
          <w:tcPr>
            <w:tcW w:w="227" w:type="pct"/>
            <w:shd w:val="clear" w:color="auto" w:fill="auto"/>
          </w:tcPr>
          <w:p w14:paraId="24ED1FEA" w14:textId="77777777" w:rsidR="00696D3E" w:rsidRDefault="00696D3E">
            <w:pPr>
              <w:pStyle w:val="TableBody"/>
              <w:spacing w:before="45" w:after="45"/>
              <w:ind w:right="57"/>
              <w:jc w:val="right"/>
              <w:rPr>
                <w:rFonts w:ascii="Arial (Body)" w:hAnsi="Arial (Body)"/>
                <w:color w:val="000000"/>
              </w:rPr>
            </w:pPr>
            <w:r w:rsidRPr="00DA3DF8">
              <w:t>25</w:t>
            </w:r>
          </w:p>
        </w:tc>
        <w:tc>
          <w:tcPr>
            <w:tcW w:w="227" w:type="pct"/>
            <w:shd w:val="clear" w:color="auto" w:fill="auto"/>
          </w:tcPr>
          <w:p w14:paraId="37EE2408" w14:textId="77777777" w:rsidR="00696D3E" w:rsidRDefault="00696D3E">
            <w:pPr>
              <w:pStyle w:val="TableBody"/>
              <w:spacing w:before="45" w:after="45"/>
              <w:ind w:right="57"/>
              <w:jc w:val="right"/>
              <w:rPr>
                <w:rFonts w:ascii="Arial (Body)" w:hAnsi="Arial (Body)"/>
                <w:color w:val="000000"/>
              </w:rPr>
            </w:pPr>
            <w:r w:rsidRPr="00DA3DF8">
              <w:t>57</w:t>
            </w:r>
          </w:p>
        </w:tc>
        <w:tc>
          <w:tcPr>
            <w:tcW w:w="227" w:type="pct"/>
            <w:shd w:val="clear" w:color="auto" w:fill="auto"/>
          </w:tcPr>
          <w:p w14:paraId="45E92072" w14:textId="77777777" w:rsidR="00696D3E" w:rsidRDefault="00696D3E">
            <w:pPr>
              <w:pStyle w:val="TableBody"/>
              <w:spacing w:before="45" w:after="45"/>
              <w:ind w:right="57"/>
              <w:jc w:val="right"/>
              <w:rPr>
                <w:rFonts w:ascii="Arial (Body)" w:hAnsi="Arial (Body)"/>
                <w:color w:val="000000"/>
              </w:rPr>
            </w:pPr>
            <w:r w:rsidRPr="00DA3DF8">
              <w:t>32</w:t>
            </w:r>
          </w:p>
        </w:tc>
        <w:tc>
          <w:tcPr>
            <w:tcW w:w="227" w:type="pct"/>
            <w:shd w:val="clear" w:color="auto" w:fill="auto"/>
          </w:tcPr>
          <w:p w14:paraId="1B8E9194" w14:textId="77777777" w:rsidR="00696D3E" w:rsidRDefault="00696D3E">
            <w:pPr>
              <w:pStyle w:val="TableBody"/>
              <w:spacing w:before="45" w:after="45"/>
              <w:ind w:right="57"/>
              <w:jc w:val="right"/>
              <w:rPr>
                <w:rFonts w:ascii="Arial (Body)" w:hAnsi="Arial (Body)"/>
                <w:color w:val="000000"/>
              </w:rPr>
            </w:pPr>
            <w:r w:rsidRPr="00DA3DF8">
              <w:t>71</w:t>
            </w:r>
          </w:p>
        </w:tc>
        <w:tc>
          <w:tcPr>
            <w:tcW w:w="227" w:type="pct"/>
            <w:shd w:val="clear" w:color="auto" w:fill="auto"/>
          </w:tcPr>
          <w:p w14:paraId="47739E47" w14:textId="77777777" w:rsidR="00696D3E" w:rsidRDefault="00696D3E">
            <w:pPr>
              <w:pStyle w:val="TableBody"/>
              <w:spacing w:before="45" w:after="45"/>
              <w:ind w:right="57"/>
              <w:jc w:val="right"/>
              <w:rPr>
                <w:rFonts w:ascii="Arial (Body)" w:hAnsi="Arial (Body)"/>
                <w:color w:val="000000"/>
              </w:rPr>
            </w:pPr>
            <w:r w:rsidRPr="00DA3DF8">
              <w:t>63</w:t>
            </w:r>
          </w:p>
        </w:tc>
        <w:tc>
          <w:tcPr>
            <w:tcW w:w="227" w:type="pct"/>
            <w:shd w:val="clear" w:color="auto" w:fill="auto"/>
          </w:tcPr>
          <w:p w14:paraId="398BD685" w14:textId="77777777" w:rsidR="00696D3E" w:rsidRDefault="00696D3E">
            <w:pPr>
              <w:pStyle w:val="TableBody"/>
              <w:spacing w:before="45" w:after="45"/>
              <w:ind w:right="57"/>
              <w:jc w:val="right"/>
              <w:rPr>
                <w:rFonts w:ascii="Arial (Body)" w:hAnsi="Arial (Body)"/>
                <w:color w:val="000000"/>
              </w:rPr>
            </w:pPr>
            <w:r w:rsidRPr="00DA3DF8">
              <w:t>79</w:t>
            </w:r>
          </w:p>
        </w:tc>
        <w:tc>
          <w:tcPr>
            <w:tcW w:w="227" w:type="pct"/>
            <w:shd w:val="clear" w:color="auto" w:fill="auto"/>
          </w:tcPr>
          <w:p w14:paraId="44B18628" w14:textId="77777777" w:rsidR="00696D3E" w:rsidRDefault="00696D3E">
            <w:pPr>
              <w:pStyle w:val="TableBody"/>
              <w:spacing w:before="45" w:after="45"/>
              <w:ind w:right="57"/>
              <w:jc w:val="right"/>
              <w:rPr>
                <w:rFonts w:ascii="Arial (Body)" w:hAnsi="Arial (Body)"/>
                <w:color w:val="000000"/>
              </w:rPr>
            </w:pPr>
            <w:r w:rsidRPr="00DA3DF8">
              <w:t>88</w:t>
            </w:r>
          </w:p>
        </w:tc>
        <w:tc>
          <w:tcPr>
            <w:tcW w:w="227" w:type="pct"/>
            <w:shd w:val="clear" w:color="auto" w:fill="auto"/>
          </w:tcPr>
          <w:p w14:paraId="69747E33" w14:textId="77777777" w:rsidR="00696D3E" w:rsidRDefault="00696D3E">
            <w:pPr>
              <w:pStyle w:val="TableBody"/>
              <w:spacing w:before="45" w:after="45"/>
              <w:ind w:right="57"/>
              <w:jc w:val="right"/>
              <w:rPr>
                <w:rFonts w:ascii="Arial (Body)" w:hAnsi="Arial (Body)"/>
                <w:color w:val="000000"/>
              </w:rPr>
            </w:pPr>
            <w:r w:rsidRPr="00DA3DF8">
              <w:t>66</w:t>
            </w:r>
          </w:p>
        </w:tc>
        <w:tc>
          <w:tcPr>
            <w:tcW w:w="227" w:type="pct"/>
            <w:shd w:val="clear" w:color="auto" w:fill="auto"/>
          </w:tcPr>
          <w:p w14:paraId="351A6A48" w14:textId="77777777" w:rsidR="00696D3E" w:rsidRDefault="00696D3E">
            <w:pPr>
              <w:pStyle w:val="TableBody"/>
              <w:spacing w:before="45" w:after="45"/>
              <w:ind w:right="57"/>
              <w:jc w:val="right"/>
              <w:rPr>
                <w:rFonts w:ascii="Arial (Body)" w:hAnsi="Arial (Body)"/>
                <w:color w:val="000000"/>
              </w:rPr>
            </w:pPr>
            <w:r w:rsidRPr="00DA3DF8">
              <w:t>35</w:t>
            </w:r>
          </w:p>
        </w:tc>
        <w:tc>
          <w:tcPr>
            <w:tcW w:w="227" w:type="pct"/>
            <w:shd w:val="clear" w:color="auto" w:fill="auto"/>
          </w:tcPr>
          <w:p w14:paraId="516C1A61" w14:textId="77777777" w:rsidR="00696D3E" w:rsidRDefault="00696D3E">
            <w:pPr>
              <w:pStyle w:val="TableBody"/>
              <w:spacing w:before="45" w:after="45"/>
              <w:ind w:right="57"/>
              <w:jc w:val="right"/>
              <w:rPr>
                <w:rFonts w:ascii="Arial (Body)" w:hAnsi="Arial (Body)"/>
                <w:color w:val="000000"/>
              </w:rPr>
            </w:pPr>
            <w:r w:rsidRPr="00DA3DF8">
              <w:t>41</w:t>
            </w:r>
          </w:p>
        </w:tc>
        <w:tc>
          <w:tcPr>
            <w:tcW w:w="227" w:type="pct"/>
            <w:shd w:val="clear" w:color="auto" w:fill="auto"/>
          </w:tcPr>
          <w:p w14:paraId="3B3CED5B" w14:textId="77777777" w:rsidR="00696D3E" w:rsidRDefault="00696D3E">
            <w:pPr>
              <w:pStyle w:val="TableBody"/>
              <w:spacing w:before="45" w:after="45"/>
              <w:ind w:right="57"/>
              <w:jc w:val="right"/>
              <w:rPr>
                <w:rFonts w:ascii="Arial (Body)" w:hAnsi="Arial (Body)"/>
                <w:color w:val="000000"/>
              </w:rPr>
            </w:pPr>
            <w:r w:rsidRPr="00DA3DF8">
              <w:t>51</w:t>
            </w:r>
          </w:p>
        </w:tc>
        <w:tc>
          <w:tcPr>
            <w:tcW w:w="227" w:type="pct"/>
            <w:shd w:val="clear" w:color="auto" w:fill="auto"/>
          </w:tcPr>
          <w:p w14:paraId="2B6A880A" w14:textId="77777777" w:rsidR="00696D3E" w:rsidRDefault="00696D3E">
            <w:pPr>
              <w:pStyle w:val="TableBody"/>
              <w:spacing w:before="45" w:after="45"/>
              <w:ind w:right="57"/>
              <w:jc w:val="right"/>
              <w:rPr>
                <w:rFonts w:ascii="Arial (Body)" w:hAnsi="Arial (Body)"/>
                <w:color w:val="000000"/>
              </w:rPr>
            </w:pPr>
            <w:r w:rsidRPr="00DA3DF8">
              <w:t>101</w:t>
            </w:r>
          </w:p>
        </w:tc>
        <w:tc>
          <w:tcPr>
            <w:tcW w:w="227" w:type="pct"/>
            <w:shd w:val="clear" w:color="auto" w:fill="auto"/>
          </w:tcPr>
          <w:p w14:paraId="30F1A227" w14:textId="77777777" w:rsidR="00696D3E" w:rsidRDefault="00696D3E">
            <w:pPr>
              <w:pStyle w:val="TableBody"/>
              <w:spacing w:before="45" w:after="45"/>
              <w:ind w:right="57"/>
              <w:jc w:val="right"/>
              <w:rPr>
                <w:rFonts w:ascii="Arial (Body)" w:hAnsi="Arial (Body)"/>
                <w:color w:val="000000"/>
              </w:rPr>
            </w:pPr>
            <w:r w:rsidRPr="00DA3DF8">
              <w:t>108</w:t>
            </w:r>
          </w:p>
        </w:tc>
        <w:tc>
          <w:tcPr>
            <w:tcW w:w="227" w:type="pct"/>
            <w:shd w:val="clear" w:color="auto" w:fill="auto"/>
          </w:tcPr>
          <w:p w14:paraId="40E686B0" w14:textId="77777777" w:rsidR="00696D3E" w:rsidRDefault="00696D3E">
            <w:pPr>
              <w:pStyle w:val="TableBody"/>
              <w:spacing w:before="45" w:after="45"/>
              <w:ind w:right="57"/>
              <w:jc w:val="right"/>
              <w:rPr>
                <w:rFonts w:ascii="Arial (Body)" w:hAnsi="Arial (Body)"/>
                <w:color w:val="000000"/>
              </w:rPr>
            </w:pPr>
            <w:r w:rsidRPr="00DA3DF8">
              <w:t>84</w:t>
            </w:r>
          </w:p>
        </w:tc>
        <w:tc>
          <w:tcPr>
            <w:tcW w:w="227" w:type="pct"/>
            <w:shd w:val="clear" w:color="auto" w:fill="auto"/>
          </w:tcPr>
          <w:p w14:paraId="66C9E394" w14:textId="77777777" w:rsidR="00696D3E" w:rsidRPr="00030C67" w:rsidRDefault="00696D3E">
            <w:pPr>
              <w:pStyle w:val="TableBody"/>
              <w:spacing w:before="45" w:after="45"/>
              <w:ind w:right="57"/>
              <w:jc w:val="right"/>
              <w:rPr>
                <w:rFonts w:ascii="Arial (Body)" w:hAnsi="Arial (Body)"/>
                <w:color w:val="000000"/>
              </w:rPr>
            </w:pPr>
            <w:r w:rsidRPr="00DA3DF8">
              <w:t>91</w:t>
            </w:r>
          </w:p>
        </w:tc>
        <w:tc>
          <w:tcPr>
            <w:tcW w:w="227" w:type="pct"/>
            <w:shd w:val="clear" w:color="auto" w:fill="auto"/>
          </w:tcPr>
          <w:p w14:paraId="6A2C9634" w14:textId="77777777" w:rsidR="00696D3E" w:rsidRPr="00030C67" w:rsidRDefault="00696D3E">
            <w:pPr>
              <w:pStyle w:val="TableBody"/>
              <w:spacing w:before="45" w:after="45"/>
              <w:ind w:right="57"/>
              <w:jc w:val="right"/>
              <w:rPr>
                <w:rFonts w:ascii="Arial (Body)" w:hAnsi="Arial (Body)"/>
                <w:color w:val="000000"/>
              </w:rPr>
            </w:pPr>
            <w:r w:rsidRPr="00DA3DF8">
              <w:t>88</w:t>
            </w:r>
          </w:p>
        </w:tc>
        <w:tc>
          <w:tcPr>
            <w:tcW w:w="227" w:type="pct"/>
            <w:shd w:val="clear" w:color="auto" w:fill="auto"/>
          </w:tcPr>
          <w:p w14:paraId="4B8B493E" w14:textId="77777777" w:rsidR="00696D3E" w:rsidRPr="00030C67" w:rsidRDefault="00696D3E">
            <w:pPr>
              <w:pStyle w:val="TableBody"/>
              <w:spacing w:before="45" w:after="45"/>
              <w:ind w:right="57"/>
              <w:jc w:val="right"/>
              <w:rPr>
                <w:rFonts w:ascii="Arial (Body)" w:hAnsi="Arial (Body)"/>
                <w:color w:val="000000"/>
              </w:rPr>
            </w:pPr>
            <w:r w:rsidRPr="00DA3DF8">
              <w:t>72</w:t>
            </w:r>
          </w:p>
        </w:tc>
        <w:tc>
          <w:tcPr>
            <w:tcW w:w="227" w:type="pct"/>
            <w:shd w:val="clear" w:color="auto" w:fill="auto"/>
          </w:tcPr>
          <w:p w14:paraId="3985AF22" w14:textId="77777777" w:rsidR="00696D3E" w:rsidRPr="00030C67" w:rsidRDefault="00696D3E">
            <w:pPr>
              <w:pStyle w:val="TableBody"/>
              <w:spacing w:before="45" w:after="45"/>
              <w:ind w:right="57"/>
              <w:jc w:val="right"/>
              <w:rPr>
                <w:rFonts w:ascii="Arial (Body)" w:hAnsi="Arial (Body)"/>
                <w:color w:val="000000"/>
              </w:rPr>
            </w:pPr>
            <w:r w:rsidRPr="00DA3DF8">
              <w:t>81</w:t>
            </w:r>
          </w:p>
        </w:tc>
        <w:tc>
          <w:tcPr>
            <w:tcW w:w="282" w:type="pct"/>
            <w:shd w:val="clear" w:color="auto" w:fill="auto"/>
          </w:tcPr>
          <w:p w14:paraId="589C7C7F" w14:textId="77777777" w:rsidR="00696D3E" w:rsidRPr="00030C67" w:rsidRDefault="00696D3E">
            <w:pPr>
              <w:pStyle w:val="TableBody"/>
              <w:spacing w:before="45" w:after="45"/>
              <w:ind w:right="57"/>
              <w:jc w:val="right"/>
              <w:rPr>
                <w:rFonts w:ascii="Arial (Body)" w:hAnsi="Arial (Body)"/>
                <w:color w:val="000000"/>
              </w:rPr>
            </w:pPr>
            <w:r w:rsidRPr="00E63CA7">
              <w:t>62</w:t>
            </w:r>
          </w:p>
        </w:tc>
      </w:tr>
      <w:tr w:rsidR="00696D3E" w:rsidRPr="00030C67" w14:paraId="3E0B71CD" w14:textId="77777777">
        <w:tc>
          <w:tcPr>
            <w:tcW w:w="405" w:type="pct"/>
            <w:shd w:val="clear" w:color="000000" w:fill="F2F2F2"/>
          </w:tcPr>
          <w:p w14:paraId="53B55207" w14:textId="77777777" w:rsidR="00696D3E" w:rsidRPr="00635B50" w:rsidRDefault="00696D3E">
            <w:pPr>
              <w:pStyle w:val="TableHeading"/>
            </w:pPr>
            <w:r>
              <w:t>2005</w:t>
            </w:r>
          </w:p>
        </w:tc>
        <w:tc>
          <w:tcPr>
            <w:tcW w:w="227" w:type="pct"/>
            <w:shd w:val="clear" w:color="000000" w:fill="F2F2F2"/>
          </w:tcPr>
          <w:p w14:paraId="6E18C609" w14:textId="77777777" w:rsidR="00696D3E" w:rsidRDefault="00696D3E">
            <w:pPr>
              <w:pStyle w:val="TableBody"/>
              <w:spacing w:before="45" w:after="45"/>
              <w:ind w:right="57"/>
              <w:jc w:val="right"/>
              <w:rPr>
                <w:rFonts w:ascii="Arial (Body)" w:hAnsi="Arial (Body)"/>
                <w:color w:val="000000"/>
              </w:rPr>
            </w:pPr>
            <w:r w:rsidRPr="00DA3DF8">
              <w:t>53</w:t>
            </w:r>
          </w:p>
        </w:tc>
        <w:tc>
          <w:tcPr>
            <w:tcW w:w="227" w:type="pct"/>
            <w:shd w:val="clear" w:color="000000" w:fill="F2F2F2"/>
          </w:tcPr>
          <w:p w14:paraId="47722BE6" w14:textId="77777777" w:rsidR="00696D3E" w:rsidRDefault="00696D3E">
            <w:pPr>
              <w:pStyle w:val="TableBody"/>
              <w:spacing w:before="45" w:after="45"/>
              <w:ind w:right="57"/>
              <w:jc w:val="right"/>
              <w:rPr>
                <w:rFonts w:ascii="Arial (Body)" w:hAnsi="Arial (Body)"/>
                <w:color w:val="000000"/>
              </w:rPr>
            </w:pPr>
            <w:r w:rsidRPr="00DA3DF8">
              <w:t>20</w:t>
            </w:r>
          </w:p>
        </w:tc>
        <w:tc>
          <w:tcPr>
            <w:tcW w:w="227" w:type="pct"/>
            <w:shd w:val="clear" w:color="000000" w:fill="F2F2F2"/>
          </w:tcPr>
          <w:p w14:paraId="020AEE4D" w14:textId="77777777" w:rsidR="00696D3E" w:rsidRDefault="00696D3E">
            <w:pPr>
              <w:pStyle w:val="TableBody"/>
              <w:spacing w:before="45" w:after="45"/>
              <w:ind w:right="57"/>
              <w:jc w:val="right"/>
              <w:rPr>
                <w:rFonts w:ascii="Arial (Body)" w:hAnsi="Arial (Body)"/>
                <w:color w:val="000000"/>
              </w:rPr>
            </w:pPr>
            <w:r w:rsidRPr="00DA3DF8">
              <w:t>60</w:t>
            </w:r>
          </w:p>
        </w:tc>
        <w:tc>
          <w:tcPr>
            <w:tcW w:w="227" w:type="pct"/>
            <w:shd w:val="clear" w:color="000000" w:fill="F2F2F2"/>
          </w:tcPr>
          <w:p w14:paraId="7864A7FB" w14:textId="77777777" w:rsidR="00696D3E" w:rsidRDefault="00696D3E">
            <w:pPr>
              <w:pStyle w:val="TableBody"/>
              <w:spacing w:before="45" w:after="45"/>
              <w:ind w:right="57"/>
              <w:jc w:val="right"/>
              <w:rPr>
                <w:rFonts w:ascii="Arial (Body)" w:hAnsi="Arial (Body)"/>
                <w:color w:val="000000"/>
              </w:rPr>
            </w:pPr>
            <w:r w:rsidRPr="00DA3DF8">
              <w:t>35</w:t>
            </w:r>
          </w:p>
        </w:tc>
        <w:tc>
          <w:tcPr>
            <w:tcW w:w="227" w:type="pct"/>
            <w:shd w:val="clear" w:color="000000" w:fill="F2F2F2"/>
          </w:tcPr>
          <w:p w14:paraId="488D483D" w14:textId="77777777" w:rsidR="00696D3E" w:rsidRDefault="00696D3E">
            <w:pPr>
              <w:pStyle w:val="TableBody"/>
              <w:spacing w:before="45" w:after="45"/>
              <w:ind w:right="57"/>
              <w:jc w:val="right"/>
              <w:rPr>
                <w:rFonts w:ascii="Arial (Body)" w:hAnsi="Arial (Body)"/>
                <w:color w:val="000000"/>
              </w:rPr>
            </w:pPr>
            <w:r w:rsidRPr="00DA3DF8">
              <w:t>70</w:t>
            </w:r>
          </w:p>
        </w:tc>
        <w:tc>
          <w:tcPr>
            <w:tcW w:w="227" w:type="pct"/>
            <w:shd w:val="clear" w:color="000000" w:fill="F2F2F2"/>
          </w:tcPr>
          <w:p w14:paraId="6F1926E5" w14:textId="77777777" w:rsidR="00696D3E" w:rsidRDefault="00696D3E">
            <w:pPr>
              <w:pStyle w:val="TableBody"/>
              <w:spacing w:before="45" w:after="45"/>
              <w:ind w:right="57"/>
              <w:jc w:val="right"/>
              <w:rPr>
                <w:rFonts w:ascii="Arial (Body)" w:hAnsi="Arial (Body)"/>
                <w:color w:val="000000"/>
              </w:rPr>
            </w:pPr>
            <w:r w:rsidRPr="00DA3DF8">
              <w:t>64</w:t>
            </w:r>
          </w:p>
        </w:tc>
        <w:tc>
          <w:tcPr>
            <w:tcW w:w="227" w:type="pct"/>
            <w:shd w:val="clear" w:color="000000" w:fill="F2F2F2"/>
          </w:tcPr>
          <w:p w14:paraId="32F61E1F" w14:textId="77777777" w:rsidR="00696D3E" w:rsidRDefault="00696D3E">
            <w:pPr>
              <w:pStyle w:val="TableBody"/>
              <w:spacing w:before="45" w:after="45"/>
              <w:ind w:right="57"/>
              <w:jc w:val="right"/>
              <w:rPr>
                <w:rFonts w:ascii="Arial (Body)" w:hAnsi="Arial (Body)"/>
                <w:color w:val="000000"/>
              </w:rPr>
            </w:pPr>
            <w:r w:rsidRPr="00DA3DF8">
              <w:t>80</w:t>
            </w:r>
          </w:p>
        </w:tc>
        <w:tc>
          <w:tcPr>
            <w:tcW w:w="227" w:type="pct"/>
            <w:shd w:val="clear" w:color="000000" w:fill="F2F2F2"/>
          </w:tcPr>
          <w:p w14:paraId="26EE59B7" w14:textId="77777777" w:rsidR="00696D3E" w:rsidRDefault="00696D3E">
            <w:pPr>
              <w:pStyle w:val="TableBody"/>
              <w:spacing w:before="45" w:after="45"/>
              <w:ind w:right="57"/>
              <w:jc w:val="right"/>
              <w:rPr>
                <w:rFonts w:ascii="Arial (Body)" w:hAnsi="Arial (Body)"/>
                <w:color w:val="000000"/>
              </w:rPr>
            </w:pPr>
            <w:r w:rsidRPr="00DA3DF8">
              <w:t>87</w:t>
            </w:r>
          </w:p>
        </w:tc>
        <w:tc>
          <w:tcPr>
            <w:tcW w:w="227" w:type="pct"/>
            <w:shd w:val="clear" w:color="000000" w:fill="F2F2F2"/>
          </w:tcPr>
          <w:p w14:paraId="20F47BC7" w14:textId="77777777" w:rsidR="00696D3E" w:rsidRDefault="00696D3E">
            <w:pPr>
              <w:pStyle w:val="TableBody"/>
              <w:spacing w:before="45" w:after="45"/>
              <w:ind w:right="57"/>
              <w:jc w:val="right"/>
              <w:rPr>
                <w:rFonts w:ascii="Arial (Body)" w:hAnsi="Arial (Body)"/>
                <w:color w:val="000000"/>
              </w:rPr>
            </w:pPr>
            <w:r w:rsidRPr="00DA3DF8">
              <w:t>65</w:t>
            </w:r>
          </w:p>
        </w:tc>
        <w:tc>
          <w:tcPr>
            <w:tcW w:w="227" w:type="pct"/>
            <w:shd w:val="clear" w:color="000000" w:fill="F2F2F2"/>
          </w:tcPr>
          <w:p w14:paraId="5E3D40E8" w14:textId="77777777" w:rsidR="00696D3E" w:rsidRDefault="00696D3E">
            <w:pPr>
              <w:pStyle w:val="TableBody"/>
              <w:spacing w:before="45" w:after="45"/>
              <w:ind w:right="57"/>
              <w:jc w:val="right"/>
              <w:rPr>
                <w:rFonts w:ascii="Arial (Body)" w:hAnsi="Arial (Body)"/>
                <w:color w:val="000000"/>
              </w:rPr>
            </w:pPr>
            <w:r w:rsidRPr="00DA3DF8">
              <w:t>37</w:t>
            </w:r>
          </w:p>
        </w:tc>
        <w:tc>
          <w:tcPr>
            <w:tcW w:w="227" w:type="pct"/>
            <w:shd w:val="clear" w:color="000000" w:fill="F2F2F2"/>
          </w:tcPr>
          <w:p w14:paraId="6EEFE649" w14:textId="77777777" w:rsidR="00696D3E" w:rsidRDefault="00696D3E">
            <w:pPr>
              <w:pStyle w:val="TableBody"/>
              <w:spacing w:before="45" w:after="45"/>
              <w:ind w:right="57"/>
              <w:jc w:val="right"/>
              <w:rPr>
                <w:rFonts w:ascii="Arial (Body)" w:hAnsi="Arial (Body)"/>
                <w:color w:val="000000"/>
              </w:rPr>
            </w:pPr>
            <w:r w:rsidRPr="00DA3DF8">
              <w:t>41</w:t>
            </w:r>
          </w:p>
        </w:tc>
        <w:tc>
          <w:tcPr>
            <w:tcW w:w="227" w:type="pct"/>
            <w:shd w:val="clear" w:color="000000" w:fill="F2F2F2"/>
          </w:tcPr>
          <w:p w14:paraId="04626ED7" w14:textId="77777777" w:rsidR="00696D3E" w:rsidRDefault="00696D3E">
            <w:pPr>
              <w:pStyle w:val="TableBody"/>
              <w:spacing w:before="45" w:after="45"/>
              <w:ind w:right="57"/>
              <w:jc w:val="right"/>
              <w:rPr>
                <w:rFonts w:ascii="Arial (Body)" w:hAnsi="Arial (Body)"/>
                <w:color w:val="000000"/>
              </w:rPr>
            </w:pPr>
            <w:r w:rsidRPr="00DA3DF8">
              <w:t>52</w:t>
            </w:r>
          </w:p>
        </w:tc>
        <w:tc>
          <w:tcPr>
            <w:tcW w:w="227" w:type="pct"/>
            <w:shd w:val="clear" w:color="000000" w:fill="F2F2F2"/>
          </w:tcPr>
          <w:p w14:paraId="4F42EC5F" w14:textId="77777777" w:rsidR="00696D3E" w:rsidRDefault="00696D3E">
            <w:pPr>
              <w:pStyle w:val="TableBody"/>
              <w:spacing w:before="45" w:after="45"/>
              <w:ind w:right="57"/>
              <w:jc w:val="right"/>
              <w:rPr>
                <w:rFonts w:ascii="Arial (Body)" w:hAnsi="Arial (Body)"/>
                <w:color w:val="000000"/>
              </w:rPr>
            </w:pPr>
            <w:r w:rsidRPr="00DA3DF8">
              <w:t>99</w:t>
            </w:r>
          </w:p>
        </w:tc>
        <w:tc>
          <w:tcPr>
            <w:tcW w:w="227" w:type="pct"/>
            <w:shd w:val="clear" w:color="000000" w:fill="F2F2F2"/>
          </w:tcPr>
          <w:p w14:paraId="5572D02D" w14:textId="77777777" w:rsidR="00696D3E" w:rsidRDefault="00696D3E">
            <w:pPr>
              <w:pStyle w:val="TableBody"/>
              <w:spacing w:before="45" w:after="45"/>
              <w:ind w:right="57"/>
              <w:jc w:val="right"/>
              <w:rPr>
                <w:rFonts w:ascii="Arial (Body)" w:hAnsi="Arial (Body)"/>
                <w:color w:val="000000"/>
              </w:rPr>
            </w:pPr>
            <w:r w:rsidRPr="00DA3DF8">
              <w:t>106</w:t>
            </w:r>
          </w:p>
        </w:tc>
        <w:tc>
          <w:tcPr>
            <w:tcW w:w="227" w:type="pct"/>
            <w:shd w:val="clear" w:color="000000" w:fill="F2F2F2"/>
          </w:tcPr>
          <w:p w14:paraId="30A93C1E" w14:textId="77777777" w:rsidR="00696D3E" w:rsidRDefault="00696D3E">
            <w:pPr>
              <w:pStyle w:val="TableBody"/>
              <w:spacing w:before="45" w:after="45"/>
              <w:ind w:right="57"/>
              <w:jc w:val="right"/>
              <w:rPr>
                <w:rFonts w:ascii="Arial (Body)" w:hAnsi="Arial (Body)"/>
                <w:color w:val="000000"/>
              </w:rPr>
            </w:pPr>
            <w:r w:rsidRPr="00DA3DF8">
              <w:t>84</w:t>
            </w:r>
          </w:p>
        </w:tc>
        <w:tc>
          <w:tcPr>
            <w:tcW w:w="227" w:type="pct"/>
            <w:shd w:val="clear" w:color="000000" w:fill="F2F2F2"/>
          </w:tcPr>
          <w:p w14:paraId="677428B5" w14:textId="77777777" w:rsidR="00696D3E" w:rsidRPr="00030C67" w:rsidRDefault="00696D3E">
            <w:pPr>
              <w:pStyle w:val="TableBody"/>
              <w:spacing w:before="45" w:after="45"/>
              <w:ind w:right="57"/>
              <w:jc w:val="right"/>
              <w:rPr>
                <w:rFonts w:ascii="Arial (Body)" w:hAnsi="Arial (Body)"/>
                <w:color w:val="000000"/>
              </w:rPr>
            </w:pPr>
            <w:r w:rsidRPr="00DA3DF8">
              <w:t>91</w:t>
            </w:r>
          </w:p>
        </w:tc>
        <w:tc>
          <w:tcPr>
            <w:tcW w:w="227" w:type="pct"/>
            <w:shd w:val="clear" w:color="000000" w:fill="F2F2F2"/>
          </w:tcPr>
          <w:p w14:paraId="6E4A917A" w14:textId="77777777" w:rsidR="00696D3E" w:rsidRPr="00030C67" w:rsidRDefault="00696D3E">
            <w:pPr>
              <w:pStyle w:val="TableBody"/>
              <w:spacing w:before="45" w:after="45"/>
              <w:ind w:right="57"/>
              <w:jc w:val="right"/>
              <w:rPr>
                <w:rFonts w:ascii="Arial (Body)" w:hAnsi="Arial (Body)"/>
                <w:color w:val="000000"/>
              </w:rPr>
            </w:pPr>
            <w:r w:rsidRPr="00DA3DF8">
              <w:t>89</w:t>
            </w:r>
          </w:p>
        </w:tc>
        <w:tc>
          <w:tcPr>
            <w:tcW w:w="227" w:type="pct"/>
            <w:shd w:val="clear" w:color="000000" w:fill="F2F2F2"/>
          </w:tcPr>
          <w:p w14:paraId="3DBBDA79" w14:textId="77777777" w:rsidR="00696D3E" w:rsidRPr="00030C67" w:rsidRDefault="00696D3E">
            <w:pPr>
              <w:pStyle w:val="TableBody"/>
              <w:spacing w:before="45" w:after="45"/>
              <w:ind w:right="57"/>
              <w:jc w:val="right"/>
              <w:rPr>
                <w:rFonts w:ascii="Arial (Body)" w:hAnsi="Arial (Body)"/>
                <w:color w:val="000000"/>
              </w:rPr>
            </w:pPr>
            <w:r w:rsidRPr="00DA3DF8">
              <w:t>69</w:t>
            </w:r>
          </w:p>
        </w:tc>
        <w:tc>
          <w:tcPr>
            <w:tcW w:w="227" w:type="pct"/>
            <w:shd w:val="clear" w:color="000000" w:fill="F2F2F2"/>
          </w:tcPr>
          <w:p w14:paraId="6AB93630" w14:textId="77777777" w:rsidR="00696D3E" w:rsidRPr="00030C67" w:rsidRDefault="00696D3E">
            <w:pPr>
              <w:pStyle w:val="TableBody"/>
              <w:spacing w:before="45" w:after="45"/>
              <w:ind w:right="57"/>
              <w:jc w:val="right"/>
              <w:rPr>
                <w:rFonts w:ascii="Arial (Body)" w:hAnsi="Arial (Body)"/>
                <w:color w:val="000000"/>
              </w:rPr>
            </w:pPr>
            <w:r w:rsidRPr="00DA3DF8">
              <w:t>84</w:t>
            </w:r>
          </w:p>
        </w:tc>
        <w:tc>
          <w:tcPr>
            <w:tcW w:w="282" w:type="pct"/>
            <w:shd w:val="clear" w:color="000000" w:fill="F2F2F2"/>
          </w:tcPr>
          <w:p w14:paraId="5E60AE4C" w14:textId="77777777" w:rsidR="00696D3E" w:rsidRPr="00030C67" w:rsidRDefault="00696D3E">
            <w:pPr>
              <w:pStyle w:val="TableBody"/>
              <w:spacing w:before="45" w:after="45"/>
              <w:ind w:right="57"/>
              <w:jc w:val="right"/>
              <w:rPr>
                <w:rFonts w:ascii="Arial (Body)" w:hAnsi="Arial (Body)"/>
                <w:color w:val="000000"/>
              </w:rPr>
            </w:pPr>
            <w:r w:rsidRPr="00E63CA7">
              <w:t>62</w:t>
            </w:r>
          </w:p>
        </w:tc>
      </w:tr>
      <w:tr w:rsidR="00696D3E" w:rsidRPr="00030C67" w14:paraId="119D0DA5" w14:textId="77777777">
        <w:tc>
          <w:tcPr>
            <w:tcW w:w="405" w:type="pct"/>
            <w:shd w:val="clear" w:color="auto" w:fill="auto"/>
          </w:tcPr>
          <w:p w14:paraId="5819974B" w14:textId="77777777" w:rsidR="00696D3E" w:rsidRPr="00635B50" w:rsidRDefault="00696D3E">
            <w:pPr>
              <w:pStyle w:val="TableHeading"/>
            </w:pPr>
            <w:r>
              <w:t>2006</w:t>
            </w:r>
          </w:p>
        </w:tc>
        <w:tc>
          <w:tcPr>
            <w:tcW w:w="227" w:type="pct"/>
            <w:shd w:val="clear" w:color="auto" w:fill="auto"/>
          </w:tcPr>
          <w:p w14:paraId="68CDFF92" w14:textId="77777777" w:rsidR="00696D3E" w:rsidRDefault="00696D3E">
            <w:pPr>
              <w:pStyle w:val="TableBody"/>
              <w:spacing w:before="45" w:after="45"/>
              <w:ind w:right="57"/>
              <w:jc w:val="right"/>
              <w:rPr>
                <w:rFonts w:ascii="Arial (Body)" w:hAnsi="Arial (Body)"/>
                <w:color w:val="000000"/>
              </w:rPr>
            </w:pPr>
            <w:r w:rsidRPr="00DA3DF8">
              <w:t>50</w:t>
            </w:r>
          </w:p>
        </w:tc>
        <w:tc>
          <w:tcPr>
            <w:tcW w:w="227" w:type="pct"/>
            <w:shd w:val="clear" w:color="auto" w:fill="auto"/>
          </w:tcPr>
          <w:p w14:paraId="41D27063" w14:textId="77777777" w:rsidR="00696D3E" w:rsidRDefault="00696D3E">
            <w:pPr>
              <w:pStyle w:val="TableBody"/>
              <w:spacing w:before="45" w:after="45"/>
              <w:ind w:right="57"/>
              <w:jc w:val="right"/>
              <w:rPr>
                <w:rFonts w:ascii="Arial (Body)" w:hAnsi="Arial (Body)"/>
                <w:color w:val="000000"/>
              </w:rPr>
            </w:pPr>
            <w:r w:rsidRPr="00DA3DF8">
              <w:t>18</w:t>
            </w:r>
          </w:p>
        </w:tc>
        <w:tc>
          <w:tcPr>
            <w:tcW w:w="227" w:type="pct"/>
            <w:shd w:val="clear" w:color="auto" w:fill="auto"/>
          </w:tcPr>
          <w:p w14:paraId="412E5278" w14:textId="77777777" w:rsidR="00696D3E" w:rsidRDefault="00696D3E">
            <w:pPr>
              <w:pStyle w:val="TableBody"/>
              <w:spacing w:before="45" w:after="45"/>
              <w:ind w:right="57"/>
              <w:jc w:val="right"/>
              <w:rPr>
                <w:rFonts w:ascii="Arial (Body)" w:hAnsi="Arial (Body)"/>
                <w:color w:val="000000"/>
              </w:rPr>
            </w:pPr>
            <w:r w:rsidRPr="00DA3DF8">
              <w:t>60</w:t>
            </w:r>
          </w:p>
        </w:tc>
        <w:tc>
          <w:tcPr>
            <w:tcW w:w="227" w:type="pct"/>
            <w:shd w:val="clear" w:color="auto" w:fill="auto"/>
          </w:tcPr>
          <w:p w14:paraId="291E8A88" w14:textId="77777777" w:rsidR="00696D3E" w:rsidRDefault="00696D3E">
            <w:pPr>
              <w:pStyle w:val="TableBody"/>
              <w:spacing w:before="45" w:after="45"/>
              <w:ind w:right="57"/>
              <w:jc w:val="right"/>
              <w:rPr>
                <w:rFonts w:ascii="Arial (Body)" w:hAnsi="Arial (Body)"/>
                <w:color w:val="000000"/>
              </w:rPr>
            </w:pPr>
            <w:r w:rsidRPr="00DA3DF8">
              <w:t>36</w:t>
            </w:r>
          </w:p>
        </w:tc>
        <w:tc>
          <w:tcPr>
            <w:tcW w:w="227" w:type="pct"/>
            <w:shd w:val="clear" w:color="auto" w:fill="auto"/>
          </w:tcPr>
          <w:p w14:paraId="13B53B15" w14:textId="77777777" w:rsidR="00696D3E" w:rsidRDefault="00696D3E">
            <w:pPr>
              <w:pStyle w:val="TableBody"/>
              <w:spacing w:before="45" w:after="45"/>
              <w:ind w:right="57"/>
              <w:jc w:val="right"/>
              <w:rPr>
                <w:rFonts w:ascii="Arial (Body)" w:hAnsi="Arial (Body)"/>
                <w:color w:val="000000"/>
              </w:rPr>
            </w:pPr>
            <w:r w:rsidRPr="00DA3DF8">
              <w:t>72</w:t>
            </w:r>
          </w:p>
        </w:tc>
        <w:tc>
          <w:tcPr>
            <w:tcW w:w="227" w:type="pct"/>
            <w:shd w:val="clear" w:color="auto" w:fill="auto"/>
          </w:tcPr>
          <w:p w14:paraId="2AA84688" w14:textId="77777777" w:rsidR="00696D3E" w:rsidRDefault="00696D3E">
            <w:pPr>
              <w:pStyle w:val="TableBody"/>
              <w:spacing w:before="45" w:after="45"/>
              <w:ind w:right="57"/>
              <w:jc w:val="right"/>
              <w:rPr>
                <w:rFonts w:ascii="Arial (Body)" w:hAnsi="Arial (Body)"/>
                <w:color w:val="000000"/>
              </w:rPr>
            </w:pPr>
            <w:r w:rsidRPr="00DA3DF8">
              <w:t>64</w:t>
            </w:r>
          </w:p>
        </w:tc>
        <w:tc>
          <w:tcPr>
            <w:tcW w:w="227" w:type="pct"/>
            <w:shd w:val="clear" w:color="auto" w:fill="auto"/>
          </w:tcPr>
          <w:p w14:paraId="14A6A833" w14:textId="77777777" w:rsidR="00696D3E" w:rsidRDefault="00696D3E">
            <w:pPr>
              <w:pStyle w:val="TableBody"/>
              <w:spacing w:before="45" w:after="45"/>
              <w:ind w:right="57"/>
              <w:jc w:val="right"/>
              <w:rPr>
                <w:rFonts w:ascii="Arial (Body)" w:hAnsi="Arial (Body)"/>
                <w:color w:val="000000"/>
              </w:rPr>
            </w:pPr>
            <w:r w:rsidRPr="00DA3DF8">
              <w:t>80</w:t>
            </w:r>
          </w:p>
        </w:tc>
        <w:tc>
          <w:tcPr>
            <w:tcW w:w="227" w:type="pct"/>
            <w:shd w:val="clear" w:color="auto" w:fill="auto"/>
          </w:tcPr>
          <w:p w14:paraId="588F695E" w14:textId="77777777" w:rsidR="00696D3E" w:rsidRDefault="00696D3E">
            <w:pPr>
              <w:pStyle w:val="TableBody"/>
              <w:spacing w:before="45" w:after="45"/>
              <w:ind w:right="57"/>
              <w:jc w:val="right"/>
              <w:rPr>
                <w:rFonts w:ascii="Arial (Body)" w:hAnsi="Arial (Body)"/>
                <w:color w:val="000000"/>
              </w:rPr>
            </w:pPr>
            <w:r w:rsidRPr="00DA3DF8">
              <w:t>80</w:t>
            </w:r>
          </w:p>
        </w:tc>
        <w:tc>
          <w:tcPr>
            <w:tcW w:w="227" w:type="pct"/>
            <w:shd w:val="clear" w:color="auto" w:fill="auto"/>
          </w:tcPr>
          <w:p w14:paraId="10CA27DF" w14:textId="77777777" w:rsidR="00696D3E" w:rsidRDefault="00696D3E">
            <w:pPr>
              <w:pStyle w:val="TableBody"/>
              <w:spacing w:before="45" w:after="45"/>
              <w:ind w:right="57"/>
              <w:jc w:val="right"/>
              <w:rPr>
                <w:rFonts w:ascii="Arial (Body)" w:hAnsi="Arial (Body)"/>
                <w:color w:val="000000"/>
              </w:rPr>
            </w:pPr>
            <w:r w:rsidRPr="00DA3DF8">
              <w:t>68</w:t>
            </w:r>
          </w:p>
        </w:tc>
        <w:tc>
          <w:tcPr>
            <w:tcW w:w="227" w:type="pct"/>
            <w:shd w:val="clear" w:color="auto" w:fill="auto"/>
          </w:tcPr>
          <w:p w14:paraId="36685EFE" w14:textId="77777777" w:rsidR="00696D3E" w:rsidRDefault="00696D3E">
            <w:pPr>
              <w:pStyle w:val="TableBody"/>
              <w:spacing w:before="45" w:after="45"/>
              <w:ind w:right="57"/>
              <w:jc w:val="right"/>
              <w:rPr>
                <w:rFonts w:ascii="Arial (Body)" w:hAnsi="Arial (Body)"/>
                <w:color w:val="000000"/>
              </w:rPr>
            </w:pPr>
            <w:r w:rsidRPr="00DA3DF8">
              <w:t>39</w:t>
            </w:r>
          </w:p>
        </w:tc>
        <w:tc>
          <w:tcPr>
            <w:tcW w:w="227" w:type="pct"/>
            <w:shd w:val="clear" w:color="auto" w:fill="auto"/>
          </w:tcPr>
          <w:p w14:paraId="5D110CF7" w14:textId="77777777" w:rsidR="00696D3E" w:rsidRDefault="00696D3E">
            <w:pPr>
              <w:pStyle w:val="TableBody"/>
              <w:spacing w:before="45" w:after="45"/>
              <w:ind w:right="57"/>
              <w:jc w:val="right"/>
              <w:rPr>
                <w:rFonts w:ascii="Arial (Body)" w:hAnsi="Arial (Body)"/>
                <w:color w:val="000000"/>
              </w:rPr>
            </w:pPr>
            <w:r w:rsidRPr="00DA3DF8">
              <w:t>40</w:t>
            </w:r>
          </w:p>
        </w:tc>
        <w:tc>
          <w:tcPr>
            <w:tcW w:w="227" w:type="pct"/>
            <w:shd w:val="clear" w:color="auto" w:fill="auto"/>
          </w:tcPr>
          <w:p w14:paraId="722B3FA3" w14:textId="77777777" w:rsidR="00696D3E" w:rsidRDefault="00696D3E">
            <w:pPr>
              <w:pStyle w:val="TableBody"/>
              <w:spacing w:before="45" w:after="45"/>
              <w:ind w:right="57"/>
              <w:jc w:val="right"/>
              <w:rPr>
                <w:rFonts w:ascii="Arial (Body)" w:hAnsi="Arial (Body)"/>
                <w:color w:val="000000"/>
              </w:rPr>
            </w:pPr>
            <w:r w:rsidRPr="00DA3DF8">
              <w:t>53</w:t>
            </w:r>
          </w:p>
        </w:tc>
        <w:tc>
          <w:tcPr>
            <w:tcW w:w="227" w:type="pct"/>
            <w:shd w:val="clear" w:color="auto" w:fill="auto"/>
          </w:tcPr>
          <w:p w14:paraId="00353D3D" w14:textId="77777777" w:rsidR="00696D3E" w:rsidRDefault="00696D3E">
            <w:pPr>
              <w:pStyle w:val="TableBody"/>
              <w:spacing w:before="45" w:after="45"/>
              <w:ind w:right="57"/>
              <w:jc w:val="right"/>
              <w:rPr>
                <w:rFonts w:ascii="Arial (Body)" w:hAnsi="Arial (Body)"/>
                <w:color w:val="000000"/>
              </w:rPr>
            </w:pPr>
            <w:r w:rsidRPr="00DA3DF8">
              <w:t>97</w:t>
            </w:r>
          </w:p>
        </w:tc>
        <w:tc>
          <w:tcPr>
            <w:tcW w:w="227" w:type="pct"/>
            <w:shd w:val="clear" w:color="auto" w:fill="auto"/>
          </w:tcPr>
          <w:p w14:paraId="157B0BBA" w14:textId="77777777" w:rsidR="00696D3E" w:rsidRDefault="00696D3E">
            <w:pPr>
              <w:pStyle w:val="TableBody"/>
              <w:spacing w:before="45" w:after="45"/>
              <w:ind w:right="57"/>
              <w:jc w:val="right"/>
              <w:rPr>
                <w:rFonts w:ascii="Arial (Body)" w:hAnsi="Arial (Body)"/>
                <w:color w:val="000000"/>
              </w:rPr>
            </w:pPr>
            <w:r w:rsidRPr="00DA3DF8">
              <w:t>103</w:t>
            </w:r>
          </w:p>
        </w:tc>
        <w:tc>
          <w:tcPr>
            <w:tcW w:w="227" w:type="pct"/>
            <w:shd w:val="clear" w:color="auto" w:fill="auto"/>
          </w:tcPr>
          <w:p w14:paraId="2C7DABC0" w14:textId="77777777" w:rsidR="00696D3E" w:rsidRDefault="00696D3E">
            <w:pPr>
              <w:pStyle w:val="TableBody"/>
              <w:spacing w:before="45" w:after="45"/>
              <w:ind w:right="57"/>
              <w:jc w:val="right"/>
              <w:rPr>
                <w:rFonts w:ascii="Arial (Body)" w:hAnsi="Arial (Body)"/>
                <w:color w:val="000000"/>
              </w:rPr>
            </w:pPr>
            <w:r w:rsidRPr="00DA3DF8">
              <w:t>84</w:t>
            </w:r>
          </w:p>
        </w:tc>
        <w:tc>
          <w:tcPr>
            <w:tcW w:w="227" w:type="pct"/>
            <w:shd w:val="clear" w:color="auto" w:fill="auto"/>
          </w:tcPr>
          <w:p w14:paraId="6C32AA0A" w14:textId="77777777" w:rsidR="00696D3E" w:rsidRPr="00030C67" w:rsidRDefault="00696D3E">
            <w:pPr>
              <w:pStyle w:val="TableBody"/>
              <w:spacing w:before="45" w:after="45"/>
              <w:ind w:right="57"/>
              <w:jc w:val="right"/>
              <w:rPr>
                <w:rFonts w:ascii="Arial (Body)" w:hAnsi="Arial (Body)"/>
                <w:color w:val="000000"/>
              </w:rPr>
            </w:pPr>
            <w:r w:rsidRPr="00DA3DF8">
              <w:t>91</w:t>
            </w:r>
          </w:p>
        </w:tc>
        <w:tc>
          <w:tcPr>
            <w:tcW w:w="227" w:type="pct"/>
            <w:shd w:val="clear" w:color="auto" w:fill="auto"/>
          </w:tcPr>
          <w:p w14:paraId="6EB22403" w14:textId="77777777" w:rsidR="00696D3E" w:rsidRPr="00030C67" w:rsidRDefault="00696D3E">
            <w:pPr>
              <w:pStyle w:val="TableBody"/>
              <w:spacing w:before="45" w:after="45"/>
              <w:ind w:right="57"/>
              <w:jc w:val="right"/>
              <w:rPr>
                <w:rFonts w:ascii="Arial (Body)" w:hAnsi="Arial (Body)"/>
                <w:color w:val="000000"/>
              </w:rPr>
            </w:pPr>
            <w:r w:rsidRPr="00DA3DF8">
              <w:t>89</w:t>
            </w:r>
          </w:p>
        </w:tc>
        <w:tc>
          <w:tcPr>
            <w:tcW w:w="227" w:type="pct"/>
            <w:shd w:val="clear" w:color="auto" w:fill="auto"/>
          </w:tcPr>
          <w:p w14:paraId="431C73F6" w14:textId="77777777" w:rsidR="00696D3E" w:rsidRPr="00030C67" w:rsidRDefault="00696D3E">
            <w:pPr>
              <w:pStyle w:val="TableBody"/>
              <w:spacing w:before="45" w:after="45"/>
              <w:ind w:right="57"/>
              <w:jc w:val="right"/>
              <w:rPr>
                <w:rFonts w:ascii="Arial (Body)" w:hAnsi="Arial (Body)"/>
                <w:color w:val="000000"/>
              </w:rPr>
            </w:pPr>
            <w:r w:rsidRPr="00DA3DF8">
              <w:t>74</w:t>
            </w:r>
          </w:p>
        </w:tc>
        <w:tc>
          <w:tcPr>
            <w:tcW w:w="227" w:type="pct"/>
            <w:shd w:val="clear" w:color="auto" w:fill="auto"/>
          </w:tcPr>
          <w:p w14:paraId="35997B5C" w14:textId="77777777" w:rsidR="00696D3E" w:rsidRPr="00030C67" w:rsidRDefault="00696D3E">
            <w:pPr>
              <w:pStyle w:val="TableBody"/>
              <w:spacing w:before="45" w:after="45"/>
              <w:ind w:right="57"/>
              <w:jc w:val="right"/>
              <w:rPr>
                <w:rFonts w:ascii="Arial (Body)" w:hAnsi="Arial (Body)"/>
                <w:color w:val="000000"/>
              </w:rPr>
            </w:pPr>
            <w:r w:rsidRPr="00DA3DF8">
              <w:t>86</w:t>
            </w:r>
          </w:p>
        </w:tc>
        <w:tc>
          <w:tcPr>
            <w:tcW w:w="282" w:type="pct"/>
            <w:shd w:val="clear" w:color="auto" w:fill="auto"/>
          </w:tcPr>
          <w:p w14:paraId="5C1E4DD7" w14:textId="77777777" w:rsidR="00696D3E" w:rsidRPr="00030C67" w:rsidRDefault="00696D3E">
            <w:pPr>
              <w:pStyle w:val="TableBody"/>
              <w:spacing w:before="45" w:after="45"/>
              <w:ind w:right="57"/>
              <w:jc w:val="right"/>
              <w:rPr>
                <w:rFonts w:ascii="Arial (Body)" w:hAnsi="Arial (Body)"/>
                <w:color w:val="000000"/>
              </w:rPr>
            </w:pPr>
            <w:r w:rsidRPr="00E63CA7">
              <w:t>61</w:t>
            </w:r>
          </w:p>
        </w:tc>
      </w:tr>
      <w:tr w:rsidR="00696D3E" w:rsidRPr="00030C67" w14:paraId="546F528E" w14:textId="77777777">
        <w:tc>
          <w:tcPr>
            <w:tcW w:w="405" w:type="pct"/>
            <w:shd w:val="clear" w:color="000000" w:fill="F2F2F2"/>
          </w:tcPr>
          <w:p w14:paraId="512132EE" w14:textId="77777777" w:rsidR="00696D3E" w:rsidRPr="00635B50" w:rsidRDefault="00696D3E">
            <w:pPr>
              <w:pStyle w:val="TableHeading"/>
            </w:pPr>
            <w:r>
              <w:t>2007</w:t>
            </w:r>
          </w:p>
        </w:tc>
        <w:tc>
          <w:tcPr>
            <w:tcW w:w="227" w:type="pct"/>
            <w:shd w:val="clear" w:color="000000" w:fill="F2F2F2"/>
          </w:tcPr>
          <w:p w14:paraId="01ABB2F3" w14:textId="77777777" w:rsidR="00696D3E" w:rsidRDefault="00696D3E">
            <w:pPr>
              <w:pStyle w:val="TableBody"/>
              <w:spacing w:before="45" w:after="45"/>
              <w:ind w:right="57"/>
              <w:jc w:val="right"/>
              <w:rPr>
                <w:rFonts w:ascii="Arial (Body)" w:hAnsi="Arial (Body)"/>
                <w:color w:val="000000"/>
              </w:rPr>
            </w:pPr>
            <w:r w:rsidRPr="00DA3DF8">
              <w:t>59</w:t>
            </w:r>
          </w:p>
        </w:tc>
        <w:tc>
          <w:tcPr>
            <w:tcW w:w="227" w:type="pct"/>
            <w:shd w:val="clear" w:color="000000" w:fill="F2F2F2"/>
          </w:tcPr>
          <w:p w14:paraId="32FCC9A1" w14:textId="77777777" w:rsidR="00696D3E" w:rsidRDefault="00696D3E">
            <w:pPr>
              <w:pStyle w:val="TableBody"/>
              <w:spacing w:before="45" w:after="45"/>
              <w:ind w:right="57"/>
              <w:jc w:val="right"/>
              <w:rPr>
                <w:rFonts w:ascii="Arial (Body)" w:hAnsi="Arial (Body)"/>
                <w:color w:val="000000"/>
              </w:rPr>
            </w:pPr>
            <w:r w:rsidRPr="00DA3DF8">
              <w:t>18</w:t>
            </w:r>
          </w:p>
        </w:tc>
        <w:tc>
          <w:tcPr>
            <w:tcW w:w="227" w:type="pct"/>
            <w:shd w:val="clear" w:color="000000" w:fill="F2F2F2"/>
          </w:tcPr>
          <w:p w14:paraId="26CFE58E" w14:textId="77777777" w:rsidR="00696D3E" w:rsidRDefault="00696D3E">
            <w:pPr>
              <w:pStyle w:val="TableBody"/>
              <w:spacing w:before="45" w:after="45"/>
              <w:ind w:right="57"/>
              <w:jc w:val="right"/>
              <w:rPr>
                <w:rFonts w:ascii="Arial (Body)" w:hAnsi="Arial (Body)"/>
                <w:color w:val="000000"/>
              </w:rPr>
            </w:pPr>
            <w:r w:rsidRPr="00DA3DF8">
              <w:t>61</w:t>
            </w:r>
          </w:p>
        </w:tc>
        <w:tc>
          <w:tcPr>
            <w:tcW w:w="227" w:type="pct"/>
            <w:shd w:val="clear" w:color="000000" w:fill="F2F2F2"/>
          </w:tcPr>
          <w:p w14:paraId="10A64EAF" w14:textId="77777777" w:rsidR="00696D3E" w:rsidRDefault="00696D3E">
            <w:pPr>
              <w:pStyle w:val="TableBody"/>
              <w:spacing w:before="45" w:after="45"/>
              <w:ind w:right="57"/>
              <w:jc w:val="right"/>
              <w:rPr>
                <w:rFonts w:ascii="Arial (Body)" w:hAnsi="Arial (Body)"/>
                <w:color w:val="000000"/>
              </w:rPr>
            </w:pPr>
            <w:r w:rsidRPr="00DA3DF8">
              <w:t>36</w:t>
            </w:r>
          </w:p>
        </w:tc>
        <w:tc>
          <w:tcPr>
            <w:tcW w:w="227" w:type="pct"/>
            <w:shd w:val="clear" w:color="000000" w:fill="F2F2F2"/>
          </w:tcPr>
          <w:p w14:paraId="572537BC" w14:textId="77777777" w:rsidR="00696D3E" w:rsidRDefault="00696D3E">
            <w:pPr>
              <w:pStyle w:val="TableBody"/>
              <w:spacing w:before="45" w:after="45"/>
              <w:ind w:right="57"/>
              <w:jc w:val="right"/>
              <w:rPr>
                <w:rFonts w:ascii="Arial (Body)" w:hAnsi="Arial (Body)"/>
                <w:color w:val="000000"/>
              </w:rPr>
            </w:pPr>
            <w:r w:rsidRPr="00DA3DF8">
              <w:t>71</w:t>
            </w:r>
          </w:p>
        </w:tc>
        <w:tc>
          <w:tcPr>
            <w:tcW w:w="227" w:type="pct"/>
            <w:shd w:val="clear" w:color="000000" w:fill="F2F2F2"/>
          </w:tcPr>
          <w:p w14:paraId="49D80EEC" w14:textId="77777777" w:rsidR="00696D3E" w:rsidRDefault="00696D3E">
            <w:pPr>
              <w:pStyle w:val="TableBody"/>
              <w:spacing w:before="45" w:after="45"/>
              <w:ind w:right="57"/>
              <w:jc w:val="right"/>
              <w:rPr>
                <w:rFonts w:ascii="Arial (Body)" w:hAnsi="Arial (Body)"/>
                <w:color w:val="000000"/>
              </w:rPr>
            </w:pPr>
            <w:r w:rsidRPr="00DA3DF8">
              <w:t>67</w:t>
            </w:r>
          </w:p>
        </w:tc>
        <w:tc>
          <w:tcPr>
            <w:tcW w:w="227" w:type="pct"/>
            <w:shd w:val="clear" w:color="000000" w:fill="F2F2F2"/>
          </w:tcPr>
          <w:p w14:paraId="00C15598" w14:textId="77777777" w:rsidR="00696D3E" w:rsidRDefault="00696D3E">
            <w:pPr>
              <w:pStyle w:val="TableBody"/>
              <w:spacing w:before="45" w:after="45"/>
              <w:ind w:right="57"/>
              <w:jc w:val="right"/>
              <w:rPr>
                <w:rFonts w:ascii="Arial (Body)" w:hAnsi="Arial (Body)"/>
                <w:color w:val="000000"/>
              </w:rPr>
            </w:pPr>
            <w:r w:rsidRPr="00DA3DF8">
              <w:t>75</w:t>
            </w:r>
          </w:p>
        </w:tc>
        <w:tc>
          <w:tcPr>
            <w:tcW w:w="227" w:type="pct"/>
            <w:shd w:val="clear" w:color="000000" w:fill="F2F2F2"/>
          </w:tcPr>
          <w:p w14:paraId="13FD643D" w14:textId="77777777" w:rsidR="00696D3E" w:rsidRDefault="00696D3E">
            <w:pPr>
              <w:pStyle w:val="TableBody"/>
              <w:spacing w:before="45" w:after="45"/>
              <w:ind w:right="57"/>
              <w:jc w:val="right"/>
              <w:rPr>
                <w:rFonts w:ascii="Arial (Body)" w:hAnsi="Arial (Body)"/>
                <w:color w:val="000000"/>
              </w:rPr>
            </w:pPr>
            <w:r w:rsidRPr="00DA3DF8">
              <w:t>82</w:t>
            </w:r>
          </w:p>
        </w:tc>
        <w:tc>
          <w:tcPr>
            <w:tcW w:w="227" w:type="pct"/>
            <w:shd w:val="clear" w:color="000000" w:fill="F2F2F2"/>
          </w:tcPr>
          <w:p w14:paraId="7AFB3E97" w14:textId="77777777" w:rsidR="00696D3E" w:rsidRDefault="00696D3E">
            <w:pPr>
              <w:pStyle w:val="TableBody"/>
              <w:spacing w:before="45" w:after="45"/>
              <w:ind w:right="57"/>
              <w:jc w:val="right"/>
              <w:rPr>
                <w:rFonts w:ascii="Arial (Body)" w:hAnsi="Arial (Body)"/>
                <w:color w:val="000000"/>
              </w:rPr>
            </w:pPr>
            <w:r w:rsidRPr="00DA3DF8">
              <w:t>61</w:t>
            </w:r>
          </w:p>
        </w:tc>
        <w:tc>
          <w:tcPr>
            <w:tcW w:w="227" w:type="pct"/>
            <w:shd w:val="clear" w:color="000000" w:fill="F2F2F2"/>
          </w:tcPr>
          <w:p w14:paraId="139D28AC" w14:textId="77777777" w:rsidR="00696D3E" w:rsidRDefault="00696D3E">
            <w:pPr>
              <w:pStyle w:val="TableBody"/>
              <w:spacing w:before="45" w:after="45"/>
              <w:ind w:right="57"/>
              <w:jc w:val="right"/>
              <w:rPr>
                <w:rFonts w:ascii="Arial (Body)" w:hAnsi="Arial (Body)"/>
                <w:color w:val="000000"/>
              </w:rPr>
            </w:pPr>
            <w:r w:rsidRPr="00DA3DF8">
              <w:t>38</w:t>
            </w:r>
          </w:p>
        </w:tc>
        <w:tc>
          <w:tcPr>
            <w:tcW w:w="227" w:type="pct"/>
            <w:shd w:val="clear" w:color="000000" w:fill="F2F2F2"/>
          </w:tcPr>
          <w:p w14:paraId="0F2E0975" w14:textId="77777777" w:rsidR="00696D3E" w:rsidRDefault="00696D3E">
            <w:pPr>
              <w:pStyle w:val="TableBody"/>
              <w:spacing w:before="45" w:after="45"/>
              <w:ind w:right="57"/>
              <w:jc w:val="right"/>
              <w:rPr>
                <w:rFonts w:ascii="Arial (Body)" w:hAnsi="Arial (Body)"/>
                <w:color w:val="000000"/>
              </w:rPr>
            </w:pPr>
            <w:r w:rsidRPr="00DA3DF8">
              <w:t>42</w:t>
            </w:r>
          </w:p>
        </w:tc>
        <w:tc>
          <w:tcPr>
            <w:tcW w:w="227" w:type="pct"/>
            <w:shd w:val="clear" w:color="000000" w:fill="F2F2F2"/>
          </w:tcPr>
          <w:p w14:paraId="742D7F1B" w14:textId="77777777" w:rsidR="00696D3E" w:rsidRDefault="00696D3E">
            <w:pPr>
              <w:pStyle w:val="TableBody"/>
              <w:spacing w:before="45" w:after="45"/>
              <w:ind w:right="57"/>
              <w:jc w:val="right"/>
              <w:rPr>
                <w:rFonts w:ascii="Arial (Body)" w:hAnsi="Arial (Body)"/>
                <w:color w:val="000000"/>
              </w:rPr>
            </w:pPr>
            <w:r w:rsidRPr="00DA3DF8">
              <w:t>54</w:t>
            </w:r>
          </w:p>
        </w:tc>
        <w:tc>
          <w:tcPr>
            <w:tcW w:w="227" w:type="pct"/>
            <w:shd w:val="clear" w:color="000000" w:fill="F2F2F2"/>
          </w:tcPr>
          <w:p w14:paraId="10721218" w14:textId="77777777" w:rsidR="00696D3E" w:rsidRDefault="00696D3E">
            <w:pPr>
              <w:pStyle w:val="TableBody"/>
              <w:spacing w:before="45" w:after="45"/>
              <w:ind w:right="57"/>
              <w:jc w:val="right"/>
              <w:rPr>
                <w:rFonts w:ascii="Arial (Body)" w:hAnsi="Arial (Body)"/>
                <w:color w:val="000000"/>
              </w:rPr>
            </w:pPr>
            <w:r w:rsidRPr="00DA3DF8">
              <w:t>93</w:t>
            </w:r>
          </w:p>
        </w:tc>
        <w:tc>
          <w:tcPr>
            <w:tcW w:w="227" w:type="pct"/>
            <w:shd w:val="clear" w:color="000000" w:fill="F2F2F2"/>
          </w:tcPr>
          <w:p w14:paraId="032CC9C3" w14:textId="77777777" w:rsidR="00696D3E" w:rsidRDefault="00696D3E">
            <w:pPr>
              <w:pStyle w:val="TableBody"/>
              <w:spacing w:before="45" w:after="45"/>
              <w:ind w:right="57"/>
              <w:jc w:val="right"/>
              <w:rPr>
                <w:rFonts w:ascii="Arial (Body)" w:hAnsi="Arial (Body)"/>
                <w:color w:val="000000"/>
              </w:rPr>
            </w:pPr>
            <w:r w:rsidRPr="00DA3DF8">
              <w:t>104</w:t>
            </w:r>
          </w:p>
        </w:tc>
        <w:tc>
          <w:tcPr>
            <w:tcW w:w="227" w:type="pct"/>
            <w:shd w:val="clear" w:color="000000" w:fill="F2F2F2"/>
          </w:tcPr>
          <w:p w14:paraId="6844E34D" w14:textId="77777777" w:rsidR="00696D3E" w:rsidRDefault="00696D3E">
            <w:pPr>
              <w:pStyle w:val="TableBody"/>
              <w:spacing w:before="45" w:after="45"/>
              <w:ind w:right="57"/>
              <w:jc w:val="right"/>
              <w:rPr>
                <w:rFonts w:ascii="Arial (Body)" w:hAnsi="Arial (Body)"/>
                <w:color w:val="000000"/>
              </w:rPr>
            </w:pPr>
            <w:r w:rsidRPr="00DA3DF8">
              <w:t>83</w:t>
            </w:r>
          </w:p>
        </w:tc>
        <w:tc>
          <w:tcPr>
            <w:tcW w:w="227" w:type="pct"/>
            <w:shd w:val="clear" w:color="000000" w:fill="F2F2F2"/>
          </w:tcPr>
          <w:p w14:paraId="35D0FA49" w14:textId="77777777" w:rsidR="00696D3E" w:rsidRPr="00030C67" w:rsidRDefault="00696D3E">
            <w:pPr>
              <w:pStyle w:val="TableBody"/>
              <w:spacing w:before="45" w:after="45"/>
              <w:ind w:right="57"/>
              <w:jc w:val="right"/>
              <w:rPr>
                <w:rFonts w:ascii="Arial (Body)" w:hAnsi="Arial (Body)"/>
                <w:color w:val="000000"/>
              </w:rPr>
            </w:pPr>
            <w:r w:rsidRPr="00DA3DF8">
              <w:t>89</w:t>
            </w:r>
          </w:p>
        </w:tc>
        <w:tc>
          <w:tcPr>
            <w:tcW w:w="227" w:type="pct"/>
            <w:shd w:val="clear" w:color="000000" w:fill="F2F2F2"/>
          </w:tcPr>
          <w:p w14:paraId="2D1E8FEC" w14:textId="77777777" w:rsidR="00696D3E" w:rsidRPr="00030C67" w:rsidRDefault="00696D3E">
            <w:pPr>
              <w:pStyle w:val="TableBody"/>
              <w:spacing w:before="45" w:after="45"/>
              <w:ind w:right="57"/>
              <w:jc w:val="right"/>
              <w:rPr>
                <w:rFonts w:ascii="Arial (Body)" w:hAnsi="Arial (Body)"/>
                <w:color w:val="000000"/>
              </w:rPr>
            </w:pPr>
            <w:r w:rsidRPr="00DA3DF8">
              <w:t>90</w:t>
            </w:r>
          </w:p>
        </w:tc>
        <w:tc>
          <w:tcPr>
            <w:tcW w:w="227" w:type="pct"/>
            <w:shd w:val="clear" w:color="000000" w:fill="F2F2F2"/>
          </w:tcPr>
          <w:p w14:paraId="08841C91" w14:textId="77777777" w:rsidR="00696D3E" w:rsidRPr="00030C67" w:rsidRDefault="00696D3E">
            <w:pPr>
              <w:pStyle w:val="TableBody"/>
              <w:spacing w:before="45" w:after="45"/>
              <w:ind w:right="57"/>
              <w:jc w:val="right"/>
              <w:rPr>
                <w:rFonts w:ascii="Arial (Body)" w:hAnsi="Arial (Body)"/>
                <w:color w:val="000000"/>
              </w:rPr>
            </w:pPr>
            <w:r w:rsidRPr="00DA3DF8">
              <w:t>73</w:t>
            </w:r>
          </w:p>
        </w:tc>
        <w:tc>
          <w:tcPr>
            <w:tcW w:w="227" w:type="pct"/>
            <w:shd w:val="clear" w:color="000000" w:fill="F2F2F2"/>
          </w:tcPr>
          <w:p w14:paraId="4F489342" w14:textId="77777777" w:rsidR="00696D3E" w:rsidRPr="00030C67" w:rsidRDefault="00696D3E">
            <w:pPr>
              <w:pStyle w:val="TableBody"/>
              <w:spacing w:before="45" w:after="45"/>
              <w:ind w:right="57"/>
              <w:jc w:val="right"/>
              <w:rPr>
                <w:rFonts w:ascii="Arial (Body)" w:hAnsi="Arial (Body)"/>
                <w:color w:val="000000"/>
              </w:rPr>
            </w:pPr>
            <w:r w:rsidRPr="00DA3DF8">
              <w:t>89</w:t>
            </w:r>
          </w:p>
        </w:tc>
        <w:tc>
          <w:tcPr>
            <w:tcW w:w="282" w:type="pct"/>
            <w:shd w:val="clear" w:color="000000" w:fill="F2F2F2"/>
          </w:tcPr>
          <w:p w14:paraId="2E4627BD" w14:textId="77777777" w:rsidR="00696D3E" w:rsidRPr="00030C67" w:rsidRDefault="00696D3E">
            <w:pPr>
              <w:pStyle w:val="TableBody"/>
              <w:spacing w:before="45" w:after="45"/>
              <w:ind w:right="57"/>
              <w:jc w:val="right"/>
              <w:rPr>
                <w:rFonts w:ascii="Arial (Body)" w:hAnsi="Arial (Body)"/>
                <w:color w:val="000000"/>
              </w:rPr>
            </w:pPr>
            <w:r w:rsidRPr="00E63CA7">
              <w:t>61</w:t>
            </w:r>
          </w:p>
        </w:tc>
      </w:tr>
      <w:tr w:rsidR="00696D3E" w:rsidRPr="00030C67" w14:paraId="6847AF4F" w14:textId="77777777">
        <w:tc>
          <w:tcPr>
            <w:tcW w:w="405" w:type="pct"/>
            <w:shd w:val="clear" w:color="auto" w:fill="auto"/>
          </w:tcPr>
          <w:p w14:paraId="4DBEE3B5" w14:textId="77777777" w:rsidR="00696D3E" w:rsidRPr="00635B50" w:rsidRDefault="00696D3E">
            <w:pPr>
              <w:pStyle w:val="TableHeading"/>
            </w:pPr>
            <w:r>
              <w:t>2008</w:t>
            </w:r>
          </w:p>
        </w:tc>
        <w:tc>
          <w:tcPr>
            <w:tcW w:w="227" w:type="pct"/>
            <w:shd w:val="clear" w:color="auto" w:fill="auto"/>
          </w:tcPr>
          <w:p w14:paraId="2F327397" w14:textId="77777777" w:rsidR="00696D3E" w:rsidRDefault="00696D3E">
            <w:pPr>
              <w:pStyle w:val="TableBody"/>
              <w:spacing w:before="45" w:after="45"/>
              <w:ind w:right="57"/>
              <w:jc w:val="right"/>
              <w:rPr>
                <w:rFonts w:ascii="Arial (Body)" w:hAnsi="Arial (Body)"/>
                <w:color w:val="000000"/>
              </w:rPr>
            </w:pPr>
            <w:r w:rsidRPr="00DA3DF8">
              <w:t>55</w:t>
            </w:r>
          </w:p>
        </w:tc>
        <w:tc>
          <w:tcPr>
            <w:tcW w:w="227" w:type="pct"/>
            <w:shd w:val="clear" w:color="auto" w:fill="auto"/>
          </w:tcPr>
          <w:p w14:paraId="3D8943B8" w14:textId="77777777" w:rsidR="00696D3E" w:rsidRDefault="00696D3E">
            <w:pPr>
              <w:pStyle w:val="TableBody"/>
              <w:spacing w:before="45" w:after="45"/>
              <w:ind w:right="57"/>
              <w:jc w:val="right"/>
              <w:rPr>
                <w:rFonts w:ascii="Arial (Body)" w:hAnsi="Arial (Body)"/>
                <w:color w:val="000000"/>
              </w:rPr>
            </w:pPr>
            <w:r w:rsidRPr="00DA3DF8">
              <w:t>19</w:t>
            </w:r>
          </w:p>
        </w:tc>
        <w:tc>
          <w:tcPr>
            <w:tcW w:w="227" w:type="pct"/>
            <w:shd w:val="clear" w:color="auto" w:fill="auto"/>
          </w:tcPr>
          <w:p w14:paraId="55F7B7D8" w14:textId="77777777" w:rsidR="00696D3E" w:rsidRDefault="00696D3E">
            <w:pPr>
              <w:pStyle w:val="TableBody"/>
              <w:spacing w:before="45" w:after="45"/>
              <w:ind w:right="57"/>
              <w:jc w:val="right"/>
              <w:rPr>
                <w:rFonts w:ascii="Arial (Body)" w:hAnsi="Arial (Body)"/>
                <w:color w:val="000000"/>
              </w:rPr>
            </w:pPr>
            <w:r w:rsidRPr="00DA3DF8">
              <w:t>61</w:t>
            </w:r>
          </w:p>
        </w:tc>
        <w:tc>
          <w:tcPr>
            <w:tcW w:w="227" w:type="pct"/>
            <w:shd w:val="clear" w:color="auto" w:fill="auto"/>
          </w:tcPr>
          <w:p w14:paraId="1B54B6AF" w14:textId="77777777" w:rsidR="00696D3E" w:rsidRDefault="00696D3E">
            <w:pPr>
              <w:pStyle w:val="TableBody"/>
              <w:spacing w:before="45" w:after="45"/>
              <w:ind w:right="57"/>
              <w:jc w:val="right"/>
              <w:rPr>
                <w:rFonts w:ascii="Arial (Body)" w:hAnsi="Arial (Body)"/>
                <w:color w:val="000000"/>
              </w:rPr>
            </w:pPr>
            <w:r w:rsidRPr="00DA3DF8">
              <w:t>37</w:t>
            </w:r>
          </w:p>
        </w:tc>
        <w:tc>
          <w:tcPr>
            <w:tcW w:w="227" w:type="pct"/>
            <w:shd w:val="clear" w:color="auto" w:fill="auto"/>
          </w:tcPr>
          <w:p w14:paraId="1BF1098E" w14:textId="77777777" w:rsidR="00696D3E" w:rsidRDefault="00696D3E">
            <w:pPr>
              <w:pStyle w:val="TableBody"/>
              <w:spacing w:before="45" w:after="45"/>
              <w:ind w:right="57"/>
              <w:jc w:val="right"/>
              <w:rPr>
                <w:rFonts w:ascii="Arial (Body)" w:hAnsi="Arial (Body)"/>
                <w:color w:val="000000"/>
              </w:rPr>
            </w:pPr>
            <w:r w:rsidRPr="00DA3DF8">
              <w:t>75</w:t>
            </w:r>
          </w:p>
        </w:tc>
        <w:tc>
          <w:tcPr>
            <w:tcW w:w="227" w:type="pct"/>
            <w:shd w:val="clear" w:color="auto" w:fill="auto"/>
          </w:tcPr>
          <w:p w14:paraId="090845FC" w14:textId="77777777" w:rsidR="00696D3E" w:rsidRDefault="00696D3E">
            <w:pPr>
              <w:pStyle w:val="TableBody"/>
              <w:spacing w:before="45" w:after="45"/>
              <w:ind w:right="57"/>
              <w:jc w:val="right"/>
              <w:rPr>
                <w:rFonts w:ascii="Arial (Body)" w:hAnsi="Arial (Body)"/>
                <w:color w:val="000000"/>
              </w:rPr>
            </w:pPr>
            <w:r w:rsidRPr="00DA3DF8">
              <w:t>69</w:t>
            </w:r>
          </w:p>
        </w:tc>
        <w:tc>
          <w:tcPr>
            <w:tcW w:w="227" w:type="pct"/>
            <w:shd w:val="clear" w:color="auto" w:fill="auto"/>
          </w:tcPr>
          <w:p w14:paraId="1D718D45" w14:textId="77777777" w:rsidR="00696D3E" w:rsidRDefault="00696D3E">
            <w:pPr>
              <w:pStyle w:val="TableBody"/>
              <w:spacing w:before="45" w:after="45"/>
              <w:ind w:right="57"/>
              <w:jc w:val="right"/>
              <w:rPr>
                <w:rFonts w:ascii="Arial (Body)" w:hAnsi="Arial (Body)"/>
                <w:color w:val="000000"/>
              </w:rPr>
            </w:pPr>
            <w:r w:rsidRPr="00DA3DF8">
              <w:t>76</w:t>
            </w:r>
          </w:p>
        </w:tc>
        <w:tc>
          <w:tcPr>
            <w:tcW w:w="227" w:type="pct"/>
            <w:shd w:val="clear" w:color="auto" w:fill="auto"/>
          </w:tcPr>
          <w:p w14:paraId="284556CD" w14:textId="77777777" w:rsidR="00696D3E" w:rsidRDefault="00696D3E">
            <w:pPr>
              <w:pStyle w:val="TableBody"/>
              <w:spacing w:before="45" w:after="45"/>
              <w:ind w:right="57"/>
              <w:jc w:val="right"/>
              <w:rPr>
                <w:rFonts w:ascii="Arial (Body)" w:hAnsi="Arial (Body)"/>
                <w:color w:val="000000"/>
              </w:rPr>
            </w:pPr>
            <w:r w:rsidRPr="00DA3DF8">
              <w:t>82</w:t>
            </w:r>
          </w:p>
        </w:tc>
        <w:tc>
          <w:tcPr>
            <w:tcW w:w="227" w:type="pct"/>
            <w:shd w:val="clear" w:color="auto" w:fill="auto"/>
          </w:tcPr>
          <w:p w14:paraId="071FBBEF" w14:textId="77777777" w:rsidR="00696D3E" w:rsidRDefault="00696D3E">
            <w:pPr>
              <w:pStyle w:val="TableBody"/>
              <w:spacing w:before="45" w:after="45"/>
              <w:ind w:right="57"/>
              <w:jc w:val="right"/>
              <w:rPr>
                <w:rFonts w:ascii="Arial (Body)" w:hAnsi="Arial (Body)"/>
                <w:color w:val="000000"/>
              </w:rPr>
            </w:pPr>
            <w:r w:rsidRPr="00DA3DF8">
              <w:t>62</w:t>
            </w:r>
          </w:p>
        </w:tc>
        <w:tc>
          <w:tcPr>
            <w:tcW w:w="227" w:type="pct"/>
            <w:shd w:val="clear" w:color="auto" w:fill="auto"/>
          </w:tcPr>
          <w:p w14:paraId="677981E9" w14:textId="77777777" w:rsidR="00696D3E" w:rsidRDefault="00696D3E">
            <w:pPr>
              <w:pStyle w:val="TableBody"/>
              <w:spacing w:before="45" w:after="45"/>
              <w:ind w:right="57"/>
              <w:jc w:val="right"/>
              <w:rPr>
                <w:rFonts w:ascii="Arial (Body)" w:hAnsi="Arial (Body)"/>
                <w:color w:val="000000"/>
              </w:rPr>
            </w:pPr>
            <w:r w:rsidRPr="00DA3DF8">
              <w:t>38</w:t>
            </w:r>
          </w:p>
        </w:tc>
        <w:tc>
          <w:tcPr>
            <w:tcW w:w="227" w:type="pct"/>
            <w:shd w:val="clear" w:color="auto" w:fill="auto"/>
          </w:tcPr>
          <w:p w14:paraId="3B79A96D" w14:textId="77777777" w:rsidR="00696D3E" w:rsidRDefault="00696D3E">
            <w:pPr>
              <w:pStyle w:val="TableBody"/>
              <w:spacing w:before="45" w:after="45"/>
              <w:ind w:right="57"/>
              <w:jc w:val="right"/>
              <w:rPr>
                <w:rFonts w:ascii="Arial (Body)" w:hAnsi="Arial (Body)"/>
                <w:color w:val="000000"/>
              </w:rPr>
            </w:pPr>
            <w:r w:rsidRPr="00DA3DF8">
              <w:t>41</w:t>
            </w:r>
          </w:p>
        </w:tc>
        <w:tc>
          <w:tcPr>
            <w:tcW w:w="227" w:type="pct"/>
            <w:shd w:val="clear" w:color="auto" w:fill="auto"/>
          </w:tcPr>
          <w:p w14:paraId="45659603" w14:textId="77777777" w:rsidR="00696D3E" w:rsidRDefault="00696D3E">
            <w:pPr>
              <w:pStyle w:val="TableBody"/>
              <w:spacing w:before="45" w:after="45"/>
              <w:ind w:right="57"/>
              <w:jc w:val="right"/>
              <w:rPr>
                <w:rFonts w:ascii="Arial (Body)" w:hAnsi="Arial (Body)"/>
                <w:color w:val="000000"/>
              </w:rPr>
            </w:pPr>
            <w:r w:rsidRPr="00DA3DF8">
              <w:t>51</w:t>
            </w:r>
          </w:p>
        </w:tc>
        <w:tc>
          <w:tcPr>
            <w:tcW w:w="227" w:type="pct"/>
            <w:shd w:val="clear" w:color="auto" w:fill="auto"/>
          </w:tcPr>
          <w:p w14:paraId="6538BBA4" w14:textId="77777777" w:rsidR="00696D3E" w:rsidRDefault="00696D3E">
            <w:pPr>
              <w:pStyle w:val="TableBody"/>
              <w:spacing w:before="45" w:after="45"/>
              <w:ind w:right="57"/>
              <w:jc w:val="right"/>
              <w:rPr>
                <w:rFonts w:ascii="Arial (Body)" w:hAnsi="Arial (Body)"/>
                <w:color w:val="000000"/>
              </w:rPr>
            </w:pPr>
            <w:r w:rsidRPr="00DA3DF8">
              <w:t>92</w:t>
            </w:r>
          </w:p>
        </w:tc>
        <w:tc>
          <w:tcPr>
            <w:tcW w:w="227" w:type="pct"/>
            <w:shd w:val="clear" w:color="auto" w:fill="auto"/>
          </w:tcPr>
          <w:p w14:paraId="4C837884" w14:textId="77777777" w:rsidR="00696D3E" w:rsidRDefault="00696D3E">
            <w:pPr>
              <w:pStyle w:val="TableBody"/>
              <w:spacing w:before="45" w:after="45"/>
              <w:ind w:right="57"/>
              <w:jc w:val="right"/>
              <w:rPr>
                <w:rFonts w:ascii="Arial (Body)" w:hAnsi="Arial (Body)"/>
                <w:color w:val="000000"/>
              </w:rPr>
            </w:pPr>
            <w:r w:rsidRPr="00DA3DF8">
              <w:t>103</w:t>
            </w:r>
          </w:p>
        </w:tc>
        <w:tc>
          <w:tcPr>
            <w:tcW w:w="227" w:type="pct"/>
            <w:shd w:val="clear" w:color="auto" w:fill="auto"/>
          </w:tcPr>
          <w:p w14:paraId="6AB3360B" w14:textId="77777777" w:rsidR="00696D3E" w:rsidRDefault="00696D3E">
            <w:pPr>
              <w:pStyle w:val="TableBody"/>
              <w:spacing w:before="45" w:after="45"/>
              <w:ind w:right="57"/>
              <w:jc w:val="right"/>
              <w:rPr>
                <w:rFonts w:ascii="Arial (Body)" w:hAnsi="Arial (Body)"/>
                <w:color w:val="000000"/>
              </w:rPr>
            </w:pPr>
            <w:r w:rsidRPr="00DA3DF8">
              <w:t>83</w:t>
            </w:r>
          </w:p>
        </w:tc>
        <w:tc>
          <w:tcPr>
            <w:tcW w:w="227" w:type="pct"/>
            <w:shd w:val="clear" w:color="auto" w:fill="auto"/>
          </w:tcPr>
          <w:p w14:paraId="782D38E2" w14:textId="77777777" w:rsidR="00696D3E" w:rsidRPr="00030C67" w:rsidRDefault="00696D3E">
            <w:pPr>
              <w:pStyle w:val="TableBody"/>
              <w:spacing w:before="45" w:after="45"/>
              <w:ind w:right="57"/>
              <w:jc w:val="right"/>
              <w:rPr>
                <w:rFonts w:ascii="Arial (Body)" w:hAnsi="Arial (Body)"/>
                <w:color w:val="000000"/>
              </w:rPr>
            </w:pPr>
            <w:r w:rsidRPr="00DA3DF8">
              <w:t>89</w:t>
            </w:r>
          </w:p>
        </w:tc>
        <w:tc>
          <w:tcPr>
            <w:tcW w:w="227" w:type="pct"/>
            <w:shd w:val="clear" w:color="auto" w:fill="auto"/>
          </w:tcPr>
          <w:p w14:paraId="79EC1DB9" w14:textId="77777777" w:rsidR="00696D3E" w:rsidRPr="00030C67" w:rsidRDefault="00696D3E">
            <w:pPr>
              <w:pStyle w:val="TableBody"/>
              <w:spacing w:before="45" w:after="45"/>
              <w:ind w:right="57"/>
              <w:jc w:val="right"/>
              <w:rPr>
                <w:rFonts w:ascii="Arial (Body)" w:hAnsi="Arial (Body)"/>
                <w:color w:val="000000"/>
              </w:rPr>
            </w:pPr>
            <w:r w:rsidRPr="00DA3DF8">
              <w:t>90</w:t>
            </w:r>
          </w:p>
        </w:tc>
        <w:tc>
          <w:tcPr>
            <w:tcW w:w="227" w:type="pct"/>
            <w:shd w:val="clear" w:color="auto" w:fill="auto"/>
          </w:tcPr>
          <w:p w14:paraId="723D4A80" w14:textId="77777777" w:rsidR="00696D3E" w:rsidRPr="00030C67" w:rsidRDefault="00696D3E">
            <w:pPr>
              <w:pStyle w:val="TableBody"/>
              <w:spacing w:before="45" w:after="45"/>
              <w:ind w:right="57"/>
              <w:jc w:val="right"/>
              <w:rPr>
                <w:rFonts w:ascii="Arial (Body)" w:hAnsi="Arial (Body)"/>
                <w:color w:val="000000"/>
              </w:rPr>
            </w:pPr>
            <w:r w:rsidRPr="00DA3DF8">
              <w:t>71</w:t>
            </w:r>
          </w:p>
        </w:tc>
        <w:tc>
          <w:tcPr>
            <w:tcW w:w="227" w:type="pct"/>
            <w:shd w:val="clear" w:color="auto" w:fill="auto"/>
          </w:tcPr>
          <w:p w14:paraId="345FF9ED" w14:textId="77777777" w:rsidR="00696D3E" w:rsidRPr="00030C67" w:rsidRDefault="00696D3E">
            <w:pPr>
              <w:pStyle w:val="TableBody"/>
              <w:spacing w:before="45" w:after="45"/>
              <w:ind w:right="57"/>
              <w:jc w:val="right"/>
              <w:rPr>
                <w:rFonts w:ascii="Arial (Body)" w:hAnsi="Arial (Body)"/>
                <w:color w:val="000000"/>
              </w:rPr>
            </w:pPr>
            <w:r w:rsidRPr="00DA3DF8">
              <w:t>91</w:t>
            </w:r>
          </w:p>
        </w:tc>
        <w:tc>
          <w:tcPr>
            <w:tcW w:w="282" w:type="pct"/>
            <w:shd w:val="clear" w:color="auto" w:fill="auto"/>
          </w:tcPr>
          <w:p w14:paraId="6103C273" w14:textId="77777777" w:rsidR="00696D3E" w:rsidRPr="00030C67" w:rsidRDefault="00696D3E">
            <w:pPr>
              <w:pStyle w:val="TableBody"/>
              <w:spacing w:before="45" w:after="45"/>
              <w:ind w:right="57"/>
              <w:jc w:val="right"/>
              <w:rPr>
                <w:rFonts w:ascii="Arial (Body)" w:hAnsi="Arial (Body)"/>
                <w:color w:val="000000"/>
              </w:rPr>
            </w:pPr>
            <w:r w:rsidRPr="00E63CA7">
              <w:t>61</w:t>
            </w:r>
          </w:p>
        </w:tc>
      </w:tr>
      <w:tr w:rsidR="00696D3E" w:rsidRPr="00030C67" w14:paraId="50A3DE1B" w14:textId="77777777">
        <w:tc>
          <w:tcPr>
            <w:tcW w:w="405" w:type="pct"/>
            <w:shd w:val="clear" w:color="000000" w:fill="F2F2F2"/>
          </w:tcPr>
          <w:p w14:paraId="211D5B5E" w14:textId="77777777" w:rsidR="00696D3E" w:rsidRPr="00635B50" w:rsidRDefault="00696D3E">
            <w:pPr>
              <w:pStyle w:val="TableHeading"/>
            </w:pPr>
            <w:r>
              <w:t>2009</w:t>
            </w:r>
          </w:p>
        </w:tc>
        <w:tc>
          <w:tcPr>
            <w:tcW w:w="227" w:type="pct"/>
            <w:shd w:val="clear" w:color="000000" w:fill="F2F2F2"/>
          </w:tcPr>
          <w:p w14:paraId="7E46EDAD" w14:textId="77777777" w:rsidR="00696D3E" w:rsidRDefault="00696D3E">
            <w:pPr>
              <w:pStyle w:val="TableBody"/>
              <w:spacing w:before="45" w:after="45"/>
              <w:ind w:right="57"/>
              <w:jc w:val="right"/>
              <w:rPr>
                <w:rFonts w:ascii="Arial (Body)" w:hAnsi="Arial (Body)"/>
                <w:color w:val="000000"/>
              </w:rPr>
            </w:pPr>
            <w:r w:rsidRPr="00DA3DF8">
              <w:t>52</w:t>
            </w:r>
          </w:p>
        </w:tc>
        <w:tc>
          <w:tcPr>
            <w:tcW w:w="227" w:type="pct"/>
            <w:shd w:val="clear" w:color="000000" w:fill="F2F2F2"/>
          </w:tcPr>
          <w:p w14:paraId="0218FF76" w14:textId="77777777" w:rsidR="00696D3E" w:rsidRDefault="00696D3E">
            <w:pPr>
              <w:pStyle w:val="TableBody"/>
              <w:spacing w:before="45" w:after="45"/>
              <w:ind w:right="57"/>
              <w:jc w:val="right"/>
              <w:rPr>
                <w:rFonts w:ascii="Arial (Body)" w:hAnsi="Arial (Body)"/>
                <w:color w:val="000000"/>
              </w:rPr>
            </w:pPr>
            <w:r w:rsidRPr="00DA3DF8">
              <w:t>16</w:t>
            </w:r>
          </w:p>
        </w:tc>
        <w:tc>
          <w:tcPr>
            <w:tcW w:w="227" w:type="pct"/>
            <w:shd w:val="clear" w:color="000000" w:fill="F2F2F2"/>
          </w:tcPr>
          <w:p w14:paraId="140CFDDA" w14:textId="77777777" w:rsidR="00696D3E" w:rsidRDefault="00696D3E">
            <w:pPr>
              <w:pStyle w:val="TableBody"/>
              <w:spacing w:before="45" w:after="45"/>
              <w:ind w:right="57"/>
              <w:jc w:val="right"/>
              <w:rPr>
                <w:rFonts w:ascii="Arial (Body)" w:hAnsi="Arial (Body)"/>
                <w:color w:val="000000"/>
              </w:rPr>
            </w:pPr>
            <w:r w:rsidRPr="00DA3DF8">
              <w:t>62</w:t>
            </w:r>
          </w:p>
        </w:tc>
        <w:tc>
          <w:tcPr>
            <w:tcW w:w="227" w:type="pct"/>
            <w:shd w:val="clear" w:color="000000" w:fill="F2F2F2"/>
          </w:tcPr>
          <w:p w14:paraId="51735F93" w14:textId="77777777" w:rsidR="00696D3E" w:rsidRDefault="00696D3E">
            <w:pPr>
              <w:pStyle w:val="TableBody"/>
              <w:spacing w:before="45" w:after="45"/>
              <w:ind w:right="57"/>
              <w:jc w:val="right"/>
              <w:rPr>
                <w:rFonts w:ascii="Arial (Body)" w:hAnsi="Arial (Body)"/>
                <w:color w:val="000000"/>
              </w:rPr>
            </w:pPr>
            <w:r w:rsidRPr="00DA3DF8">
              <w:t>38</w:t>
            </w:r>
          </w:p>
        </w:tc>
        <w:tc>
          <w:tcPr>
            <w:tcW w:w="227" w:type="pct"/>
            <w:shd w:val="clear" w:color="000000" w:fill="F2F2F2"/>
          </w:tcPr>
          <w:p w14:paraId="522670E7" w14:textId="77777777" w:rsidR="00696D3E" w:rsidRDefault="00696D3E">
            <w:pPr>
              <w:pStyle w:val="TableBody"/>
              <w:spacing w:before="45" w:after="45"/>
              <w:ind w:right="57"/>
              <w:jc w:val="right"/>
              <w:rPr>
                <w:rFonts w:ascii="Arial (Body)" w:hAnsi="Arial (Body)"/>
                <w:color w:val="000000"/>
              </w:rPr>
            </w:pPr>
            <w:r w:rsidRPr="00DA3DF8">
              <w:t>71</w:t>
            </w:r>
          </w:p>
        </w:tc>
        <w:tc>
          <w:tcPr>
            <w:tcW w:w="227" w:type="pct"/>
            <w:shd w:val="clear" w:color="000000" w:fill="F2F2F2"/>
          </w:tcPr>
          <w:p w14:paraId="27C63A57" w14:textId="77777777" w:rsidR="00696D3E" w:rsidRDefault="00696D3E">
            <w:pPr>
              <w:pStyle w:val="TableBody"/>
              <w:spacing w:before="45" w:after="45"/>
              <w:ind w:right="57"/>
              <w:jc w:val="right"/>
              <w:rPr>
                <w:rFonts w:ascii="Arial (Body)" w:hAnsi="Arial (Body)"/>
                <w:color w:val="000000"/>
              </w:rPr>
            </w:pPr>
            <w:r w:rsidRPr="00DA3DF8">
              <w:t>69</w:t>
            </w:r>
          </w:p>
        </w:tc>
        <w:tc>
          <w:tcPr>
            <w:tcW w:w="227" w:type="pct"/>
            <w:shd w:val="clear" w:color="000000" w:fill="F2F2F2"/>
          </w:tcPr>
          <w:p w14:paraId="7AB8EF13" w14:textId="77777777" w:rsidR="00696D3E" w:rsidRDefault="00696D3E">
            <w:pPr>
              <w:pStyle w:val="TableBody"/>
              <w:spacing w:before="45" w:after="45"/>
              <w:ind w:right="57"/>
              <w:jc w:val="right"/>
              <w:rPr>
                <w:rFonts w:ascii="Arial (Body)" w:hAnsi="Arial (Body)"/>
                <w:color w:val="000000"/>
              </w:rPr>
            </w:pPr>
            <w:r w:rsidRPr="00DA3DF8">
              <w:t>76</w:t>
            </w:r>
          </w:p>
        </w:tc>
        <w:tc>
          <w:tcPr>
            <w:tcW w:w="227" w:type="pct"/>
            <w:shd w:val="clear" w:color="000000" w:fill="F2F2F2"/>
          </w:tcPr>
          <w:p w14:paraId="23B89315" w14:textId="77777777" w:rsidR="00696D3E" w:rsidRDefault="00696D3E">
            <w:pPr>
              <w:pStyle w:val="TableBody"/>
              <w:spacing w:before="45" w:after="45"/>
              <w:ind w:right="57"/>
              <w:jc w:val="right"/>
              <w:rPr>
                <w:rFonts w:ascii="Arial (Body)" w:hAnsi="Arial (Body)"/>
                <w:color w:val="000000"/>
              </w:rPr>
            </w:pPr>
            <w:r w:rsidRPr="00DA3DF8">
              <w:t>79</w:t>
            </w:r>
          </w:p>
        </w:tc>
        <w:tc>
          <w:tcPr>
            <w:tcW w:w="227" w:type="pct"/>
            <w:shd w:val="clear" w:color="000000" w:fill="F2F2F2"/>
          </w:tcPr>
          <w:p w14:paraId="7AEF44BF" w14:textId="77777777" w:rsidR="00696D3E" w:rsidRDefault="00696D3E">
            <w:pPr>
              <w:pStyle w:val="TableBody"/>
              <w:spacing w:before="45" w:after="45"/>
              <w:ind w:right="57"/>
              <w:jc w:val="right"/>
              <w:rPr>
                <w:rFonts w:ascii="Arial (Body)" w:hAnsi="Arial (Body)"/>
                <w:color w:val="000000"/>
              </w:rPr>
            </w:pPr>
            <w:r w:rsidRPr="00DA3DF8">
              <w:t>62</w:t>
            </w:r>
          </w:p>
        </w:tc>
        <w:tc>
          <w:tcPr>
            <w:tcW w:w="227" w:type="pct"/>
            <w:shd w:val="clear" w:color="000000" w:fill="F2F2F2"/>
          </w:tcPr>
          <w:p w14:paraId="482D5576" w14:textId="77777777" w:rsidR="00696D3E" w:rsidRDefault="00696D3E">
            <w:pPr>
              <w:pStyle w:val="TableBody"/>
              <w:spacing w:before="45" w:after="45"/>
              <w:ind w:right="57"/>
              <w:jc w:val="right"/>
              <w:rPr>
                <w:rFonts w:ascii="Arial (Body)" w:hAnsi="Arial (Body)"/>
                <w:color w:val="000000"/>
              </w:rPr>
            </w:pPr>
            <w:r w:rsidRPr="00DA3DF8">
              <w:t>37</w:t>
            </w:r>
          </w:p>
        </w:tc>
        <w:tc>
          <w:tcPr>
            <w:tcW w:w="227" w:type="pct"/>
            <w:shd w:val="clear" w:color="000000" w:fill="F2F2F2"/>
          </w:tcPr>
          <w:p w14:paraId="0E34764C" w14:textId="77777777" w:rsidR="00696D3E" w:rsidRDefault="00696D3E">
            <w:pPr>
              <w:pStyle w:val="TableBody"/>
              <w:spacing w:before="45" w:after="45"/>
              <w:ind w:right="57"/>
              <w:jc w:val="right"/>
              <w:rPr>
                <w:rFonts w:ascii="Arial (Body)" w:hAnsi="Arial (Body)"/>
                <w:color w:val="000000"/>
              </w:rPr>
            </w:pPr>
            <w:r w:rsidRPr="00DA3DF8">
              <w:t>35</w:t>
            </w:r>
          </w:p>
        </w:tc>
        <w:tc>
          <w:tcPr>
            <w:tcW w:w="227" w:type="pct"/>
            <w:shd w:val="clear" w:color="000000" w:fill="F2F2F2"/>
          </w:tcPr>
          <w:p w14:paraId="0DAB00B4" w14:textId="77777777" w:rsidR="00696D3E" w:rsidRDefault="00696D3E">
            <w:pPr>
              <w:pStyle w:val="TableBody"/>
              <w:spacing w:before="45" w:after="45"/>
              <w:ind w:right="57"/>
              <w:jc w:val="right"/>
              <w:rPr>
                <w:rFonts w:ascii="Arial (Body)" w:hAnsi="Arial (Body)"/>
                <w:color w:val="000000"/>
              </w:rPr>
            </w:pPr>
            <w:r w:rsidRPr="00DA3DF8">
              <w:t>52</w:t>
            </w:r>
          </w:p>
        </w:tc>
        <w:tc>
          <w:tcPr>
            <w:tcW w:w="227" w:type="pct"/>
            <w:shd w:val="clear" w:color="000000" w:fill="F2F2F2"/>
          </w:tcPr>
          <w:p w14:paraId="7446AA9E" w14:textId="77777777" w:rsidR="00696D3E" w:rsidRDefault="00696D3E">
            <w:pPr>
              <w:pStyle w:val="TableBody"/>
              <w:spacing w:before="45" w:after="45"/>
              <w:ind w:right="57"/>
              <w:jc w:val="right"/>
              <w:rPr>
                <w:rFonts w:ascii="Arial (Body)" w:hAnsi="Arial (Body)"/>
                <w:color w:val="000000"/>
              </w:rPr>
            </w:pPr>
            <w:r w:rsidRPr="00DA3DF8">
              <w:t>91</w:t>
            </w:r>
          </w:p>
        </w:tc>
        <w:tc>
          <w:tcPr>
            <w:tcW w:w="227" w:type="pct"/>
            <w:shd w:val="clear" w:color="000000" w:fill="F2F2F2"/>
          </w:tcPr>
          <w:p w14:paraId="560C5633" w14:textId="77777777" w:rsidR="00696D3E" w:rsidRDefault="00696D3E">
            <w:pPr>
              <w:pStyle w:val="TableBody"/>
              <w:spacing w:before="45" w:after="45"/>
              <w:ind w:right="57"/>
              <w:jc w:val="right"/>
              <w:rPr>
                <w:rFonts w:ascii="Arial (Body)" w:hAnsi="Arial (Body)"/>
                <w:color w:val="000000"/>
              </w:rPr>
            </w:pPr>
            <w:r w:rsidRPr="00DA3DF8">
              <w:t>98</w:t>
            </w:r>
          </w:p>
        </w:tc>
        <w:tc>
          <w:tcPr>
            <w:tcW w:w="227" w:type="pct"/>
            <w:shd w:val="clear" w:color="000000" w:fill="F2F2F2"/>
          </w:tcPr>
          <w:p w14:paraId="3253C476" w14:textId="77777777" w:rsidR="00696D3E" w:rsidRDefault="00696D3E">
            <w:pPr>
              <w:pStyle w:val="TableBody"/>
              <w:spacing w:before="45" w:after="45"/>
              <w:ind w:right="57"/>
              <w:jc w:val="right"/>
              <w:rPr>
                <w:rFonts w:ascii="Arial (Body)" w:hAnsi="Arial (Body)"/>
                <w:color w:val="000000"/>
              </w:rPr>
            </w:pPr>
            <w:r w:rsidRPr="00DA3DF8">
              <w:t>82</w:t>
            </w:r>
          </w:p>
        </w:tc>
        <w:tc>
          <w:tcPr>
            <w:tcW w:w="227" w:type="pct"/>
            <w:shd w:val="clear" w:color="000000" w:fill="F2F2F2"/>
          </w:tcPr>
          <w:p w14:paraId="52A4A5DA" w14:textId="77777777" w:rsidR="00696D3E" w:rsidRPr="00030C67" w:rsidRDefault="00696D3E">
            <w:pPr>
              <w:pStyle w:val="TableBody"/>
              <w:spacing w:before="45" w:after="45"/>
              <w:ind w:right="57"/>
              <w:jc w:val="right"/>
              <w:rPr>
                <w:rFonts w:ascii="Arial (Body)" w:hAnsi="Arial (Body)"/>
                <w:color w:val="000000"/>
              </w:rPr>
            </w:pPr>
            <w:r w:rsidRPr="00DA3DF8">
              <w:t>88</w:t>
            </w:r>
          </w:p>
        </w:tc>
        <w:tc>
          <w:tcPr>
            <w:tcW w:w="227" w:type="pct"/>
            <w:shd w:val="clear" w:color="000000" w:fill="F2F2F2"/>
          </w:tcPr>
          <w:p w14:paraId="117B84E0" w14:textId="77777777" w:rsidR="00696D3E" w:rsidRPr="00030C67" w:rsidRDefault="00696D3E">
            <w:pPr>
              <w:pStyle w:val="TableBody"/>
              <w:spacing w:before="45" w:after="45"/>
              <w:ind w:right="57"/>
              <w:jc w:val="right"/>
              <w:rPr>
                <w:rFonts w:ascii="Arial (Body)" w:hAnsi="Arial (Body)"/>
                <w:color w:val="000000"/>
              </w:rPr>
            </w:pPr>
            <w:r w:rsidRPr="00DA3DF8">
              <w:t>90</w:t>
            </w:r>
          </w:p>
        </w:tc>
        <w:tc>
          <w:tcPr>
            <w:tcW w:w="227" w:type="pct"/>
            <w:shd w:val="clear" w:color="000000" w:fill="F2F2F2"/>
          </w:tcPr>
          <w:p w14:paraId="4AA52F56" w14:textId="77777777" w:rsidR="00696D3E" w:rsidRPr="00030C67" w:rsidRDefault="00696D3E">
            <w:pPr>
              <w:pStyle w:val="TableBody"/>
              <w:spacing w:before="45" w:after="45"/>
              <w:ind w:right="57"/>
              <w:jc w:val="right"/>
              <w:rPr>
                <w:rFonts w:ascii="Arial (Body)" w:hAnsi="Arial (Body)"/>
                <w:color w:val="000000"/>
              </w:rPr>
            </w:pPr>
            <w:r w:rsidRPr="00DA3DF8">
              <w:t>69</w:t>
            </w:r>
          </w:p>
        </w:tc>
        <w:tc>
          <w:tcPr>
            <w:tcW w:w="227" w:type="pct"/>
            <w:shd w:val="clear" w:color="000000" w:fill="F2F2F2"/>
          </w:tcPr>
          <w:p w14:paraId="3E15C54B" w14:textId="77777777" w:rsidR="00696D3E" w:rsidRPr="00030C67" w:rsidRDefault="00696D3E">
            <w:pPr>
              <w:pStyle w:val="TableBody"/>
              <w:spacing w:before="45" w:after="45"/>
              <w:ind w:right="57"/>
              <w:jc w:val="right"/>
              <w:rPr>
                <w:rFonts w:ascii="Arial (Body)" w:hAnsi="Arial (Body)"/>
                <w:color w:val="000000"/>
              </w:rPr>
            </w:pPr>
            <w:r w:rsidRPr="00DA3DF8">
              <w:t>88</w:t>
            </w:r>
          </w:p>
        </w:tc>
        <w:tc>
          <w:tcPr>
            <w:tcW w:w="282" w:type="pct"/>
            <w:shd w:val="clear" w:color="000000" w:fill="F2F2F2"/>
          </w:tcPr>
          <w:p w14:paraId="643E99EC" w14:textId="77777777" w:rsidR="00696D3E" w:rsidRPr="00030C67" w:rsidRDefault="00696D3E">
            <w:pPr>
              <w:pStyle w:val="TableBody"/>
              <w:spacing w:before="45" w:after="45"/>
              <w:ind w:right="57"/>
              <w:jc w:val="right"/>
              <w:rPr>
                <w:rFonts w:ascii="Arial (Body)" w:hAnsi="Arial (Body)"/>
                <w:color w:val="000000"/>
              </w:rPr>
            </w:pPr>
            <w:r w:rsidRPr="00E63CA7">
              <w:t>58</w:t>
            </w:r>
          </w:p>
        </w:tc>
      </w:tr>
      <w:tr w:rsidR="00696D3E" w:rsidRPr="00030C67" w14:paraId="2FCFB74A" w14:textId="77777777">
        <w:tc>
          <w:tcPr>
            <w:tcW w:w="405" w:type="pct"/>
            <w:shd w:val="clear" w:color="auto" w:fill="auto"/>
          </w:tcPr>
          <w:p w14:paraId="398C96D0" w14:textId="77777777" w:rsidR="00696D3E" w:rsidRPr="00635B50" w:rsidRDefault="00696D3E">
            <w:pPr>
              <w:pStyle w:val="TableHeading"/>
            </w:pPr>
            <w:r>
              <w:t>2010</w:t>
            </w:r>
          </w:p>
        </w:tc>
        <w:tc>
          <w:tcPr>
            <w:tcW w:w="227" w:type="pct"/>
            <w:shd w:val="clear" w:color="auto" w:fill="auto"/>
          </w:tcPr>
          <w:p w14:paraId="61827DB5" w14:textId="77777777" w:rsidR="00696D3E" w:rsidRDefault="00696D3E">
            <w:pPr>
              <w:pStyle w:val="TableBody"/>
              <w:spacing w:before="45" w:after="45"/>
              <w:ind w:right="57"/>
              <w:jc w:val="right"/>
              <w:rPr>
                <w:rFonts w:ascii="Arial (Body)" w:hAnsi="Arial (Body)"/>
                <w:color w:val="000000"/>
              </w:rPr>
            </w:pPr>
            <w:r w:rsidRPr="00DA3DF8">
              <w:t>47</w:t>
            </w:r>
          </w:p>
        </w:tc>
        <w:tc>
          <w:tcPr>
            <w:tcW w:w="227" w:type="pct"/>
            <w:shd w:val="clear" w:color="auto" w:fill="auto"/>
          </w:tcPr>
          <w:p w14:paraId="661D61EB" w14:textId="77777777" w:rsidR="00696D3E" w:rsidRDefault="00696D3E">
            <w:pPr>
              <w:pStyle w:val="TableBody"/>
              <w:spacing w:before="45" w:after="45"/>
              <w:ind w:right="57"/>
              <w:jc w:val="right"/>
              <w:rPr>
                <w:rFonts w:ascii="Arial (Body)" w:hAnsi="Arial (Body)"/>
                <w:color w:val="000000"/>
              </w:rPr>
            </w:pPr>
            <w:r w:rsidRPr="00DA3DF8">
              <w:t>20</w:t>
            </w:r>
          </w:p>
        </w:tc>
        <w:tc>
          <w:tcPr>
            <w:tcW w:w="227" w:type="pct"/>
            <w:shd w:val="clear" w:color="auto" w:fill="auto"/>
          </w:tcPr>
          <w:p w14:paraId="1042540F" w14:textId="77777777" w:rsidR="00696D3E" w:rsidRDefault="00696D3E">
            <w:pPr>
              <w:pStyle w:val="TableBody"/>
              <w:spacing w:before="45" w:after="45"/>
              <w:ind w:right="57"/>
              <w:jc w:val="right"/>
              <w:rPr>
                <w:rFonts w:ascii="Arial (Body)" w:hAnsi="Arial (Body)"/>
                <w:color w:val="000000"/>
              </w:rPr>
            </w:pPr>
            <w:r w:rsidRPr="00DA3DF8">
              <w:t>62</w:t>
            </w:r>
          </w:p>
        </w:tc>
        <w:tc>
          <w:tcPr>
            <w:tcW w:w="227" w:type="pct"/>
            <w:shd w:val="clear" w:color="auto" w:fill="auto"/>
          </w:tcPr>
          <w:p w14:paraId="5B9F7533" w14:textId="77777777" w:rsidR="00696D3E" w:rsidRDefault="00696D3E">
            <w:pPr>
              <w:pStyle w:val="TableBody"/>
              <w:spacing w:before="45" w:after="45"/>
              <w:ind w:right="57"/>
              <w:jc w:val="right"/>
              <w:rPr>
                <w:rFonts w:ascii="Arial (Body)" w:hAnsi="Arial (Body)"/>
                <w:color w:val="000000"/>
              </w:rPr>
            </w:pPr>
            <w:r w:rsidRPr="00DA3DF8">
              <w:t>38</w:t>
            </w:r>
          </w:p>
        </w:tc>
        <w:tc>
          <w:tcPr>
            <w:tcW w:w="227" w:type="pct"/>
            <w:shd w:val="clear" w:color="auto" w:fill="auto"/>
          </w:tcPr>
          <w:p w14:paraId="0F6016BF" w14:textId="77777777" w:rsidR="00696D3E" w:rsidRDefault="00696D3E">
            <w:pPr>
              <w:pStyle w:val="TableBody"/>
              <w:spacing w:before="45" w:after="45"/>
              <w:ind w:right="57"/>
              <w:jc w:val="right"/>
              <w:rPr>
                <w:rFonts w:ascii="Arial (Body)" w:hAnsi="Arial (Body)"/>
                <w:color w:val="000000"/>
              </w:rPr>
            </w:pPr>
            <w:r w:rsidRPr="00DA3DF8">
              <w:t>70</w:t>
            </w:r>
          </w:p>
        </w:tc>
        <w:tc>
          <w:tcPr>
            <w:tcW w:w="227" w:type="pct"/>
            <w:shd w:val="clear" w:color="auto" w:fill="auto"/>
          </w:tcPr>
          <w:p w14:paraId="74556278" w14:textId="77777777" w:rsidR="00696D3E" w:rsidRDefault="00696D3E">
            <w:pPr>
              <w:pStyle w:val="TableBody"/>
              <w:spacing w:before="45" w:after="45"/>
              <w:ind w:right="57"/>
              <w:jc w:val="right"/>
              <w:rPr>
                <w:rFonts w:ascii="Arial (Body)" w:hAnsi="Arial (Body)"/>
                <w:color w:val="000000"/>
              </w:rPr>
            </w:pPr>
            <w:r w:rsidRPr="00DA3DF8">
              <w:t>68</w:t>
            </w:r>
          </w:p>
        </w:tc>
        <w:tc>
          <w:tcPr>
            <w:tcW w:w="227" w:type="pct"/>
            <w:shd w:val="clear" w:color="auto" w:fill="auto"/>
          </w:tcPr>
          <w:p w14:paraId="0AAF8192" w14:textId="77777777" w:rsidR="00696D3E" w:rsidRDefault="00696D3E">
            <w:pPr>
              <w:pStyle w:val="TableBody"/>
              <w:spacing w:before="45" w:after="45"/>
              <w:ind w:right="57"/>
              <w:jc w:val="right"/>
              <w:rPr>
                <w:rFonts w:ascii="Arial (Body)" w:hAnsi="Arial (Body)"/>
                <w:color w:val="000000"/>
              </w:rPr>
            </w:pPr>
            <w:r w:rsidRPr="00DA3DF8">
              <w:t>75</w:t>
            </w:r>
          </w:p>
        </w:tc>
        <w:tc>
          <w:tcPr>
            <w:tcW w:w="227" w:type="pct"/>
            <w:shd w:val="clear" w:color="auto" w:fill="auto"/>
          </w:tcPr>
          <w:p w14:paraId="0A0A67C7" w14:textId="77777777" w:rsidR="00696D3E" w:rsidRDefault="00696D3E">
            <w:pPr>
              <w:pStyle w:val="TableBody"/>
              <w:spacing w:before="45" w:after="45"/>
              <w:ind w:right="57"/>
              <w:jc w:val="right"/>
              <w:rPr>
                <w:rFonts w:ascii="Arial (Body)" w:hAnsi="Arial (Body)"/>
                <w:color w:val="000000"/>
              </w:rPr>
            </w:pPr>
            <w:r w:rsidRPr="00DA3DF8">
              <w:t>76</w:t>
            </w:r>
          </w:p>
        </w:tc>
        <w:tc>
          <w:tcPr>
            <w:tcW w:w="227" w:type="pct"/>
            <w:shd w:val="clear" w:color="auto" w:fill="auto"/>
          </w:tcPr>
          <w:p w14:paraId="4C3BF770" w14:textId="77777777" w:rsidR="00696D3E" w:rsidRDefault="00696D3E">
            <w:pPr>
              <w:pStyle w:val="TableBody"/>
              <w:spacing w:before="45" w:after="45"/>
              <w:ind w:right="57"/>
              <w:jc w:val="right"/>
              <w:rPr>
                <w:rFonts w:ascii="Arial (Body)" w:hAnsi="Arial (Body)"/>
                <w:color w:val="000000"/>
              </w:rPr>
            </w:pPr>
            <w:r w:rsidRPr="00DA3DF8">
              <w:t>63</w:t>
            </w:r>
          </w:p>
        </w:tc>
        <w:tc>
          <w:tcPr>
            <w:tcW w:w="227" w:type="pct"/>
            <w:shd w:val="clear" w:color="auto" w:fill="auto"/>
          </w:tcPr>
          <w:p w14:paraId="33905BBB" w14:textId="77777777" w:rsidR="00696D3E" w:rsidRDefault="00696D3E">
            <w:pPr>
              <w:pStyle w:val="TableBody"/>
              <w:spacing w:before="45" w:after="45"/>
              <w:ind w:right="57"/>
              <w:jc w:val="right"/>
              <w:rPr>
                <w:rFonts w:ascii="Arial (Body)" w:hAnsi="Arial (Body)"/>
                <w:color w:val="000000"/>
              </w:rPr>
            </w:pPr>
            <w:r w:rsidRPr="00DA3DF8">
              <w:t>35</w:t>
            </w:r>
          </w:p>
        </w:tc>
        <w:tc>
          <w:tcPr>
            <w:tcW w:w="227" w:type="pct"/>
            <w:shd w:val="clear" w:color="auto" w:fill="auto"/>
          </w:tcPr>
          <w:p w14:paraId="441BD8D2" w14:textId="77777777" w:rsidR="00696D3E" w:rsidRDefault="00696D3E">
            <w:pPr>
              <w:pStyle w:val="TableBody"/>
              <w:spacing w:before="45" w:after="45"/>
              <w:ind w:right="57"/>
              <w:jc w:val="right"/>
              <w:rPr>
                <w:rFonts w:ascii="Arial (Body)" w:hAnsi="Arial (Body)"/>
                <w:color w:val="000000"/>
              </w:rPr>
            </w:pPr>
            <w:r w:rsidRPr="00DA3DF8">
              <w:t>35</w:t>
            </w:r>
          </w:p>
        </w:tc>
        <w:tc>
          <w:tcPr>
            <w:tcW w:w="227" w:type="pct"/>
            <w:shd w:val="clear" w:color="auto" w:fill="auto"/>
          </w:tcPr>
          <w:p w14:paraId="7B59B97E" w14:textId="77777777" w:rsidR="00696D3E" w:rsidRDefault="00696D3E">
            <w:pPr>
              <w:pStyle w:val="TableBody"/>
              <w:spacing w:before="45" w:after="45"/>
              <w:ind w:right="57"/>
              <w:jc w:val="right"/>
              <w:rPr>
                <w:rFonts w:ascii="Arial (Body)" w:hAnsi="Arial (Body)"/>
                <w:color w:val="000000"/>
              </w:rPr>
            </w:pPr>
            <w:r w:rsidRPr="00DA3DF8">
              <w:t>48</w:t>
            </w:r>
          </w:p>
        </w:tc>
        <w:tc>
          <w:tcPr>
            <w:tcW w:w="227" w:type="pct"/>
            <w:shd w:val="clear" w:color="auto" w:fill="auto"/>
          </w:tcPr>
          <w:p w14:paraId="3C2E025F" w14:textId="77777777" w:rsidR="00696D3E" w:rsidRDefault="00696D3E">
            <w:pPr>
              <w:pStyle w:val="TableBody"/>
              <w:spacing w:before="45" w:after="45"/>
              <w:ind w:right="57"/>
              <w:jc w:val="right"/>
              <w:rPr>
                <w:rFonts w:ascii="Arial (Body)" w:hAnsi="Arial (Body)"/>
                <w:color w:val="000000"/>
              </w:rPr>
            </w:pPr>
            <w:r w:rsidRPr="00DA3DF8">
              <w:t>84</w:t>
            </w:r>
          </w:p>
        </w:tc>
        <w:tc>
          <w:tcPr>
            <w:tcW w:w="227" w:type="pct"/>
            <w:shd w:val="clear" w:color="auto" w:fill="auto"/>
          </w:tcPr>
          <w:p w14:paraId="4C1DCA0E" w14:textId="77777777" w:rsidR="00696D3E" w:rsidRDefault="00696D3E">
            <w:pPr>
              <w:pStyle w:val="TableBody"/>
              <w:spacing w:before="45" w:after="45"/>
              <w:ind w:right="57"/>
              <w:jc w:val="right"/>
              <w:rPr>
                <w:rFonts w:ascii="Arial (Body)" w:hAnsi="Arial (Body)"/>
                <w:color w:val="000000"/>
              </w:rPr>
            </w:pPr>
            <w:r w:rsidRPr="00DA3DF8">
              <w:t>101</w:t>
            </w:r>
          </w:p>
        </w:tc>
        <w:tc>
          <w:tcPr>
            <w:tcW w:w="227" w:type="pct"/>
            <w:shd w:val="clear" w:color="auto" w:fill="auto"/>
          </w:tcPr>
          <w:p w14:paraId="2DDD693B" w14:textId="77777777" w:rsidR="00696D3E" w:rsidRDefault="00696D3E">
            <w:pPr>
              <w:pStyle w:val="TableBody"/>
              <w:spacing w:before="45" w:after="45"/>
              <w:ind w:right="57"/>
              <w:jc w:val="right"/>
              <w:rPr>
                <w:rFonts w:ascii="Arial (Body)" w:hAnsi="Arial (Body)"/>
                <w:color w:val="000000"/>
              </w:rPr>
            </w:pPr>
            <w:r w:rsidRPr="00DA3DF8">
              <w:t>83</w:t>
            </w:r>
          </w:p>
        </w:tc>
        <w:tc>
          <w:tcPr>
            <w:tcW w:w="227" w:type="pct"/>
            <w:shd w:val="clear" w:color="auto" w:fill="auto"/>
          </w:tcPr>
          <w:p w14:paraId="221AD6B9" w14:textId="77777777" w:rsidR="00696D3E" w:rsidRPr="00030C67" w:rsidRDefault="00696D3E">
            <w:pPr>
              <w:pStyle w:val="TableBody"/>
              <w:spacing w:before="45" w:after="45"/>
              <w:ind w:right="57"/>
              <w:jc w:val="right"/>
              <w:rPr>
                <w:rFonts w:ascii="Arial (Body)" w:hAnsi="Arial (Body)"/>
                <w:color w:val="000000"/>
              </w:rPr>
            </w:pPr>
            <w:r w:rsidRPr="00DA3DF8">
              <w:t>89</w:t>
            </w:r>
          </w:p>
        </w:tc>
        <w:tc>
          <w:tcPr>
            <w:tcW w:w="227" w:type="pct"/>
            <w:shd w:val="clear" w:color="auto" w:fill="auto"/>
          </w:tcPr>
          <w:p w14:paraId="7AAC4C53" w14:textId="77777777" w:rsidR="00696D3E" w:rsidRPr="00030C67" w:rsidRDefault="00696D3E">
            <w:pPr>
              <w:pStyle w:val="TableBody"/>
              <w:spacing w:before="45" w:after="45"/>
              <w:ind w:right="57"/>
              <w:jc w:val="right"/>
              <w:rPr>
                <w:rFonts w:ascii="Arial (Body)" w:hAnsi="Arial (Body)"/>
                <w:color w:val="000000"/>
              </w:rPr>
            </w:pPr>
            <w:r w:rsidRPr="00DA3DF8">
              <w:t>89</w:t>
            </w:r>
          </w:p>
        </w:tc>
        <w:tc>
          <w:tcPr>
            <w:tcW w:w="227" w:type="pct"/>
            <w:shd w:val="clear" w:color="auto" w:fill="auto"/>
          </w:tcPr>
          <w:p w14:paraId="3EF8F32E" w14:textId="77777777" w:rsidR="00696D3E" w:rsidRPr="00030C67" w:rsidRDefault="00696D3E">
            <w:pPr>
              <w:pStyle w:val="TableBody"/>
              <w:spacing w:before="45" w:after="45"/>
              <w:ind w:right="57"/>
              <w:jc w:val="right"/>
              <w:rPr>
                <w:rFonts w:ascii="Arial (Body)" w:hAnsi="Arial (Body)"/>
                <w:color w:val="000000"/>
              </w:rPr>
            </w:pPr>
            <w:r w:rsidRPr="00DA3DF8">
              <w:t>70</w:t>
            </w:r>
          </w:p>
        </w:tc>
        <w:tc>
          <w:tcPr>
            <w:tcW w:w="227" w:type="pct"/>
            <w:shd w:val="clear" w:color="auto" w:fill="auto"/>
          </w:tcPr>
          <w:p w14:paraId="6F95FC42" w14:textId="77777777" w:rsidR="00696D3E" w:rsidRPr="00030C67" w:rsidRDefault="00696D3E">
            <w:pPr>
              <w:pStyle w:val="TableBody"/>
              <w:spacing w:before="45" w:after="45"/>
              <w:ind w:right="57"/>
              <w:jc w:val="right"/>
              <w:rPr>
                <w:rFonts w:ascii="Arial (Body)" w:hAnsi="Arial (Body)"/>
                <w:color w:val="000000"/>
              </w:rPr>
            </w:pPr>
            <w:r w:rsidRPr="00DA3DF8">
              <w:t>84</w:t>
            </w:r>
          </w:p>
        </w:tc>
        <w:tc>
          <w:tcPr>
            <w:tcW w:w="282" w:type="pct"/>
            <w:shd w:val="clear" w:color="auto" w:fill="auto"/>
          </w:tcPr>
          <w:p w14:paraId="67FB53EE" w14:textId="77777777" w:rsidR="00696D3E" w:rsidRPr="00030C67" w:rsidRDefault="00696D3E">
            <w:pPr>
              <w:pStyle w:val="TableBody"/>
              <w:spacing w:before="45" w:after="45"/>
              <w:ind w:right="57"/>
              <w:jc w:val="right"/>
              <w:rPr>
                <w:rFonts w:ascii="Arial (Body)" w:hAnsi="Arial (Body)"/>
                <w:color w:val="000000"/>
              </w:rPr>
            </w:pPr>
            <w:r w:rsidRPr="00E63CA7">
              <w:t>59</w:t>
            </w:r>
          </w:p>
        </w:tc>
      </w:tr>
      <w:tr w:rsidR="00696D3E" w:rsidRPr="00030C67" w14:paraId="14793341" w14:textId="77777777">
        <w:tc>
          <w:tcPr>
            <w:tcW w:w="405" w:type="pct"/>
            <w:shd w:val="clear" w:color="000000" w:fill="F2F2F2"/>
          </w:tcPr>
          <w:p w14:paraId="4EB765F4" w14:textId="77777777" w:rsidR="00696D3E" w:rsidRPr="00635B50" w:rsidRDefault="00696D3E">
            <w:pPr>
              <w:pStyle w:val="TableHeading"/>
            </w:pPr>
            <w:r>
              <w:t>2011</w:t>
            </w:r>
          </w:p>
        </w:tc>
        <w:tc>
          <w:tcPr>
            <w:tcW w:w="227" w:type="pct"/>
            <w:shd w:val="clear" w:color="000000" w:fill="F2F2F2"/>
          </w:tcPr>
          <w:p w14:paraId="6CCF13D6" w14:textId="77777777" w:rsidR="00696D3E" w:rsidRDefault="00696D3E">
            <w:pPr>
              <w:pStyle w:val="TableBody"/>
              <w:spacing w:before="45" w:after="45"/>
              <w:ind w:right="57"/>
              <w:jc w:val="right"/>
              <w:rPr>
                <w:rFonts w:ascii="Arial (Body)" w:hAnsi="Arial (Body)"/>
                <w:color w:val="000000"/>
              </w:rPr>
            </w:pPr>
            <w:r w:rsidRPr="00DA3DF8">
              <w:t>42</w:t>
            </w:r>
          </w:p>
        </w:tc>
        <w:tc>
          <w:tcPr>
            <w:tcW w:w="227" w:type="pct"/>
            <w:shd w:val="clear" w:color="000000" w:fill="F2F2F2"/>
          </w:tcPr>
          <w:p w14:paraId="5F38DC8C" w14:textId="77777777" w:rsidR="00696D3E" w:rsidRDefault="00696D3E">
            <w:pPr>
              <w:pStyle w:val="TableBody"/>
              <w:spacing w:before="45" w:after="45"/>
              <w:ind w:right="57"/>
              <w:jc w:val="right"/>
              <w:rPr>
                <w:rFonts w:ascii="Arial (Body)" w:hAnsi="Arial (Body)"/>
                <w:color w:val="000000"/>
              </w:rPr>
            </w:pPr>
            <w:r w:rsidRPr="00DA3DF8">
              <w:t>17</w:t>
            </w:r>
          </w:p>
        </w:tc>
        <w:tc>
          <w:tcPr>
            <w:tcW w:w="227" w:type="pct"/>
            <w:shd w:val="clear" w:color="000000" w:fill="F2F2F2"/>
          </w:tcPr>
          <w:p w14:paraId="2371BE9A" w14:textId="77777777" w:rsidR="00696D3E" w:rsidRDefault="00696D3E">
            <w:pPr>
              <w:pStyle w:val="TableBody"/>
              <w:spacing w:before="45" w:after="45"/>
              <w:ind w:right="57"/>
              <w:jc w:val="right"/>
              <w:rPr>
                <w:rFonts w:ascii="Arial (Body)" w:hAnsi="Arial (Body)"/>
                <w:color w:val="000000"/>
              </w:rPr>
            </w:pPr>
            <w:r w:rsidRPr="00DA3DF8">
              <w:t>65</w:t>
            </w:r>
          </w:p>
        </w:tc>
        <w:tc>
          <w:tcPr>
            <w:tcW w:w="227" w:type="pct"/>
            <w:shd w:val="clear" w:color="000000" w:fill="F2F2F2"/>
          </w:tcPr>
          <w:p w14:paraId="5DA9E852" w14:textId="77777777" w:rsidR="00696D3E" w:rsidRDefault="00696D3E">
            <w:pPr>
              <w:pStyle w:val="TableBody"/>
              <w:spacing w:before="45" w:after="45"/>
              <w:ind w:right="57"/>
              <w:jc w:val="right"/>
              <w:rPr>
                <w:rFonts w:ascii="Arial (Body)" w:hAnsi="Arial (Body)"/>
                <w:color w:val="000000"/>
              </w:rPr>
            </w:pPr>
            <w:r w:rsidRPr="00DA3DF8">
              <w:t>36</w:t>
            </w:r>
          </w:p>
        </w:tc>
        <w:tc>
          <w:tcPr>
            <w:tcW w:w="227" w:type="pct"/>
            <w:shd w:val="clear" w:color="000000" w:fill="F2F2F2"/>
          </w:tcPr>
          <w:p w14:paraId="5A426B7A" w14:textId="77777777" w:rsidR="00696D3E" w:rsidRDefault="00696D3E">
            <w:pPr>
              <w:pStyle w:val="TableBody"/>
              <w:spacing w:before="45" w:after="45"/>
              <w:ind w:right="57"/>
              <w:jc w:val="right"/>
              <w:rPr>
                <w:rFonts w:ascii="Arial (Body)" w:hAnsi="Arial (Body)"/>
                <w:color w:val="000000"/>
              </w:rPr>
            </w:pPr>
            <w:r w:rsidRPr="00DA3DF8">
              <w:t>71</w:t>
            </w:r>
          </w:p>
        </w:tc>
        <w:tc>
          <w:tcPr>
            <w:tcW w:w="227" w:type="pct"/>
            <w:shd w:val="clear" w:color="000000" w:fill="F2F2F2"/>
          </w:tcPr>
          <w:p w14:paraId="4122116B" w14:textId="77777777" w:rsidR="00696D3E" w:rsidRDefault="00696D3E">
            <w:pPr>
              <w:pStyle w:val="TableBody"/>
              <w:spacing w:before="45" w:after="45"/>
              <w:ind w:right="57"/>
              <w:jc w:val="right"/>
              <w:rPr>
                <w:rFonts w:ascii="Arial (Body)" w:hAnsi="Arial (Body)"/>
                <w:color w:val="000000"/>
              </w:rPr>
            </w:pPr>
            <w:r w:rsidRPr="00DA3DF8">
              <w:t>70</w:t>
            </w:r>
          </w:p>
        </w:tc>
        <w:tc>
          <w:tcPr>
            <w:tcW w:w="227" w:type="pct"/>
            <w:shd w:val="clear" w:color="000000" w:fill="F2F2F2"/>
          </w:tcPr>
          <w:p w14:paraId="53031780" w14:textId="77777777" w:rsidR="00696D3E" w:rsidRDefault="00696D3E">
            <w:pPr>
              <w:pStyle w:val="TableBody"/>
              <w:spacing w:before="45" w:after="45"/>
              <w:ind w:right="57"/>
              <w:jc w:val="right"/>
              <w:rPr>
                <w:rFonts w:ascii="Arial (Body)" w:hAnsi="Arial (Body)"/>
                <w:color w:val="000000"/>
              </w:rPr>
            </w:pPr>
            <w:r w:rsidRPr="00DA3DF8">
              <w:t>75</w:t>
            </w:r>
          </w:p>
        </w:tc>
        <w:tc>
          <w:tcPr>
            <w:tcW w:w="227" w:type="pct"/>
            <w:shd w:val="clear" w:color="000000" w:fill="F2F2F2"/>
          </w:tcPr>
          <w:p w14:paraId="38A97D57" w14:textId="77777777" w:rsidR="00696D3E" w:rsidRDefault="00696D3E">
            <w:pPr>
              <w:pStyle w:val="TableBody"/>
              <w:spacing w:before="45" w:after="45"/>
              <w:ind w:right="57"/>
              <w:jc w:val="right"/>
              <w:rPr>
                <w:rFonts w:ascii="Arial (Body)" w:hAnsi="Arial (Body)"/>
                <w:color w:val="000000"/>
              </w:rPr>
            </w:pPr>
            <w:r w:rsidRPr="00DA3DF8">
              <w:t>78</w:t>
            </w:r>
          </w:p>
        </w:tc>
        <w:tc>
          <w:tcPr>
            <w:tcW w:w="227" w:type="pct"/>
            <w:shd w:val="clear" w:color="000000" w:fill="F2F2F2"/>
          </w:tcPr>
          <w:p w14:paraId="593A4566" w14:textId="77777777" w:rsidR="00696D3E" w:rsidRDefault="00696D3E">
            <w:pPr>
              <w:pStyle w:val="TableBody"/>
              <w:spacing w:before="45" w:after="45"/>
              <w:ind w:right="57"/>
              <w:jc w:val="right"/>
              <w:rPr>
                <w:rFonts w:ascii="Arial (Body)" w:hAnsi="Arial (Body)"/>
                <w:color w:val="000000"/>
              </w:rPr>
            </w:pPr>
            <w:r w:rsidRPr="00DA3DF8">
              <w:t>61</w:t>
            </w:r>
          </w:p>
        </w:tc>
        <w:tc>
          <w:tcPr>
            <w:tcW w:w="227" w:type="pct"/>
            <w:shd w:val="clear" w:color="000000" w:fill="F2F2F2"/>
          </w:tcPr>
          <w:p w14:paraId="2B854F3E" w14:textId="77777777" w:rsidR="00696D3E" w:rsidRDefault="00696D3E">
            <w:pPr>
              <w:pStyle w:val="TableBody"/>
              <w:spacing w:before="45" w:after="45"/>
              <w:ind w:right="57"/>
              <w:jc w:val="right"/>
              <w:rPr>
                <w:rFonts w:ascii="Arial (Body)" w:hAnsi="Arial (Body)"/>
                <w:color w:val="000000"/>
              </w:rPr>
            </w:pPr>
            <w:r w:rsidRPr="00DA3DF8">
              <w:t>37</w:t>
            </w:r>
          </w:p>
        </w:tc>
        <w:tc>
          <w:tcPr>
            <w:tcW w:w="227" w:type="pct"/>
            <w:shd w:val="clear" w:color="000000" w:fill="F2F2F2"/>
          </w:tcPr>
          <w:p w14:paraId="343DDAA9" w14:textId="77777777" w:rsidR="00696D3E" w:rsidRDefault="00696D3E">
            <w:pPr>
              <w:pStyle w:val="TableBody"/>
              <w:spacing w:before="45" w:after="45"/>
              <w:ind w:right="57"/>
              <w:jc w:val="right"/>
              <w:rPr>
                <w:rFonts w:ascii="Arial (Body)" w:hAnsi="Arial (Body)"/>
                <w:color w:val="000000"/>
              </w:rPr>
            </w:pPr>
            <w:r w:rsidRPr="00DA3DF8">
              <w:t>36</w:t>
            </w:r>
          </w:p>
        </w:tc>
        <w:tc>
          <w:tcPr>
            <w:tcW w:w="227" w:type="pct"/>
            <w:shd w:val="clear" w:color="000000" w:fill="F2F2F2"/>
          </w:tcPr>
          <w:p w14:paraId="43FA56C4" w14:textId="77777777" w:rsidR="00696D3E" w:rsidRDefault="00696D3E">
            <w:pPr>
              <w:pStyle w:val="TableBody"/>
              <w:spacing w:before="45" w:after="45"/>
              <w:ind w:right="57"/>
              <w:jc w:val="right"/>
              <w:rPr>
                <w:rFonts w:ascii="Arial (Body)" w:hAnsi="Arial (Body)"/>
                <w:color w:val="000000"/>
              </w:rPr>
            </w:pPr>
            <w:r w:rsidRPr="00DA3DF8">
              <w:t>49</w:t>
            </w:r>
          </w:p>
        </w:tc>
        <w:tc>
          <w:tcPr>
            <w:tcW w:w="227" w:type="pct"/>
            <w:shd w:val="clear" w:color="000000" w:fill="F2F2F2"/>
          </w:tcPr>
          <w:p w14:paraId="75DF8114" w14:textId="77777777" w:rsidR="00696D3E" w:rsidRDefault="00696D3E">
            <w:pPr>
              <w:pStyle w:val="TableBody"/>
              <w:spacing w:before="45" w:after="45"/>
              <w:ind w:right="57"/>
              <w:jc w:val="right"/>
              <w:rPr>
                <w:rFonts w:ascii="Arial (Body)" w:hAnsi="Arial (Body)"/>
                <w:color w:val="000000"/>
              </w:rPr>
            </w:pPr>
            <w:r w:rsidRPr="00DA3DF8">
              <w:t>87</w:t>
            </w:r>
          </w:p>
        </w:tc>
        <w:tc>
          <w:tcPr>
            <w:tcW w:w="227" w:type="pct"/>
            <w:shd w:val="clear" w:color="000000" w:fill="F2F2F2"/>
          </w:tcPr>
          <w:p w14:paraId="1A67E157" w14:textId="77777777" w:rsidR="00696D3E" w:rsidRDefault="00696D3E">
            <w:pPr>
              <w:pStyle w:val="TableBody"/>
              <w:spacing w:before="45" w:after="45"/>
              <w:ind w:right="57"/>
              <w:jc w:val="right"/>
              <w:rPr>
                <w:rFonts w:ascii="Arial (Body)" w:hAnsi="Arial (Body)"/>
                <w:color w:val="000000"/>
              </w:rPr>
            </w:pPr>
            <w:r w:rsidRPr="00DA3DF8">
              <w:t>100</w:t>
            </w:r>
          </w:p>
        </w:tc>
        <w:tc>
          <w:tcPr>
            <w:tcW w:w="227" w:type="pct"/>
            <w:shd w:val="clear" w:color="000000" w:fill="F2F2F2"/>
          </w:tcPr>
          <w:p w14:paraId="1E3C90DD" w14:textId="77777777" w:rsidR="00696D3E" w:rsidRDefault="00696D3E">
            <w:pPr>
              <w:pStyle w:val="TableBody"/>
              <w:spacing w:before="45" w:after="45"/>
              <w:ind w:right="57"/>
              <w:jc w:val="right"/>
              <w:rPr>
                <w:rFonts w:ascii="Arial (Body)" w:hAnsi="Arial (Body)"/>
                <w:color w:val="000000"/>
              </w:rPr>
            </w:pPr>
            <w:r w:rsidRPr="00DA3DF8">
              <w:t>84</w:t>
            </w:r>
          </w:p>
        </w:tc>
        <w:tc>
          <w:tcPr>
            <w:tcW w:w="227" w:type="pct"/>
            <w:shd w:val="clear" w:color="000000" w:fill="F2F2F2"/>
          </w:tcPr>
          <w:p w14:paraId="148E21FD" w14:textId="77777777" w:rsidR="00696D3E" w:rsidRPr="00030C67" w:rsidRDefault="00696D3E">
            <w:pPr>
              <w:pStyle w:val="TableBody"/>
              <w:spacing w:before="45" w:after="45"/>
              <w:ind w:right="57"/>
              <w:jc w:val="right"/>
              <w:rPr>
                <w:rFonts w:ascii="Arial (Body)" w:hAnsi="Arial (Body)"/>
                <w:color w:val="000000"/>
              </w:rPr>
            </w:pPr>
            <w:r w:rsidRPr="00DA3DF8">
              <w:t>91</w:t>
            </w:r>
          </w:p>
        </w:tc>
        <w:tc>
          <w:tcPr>
            <w:tcW w:w="227" w:type="pct"/>
            <w:shd w:val="clear" w:color="000000" w:fill="F2F2F2"/>
          </w:tcPr>
          <w:p w14:paraId="2BBAA720" w14:textId="77777777" w:rsidR="00696D3E" w:rsidRPr="00030C67" w:rsidRDefault="00696D3E">
            <w:pPr>
              <w:pStyle w:val="TableBody"/>
              <w:spacing w:before="45" w:after="45"/>
              <w:ind w:right="57"/>
              <w:jc w:val="right"/>
              <w:rPr>
                <w:rFonts w:ascii="Arial (Body)" w:hAnsi="Arial (Body)"/>
                <w:color w:val="000000"/>
              </w:rPr>
            </w:pPr>
            <w:r w:rsidRPr="00DA3DF8">
              <w:t>90</w:t>
            </w:r>
          </w:p>
        </w:tc>
        <w:tc>
          <w:tcPr>
            <w:tcW w:w="227" w:type="pct"/>
            <w:shd w:val="clear" w:color="000000" w:fill="F2F2F2"/>
          </w:tcPr>
          <w:p w14:paraId="32AA43A7" w14:textId="77777777" w:rsidR="00696D3E" w:rsidRPr="00030C67" w:rsidRDefault="00696D3E">
            <w:pPr>
              <w:pStyle w:val="TableBody"/>
              <w:spacing w:before="45" w:after="45"/>
              <w:ind w:right="57"/>
              <w:jc w:val="right"/>
              <w:rPr>
                <w:rFonts w:ascii="Arial (Body)" w:hAnsi="Arial (Body)"/>
                <w:color w:val="000000"/>
              </w:rPr>
            </w:pPr>
            <w:r w:rsidRPr="00DA3DF8">
              <w:t>75</w:t>
            </w:r>
          </w:p>
        </w:tc>
        <w:tc>
          <w:tcPr>
            <w:tcW w:w="227" w:type="pct"/>
            <w:shd w:val="clear" w:color="000000" w:fill="F2F2F2"/>
          </w:tcPr>
          <w:p w14:paraId="48F22D04" w14:textId="77777777" w:rsidR="00696D3E" w:rsidRPr="00030C67" w:rsidRDefault="00696D3E">
            <w:pPr>
              <w:pStyle w:val="TableBody"/>
              <w:spacing w:before="45" w:after="45"/>
              <w:ind w:right="57"/>
              <w:jc w:val="right"/>
              <w:rPr>
                <w:rFonts w:ascii="Arial (Body)" w:hAnsi="Arial (Body)"/>
                <w:color w:val="000000"/>
              </w:rPr>
            </w:pPr>
            <w:r w:rsidRPr="00DA3DF8">
              <w:t>90</w:t>
            </w:r>
          </w:p>
        </w:tc>
        <w:tc>
          <w:tcPr>
            <w:tcW w:w="282" w:type="pct"/>
            <w:shd w:val="clear" w:color="000000" w:fill="F2F2F2"/>
          </w:tcPr>
          <w:p w14:paraId="0DB5DA02" w14:textId="77777777" w:rsidR="00696D3E" w:rsidRPr="00030C67" w:rsidRDefault="00696D3E">
            <w:pPr>
              <w:pStyle w:val="TableBody"/>
              <w:spacing w:before="45" w:after="45"/>
              <w:ind w:right="57"/>
              <w:jc w:val="right"/>
              <w:rPr>
                <w:rFonts w:ascii="Arial (Body)" w:hAnsi="Arial (Body)"/>
                <w:color w:val="000000"/>
              </w:rPr>
            </w:pPr>
            <w:r w:rsidRPr="00E63CA7">
              <w:t>59</w:t>
            </w:r>
          </w:p>
        </w:tc>
      </w:tr>
      <w:tr w:rsidR="00696D3E" w:rsidRPr="00030C67" w14:paraId="21F7EA54" w14:textId="77777777">
        <w:tc>
          <w:tcPr>
            <w:tcW w:w="405" w:type="pct"/>
            <w:shd w:val="clear" w:color="auto" w:fill="auto"/>
          </w:tcPr>
          <w:p w14:paraId="08B004C1" w14:textId="77777777" w:rsidR="00696D3E" w:rsidRPr="00635B50" w:rsidRDefault="00696D3E">
            <w:pPr>
              <w:pStyle w:val="TableHeading"/>
            </w:pPr>
            <w:r>
              <w:t>2012</w:t>
            </w:r>
          </w:p>
        </w:tc>
        <w:tc>
          <w:tcPr>
            <w:tcW w:w="227" w:type="pct"/>
            <w:shd w:val="clear" w:color="auto" w:fill="auto"/>
          </w:tcPr>
          <w:p w14:paraId="63B3262B" w14:textId="77777777" w:rsidR="00696D3E" w:rsidRDefault="00696D3E">
            <w:pPr>
              <w:pStyle w:val="TableBody"/>
              <w:spacing w:before="45" w:after="45"/>
              <w:ind w:right="57"/>
              <w:jc w:val="right"/>
              <w:rPr>
                <w:rFonts w:ascii="Arial (Body)" w:hAnsi="Arial (Body)"/>
                <w:color w:val="000000"/>
              </w:rPr>
            </w:pPr>
            <w:r w:rsidRPr="00DA3DF8">
              <w:t>38</w:t>
            </w:r>
          </w:p>
        </w:tc>
        <w:tc>
          <w:tcPr>
            <w:tcW w:w="227" w:type="pct"/>
            <w:shd w:val="clear" w:color="auto" w:fill="auto"/>
          </w:tcPr>
          <w:p w14:paraId="6ACC3974" w14:textId="77777777" w:rsidR="00696D3E" w:rsidRDefault="00696D3E">
            <w:pPr>
              <w:pStyle w:val="TableBody"/>
              <w:spacing w:before="45" w:after="45"/>
              <w:ind w:right="57"/>
              <w:jc w:val="right"/>
              <w:rPr>
                <w:rFonts w:ascii="Arial (Body)" w:hAnsi="Arial (Body)"/>
                <w:color w:val="000000"/>
              </w:rPr>
            </w:pPr>
            <w:r w:rsidRPr="00DA3DF8">
              <w:t>21</w:t>
            </w:r>
          </w:p>
        </w:tc>
        <w:tc>
          <w:tcPr>
            <w:tcW w:w="227" w:type="pct"/>
            <w:shd w:val="clear" w:color="auto" w:fill="auto"/>
          </w:tcPr>
          <w:p w14:paraId="37C4FE51" w14:textId="77777777" w:rsidR="00696D3E" w:rsidRDefault="00696D3E">
            <w:pPr>
              <w:pStyle w:val="TableBody"/>
              <w:spacing w:before="45" w:after="45"/>
              <w:ind w:right="57"/>
              <w:jc w:val="right"/>
              <w:rPr>
                <w:rFonts w:ascii="Arial (Body)" w:hAnsi="Arial (Body)"/>
                <w:color w:val="000000"/>
              </w:rPr>
            </w:pPr>
            <w:r w:rsidRPr="00DA3DF8">
              <w:t>66</w:t>
            </w:r>
          </w:p>
        </w:tc>
        <w:tc>
          <w:tcPr>
            <w:tcW w:w="227" w:type="pct"/>
            <w:shd w:val="clear" w:color="auto" w:fill="auto"/>
          </w:tcPr>
          <w:p w14:paraId="1B5D47EA" w14:textId="77777777" w:rsidR="00696D3E" w:rsidRDefault="00696D3E">
            <w:pPr>
              <w:pStyle w:val="TableBody"/>
              <w:spacing w:before="45" w:after="45"/>
              <w:ind w:right="57"/>
              <w:jc w:val="right"/>
              <w:rPr>
                <w:rFonts w:ascii="Arial (Body)" w:hAnsi="Arial (Body)"/>
                <w:color w:val="000000"/>
              </w:rPr>
            </w:pPr>
            <w:r w:rsidRPr="00DA3DF8">
              <w:t>34</w:t>
            </w:r>
          </w:p>
        </w:tc>
        <w:tc>
          <w:tcPr>
            <w:tcW w:w="227" w:type="pct"/>
            <w:shd w:val="clear" w:color="auto" w:fill="auto"/>
          </w:tcPr>
          <w:p w14:paraId="649C915B" w14:textId="77777777" w:rsidR="00696D3E" w:rsidRDefault="00696D3E">
            <w:pPr>
              <w:pStyle w:val="TableBody"/>
              <w:spacing w:before="45" w:after="45"/>
              <w:ind w:right="57"/>
              <w:jc w:val="right"/>
              <w:rPr>
                <w:rFonts w:ascii="Arial (Body)" w:hAnsi="Arial (Body)"/>
                <w:color w:val="000000"/>
              </w:rPr>
            </w:pPr>
            <w:r w:rsidRPr="00DA3DF8">
              <w:t>69</w:t>
            </w:r>
          </w:p>
        </w:tc>
        <w:tc>
          <w:tcPr>
            <w:tcW w:w="227" w:type="pct"/>
            <w:shd w:val="clear" w:color="auto" w:fill="auto"/>
          </w:tcPr>
          <w:p w14:paraId="6581367C" w14:textId="77777777" w:rsidR="00696D3E" w:rsidRDefault="00696D3E">
            <w:pPr>
              <w:pStyle w:val="TableBody"/>
              <w:spacing w:before="45" w:after="45"/>
              <w:ind w:right="57"/>
              <w:jc w:val="right"/>
              <w:rPr>
                <w:rFonts w:ascii="Arial (Body)" w:hAnsi="Arial (Body)"/>
                <w:color w:val="000000"/>
              </w:rPr>
            </w:pPr>
            <w:r w:rsidRPr="00DA3DF8">
              <w:t>69</w:t>
            </w:r>
          </w:p>
        </w:tc>
        <w:tc>
          <w:tcPr>
            <w:tcW w:w="227" w:type="pct"/>
            <w:shd w:val="clear" w:color="auto" w:fill="auto"/>
          </w:tcPr>
          <w:p w14:paraId="29141880" w14:textId="77777777" w:rsidR="00696D3E" w:rsidRDefault="00696D3E">
            <w:pPr>
              <w:pStyle w:val="TableBody"/>
              <w:spacing w:before="45" w:after="45"/>
              <w:ind w:right="57"/>
              <w:jc w:val="right"/>
              <w:rPr>
                <w:rFonts w:ascii="Arial (Body)" w:hAnsi="Arial (Body)"/>
                <w:color w:val="000000"/>
              </w:rPr>
            </w:pPr>
            <w:r w:rsidRPr="00DA3DF8">
              <w:t>73</w:t>
            </w:r>
          </w:p>
        </w:tc>
        <w:tc>
          <w:tcPr>
            <w:tcW w:w="227" w:type="pct"/>
            <w:shd w:val="clear" w:color="auto" w:fill="auto"/>
          </w:tcPr>
          <w:p w14:paraId="02FCBE18" w14:textId="77777777" w:rsidR="00696D3E" w:rsidRDefault="00696D3E">
            <w:pPr>
              <w:pStyle w:val="TableBody"/>
              <w:spacing w:before="45" w:after="45"/>
              <w:ind w:right="57"/>
              <w:jc w:val="right"/>
              <w:rPr>
                <w:rFonts w:ascii="Arial (Body)" w:hAnsi="Arial (Body)"/>
                <w:color w:val="000000"/>
              </w:rPr>
            </w:pPr>
            <w:r w:rsidRPr="00DA3DF8">
              <w:t>76</w:t>
            </w:r>
          </w:p>
        </w:tc>
        <w:tc>
          <w:tcPr>
            <w:tcW w:w="227" w:type="pct"/>
            <w:shd w:val="clear" w:color="auto" w:fill="auto"/>
          </w:tcPr>
          <w:p w14:paraId="35155F28" w14:textId="77777777" w:rsidR="00696D3E" w:rsidRDefault="00696D3E">
            <w:pPr>
              <w:pStyle w:val="TableBody"/>
              <w:spacing w:before="45" w:after="45"/>
              <w:ind w:right="57"/>
              <w:jc w:val="right"/>
              <w:rPr>
                <w:rFonts w:ascii="Arial (Body)" w:hAnsi="Arial (Body)"/>
                <w:color w:val="000000"/>
              </w:rPr>
            </w:pPr>
            <w:r w:rsidRPr="00DA3DF8">
              <w:t>62</w:t>
            </w:r>
          </w:p>
        </w:tc>
        <w:tc>
          <w:tcPr>
            <w:tcW w:w="227" w:type="pct"/>
            <w:shd w:val="clear" w:color="auto" w:fill="auto"/>
          </w:tcPr>
          <w:p w14:paraId="0FF06378" w14:textId="77777777" w:rsidR="00696D3E" w:rsidRDefault="00696D3E">
            <w:pPr>
              <w:pStyle w:val="TableBody"/>
              <w:spacing w:before="45" w:after="45"/>
              <w:ind w:right="57"/>
              <w:jc w:val="right"/>
              <w:rPr>
                <w:rFonts w:ascii="Arial (Body)" w:hAnsi="Arial (Body)"/>
                <w:color w:val="000000"/>
              </w:rPr>
            </w:pPr>
            <w:r w:rsidRPr="00DA3DF8">
              <w:t>39</w:t>
            </w:r>
          </w:p>
        </w:tc>
        <w:tc>
          <w:tcPr>
            <w:tcW w:w="227" w:type="pct"/>
            <w:shd w:val="clear" w:color="auto" w:fill="auto"/>
          </w:tcPr>
          <w:p w14:paraId="1424A639" w14:textId="77777777" w:rsidR="00696D3E" w:rsidRDefault="00696D3E">
            <w:pPr>
              <w:pStyle w:val="TableBody"/>
              <w:spacing w:before="45" w:after="45"/>
              <w:ind w:right="57"/>
              <w:jc w:val="right"/>
              <w:rPr>
                <w:rFonts w:ascii="Arial (Body)" w:hAnsi="Arial (Body)"/>
                <w:color w:val="000000"/>
              </w:rPr>
            </w:pPr>
            <w:r w:rsidRPr="00DA3DF8">
              <w:t>35</w:t>
            </w:r>
          </w:p>
        </w:tc>
        <w:tc>
          <w:tcPr>
            <w:tcW w:w="227" w:type="pct"/>
            <w:shd w:val="clear" w:color="auto" w:fill="auto"/>
          </w:tcPr>
          <w:p w14:paraId="5D0991F3" w14:textId="77777777" w:rsidR="00696D3E" w:rsidRDefault="00696D3E">
            <w:pPr>
              <w:pStyle w:val="TableBody"/>
              <w:spacing w:before="45" w:after="45"/>
              <w:ind w:right="57"/>
              <w:jc w:val="right"/>
              <w:rPr>
                <w:rFonts w:ascii="Arial (Body)" w:hAnsi="Arial (Body)"/>
                <w:color w:val="000000"/>
              </w:rPr>
            </w:pPr>
            <w:r w:rsidRPr="00DA3DF8">
              <w:t>42</w:t>
            </w:r>
          </w:p>
        </w:tc>
        <w:tc>
          <w:tcPr>
            <w:tcW w:w="227" w:type="pct"/>
            <w:shd w:val="clear" w:color="auto" w:fill="auto"/>
          </w:tcPr>
          <w:p w14:paraId="53310ECA" w14:textId="77777777" w:rsidR="00696D3E" w:rsidRDefault="00696D3E">
            <w:pPr>
              <w:pStyle w:val="TableBody"/>
              <w:spacing w:before="45" w:after="45"/>
              <w:ind w:right="57"/>
              <w:jc w:val="right"/>
              <w:rPr>
                <w:rFonts w:ascii="Arial (Body)" w:hAnsi="Arial (Body)"/>
                <w:color w:val="000000"/>
              </w:rPr>
            </w:pPr>
            <w:r w:rsidRPr="00DA3DF8">
              <w:t>86</w:t>
            </w:r>
          </w:p>
        </w:tc>
        <w:tc>
          <w:tcPr>
            <w:tcW w:w="227" w:type="pct"/>
            <w:shd w:val="clear" w:color="auto" w:fill="auto"/>
          </w:tcPr>
          <w:p w14:paraId="1C112A5C" w14:textId="77777777" w:rsidR="00696D3E" w:rsidRDefault="00696D3E">
            <w:pPr>
              <w:pStyle w:val="TableBody"/>
              <w:spacing w:before="45" w:after="45"/>
              <w:ind w:right="57"/>
              <w:jc w:val="right"/>
              <w:rPr>
                <w:rFonts w:ascii="Arial (Body)" w:hAnsi="Arial (Body)"/>
                <w:color w:val="000000"/>
              </w:rPr>
            </w:pPr>
            <w:r w:rsidRPr="00DA3DF8">
              <w:t>103</w:t>
            </w:r>
          </w:p>
        </w:tc>
        <w:tc>
          <w:tcPr>
            <w:tcW w:w="227" w:type="pct"/>
            <w:shd w:val="clear" w:color="auto" w:fill="auto"/>
          </w:tcPr>
          <w:p w14:paraId="5992D021" w14:textId="77777777" w:rsidR="00696D3E" w:rsidRDefault="00696D3E">
            <w:pPr>
              <w:pStyle w:val="TableBody"/>
              <w:spacing w:before="45" w:after="45"/>
              <w:ind w:right="57"/>
              <w:jc w:val="right"/>
              <w:rPr>
                <w:rFonts w:ascii="Arial (Body)" w:hAnsi="Arial (Body)"/>
                <w:color w:val="000000"/>
              </w:rPr>
            </w:pPr>
            <w:r w:rsidRPr="00DA3DF8">
              <w:t>84</w:t>
            </w:r>
          </w:p>
        </w:tc>
        <w:tc>
          <w:tcPr>
            <w:tcW w:w="227" w:type="pct"/>
            <w:shd w:val="clear" w:color="auto" w:fill="auto"/>
          </w:tcPr>
          <w:p w14:paraId="7047717B" w14:textId="77777777" w:rsidR="00696D3E" w:rsidRPr="00030C67" w:rsidRDefault="00696D3E">
            <w:pPr>
              <w:pStyle w:val="TableBody"/>
              <w:spacing w:before="45" w:after="45"/>
              <w:ind w:right="57"/>
              <w:jc w:val="right"/>
              <w:rPr>
                <w:rFonts w:ascii="Arial (Body)" w:hAnsi="Arial (Body)"/>
                <w:color w:val="000000"/>
              </w:rPr>
            </w:pPr>
            <w:r w:rsidRPr="00DA3DF8">
              <w:t>90</w:t>
            </w:r>
          </w:p>
        </w:tc>
        <w:tc>
          <w:tcPr>
            <w:tcW w:w="227" w:type="pct"/>
            <w:shd w:val="clear" w:color="auto" w:fill="auto"/>
          </w:tcPr>
          <w:p w14:paraId="7FD9604F" w14:textId="77777777" w:rsidR="00696D3E" w:rsidRPr="00030C67" w:rsidRDefault="00696D3E">
            <w:pPr>
              <w:pStyle w:val="TableBody"/>
              <w:spacing w:before="45" w:after="45"/>
              <w:ind w:right="57"/>
              <w:jc w:val="right"/>
              <w:rPr>
                <w:rFonts w:ascii="Arial (Body)" w:hAnsi="Arial (Body)"/>
                <w:color w:val="000000"/>
              </w:rPr>
            </w:pPr>
            <w:r w:rsidRPr="00DA3DF8">
              <w:t>89</w:t>
            </w:r>
          </w:p>
        </w:tc>
        <w:tc>
          <w:tcPr>
            <w:tcW w:w="227" w:type="pct"/>
            <w:shd w:val="clear" w:color="auto" w:fill="auto"/>
          </w:tcPr>
          <w:p w14:paraId="5150B4CE" w14:textId="77777777" w:rsidR="00696D3E" w:rsidRPr="00030C67" w:rsidRDefault="00696D3E">
            <w:pPr>
              <w:pStyle w:val="TableBody"/>
              <w:spacing w:before="45" w:after="45"/>
              <w:ind w:right="57"/>
              <w:jc w:val="right"/>
              <w:rPr>
                <w:rFonts w:ascii="Arial (Body)" w:hAnsi="Arial (Body)"/>
                <w:color w:val="000000"/>
              </w:rPr>
            </w:pPr>
            <w:r w:rsidRPr="00DA3DF8">
              <w:t>67</w:t>
            </w:r>
          </w:p>
        </w:tc>
        <w:tc>
          <w:tcPr>
            <w:tcW w:w="227" w:type="pct"/>
            <w:shd w:val="clear" w:color="auto" w:fill="auto"/>
          </w:tcPr>
          <w:p w14:paraId="2035114A" w14:textId="77777777" w:rsidR="00696D3E" w:rsidRPr="00030C67" w:rsidRDefault="00696D3E">
            <w:pPr>
              <w:pStyle w:val="TableBody"/>
              <w:spacing w:before="45" w:after="45"/>
              <w:ind w:right="57"/>
              <w:jc w:val="right"/>
              <w:rPr>
                <w:rFonts w:ascii="Arial (Body)" w:hAnsi="Arial (Body)"/>
                <w:color w:val="000000"/>
              </w:rPr>
            </w:pPr>
            <w:r w:rsidRPr="00DA3DF8">
              <w:t>87</w:t>
            </w:r>
          </w:p>
        </w:tc>
        <w:tc>
          <w:tcPr>
            <w:tcW w:w="282" w:type="pct"/>
            <w:shd w:val="clear" w:color="auto" w:fill="auto"/>
          </w:tcPr>
          <w:p w14:paraId="2EE4FE2E" w14:textId="77777777" w:rsidR="00696D3E" w:rsidRPr="00030C67" w:rsidRDefault="00696D3E">
            <w:pPr>
              <w:pStyle w:val="TableBody"/>
              <w:spacing w:before="45" w:after="45"/>
              <w:ind w:right="57"/>
              <w:jc w:val="right"/>
              <w:rPr>
                <w:rFonts w:ascii="Arial (Body)" w:hAnsi="Arial (Body)"/>
                <w:color w:val="000000"/>
              </w:rPr>
            </w:pPr>
            <w:r w:rsidRPr="00E63CA7">
              <w:t>58</w:t>
            </w:r>
          </w:p>
        </w:tc>
      </w:tr>
      <w:tr w:rsidR="00696D3E" w:rsidRPr="00030C67" w14:paraId="4386BFFD" w14:textId="77777777">
        <w:tc>
          <w:tcPr>
            <w:tcW w:w="405" w:type="pct"/>
            <w:shd w:val="clear" w:color="000000" w:fill="F2F2F2"/>
          </w:tcPr>
          <w:p w14:paraId="3EE55429" w14:textId="77777777" w:rsidR="00696D3E" w:rsidRPr="00635B50" w:rsidRDefault="00696D3E">
            <w:pPr>
              <w:pStyle w:val="TableHeading"/>
            </w:pPr>
            <w:r>
              <w:t>2013</w:t>
            </w:r>
          </w:p>
        </w:tc>
        <w:tc>
          <w:tcPr>
            <w:tcW w:w="227" w:type="pct"/>
            <w:shd w:val="clear" w:color="000000" w:fill="F2F2F2"/>
          </w:tcPr>
          <w:p w14:paraId="7EDA72D8" w14:textId="77777777" w:rsidR="00696D3E" w:rsidRDefault="00696D3E">
            <w:pPr>
              <w:pStyle w:val="TableBody"/>
              <w:spacing w:before="45" w:after="45"/>
              <w:ind w:right="57"/>
              <w:jc w:val="right"/>
              <w:rPr>
                <w:rFonts w:ascii="Arial (Body)" w:hAnsi="Arial (Body)"/>
                <w:color w:val="000000"/>
              </w:rPr>
            </w:pPr>
            <w:r w:rsidRPr="00DA3DF8">
              <w:t>38</w:t>
            </w:r>
          </w:p>
        </w:tc>
        <w:tc>
          <w:tcPr>
            <w:tcW w:w="227" w:type="pct"/>
            <w:shd w:val="clear" w:color="000000" w:fill="F2F2F2"/>
          </w:tcPr>
          <w:p w14:paraId="1D74D363" w14:textId="77777777" w:rsidR="00696D3E" w:rsidRDefault="00696D3E">
            <w:pPr>
              <w:pStyle w:val="TableBody"/>
              <w:spacing w:before="45" w:after="45"/>
              <w:ind w:right="57"/>
              <w:jc w:val="right"/>
              <w:rPr>
                <w:rFonts w:ascii="Arial (Body)" w:hAnsi="Arial (Body)"/>
                <w:color w:val="000000"/>
              </w:rPr>
            </w:pPr>
            <w:r w:rsidRPr="00DA3DF8">
              <w:t>26</w:t>
            </w:r>
          </w:p>
        </w:tc>
        <w:tc>
          <w:tcPr>
            <w:tcW w:w="227" w:type="pct"/>
            <w:shd w:val="clear" w:color="000000" w:fill="F2F2F2"/>
          </w:tcPr>
          <w:p w14:paraId="25DE4DD0" w14:textId="77777777" w:rsidR="00696D3E" w:rsidRDefault="00696D3E">
            <w:pPr>
              <w:pStyle w:val="TableBody"/>
              <w:spacing w:before="45" w:after="45"/>
              <w:ind w:right="57"/>
              <w:jc w:val="right"/>
              <w:rPr>
                <w:rFonts w:ascii="Arial (Body)" w:hAnsi="Arial (Body)"/>
                <w:color w:val="000000"/>
              </w:rPr>
            </w:pPr>
            <w:r w:rsidRPr="00DA3DF8">
              <w:t>67</w:t>
            </w:r>
          </w:p>
        </w:tc>
        <w:tc>
          <w:tcPr>
            <w:tcW w:w="227" w:type="pct"/>
            <w:shd w:val="clear" w:color="000000" w:fill="F2F2F2"/>
          </w:tcPr>
          <w:p w14:paraId="5C5BFE07" w14:textId="77777777" w:rsidR="00696D3E" w:rsidRDefault="00696D3E">
            <w:pPr>
              <w:pStyle w:val="TableBody"/>
              <w:spacing w:before="45" w:after="45"/>
              <w:ind w:right="57"/>
              <w:jc w:val="right"/>
              <w:rPr>
                <w:rFonts w:ascii="Arial (Body)" w:hAnsi="Arial (Body)"/>
                <w:color w:val="000000"/>
              </w:rPr>
            </w:pPr>
            <w:r w:rsidRPr="00DA3DF8">
              <w:t>34</w:t>
            </w:r>
          </w:p>
        </w:tc>
        <w:tc>
          <w:tcPr>
            <w:tcW w:w="227" w:type="pct"/>
            <w:shd w:val="clear" w:color="000000" w:fill="F2F2F2"/>
          </w:tcPr>
          <w:p w14:paraId="502D27BC" w14:textId="77777777" w:rsidR="00696D3E" w:rsidRDefault="00696D3E">
            <w:pPr>
              <w:pStyle w:val="TableBody"/>
              <w:spacing w:before="45" w:after="45"/>
              <w:ind w:right="57"/>
              <w:jc w:val="right"/>
              <w:rPr>
                <w:rFonts w:ascii="Arial (Body)" w:hAnsi="Arial (Body)"/>
                <w:color w:val="000000"/>
              </w:rPr>
            </w:pPr>
            <w:r w:rsidRPr="00DA3DF8">
              <w:t>69</w:t>
            </w:r>
          </w:p>
        </w:tc>
        <w:tc>
          <w:tcPr>
            <w:tcW w:w="227" w:type="pct"/>
            <w:shd w:val="clear" w:color="000000" w:fill="F2F2F2"/>
          </w:tcPr>
          <w:p w14:paraId="6F5A454A" w14:textId="77777777" w:rsidR="00696D3E" w:rsidRDefault="00696D3E">
            <w:pPr>
              <w:pStyle w:val="TableBody"/>
              <w:spacing w:before="45" w:after="45"/>
              <w:ind w:right="57"/>
              <w:jc w:val="right"/>
              <w:rPr>
                <w:rFonts w:ascii="Arial (Body)" w:hAnsi="Arial (Body)"/>
                <w:color w:val="000000"/>
              </w:rPr>
            </w:pPr>
            <w:r w:rsidRPr="00DA3DF8">
              <w:t>68</w:t>
            </w:r>
          </w:p>
        </w:tc>
        <w:tc>
          <w:tcPr>
            <w:tcW w:w="227" w:type="pct"/>
            <w:shd w:val="clear" w:color="000000" w:fill="F2F2F2"/>
          </w:tcPr>
          <w:p w14:paraId="75211A98" w14:textId="77777777" w:rsidR="00696D3E" w:rsidRDefault="00696D3E">
            <w:pPr>
              <w:pStyle w:val="TableBody"/>
              <w:spacing w:before="45" w:after="45"/>
              <w:ind w:right="57"/>
              <w:jc w:val="right"/>
              <w:rPr>
                <w:rFonts w:ascii="Arial (Body)" w:hAnsi="Arial (Body)"/>
                <w:color w:val="000000"/>
              </w:rPr>
            </w:pPr>
            <w:r w:rsidRPr="00DA3DF8">
              <w:t>72</w:t>
            </w:r>
          </w:p>
        </w:tc>
        <w:tc>
          <w:tcPr>
            <w:tcW w:w="227" w:type="pct"/>
            <w:shd w:val="clear" w:color="000000" w:fill="F2F2F2"/>
          </w:tcPr>
          <w:p w14:paraId="12063D05" w14:textId="77777777" w:rsidR="00696D3E" w:rsidRDefault="00696D3E">
            <w:pPr>
              <w:pStyle w:val="TableBody"/>
              <w:spacing w:before="45" w:after="45"/>
              <w:ind w:right="57"/>
              <w:jc w:val="right"/>
              <w:rPr>
                <w:rFonts w:ascii="Arial (Body)" w:hAnsi="Arial (Body)"/>
                <w:color w:val="000000"/>
              </w:rPr>
            </w:pPr>
            <w:r w:rsidRPr="00DA3DF8">
              <w:t>76</w:t>
            </w:r>
          </w:p>
        </w:tc>
        <w:tc>
          <w:tcPr>
            <w:tcW w:w="227" w:type="pct"/>
            <w:shd w:val="clear" w:color="000000" w:fill="F2F2F2"/>
          </w:tcPr>
          <w:p w14:paraId="145FAFC7" w14:textId="77777777" w:rsidR="00696D3E" w:rsidRDefault="00696D3E">
            <w:pPr>
              <w:pStyle w:val="TableBody"/>
              <w:spacing w:before="45" w:after="45"/>
              <w:ind w:right="57"/>
              <w:jc w:val="right"/>
              <w:rPr>
                <w:rFonts w:ascii="Arial (Body)" w:hAnsi="Arial (Body)"/>
                <w:color w:val="000000"/>
              </w:rPr>
            </w:pPr>
            <w:r w:rsidRPr="00DA3DF8">
              <w:t>59</w:t>
            </w:r>
          </w:p>
        </w:tc>
        <w:tc>
          <w:tcPr>
            <w:tcW w:w="227" w:type="pct"/>
            <w:shd w:val="clear" w:color="000000" w:fill="F2F2F2"/>
          </w:tcPr>
          <w:p w14:paraId="35E7194B" w14:textId="77777777" w:rsidR="00696D3E" w:rsidRDefault="00696D3E">
            <w:pPr>
              <w:pStyle w:val="TableBody"/>
              <w:spacing w:before="45" w:after="45"/>
              <w:ind w:right="57"/>
              <w:jc w:val="right"/>
              <w:rPr>
                <w:rFonts w:ascii="Arial (Body)" w:hAnsi="Arial (Body)"/>
                <w:color w:val="000000"/>
              </w:rPr>
            </w:pPr>
            <w:r w:rsidRPr="00DA3DF8">
              <w:t>39</w:t>
            </w:r>
          </w:p>
        </w:tc>
        <w:tc>
          <w:tcPr>
            <w:tcW w:w="227" w:type="pct"/>
            <w:shd w:val="clear" w:color="000000" w:fill="F2F2F2"/>
          </w:tcPr>
          <w:p w14:paraId="7DC22E54" w14:textId="77777777" w:rsidR="00696D3E" w:rsidRDefault="00696D3E">
            <w:pPr>
              <w:pStyle w:val="TableBody"/>
              <w:spacing w:before="45" w:after="45"/>
              <w:ind w:right="57"/>
              <w:jc w:val="right"/>
              <w:rPr>
                <w:rFonts w:ascii="Arial (Body)" w:hAnsi="Arial (Body)"/>
                <w:color w:val="000000"/>
              </w:rPr>
            </w:pPr>
            <w:r w:rsidRPr="00DA3DF8">
              <w:t>34</w:t>
            </w:r>
          </w:p>
        </w:tc>
        <w:tc>
          <w:tcPr>
            <w:tcW w:w="227" w:type="pct"/>
            <w:shd w:val="clear" w:color="000000" w:fill="F2F2F2"/>
          </w:tcPr>
          <w:p w14:paraId="1D7855C9" w14:textId="77777777" w:rsidR="00696D3E" w:rsidRDefault="00696D3E">
            <w:pPr>
              <w:pStyle w:val="TableBody"/>
              <w:spacing w:before="45" w:after="45"/>
              <w:ind w:right="57"/>
              <w:jc w:val="right"/>
              <w:rPr>
                <w:rFonts w:ascii="Arial (Body)" w:hAnsi="Arial (Body)"/>
                <w:color w:val="000000"/>
              </w:rPr>
            </w:pPr>
            <w:r w:rsidRPr="00DA3DF8">
              <w:t>44</w:t>
            </w:r>
          </w:p>
        </w:tc>
        <w:tc>
          <w:tcPr>
            <w:tcW w:w="227" w:type="pct"/>
            <w:shd w:val="clear" w:color="000000" w:fill="F2F2F2"/>
          </w:tcPr>
          <w:p w14:paraId="2C7FD0DE" w14:textId="77777777" w:rsidR="00696D3E" w:rsidRDefault="00696D3E">
            <w:pPr>
              <w:pStyle w:val="TableBody"/>
              <w:spacing w:before="45" w:after="45"/>
              <w:ind w:right="57"/>
              <w:jc w:val="right"/>
              <w:rPr>
                <w:rFonts w:ascii="Arial (Body)" w:hAnsi="Arial (Body)"/>
                <w:color w:val="000000"/>
              </w:rPr>
            </w:pPr>
            <w:r w:rsidRPr="00DA3DF8">
              <w:t>83</w:t>
            </w:r>
          </w:p>
        </w:tc>
        <w:tc>
          <w:tcPr>
            <w:tcW w:w="227" w:type="pct"/>
            <w:shd w:val="clear" w:color="000000" w:fill="F2F2F2"/>
          </w:tcPr>
          <w:p w14:paraId="3E7CAE1D" w14:textId="77777777" w:rsidR="00696D3E" w:rsidRDefault="00696D3E">
            <w:pPr>
              <w:pStyle w:val="TableBody"/>
              <w:spacing w:before="45" w:after="45"/>
              <w:ind w:right="57"/>
              <w:jc w:val="right"/>
              <w:rPr>
                <w:rFonts w:ascii="Arial (Body)" w:hAnsi="Arial (Body)"/>
                <w:color w:val="000000"/>
              </w:rPr>
            </w:pPr>
            <w:r w:rsidRPr="00DA3DF8">
              <w:t>106</w:t>
            </w:r>
          </w:p>
        </w:tc>
        <w:tc>
          <w:tcPr>
            <w:tcW w:w="227" w:type="pct"/>
            <w:shd w:val="clear" w:color="000000" w:fill="F2F2F2"/>
          </w:tcPr>
          <w:p w14:paraId="503063BA" w14:textId="77777777" w:rsidR="00696D3E" w:rsidRDefault="00696D3E">
            <w:pPr>
              <w:pStyle w:val="TableBody"/>
              <w:spacing w:before="45" w:after="45"/>
              <w:ind w:right="57"/>
              <w:jc w:val="right"/>
              <w:rPr>
                <w:rFonts w:ascii="Arial (Body)" w:hAnsi="Arial (Body)"/>
                <w:color w:val="000000"/>
              </w:rPr>
            </w:pPr>
            <w:r w:rsidRPr="00DA3DF8">
              <w:t>84</w:t>
            </w:r>
          </w:p>
        </w:tc>
        <w:tc>
          <w:tcPr>
            <w:tcW w:w="227" w:type="pct"/>
            <w:shd w:val="clear" w:color="000000" w:fill="F2F2F2"/>
          </w:tcPr>
          <w:p w14:paraId="6B6EC490" w14:textId="77777777" w:rsidR="00696D3E" w:rsidRPr="00030C67" w:rsidRDefault="00696D3E">
            <w:pPr>
              <w:pStyle w:val="TableBody"/>
              <w:spacing w:before="45" w:after="45"/>
              <w:ind w:right="57"/>
              <w:jc w:val="right"/>
              <w:rPr>
                <w:rFonts w:ascii="Arial (Body)" w:hAnsi="Arial (Body)"/>
                <w:color w:val="000000"/>
              </w:rPr>
            </w:pPr>
            <w:r w:rsidRPr="00DA3DF8">
              <w:t>92</w:t>
            </w:r>
          </w:p>
        </w:tc>
        <w:tc>
          <w:tcPr>
            <w:tcW w:w="227" w:type="pct"/>
            <w:shd w:val="clear" w:color="000000" w:fill="F2F2F2"/>
          </w:tcPr>
          <w:p w14:paraId="1377BB08" w14:textId="77777777" w:rsidR="00696D3E" w:rsidRPr="00030C67" w:rsidRDefault="00696D3E">
            <w:pPr>
              <w:pStyle w:val="TableBody"/>
              <w:spacing w:before="45" w:after="45"/>
              <w:ind w:right="57"/>
              <w:jc w:val="right"/>
              <w:rPr>
                <w:rFonts w:ascii="Arial (Body)" w:hAnsi="Arial (Body)"/>
                <w:color w:val="000000"/>
              </w:rPr>
            </w:pPr>
            <w:r w:rsidRPr="00DA3DF8">
              <w:t>89</w:t>
            </w:r>
          </w:p>
        </w:tc>
        <w:tc>
          <w:tcPr>
            <w:tcW w:w="227" w:type="pct"/>
            <w:shd w:val="clear" w:color="000000" w:fill="F2F2F2"/>
          </w:tcPr>
          <w:p w14:paraId="734ED8FA" w14:textId="77777777" w:rsidR="00696D3E" w:rsidRPr="00030C67" w:rsidRDefault="00696D3E">
            <w:pPr>
              <w:pStyle w:val="TableBody"/>
              <w:spacing w:before="45" w:after="45"/>
              <w:ind w:right="57"/>
              <w:jc w:val="right"/>
              <w:rPr>
                <w:rFonts w:ascii="Arial (Body)" w:hAnsi="Arial (Body)"/>
                <w:color w:val="000000"/>
              </w:rPr>
            </w:pPr>
            <w:r w:rsidRPr="00DA3DF8">
              <w:t>68</w:t>
            </w:r>
          </w:p>
        </w:tc>
        <w:tc>
          <w:tcPr>
            <w:tcW w:w="227" w:type="pct"/>
            <w:shd w:val="clear" w:color="000000" w:fill="F2F2F2"/>
          </w:tcPr>
          <w:p w14:paraId="32E6DC11" w14:textId="77777777" w:rsidR="00696D3E" w:rsidRPr="00030C67" w:rsidRDefault="00696D3E">
            <w:pPr>
              <w:pStyle w:val="TableBody"/>
              <w:spacing w:before="45" w:after="45"/>
              <w:ind w:right="57"/>
              <w:jc w:val="right"/>
              <w:rPr>
                <w:rFonts w:ascii="Arial (Body)" w:hAnsi="Arial (Body)"/>
                <w:color w:val="000000"/>
              </w:rPr>
            </w:pPr>
            <w:r w:rsidRPr="00DA3DF8">
              <w:t>89</w:t>
            </w:r>
          </w:p>
        </w:tc>
        <w:tc>
          <w:tcPr>
            <w:tcW w:w="282" w:type="pct"/>
            <w:shd w:val="clear" w:color="000000" w:fill="F2F2F2"/>
          </w:tcPr>
          <w:p w14:paraId="5D954BB8" w14:textId="77777777" w:rsidR="00696D3E" w:rsidRPr="00030C67" w:rsidRDefault="00696D3E">
            <w:pPr>
              <w:pStyle w:val="TableBody"/>
              <w:spacing w:before="45" w:after="45"/>
              <w:ind w:right="57"/>
              <w:jc w:val="right"/>
              <w:rPr>
                <w:rFonts w:ascii="Arial (Body)" w:hAnsi="Arial (Body)"/>
                <w:color w:val="000000"/>
              </w:rPr>
            </w:pPr>
            <w:r w:rsidRPr="00E63CA7">
              <w:t>59</w:t>
            </w:r>
          </w:p>
        </w:tc>
      </w:tr>
      <w:tr w:rsidR="00696D3E" w:rsidRPr="00030C67" w14:paraId="6E8133D7" w14:textId="77777777">
        <w:tc>
          <w:tcPr>
            <w:tcW w:w="405" w:type="pct"/>
            <w:shd w:val="clear" w:color="auto" w:fill="auto"/>
          </w:tcPr>
          <w:p w14:paraId="23802733" w14:textId="77777777" w:rsidR="00696D3E" w:rsidRDefault="00696D3E">
            <w:pPr>
              <w:pStyle w:val="TableHeading"/>
            </w:pPr>
            <w:r>
              <w:t>2014</w:t>
            </w:r>
          </w:p>
        </w:tc>
        <w:tc>
          <w:tcPr>
            <w:tcW w:w="227" w:type="pct"/>
            <w:shd w:val="clear" w:color="auto" w:fill="auto"/>
          </w:tcPr>
          <w:p w14:paraId="066CA4A6" w14:textId="77777777" w:rsidR="00696D3E" w:rsidRDefault="00696D3E">
            <w:pPr>
              <w:pStyle w:val="TableBody"/>
              <w:spacing w:before="45" w:after="45"/>
              <w:ind w:right="57"/>
              <w:jc w:val="right"/>
              <w:rPr>
                <w:rFonts w:ascii="Arial (Body)" w:hAnsi="Arial (Body)"/>
                <w:color w:val="000000"/>
              </w:rPr>
            </w:pPr>
            <w:r w:rsidRPr="00DA3DF8">
              <w:t>39</w:t>
            </w:r>
          </w:p>
        </w:tc>
        <w:tc>
          <w:tcPr>
            <w:tcW w:w="227" w:type="pct"/>
            <w:shd w:val="clear" w:color="auto" w:fill="auto"/>
          </w:tcPr>
          <w:p w14:paraId="10F534F9" w14:textId="77777777" w:rsidR="00696D3E" w:rsidRDefault="00696D3E">
            <w:pPr>
              <w:pStyle w:val="TableBody"/>
              <w:spacing w:before="45" w:after="45"/>
              <w:ind w:right="57"/>
              <w:jc w:val="right"/>
              <w:rPr>
                <w:rFonts w:ascii="Arial (Body)" w:hAnsi="Arial (Body)"/>
                <w:color w:val="000000"/>
              </w:rPr>
            </w:pPr>
            <w:r w:rsidRPr="00DA3DF8">
              <w:t>23</w:t>
            </w:r>
          </w:p>
        </w:tc>
        <w:tc>
          <w:tcPr>
            <w:tcW w:w="227" w:type="pct"/>
            <w:shd w:val="clear" w:color="auto" w:fill="auto"/>
          </w:tcPr>
          <w:p w14:paraId="29FDDE92" w14:textId="77777777" w:rsidR="00696D3E" w:rsidRDefault="00696D3E">
            <w:pPr>
              <w:pStyle w:val="TableBody"/>
              <w:spacing w:before="45" w:after="45"/>
              <w:ind w:right="57"/>
              <w:jc w:val="right"/>
              <w:rPr>
                <w:rFonts w:ascii="Arial (Body)" w:hAnsi="Arial (Body)"/>
                <w:color w:val="000000"/>
              </w:rPr>
            </w:pPr>
            <w:r w:rsidRPr="00DA3DF8">
              <w:t>67</w:t>
            </w:r>
          </w:p>
        </w:tc>
        <w:tc>
          <w:tcPr>
            <w:tcW w:w="227" w:type="pct"/>
            <w:shd w:val="clear" w:color="auto" w:fill="auto"/>
          </w:tcPr>
          <w:p w14:paraId="0B503DAA" w14:textId="77777777" w:rsidR="00696D3E" w:rsidRDefault="00696D3E">
            <w:pPr>
              <w:pStyle w:val="TableBody"/>
              <w:spacing w:before="45" w:after="45"/>
              <w:ind w:right="57"/>
              <w:jc w:val="right"/>
              <w:rPr>
                <w:rFonts w:ascii="Arial (Body)" w:hAnsi="Arial (Body)"/>
                <w:color w:val="000000"/>
              </w:rPr>
            </w:pPr>
            <w:r w:rsidRPr="00DA3DF8">
              <w:t>35</w:t>
            </w:r>
          </w:p>
        </w:tc>
        <w:tc>
          <w:tcPr>
            <w:tcW w:w="227" w:type="pct"/>
            <w:shd w:val="clear" w:color="auto" w:fill="auto"/>
          </w:tcPr>
          <w:p w14:paraId="205A6632" w14:textId="77777777" w:rsidR="00696D3E" w:rsidRDefault="00696D3E">
            <w:pPr>
              <w:pStyle w:val="TableBody"/>
              <w:spacing w:before="45" w:after="45"/>
              <w:ind w:right="57"/>
              <w:jc w:val="right"/>
              <w:rPr>
                <w:rFonts w:ascii="Arial (Body)" w:hAnsi="Arial (Body)"/>
                <w:color w:val="000000"/>
              </w:rPr>
            </w:pPr>
            <w:r w:rsidRPr="00DA3DF8">
              <w:t>68</w:t>
            </w:r>
          </w:p>
        </w:tc>
        <w:tc>
          <w:tcPr>
            <w:tcW w:w="227" w:type="pct"/>
            <w:shd w:val="clear" w:color="auto" w:fill="auto"/>
          </w:tcPr>
          <w:p w14:paraId="470F51EC" w14:textId="77777777" w:rsidR="00696D3E" w:rsidRDefault="00696D3E">
            <w:pPr>
              <w:pStyle w:val="TableBody"/>
              <w:spacing w:before="45" w:after="45"/>
              <w:ind w:right="57"/>
              <w:jc w:val="right"/>
              <w:rPr>
                <w:rFonts w:ascii="Arial (Body)" w:hAnsi="Arial (Body)"/>
                <w:color w:val="000000"/>
              </w:rPr>
            </w:pPr>
            <w:r w:rsidRPr="00DA3DF8">
              <w:t>68</w:t>
            </w:r>
          </w:p>
        </w:tc>
        <w:tc>
          <w:tcPr>
            <w:tcW w:w="227" w:type="pct"/>
            <w:shd w:val="clear" w:color="auto" w:fill="auto"/>
          </w:tcPr>
          <w:p w14:paraId="31C6A8B2" w14:textId="77777777" w:rsidR="00696D3E" w:rsidRDefault="00696D3E">
            <w:pPr>
              <w:pStyle w:val="TableBody"/>
              <w:spacing w:before="45" w:after="45"/>
              <w:ind w:right="57"/>
              <w:jc w:val="right"/>
              <w:rPr>
                <w:rFonts w:ascii="Arial (Body)" w:hAnsi="Arial (Body)"/>
                <w:color w:val="000000"/>
              </w:rPr>
            </w:pPr>
            <w:r w:rsidRPr="00DA3DF8">
              <w:t>73</w:t>
            </w:r>
          </w:p>
        </w:tc>
        <w:tc>
          <w:tcPr>
            <w:tcW w:w="227" w:type="pct"/>
            <w:shd w:val="clear" w:color="auto" w:fill="auto"/>
          </w:tcPr>
          <w:p w14:paraId="2D4285F6" w14:textId="77777777" w:rsidR="00696D3E" w:rsidRDefault="00696D3E">
            <w:pPr>
              <w:pStyle w:val="TableBody"/>
              <w:spacing w:before="45" w:after="45"/>
              <w:ind w:right="57"/>
              <w:jc w:val="right"/>
              <w:rPr>
                <w:rFonts w:ascii="Arial (Body)" w:hAnsi="Arial (Body)"/>
                <w:color w:val="000000"/>
              </w:rPr>
            </w:pPr>
            <w:r w:rsidRPr="00DA3DF8">
              <w:t>80</w:t>
            </w:r>
          </w:p>
        </w:tc>
        <w:tc>
          <w:tcPr>
            <w:tcW w:w="227" w:type="pct"/>
            <w:shd w:val="clear" w:color="auto" w:fill="auto"/>
          </w:tcPr>
          <w:p w14:paraId="6C1A0B47" w14:textId="77777777" w:rsidR="00696D3E" w:rsidRDefault="00696D3E">
            <w:pPr>
              <w:pStyle w:val="TableBody"/>
              <w:spacing w:before="45" w:after="45"/>
              <w:ind w:right="57"/>
              <w:jc w:val="right"/>
              <w:rPr>
                <w:rFonts w:ascii="Arial (Body)" w:hAnsi="Arial (Body)"/>
                <w:color w:val="000000"/>
              </w:rPr>
            </w:pPr>
            <w:r w:rsidRPr="00DA3DF8">
              <w:t>60</w:t>
            </w:r>
          </w:p>
        </w:tc>
        <w:tc>
          <w:tcPr>
            <w:tcW w:w="227" w:type="pct"/>
            <w:shd w:val="clear" w:color="auto" w:fill="auto"/>
          </w:tcPr>
          <w:p w14:paraId="3E2F85A0" w14:textId="77777777" w:rsidR="00696D3E" w:rsidRDefault="00696D3E">
            <w:pPr>
              <w:pStyle w:val="TableBody"/>
              <w:spacing w:before="45" w:after="45"/>
              <w:ind w:right="57"/>
              <w:jc w:val="right"/>
              <w:rPr>
                <w:rFonts w:ascii="Arial (Body)" w:hAnsi="Arial (Body)"/>
                <w:color w:val="000000"/>
              </w:rPr>
            </w:pPr>
            <w:r w:rsidRPr="00DA3DF8">
              <w:t>40</w:t>
            </w:r>
          </w:p>
        </w:tc>
        <w:tc>
          <w:tcPr>
            <w:tcW w:w="227" w:type="pct"/>
            <w:shd w:val="clear" w:color="auto" w:fill="auto"/>
          </w:tcPr>
          <w:p w14:paraId="40261514" w14:textId="77777777" w:rsidR="00696D3E" w:rsidRDefault="00696D3E">
            <w:pPr>
              <w:pStyle w:val="TableBody"/>
              <w:spacing w:before="45" w:after="45"/>
              <w:ind w:right="57"/>
              <w:jc w:val="right"/>
              <w:rPr>
                <w:rFonts w:ascii="Arial (Body)" w:hAnsi="Arial (Body)"/>
                <w:color w:val="000000"/>
              </w:rPr>
            </w:pPr>
            <w:r w:rsidRPr="00DA3DF8">
              <w:t>34</w:t>
            </w:r>
          </w:p>
        </w:tc>
        <w:tc>
          <w:tcPr>
            <w:tcW w:w="227" w:type="pct"/>
            <w:shd w:val="clear" w:color="auto" w:fill="auto"/>
          </w:tcPr>
          <w:p w14:paraId="100384D3" w14:textId="77777777" w:rsidR="00696D3E" w:rsidRDefault="00696D3E">
            <w:pPr>
              <w:pStyle w:val="TableBody"/>
              <w:spacing w:before="45" w:after="45"/>
              <w:ind w:right="57"/>
              <w:jc w:val="right"/>
              <w:rPr>
                <w:rFonts w:ascii="Arial (Body)" w:hAnsi="Arial (Body)"/>
                <w:color w:val="000000"/>
              </w:rPr>
            </w:pPr>
            <w:r w:rsidRPr="00DA3DF8">
              <w:t>43</w:t>
            </w:r>
          </w:p>
        </w:tc>
        <w:tc>
          <w:tcPr>
            <w:tcW w:w="227" w:type="pct"/>
            <w:shd w:val="clear" w:color="auto" w:fill="auto"/>
          </w:tcPr>
          <w:p w14:paraId="720B3CFC" w14:textId="77777777" w:rsidR="00696D3E" w:rsidRDefault="00696D3E">
            <w:pPr>
              <w:pStyle w:val="TableBody"/>
              <w:spacing w:before="45" w:after="45"/>
              <w:ind w:right="57"/>
              <w:jc w:val="right"/>
              <w:rPr>
                <w:rFonts w:ascii="Arial (Body)" w:hAnsi="Arial (Body)"/>
                <w:color w:val="000000"/>
              </w:rPr>
            </w:pPr>
            <w:r w:rsidRPr="00DA3DF8">
              <w:t>86</w:t>
            </w:r>
          </w:p>
        </w:tc>
        <w:tc>
          <w:tcPr>
            <w:tcW w:w="227" w:type="pct"/>
            <w:shd w:val="clear" w:color="auto" w:fill="auto"/>
          </w:tcPr>
          <w:p w14:paraId="342F8170" w14:textId="77777777" w:rsidR="00696D3E" w:rsidRDefault="00696D3E">
            <w:pPr>
              <w:pStyle w:val="TableBody"/>
              <w:spacing w:before="45" w:after="45"/>
              <w:ind w:right="57"/>
              <w:jc w:val="right"/>
              <w:rPr>
                <w:rFonts w:ascii="Arial (Body)" w:hAnsi="Arial (Body)"/>
                <w:color w:val="000000"/>
              </w:rPr>
            </w:pPr>
            <w:r w:rsidRPr="00DA3DF8">
              <w:t>109</w:t>
            </w:r>
          </w:p>
        </w:tc>
        <w:tc>
          <w:tcPr>
            <w:tcW w:w="227" w:type="pct"/>
            <w:shd w:val="clear" w:color="auto" w:fill="auto"/>
          </w:tcPr>
          <w:p w14:paraId="1D858320" w14:textId="77777777" w:rsidR="00696D3E" w:rsidRDefault="00696D3E">
            <w:pPr>
              <w:pStyle w:val="TableBody"/>
              <w:spacing w:before="45" w:after="45"/>
              <w:ind w:right="57"/>
              <w:jc w:val="right"/>
              <w:rPr>
                <w:rFonts w:ascii="Arial (Body)" w:hAnsi="Arial (Body)"/>
                <w:color w:val="000000"/>
              </w:rPr>
            </w:pPr>
            <w:r w:rsidRPr="00DA3DF8">
              <w:t>83</w:t>
            </w:r>
          </w:p>
        </w:tc>
        <w:tc>
          <w:tcPr>
            <w:tcW w:w="227" w:type="pct"/>
            <w:shd w:val="clear" w:color="auto" w:fill="auto"/>
          </w:tcPr>
          <w:p w14:paraId="26042982" w14:textId="77777777" w:rsidR="00696D3E" w:rsidRPr="00030C67" w:rsidRDefault="00696D3E">
            <w:pPr>
              <w:pStyle w:val="TableBody"/>
              <w:spacing w:before="45" w:after="45"/>
              <w:ind w:right="57"/>
              <w:jc w:val="right"/>
              <w:rPr>
                <w:rFonts w:ascii="Arial (Body)" w:hAnsi="Arial (Body)"/>
                <w:color w:val="000000"/>
              </w:rPr>
            </w:pPr>
            <w:r w:rsidRPr="00DA3DF8">
              <w:t>92</w:t>
            </w:r>
          </w:p>
        </w:tc>
        <w:tc>
          <w:tcPr>
            <w:tcW w:w="227" w:type="pct"/>
            <w:shd w:val="clear" w:color="auto" w:fill="auto"/>
          </w:tcPr>
          <w:p w14:paraId="08B933A0" w14:textId="77777777" w:rsidR="00696D3E" w:rsidRPr="00030C67" w:rsidRDefault="00696D3E">
            <w:pPr>
              <w:pStyle w:val="TableBody"/>
              <w:spacing w:before="45" w:after="45"/>
              <w:ind w:right="57"/>
              <w:jc w:val="right"/>
              <w:rPr>
                <w:rFonts w:ascii="Arial (Body)" w:hAnsi="Arial (Body)"/>
                <w:color w:val="000000"/>
              </w:rPr>
            </w:pPr>
            <w:r w:rsidRPr="00DA3DF8">
              <w:t>90</w:t>
            </w:r>
          </w:p>
        </w:tc>
        <w:tc>
          <w:tcPr>
            <w:tcW w:w="227" w:type="pct"/>
            <w:shd w:val="clear" w:color="auto" w:fill="auto"/>
          </w:tcPr>
          <w:p w14:paraId="43FE3AF8" w14:textId="77777777" w:rsidR="00696D3E" w:rsidRPr="00030C67" w:rsidRDefault="00696D3E">
            <w:pPr>
              <w:pStyle w:val="TableBody"/>
              <w:spacing w:before="45" w:after="45"/>
              <w:ind w:right="57"/>
              <w:jc w:val="right"/>
              <w:rPr>
                <w:rFonts w:ascii="Arial (Body)" w:hAnsi="Arial (Body)"/>
                <w:color w:val="000000"/>
              </w:rPr>
            </w:pPr>
            <w:r w:rsidRPr="00DA3DF8">
              <w:t>70</w:t>
            </w:r>
          </w:p>
        </w:tc>
        <w:tc>
          <w:tcPr>
            <w:tcW w:w="227" w:type="pct"/>
            <w:shd w:val="clear" w:color="auto" w:fill="auto"/>
          </w:tcPr>
          <w:p w14:paraId="0B291EA1" w14:textId="77777777" w:rsidR="00696D3E" w:rsidRPr="00030C67" w:rsidRDefault="00696D3E">
            <w:pPr>
              <w:pStyle w:val="TableBody"/>
              <w:spacing w:before="45" w:after="45"/>
              <w:ind w:right="57"/>
              <w:jc w:val="right"/>
              <w:rPr>
                <w:rFonts w:ascii="Arial (Body)" w:hAnsi="Arial (Body)"/>
                <w:color w:val="000000"/>
              </w:rPr>
            </w:pPr>
            <w:r w:rsidRPr="00DA3DF8">
              <w:t>89</w:t>
            </w:r>
          </w:p>
        </w:tc>
        <w:tc>
          <w:tcPr>
            <w:tcW w:w="282" w:type="pct"/>
            <w:shd w:val="clear" w:color="auto" w:fill="auto"/>
          </w:tcPr>
          <w:p w14:paraId="4388B47F" w14:textId="77777777" w:rsidR="00696D3E" w:rsidRPr="00030C67" w:rsidRDefault="00696D3E">
            <w:pPr>
              <w:pStyle w:val="TableBody"/>
              <w:spacing w:before="45" w:after="45"/>
              <w:ind w:right="57"/>
              <w:jc w:val="right"/>
              <w:rPr>
                <w:rFonts w:ascii="Arial (Body)" w:hAnsi="Arial (Body)"/>
                <w:color w:val="000000"/>
              </w:rPr>
            </w:pPr>
            <w:r w:rsidRPr="00E63CA7">
              <w:t>59</w:t>
            </w:r>
          </w:p>
        </w:tc>
      </w:tr>
      <w:tr w:rsidR="00696D3E" w:rsidRPr="00030C67" w14:paraId="31E06DC0" w14:textId="77777777">
        <w:tc>
          <w:tcPr>
            <w:tcW w:w="405" w:type="pct"/>
            <w:shd w:val="clear" w:color="000000" w:fill="F2F2F2"/>
          </w:tcPr>
          <w:p w14:paraId="6DAEB8C9" w14:textId="77777777" w:rsidR="00696D3E" w:rsidRDefault="00696D3E">
            <w:pPr>
              <w:pStyle w:val="TableHeading"/>
            </w:pPr>
            <w:r>
              <w:t>2015</w:t>
            </w:r>
          </w:p>
        </w:tc>
        <w:tc>
          <w:tcPr>
            <w:tcW w:w="227" w:type="pct"/>
            <w:shd w:val="clear" w:color="000000" w:fill="F2F2F2"/>
          </w:tcPr>
          <w:p w14:paraId="62F3F69F" w14:textId="77777777" w:rsidR="00696D3E" w:rsidRDefault="00696D3E">
            <w:pPr>
              <w:pStyle w:val="TableBody"/>
              <w:spacing w:before="45" w:after="45"/>
              <w:ind w:right="57"/>
              <w:jc w:val="right"/>
              <w:rPr>
                <w:rFonts w:ascii="Arial (Body)" w:hAnsi="Arial (Body)"/>
                <w:color w:val="000000"/>
              </w:rPr>
            </w:pPr>
            <w:r w:rsidRPr="00DA3DF8">
              <w:t>42</w:t>
            </w:r>
          </w:p>
        </w:tc>
        <w:tc>
          <w:tcPr>
            <w:tcW w:w="227" w:type="pct"/>
            <w:shd w:val="clear" w:color="000000" w:fill="F2F2F2"/>
          </w:tcPr>
          <w:p w14:paraId="4449187D" w14:textId="77777777" w:rsidR="00696D3E" w:rsidRDefault="00696D3E">
            <w:pPr>
              <w:pStyle w:val="TableBody"/>
              <w:spacing w:before="45" w:after="45"/>
              <w:ind w:right="57"/>
              <w:jc w:val="right"/>
              <w:rPr>
                <w:rFonts w:ascii="Arial (Body)" w:hAnsi="Arial (Body)"/>
                <w:color w:val="000000"/>
              </w:rPr>
            </w:pPr>
            <w:r w:rsidRPr="00DA3DF8">
              <w:t>28</w:t>
            </w:r>
          </w:p>
        </w:tc>
        <w:tc>
          <w:tcPr>
            <w:tcW w:w="227" w:type="pct"/>
            <w:shd w:val="clear" w:color="000000" w:fill="F2F2F2"/>
          </w:tcPr>
          <w:p w14:paraId="433D4E60" w14:textId="77777777" w:rsidR="00696D3E" w:rsidRDefault="00696D3E">
            <w:pPr>
              <w:pStyle w:val="TableBody"/>
              <w:spacing w:before="45" w:after="45"/>
              <w:ind w:right="57"/>
              <w:jc w:val="right"/>
              <w:rPr>
                <w:rFonts w:ascii="Arial (Body)" w:hAnsi="Arial (Body)"/>
                <w:color w:val="000000"/>
              </w:rPr>
            </w:pPr>
            <w:r w:rsidRPr="00DA3DF8">
              <w:t>67</w:t>
            </w:r>
          </w:p>
        </w:tc>
        <w:tc>
          <w:tcPr>
            <w:tcW w:w="227" w:type="pct"/>
            <w:shd w:val="clear" w:color="000000" w:fill="F2F2F2"/>
          </w:tcPr>
          <w:p w14:paraId="21F47FFC" w14:textId="77777777" w:rsidR="00696D3E" w:rsidRDefault="00696D3E">
            <w:pPr>
              <w:pStyle w:val="TableBody"/>
              <w:spacing w:before="45" w:after="45"/>
              <w:ind w:right="57"/>
              <w:jc w:val="right"/>
              <w:rPr>
                <w:rFonts w:ascii="Arial (Body)" w:hAnsi="Arial (Body)"/>
                <w:color w:val="000000"/>
              </w:rPr>
            </w:pPr>
            <w:r w:rsidRPr="00DA3DF8">
              <w:t>35</w:t>
            </w:r>
          </w:p>
        </w:tc>
        <w:tc>
          <w:tcPr>
            <w:tcW w:w="227" w:type="pct"/>
            <w:shd w:val="clear" w:color="000000" w:fill="F2F2F2"/>
          </w:tcPr>
          <w:p w14:paraId="3BDEA87C" w14:textId="77777777" w:rsidR="00696D3E" w:rsidRDefault="00696D3E">
            <w:pPr>
              <w:pStyle w:val="TableBody"/>
              <w:spacing w:before="45" w:after="45"/>
              <w:ind w:right="57"/>
              <w:jc w:val="right"/>
              <w:rPr>
                <w:rFonts w:ascii="Arial (Body)" w:hAnsi="Arial (Body)"/>
                <w:color w:val="000000"/>
              </w:rPr>
            </w:pPr>
            <w:r w:rsidRPr="00DA3DF8">
              <w:t>68</w:t>
            </w:r>
          </w:p>
        </w:tc>
        <w:tc>
          <w:tcPr>
            <w:tcW w:w="227" w:type="pct"/>
            <w:shd w:val="clear" w:color="000000" w:fill="F2F2F2"/>
          </w:tcPr>
          <w:p w14:paraId="67F270E4" w14:textId="77777777" w:rsidR="00696D3E" w:rsidRDefault="00696D3E">
            <w:pPr>
              <w:pStyle w:val="TableBody"/>
              <w:spacing w:before="45" w:after="45"/>
              <w:ind w:right="57"/>
              <w:jc w:val="right"/>
              <w:rPr>
                <w:rFonts w:ascii="Arial (Body)" w:hAnsi="Arial (Body)"/>
                <w:color w:val="000000"/>
              </w:rPr>
            </w:pPr>
            <w:r w:rsidRPr="00DA3DF8">
              <w:t>69</w:t>
            </w:r>
          </w:p>
        </w:tc>
        <w:tc>
          <w:tcPr>
            <w:tcW w:w="227" w:type="pct"/>
            <w:shd w:val="clear" w:color="000000" w:fill="F2F2F2"/>
          </w:tcPr>
          <w:p w14:paraId="5AE1BE7B" w14:textId="77777777" w:rsidR="00696D3E" w:rsidRDefault="00696D3E">
            <w:pPr>
              <w:pStyle w:val="TableBody"/>
              <w:spacing w:before="45" w:after="45"/>
              <w:ind w:right="57"/>
              <w:jc w:val="right"/>
              <w:rPr>
                <w:rFonts w:ascii="Arial (Body)" w:hAnsi="Arial (Body)"/>
                <w:color w:val="000000"/>
              </w:rPr>
            </w:pPr>
            <w:r w:rsidRPr="00DA3DF8">
              <w:t>72</w:t>
            </w:r>
          </w:p>
        </w:tc>
        <w:tc>
          <w:tcPr>
            <w:tcW w:w="227" w:type="pct"/>
            <w:shd w:val="clear" w:color="000000" w:fill="F2F2F2"/>
          </w:tcPr>
          <w:p w14:paraId="215564DA" w14:textId="77777777" w:rsidR="00696D3E" w:rsidRDefault="00696D3E">
            <w:pPr>
              <w:pStyle w:val="TableBody"/>
              <w:spacing w:before="45" w:after="45"/>
              <w:ind w:right="57"/>
              <w:jc w:val="right"/>
              <w:rPr>
                <w:rFonts w:ascii="Arial (Body)" w:hAnsi="Arial (Body)"/>
                <w:color w:val="000000"/>
              </w:rPr>
            </w:pPr>
            <w:r w:rsidRPr="00DA3DF8">
              <w:t>80</w:t>
            </w:r>
          </w:p>
        </w:tc>
        <w:tc>
          <w:tcPr>
            <w:tcW w:w="227" w:type="pct"/>
            <w:shd w:val="clear" w:color="000000" w:fill="F2F2F2"/>
          </w:tcPr>
          <w:p w14:paraId="640AD5CF" w14:textId="77777777" w:rsidR="00696D3E" w:rsidRDefault="00696D3E">
            <w:pPr>
              <w:pStyle w:val="TableBody"/>
              <w:spacing w:before="45" w:after="45"/>
              <w:ind w:right="57"/>
              <w:jc w:val="right"/>
              <w:rPr>
                <w:rFonts w:ascii="Arial (Body)" w:hAnsi="Arial (Body)"/>
                <w:color w:val="000000"/>
              </w:rPr>
            </w:pPr>
            <w:r w:rsidRPr="00DA3DF8">
              <w:t>57</w:t>
            </w:r>
          </w:p>
        </w:tc>
        <w:tc>
          <w:tcPr>
            <w:tcW w:w="227" w:type="pct"/>
            <w:shd w:val="clear" w:color="000000" w:fill="F2F2F2"/>
          </w:tcPr>
          <w:p w14:paraId="0EB96581" w14:textId="77777777" w:rsidR="00696D3E" w:rsidRDefault="00696D3E">
            <w:pPr>
              <w:pStyle w:val="TableBody"/>
              <w:spacing w:before="45" w:after="45"/>
              <w:ind w:right="57"/>
              <w:jc w:val="right"/>
              <w:rPr>
                <w:rFonts w:ascii="Arial (Body)" w:hAnsi="Arial (Body)"/>
                <w:color w:val="000000"/>
              </w:rPr>
            </w:pPr>
            <w:r w:rsidRPr="00DA3DF8">
              <w:t>40</w:t>
            </w:r>
          </w:p>
        </w:tc>
        <w:tc>
          <w:tcPr>
            <w:tcW w:w="227" w:type="pct"/>
            <w:shd w:val="clear" w:color="000000" w:fill="F2F2F2"/>
          </w:tcPr>
          <w:p w14:paraId="7977D0A3" w14:textId="77777777" w:rsidR="00696D3E" w:rsidRDefault="00696D3E">
            <w:pPr>
              <w:pStyle w:val="TableBody"/>
              <w:spacing w:before="45" w:after="45"/>
              <w:ind w:right="57"/>
              <w:jc w:val="right"/>
              <w:rPr>
                <w:rFonts w:ascii="Arial (Body)" w:hAnsi="Arial (Body)"/>
                <w:color w:val="000000"/>
              </w:rPr>
            </w:pPr>
            <w:r w:rsidRPr="00DA3DF8">
              <w:t>33</w:t>
            </w:r>
          </w:p>
        </w:tc>
        <w:tc>
          <w:tcPr>
            <w:tcW w:w="227" w:type="pct"/>
            <w:shd w:val="clear" w:color="000000" w:fill="F2F2F2"/>
          </w:tcPr>
          <w:p w14:paraId="048C0810" w14:textId="77777777" w:rsidR="00696D3E" w:rsidRDefault="00696D3E">
            <w:pPr>
              <w:pStyle w:val="TableBody"/>
              <w:spacing w:before="45" w:after="45"/>
              <w:ind w:right="57"/>
              <w:jc w:val="right"/>
              <w:rPr>
                <w:rFonts w:ascii="Arial (Body)" w:hAnsi="Arial (Body)"/>
                <w:color w:val="000000"/>
              </w:rPr>
            </w:pPr>
            <w:r w:rsidRPr="00DA3DF8">
              <w:t>43</w:t>
            </w:r>
          </w:p>
        </w:tc>
        <w:tc>
          <w:tcPr>
            <w:tcW w:w="227" w:type="pct"/>
            <w:shd w:val="clear" w:color="000000" w:fill="F2F2F2"/>
          </w:tcPr>
          <w:p w14:paraId="0B1DF142" w14:textId="77777777" w:rsidR="00696D3E" w:rsidRDefault="00696D3E">
            <w:pPr>
              <w:pStyle w:val="TableBody"/>
              <w:spacing w:before="45" w:after="45"/>
              <w:ind w:right="57"/>
              <w:jc w:val="right"/>
              <w:rPr>
                <w:rFonts w:ascii="Arial (Body)" w:hAnsi="Arial (Body)"/>
                <w:color w:val="000000"/>
              </w:rPr>
            </w:pPr>
            <w:r w:rsidRPr="00DA3DF8">
              <w:t>86</w:t>
            </w:r>
          </w:p>
        </w:tc>
        <w:tc>
          <w:tcPr>
            <w:tcW w:w="227" w:type="pct"/>
            <w:shd w:val="clear" w:color="000000" w:fill="F2F2F2"/>
          </w:tcPr>
          <w:p w14:paraId="16BD213C" w14:textId="77777777" w:rsidR="00696D3E" w:rsidRDefault="00696D3E">
            <w:pPr>
              <w:pStyle w:val="TableBody"/>
              <w:spacing w:before="45" w:after="45"/>
              <w:ind w:right="57"/>
              <w:jc w:val="right"/>
              <w:rPr>
                <w:rFonts w:ascii="Arial (Body)" w:hAnsi="Arial (Body)"/>
                <w:color w:val="000000"/>
              </w:rPr>
            </w:pPr>
            <w:r w:rsidRPr="00DA3DF8">
              <w:t>109</w:t>
            </w:r>
          </w:p>
        </w:tc>
        <w:tc>
          <w:tcPr>
            <w:tcW w:w="227" w:type="pct"/>
            <w:shd w:val="clear" w:color="000000" w:fill="F2F2F2"/>
          </w:tcPr>
          <w:p w14:paraId="70B0AD5F" w14:textId="77777777" w:rsidR="00696D3E" w:rsidRDefault="00696D3E">
            <w:pPr>
              <w:pStyle w:val="TableBody"/>
              <w:spacing w:before="45" w:after="45"/>
              <w:ind w:right="57"/>
              <w:jc w:val="right"/>
              <w:rPr>
                <w:rFonts w:ascii="Arial (Body)" w:hAnsi="Arial (Body)"/>
                <w:color w:val="000000"/>
              </w:rPr>
            </w:pPr>
            <w:r w:rsidRPr="00DA3DF8">
              <w:t>83</w:t>
            </w:r>
          </w:p>
        </w:tc>
        <w:tc>
          <w:tcPr>
            <w:tcW w:w="227" w:type="pct"/>
            <w:shd w:val="clear" w:color="000000" w:fill="F2F2F2"/>
          </w:tcPr>
          <w:p w14:paraId="44F806A7" w14:textId="77777777" w:rsidR="00696D3E" w:rsidRPr="00030C67" w:rsidRDefault="00696D3E">
            <w:pPr>
              <w:pStyle w:val="TableBody"/>
              <w:spacing w:before="45" w:after="45"/>
              <w:ind w:right="57"/>
              <w:jc w:val="right"/>
              <w:rPr>
                <w:rFonts w:ascii="Arial (Body)" w:hAnsi="Arial (Body)"/>
                <w:color w:val="000000"/>
              </w:rPr>
            </w:pPr>
            <w:r w:rsidRPr="00DA3DF8">
              <w:t>91</w:t>
            </w:r>
          </w:p>
        </w:tc>
        <w:tc>
          <w:tcPr>
            <w:tcW w:w="227" w:type="pct"/>
            <w:shd w:val="clear" w:color="000000" w:fill="F2F2F2"/>
          </w:tcPr>
          <w:p w14:paraId="7A24194B" w14:textId="77777777" w:rsidR="00696D3E" w:rsidRPr="00030C67" w:rsidRDefault="00696D3E">
            <w:pPr>
              <w:pStyle w:val="TableBody"/>
              <w:spacing w:before="45" w:after="45"/>
              <w:ind w:right="57"/>
              <w:jc w:val="right"/>
              <w:rPr>
                <w:rFonts w:ascii="Arial (Body)" w:hAnsi="Arial (Body)"/>
                <w:color w:val="000000"/>
              </w:rPr>
            </w:pPr>
            <w:r w:rsidRPr="00DA3DF8">
              <w:t>91</w:t>
            </w:r>
          </w:p>
        </w:tc>
        <w:tc>
          <w:tcPr>
            <w:tcW w:w="227" w:type="pct"/>
            <w:shd w:val="clear" w:color="000000" w:fill="F2F2F2"/>
          </w:tcPr>
          <w:p w14:paraId="55EB5046" w14:textId="77777777" w:rsidR="00696D3E" w:rsidRPr="00030C67" w:rsidRDefault="00696D3E">
            <w:pPr>
              <w:pStyle w:val="TableBody"/>
              <w:spacing w:before="45" w:after="45"/>
              <w:ind w:right="57"/>
              <w:jc w:val="right"/>
              <w:rPr>
                <w:rFonts w:ascii="Arial (Body)" w:hAnsi="Arial (Body)"/>
                <w:color w:val="000000"/>
              </w:rPr>
            </w:pPr>
            <w:r w:rsidRPr="00DA3DF8">
              <w:t>67</w:t>
            </w:r>
          </w:p>
        </w:tc>
        <w:tc>
          <w:tcPr>
            <w:tcW w:w="227" w:type="pct"/>
            <w:shd w:val="clear" w:color="000000" w:fill="F2F2F2"/>
          </w:tcPr>
          <w:p w14:paraId="3F737B5A" w14:textId="77777777" w:rsidR="00696D3E" w:rsidRPr="00030C67" w:rsidRDefault="00696D3E">
            <w:pPr>
              <w:pStyle w:val="TableBody"/>
              <w:spacing w:before="45" w:after="45"/>
              <w:ind w:right="57"/>
              <w:jc w:val="right"/>
              <w:rPr>
                <w:rFonts w:ascii="Arial (Body)" w:hAnsi="Arial (Body)"/>
                <w:color w:val="000000"/>
              </w:rPr>
            </w:pPr>
            <w:r w:rsidRPr="00DA3DF8">
              <w:t>91</w:t>
            </w:r>
          </w:p>
        </w:tc>
        <w:tc>
          <w:tcPr>
            <w:tcW w:w="282" w:type="pct"/>
            <w:shd w:val="clear" w:color="000000" w:fill="F2F2F2"/>
          </w:tcPr>
          <w:p w14:paraId="4C4FF114" w14:textId="77777777" w:rsidR="00696D3E" w:rsidRPr="00030C67" w:rsidRDefault="00696D3E">
            <w:pPr>
              <w:pStyle w:val="TableBody"/>
              <w:spacing w:before="45" w:after="45"/>
              <w:ind w:right="57"/>
              <w:jc w:val="right"/>
              <w:rPr>
                <w:rFonts w:ascii="Arial (Body)" w:hAnsi="Arial (Body)"/>
                <w:color w:val="000000"/>
              </w:rPr>
            </w:pPr>
            <w:r w:rsidRPr="00E63CA7">
              <w:t>60</w:t>
            </w:r>
          </w:p>
        </w:tc>
      </w:tr>
      <w:tr w:rsidR="00696D3E" w:rsidRPr="00030C67" w14:paraId="5B8DBD63" w14:textId="77777777">
        <w:tc>
          <w:tcPr>
            <w:tcW w:w="405" w:type="pct"/>
            <w:shd w:val="clear" w:color="auto" w:fill="auto"/>
          </w:tcPr>
          <w:p w14:paraId="09DF1E4B" w14:textId="77777777" w:rsidR="00696D3E" w:rsidRDefault="00696D3E">
            <w:pPr>
              <w:pStyle w:val="TableHeading"/>
            </w:pPr>
            <w:r>
              <w:t>2016</w:t>
            </w:r>
          </w:p>
        </w:tc>
        <w:tc>
          <w:tcPr>
            <w:tcW w:w="227" w:type="pct"/>
            <w:shd w:val="clear" w:color="auto" w:fill="auto"/>
          </w:tcPr>
          <w:p w14:paraId="4F99D7EC" w14:textId="77777777" w:rsidR="00696D3E" w:rsidRDefault="00696D3E">
            <w:pPr>
              <w:pStyle w:val="TableBody"/>
              <w:spacing w:before="45" w:after="45"/>
              <w:ind w:right="57"/>
              <w:jc w:val="right"/>
              <w:rPr>
                <w:rFonts w:ascii="Arial (Body)" w:hAnsi="Arial (Body)"/>
                <w:color w:val="000000"/>
              </w:rPr>
            </w:pPr>
            <w:r w:rsidRPr="00DA3DF8">
              <w:t>40</w:t>
            </w:r>
          </w:p>
        </w:tc>
        <w:tc>
          <w:tcPr>
            <w:tcW w:w="227" w:type="pct"/>
            <w:shd w:val="clear" w:color="auto" w:fill="auto"/>
          </w:tcPr>
          <w:p w14:paraId="5BFD46CF" w14:textId="77777777" w:rsidR="00696D3E" w:rsidRDefault="00696D3E">
            <w:pPr>
              <w:pStyle w:val="TableBody"/>
              <w:spacing w:before="45" w:after="45"/>
              <w:ind w:right="57"/>
              <w:jc w:val="right"/>
              <w:rPr>
                <w:rFonts w:ascii="Arial (Body)" w:hAnsi="Arial (Body)"/>
                <w:color w:val="000000"/>
              </w:rPr>
            </w:pPr>
            <w:r w:rsidRPr="00DA3DF8">
              <w:t>30</w:t>
            </w:r>
          </w:p>
        </w:tc>
        <w:tc>
          <w:tcPr>
            <w:tcW w:w="227" w:type="pct"/>
            <w:shd w:val="clear" w:color="auto" w:fill="auto"/>
          </w:tcPr>
          <w:p w14:paraId="1E925761" w14:textId="77777777" w:rsidR="00696D3E" w:rsidRDefault="00696D3E">
            <w:pPr>
              <w:pStyle w:val="TableBody"/>
              <w:spacing w:before="45" w:after="45"/>
              <w:ind w:right="57"/>
              <w:jc w:val="right"/>
              <w:rPr>
                <w:rFonts w:ascii="Arial (Body)" w:hAnsi="Arial (Body)"/>
                <w:color w:val="000000"/>
              </w:rPr>
            </w:pPr>
            <w:r w:rsidRPr="00DA3DF8">
              <w:t>67</w:t>
            </w:r>
          </w:p>
        </w:tc>
        <w:tc>
          <w:tcPr>
            <w:tcW w:w="227" w:type="pct"/>
            <w:shd w:val="clear" w:color="auto" w:fill="auto"/>
          </w:tcPr>
          <w:p w14:paraId="6F2EF875" w14:textId="77777777" w:rsidR="00696D3E" w:rsidRDefault="00696D3E">
            <w:pPr>
              <w:pStyle w:val="TableBody"/>
              <w:spacing w:before="45" w:after="45"/>
              <w:ind w:right="57"/>
              <w:jc w:val="right"/>
              <w:rPr>
                <w:rFonts w:ascii="Arial (Body)" w:hAnsi="Arial (Body)"/>
                <w:color w:val="000000"/>
              </w:rPr>
            </w:pPr>
            <w:r w:rsidRPr="00DA3DF8">
              <w:t>35</w:t>
            </w:r>
          </w:p>
        </w:tc>
        <w:tc>
          <w:tcPr>
            <w:tcW w:w="227" w:type="pct"/>
            <w:shd w:val="clear" w:color="auto" w:fill="auto"/>
          </w:tcPr>
          <w:p w14:paraId="77FE80A2" w14:textId="77777777" w:rsidR="00696D3E" w:rsidRDefault="00696D3E">
            <w:pPr>
              <w:pStyle w:val="TableBody"/>
              <w:spacing w:before="45" w:after="45"/>
              <w:ind w:right="57"/>
              <w:jc w:val="right"/>
              <w:rPr>
                <w:rFonts w:ascii="Arial (Body)" w:hAnsi="Arial (Body)"/>
                <w:color w:val="000000"/>
              </w:rPr>
            </w:pPr>
            <w:r w:rsidRPr="00DA3DF8">
              <w:t>69</w:t>
            </w:r>
          </w:p>
        </w:tc>
        <w:tc>
          <w:tcPr>
            <w:tcW w:w="227" w:type="pct"/>
            <w:shd w:val="clear" w:color="auto" w:fill="auto"/>
          </w:tcPr>
          <w:p w14:paraId="7999C8D9" w14:textId="77777777" w:rsidR="00696D3E" w:rsidRDefault="00696D3E">
            <w:pPr>
              <w:pStyle w:val="TableBody"/>
              <w:spacing w:before="45" w:after="45"/>
              <w:ind w:right="57"/>
              <w:jc w:val="right"/>
              <w:rPr>
                <w:rFonts w:ascii="Arial (Body)" w:hAnsi="Arial (Body)"/>
                <w:color w:val="000000"/>
              </w:rPr>
            </w:pPr>
            <w:r w:rsidRPr="00DA3DF8">
              <w:t>69</w:t>
            </w:r>
          </w:p>
        </w:tc>
        <w:tc>
          <w:tcPr>
            <w:tcW w:w="227" w:type="pct"/>
            <w:shd w:val="clear" w:color="auto" w:fill="auto"/>
          </w:tcPr>
          <w:p w14:paraId="1BBB32BB" w14:textId="77777777" w:rsidR="00696D3E" w:rsidRDefault="00696D3E">
            <w:pPr>
              <w:pStyle w:val="TableBody"/>
              <w:spacing w:before="45" w:after="45"/>
              <w:ind w:right="57"/>
              <w:jc w:val="right"/>
              <w:rPr>
                <w:rFonts w:ascii="Arial (Body)" w:hAnsi="Arial (Body)"/>
                <w:color w:val="000000"/>
              </w:rPr>
            </w:pPr>
            <w:r w:rsidRPr="00DA3DF8">
              <w:t>73</w:t>
            </w:r>
          </w:p>
        </w:tc>
        <w:tc>
          <w:tcPr>
            <w:tcW w:w="227" w:type="pct"/>
            <w:shd w:val="clear" w:color="auto" w:fill="auto"/>
          </w:tcPr>
          <w:p w14:paraId="7795FA2F" w14:textId="77777777" w:rsidR="00696D3E" w:rsidRDefault="00696D3E">
            <w:pPr>
              <w:pStyle w:val="TableBody"/>
              <w:spacing w:before="45" w:after="45"/>
              <w:ind w:right="57"/>
              <w:jc w:val="right"/>
              <w:rPr>
                <w:rFonts w:ascii="Arial (Body)" w:hAnsi="Arial (Body)"/>
                <w:color w:val="000000"/>
              </w:rPr>
            </w:pPr>
            <w:r w:rsidRPr="00DA3DF8">
              <w:t>81</w:t>
            </w:r>
          </w:p>
        </w:tc>
        <w:tc>
          <w:tcPr>
            <w:tcW w:w="227" w:type="pct"/>
            <w:shd w:val="clear" w:color="auto" w:fill="auto"/>
          </w:tcPr>
          <w:p w14:paraId="4FABDD80" w14:textId="77777777" w:rsidR="00696D3E" w:rsidRDefault="00696D3E">
            <w:pPr>
              <w:pStyle w:val="TableBody"/>
              <w:spacing w:before="45" w:after="45"/>
              <w:ind w:right="57"/>
              <w:jc w:val="right"/>
              <w:rPr>
                <w:rFonts w:ascii="Arial (Body)" w:hAnsi="Arial (Body)"/>
                <w:color w:val="000000"/>
              </w:rPr>
            </w:pPr>
            <w:r w:rsidRPr="00DA3DF8">
              <w:t>58</w:t>
            </w:r>
          </w:p>
        </w:tc>
        <w:tc>
          <w:tcPr>
            <w:tcW w:w="227" w:type="pct"/>
            <w:shd w:val="clear" w:color="auto" w:fill="auto"/>
          </w:tcPr>
          <w:p w14:paraId="0F5D5E3B" w14:textId="77777777" w:rsidR="00696D3E" w:rsidRDefault="00696D3E">
            <w:pPr>
              <w:pStyle w:val="TableBody"/>
              <w:spacing w:before="45" w:after="45"/>
              <w:ind w:right="57"/>
              <w:jc w:val="right"/>
              <w:rPr>
                <w:rFonts w:ascii="Arial (Body)" w:hAnsi="Arial (Body)"/>
                <w:color w:val="000000"/>
              </w:rPr>
            </w:pPr>
            <w:r w:rsidRPr="00DA3DF8">
              <w:t>42</w:t>
            </w:r>
          </w:p>
        </w:tc>
        <w:tc>
          <w:tcPr>
            <w:tcW w:w="227" w:type="pct"/>
            <w:shd w:val="clear" w:color="auto" w:fill="auto"/>
          </w:tcPr>
          <w:p w14:paraId="0BF4B209" w14:textId="77777777" w:rsidR="00696D3E" w:rsidRDefault="00696D3E">
            <w:pPr>
              <w:pStyle w:val="TableBody"/>
              <w:spacing w:before="45" w:after="45"/>
              <w:ind w:right="57"/>
              <w:jc w:val="right"/>
              <w:rPr>
                <w:rFonts w:ascii="Arial (Body)" w:hAnsi="Arial (Body)"/>
                <w:color w:val="000000"/>
              </w:rPr>
            </w:pPr>
            <w:r w:rsidRPr="00DA3DF8">
              <w:t>33</w:t>
            </w:r>
          </w:p>
        </w:tc>
        <w:tc>
          <w:tcPr>
            <w:tcW w:w="227" w:type="pct"/>
            <w:shd w:val="clear" w:color="auto" w:fill="auto"/>
          </w:tcPr>
          <w:p w14:paraId="455ECA60" w14:textId="77777777" w:rsidR="00696D3E" w:rsidRDefault="00696D3E">
            <w:pPr>
              <w:pStyle w:val="TableBody"/>
              <w:spacing w:before="45" w:after="45"/>
              <w:ind w:right="57"/>
              <w:jc w:val="right"/>
              <w:rPr>
                <w:rFonts w:ascii="Arial (Body)" w:hAnsi="Arial (Body)"/>
                <w:color w:val="000000"/>
              </w:rPr>
            </w:pPr>
            <w:r w:rsidRPr="00DA3DF8">
              <w:t>42</w:t>
            </w:r>
          </w:p>
        </w:tc>
        <w:tc>
          <w:tcPr>
            <w:tcW w:w="227" w:type="pct"/>
            <w:shd w:val="clear" w:color="auto" w:fill="auto"/>
          </w:tcPr>
          <w:p w14:paraId="6086AD2C" w14:textId="77777777" w:rsidR="00696D3E" w:rsidRDefault="00696D3E">
            <w:pPr>
              <w:pStyle w:val="TableBody"/>
              <w:spacing w:before="45" w:after="45"/>
              <w:ind w:right="57"/>
              <w:jc w:val="right"/>
              <w:rPr>
                <w:rFonts w:ascii="Arial (Body)" w:hAnsi="Arial (Body)"/>
                <w:color w:val="000000"/>
              </w:rPr>
            </w:pPr>
            <w:r w:rsidRPr="00DA3DF8">
              <w:t>88</w:t>
            </w:r>
          </w:p>
        </w:tc>
        <w:tc>
          <w:tcPr>
            <w:tcW w:w="227" w:type="pct"/>
            <w:shd w:val="clear" w:color="auto" w:fill="auto"/>
          </w:tcPr>
          <w:p w14:paraId="29AE6B32" w14:textId="77777777" w:rsidR="00696D3E" w:rsidRDefault="00696D3E">
            <w:pPr>
              <w:pStyle w:val="TableBody"/>
              <w:spacing w:before="45" w:after="45"/>
              <w:ind w:right="57"/>
              <w:jc w:val="right"/>
              <w:rPr>
                <w:rFonts w:ascii="Arial (Body)" w:hAnsi="Arial (Body)"/>
                <w:color w:val="000000"/>
              </w:rPr>
            </w:pPr>
            <w:r w:rsidRPr="00DA3DF8">
              <w:t>107</w:t>
            </w:r>
          </w:p>
        </w:tc>
        <w:tc>
          <w:tcPr>
            <w:tcW w:w="227" w:type="pct"/>
            <w:shd w:val="clear" w:color="auto" w:fill="auto"/>
          </w:tcPr>
          <w:p w14:paraId="23531A75" w14:textId="77777777" w:rsidR="00696D3E" w:rsidRDefault="00696D3E">
            <w:pPr>
              <w:pStyle w:val="TableBody"/>
              <w:spacing w:before="45" w:after="45"/>
              <w:ind w:right="57"/>
              <w:jc w:val="right"/>
              <w:rPr>
                <w:rFonts w:ascii="Arial (Body)" w:hAnsi="Arial (Body)"/>
                <w:color w:val="000000"/>
              </w:rPr>
            </w:pPr>
            <w:r w:rsidRPr="00DA3DF8">
              <w:t>84</w:t>
            </w:r>
          </w:p>
        </w:tc>
        <w:tc>
          <w:tcPr>
            <w:tcW w:w="227" w:type="pct"/>
            <w:shd w:val="clear" w:color="auto" w:fill="auto"/>
          </w:tcPr>
          <w:p w14:paraId="462AC44F" w14:textId="77777777" w:rsidR="00696D3E" w:rsidRPr="00030C67" w:rsidRDefault="00696D3E">
            <w:pPr>
              <w:pStyle w:val="TableBody"/>
              <w:spacing w:before="45" w:after="45"/>
              <w:ind w:right="57"/>
              <w:jc w:val="right"/>
              <w:rPr>
                <w:rFonts w:ascii="Arial (Body)" w:hAnsi="Arial (Body)"/>
                <w:color w:val="000000"/>
              </w:rPr>
            </w:pPr>
            <w:r w:rsidRPr="00DA3DF8">
              <w:t>92</w:t>
            </w:r>
          </w:p>
        </w:tc>
        <w:tc>
          <w:tcPr>
            <w:tcW w:w="227" w:type="pct"/>
            <w:shd w:val="clear" w:color="auto" w:fill="auto"/>
          </w:tcPr>
          <w:p w14:paraId="71B9E150" w14:textId="77777777" w:rsidR="00696D3E" w:rsidRPr="00030C67" w:rsidRDefault="00696D3E">
            <w:pPr>
              <w:pStyle w:val="TableBody"/>
              <w:spacing w:before="45" w:after="45"/>
              <w:ind w:right="57"/>
              <w:jc w:val="right"/>
              <w:rPr>
                <w:rFonts w:ascii="Arial (Body)" w:hAnsi="Arial (Body)"/>
                <w:color w:val="000000"/>
              </w:rPr>
            </w:pPr>
            <w:r w:rsidRPr="00DA3DF8">
              <w:t>92</w:t>
            </w:r>
          </w:p>
        </w:tc>
        <w:tc>
          <w:tcPr>
            <w:tcW w:w="227" w:type="pct"/>
            <w:shd w:val="clear" w:color="auto" w:fill="auto"/>
          </w:tcPr>
          <w:p w14:paraId="0305B95F" w14:textId="77777777" w:rsidR="00696D3E" w:rsidRPr="00030C67" w:rsidRDefault="00696D3E">
            <w:pPr>
              <w:pStyle w:val="TableBody"/>
              <w:spacing w:before="45" w:after="45"/>
              <w:ind w:right="57"/>
              <w:jc w:val="right"/>
              <w:rPr>
                <w:rFonts w:ascii="Arial (Body)" w:hAnsi="Arial (Body)"/>
                <w:color w:val="000000"/>
              </w:rPr>
            </w:pPr>
            <w:r w:rsidRPr="00DA3DF8">
              <w:t>69</w:t>
            </w:r>
          </w:p>
        </w:tc>
        <w:tc>
          <w:tcPr>
            <w:tcW w:w="227" w:type="pct"/>
            <w:shd w:val="clear" w:color="auto" w:fill="auto"/>
          </w:tcPr>
          <w:p w14:paraId="0DA51601" w14:textId="77777777" w:rsidR="00696D3E" w:rsidRPr="00030C67" w:rsidRDefault="00696D3E">
            <w:pPr>
              <w:pStyle w:val="TableBody"/>
              <w:spacing w:before="45" w:after="45"/>
              <w:ind w:right="57"/>
              <w:jc w:val="right"/>
              <w:rPr>
                <w:rFonts w:ascii="Arial (Body)" w:hAnsi="Arial (Body)"/>
                <w:color w:val="000000"/>
              </w:rPr>
            </w:pPr>
            <w:r w:rsidRPr="00DA3DF8">
              <w:t>94</w:t>
            </w:r>
          </w:p>
        </w:tc>
        <w:tc>
          <w:tcPr>
            <w:tcW w:w="282" w:type="pct"/>
            <w:shd w:val="clear" w:color="auto" w:fill="auto"/>
          </w:tcPr>
          <w:p w14:paraId="1149E974" w14:textId="77777777" w:rsidR="00696D3E" w:rsidRPr="00030C67" w:rsidRDefault="00696D3E">
            <w:pPr>
              <w:pStyle w:val="TableBody"/>
              <w:spacing w:before="45" w:after="45"/>
              <w:ind w:right="57"/>
              <w:jc w:val="right"/>
              <w:rPr>
                <w:rFonts w:ascii="Arial (Body)" w:hAnsi="Arial (Body)"/>
                <w:color w:val="000000"/>
              </w:rPr>
            </w:pPr>
            <w:r w:rsidRPr="00E63CA7">
              <w:t>61</w:t>
            </w:r>
          </w:p>
        </w:tc>
      </w:tr>
      <w:tr w:rsidR="00696D3E" w:rsidRPr="00030C67" w14:paraId="4DF3F45E" w14:textId="77777777">
        <w:tc>
          <w:tcPr>
            <w:tcW w:w="405" w:type="pct"/>
            <w:shd w:val="clear" w:color="000000" w:fill="F2F2F2"/>
          </w:tcPr>
          <w:p w14:paraId="67A76C48" w14:textId="77777777" w:rsidR="00696D3E" w:rsidRDefault="00696D3E">
            <w:pPr>
              <w:pStyle w:val="TableHeading"/>
            </w:pPr>
            <w:r>
              <w:t>2017</w:t>
            </w:r>
          </w:p>
        </w:tc>
        <w:tc>
          <w:tcPr>
            <w:tcW w:w="227" w:type="pct"/>
            <w:shd w:val="clear" w:color="000000" w:fill="F2F2F2"/>
          </w:tcPr>
          <w:p w14:paraId="1CF206E3" w14:textId="77777777" w:rsidR="00696D3E" w:rsidRDefault="00696D3E">
            <w:pPr>
              <w:pStyle w:val="TableBody"/>
              <w:spacing w:before="45" w:after="45"/>
              <w:ind w:right="57"/>
              <w:jc w:val="right"/>
              <w:rPr>
                <w:rFonts w:ascii="Arial (Body)" w:hAnsi="Arial (Body)"/>
                <w:color w:val="000000"/>
              </w:rPr>
            </w:pPr>
            <w:r w:rsidRPr="00DA3DF8">
              <w:t>32</w:t>
            </w:r>
          </w:p>
        </w:tc>
        <w:tc>
          <w:tcPr>
            <w:tcW w:w="227" w:type="pct"/>
            <w:shd w:val="clear" w:color="000000" w:fill="F2F2F2"/>
          </w:tcPr>
          <w:p w14:paraId="0BFEE831" w14:textId="77777777" w:rsidR="00696D3E" w:rsidRDefault="00696D3E">
            <w:pPr>
              <w:pStyle w:val="TableBody"/>
              <w:spacing w:before="45" w:after="45"/>
              <w:ind w:right="57"/>
              <w:jc w:val="right"/>
              <w:rPr>
                <w:rFonts w:ascii="Arial (Body)" w:hAnsi="Arial (Body)"/>
                <w:color w:val="000000"/>
              </w:rPr>
            </w:pPr>
            <w:r w:rsidRPr="00DA3DF8">
              <w:t>20</w:t>
            </w:r>
          </w:p>
        </w:tc>
        <w:tc>
          <w:tcPr>
            <w:tcW w:w="227" w:type="pct"/>
            <w:shd w:val="clear" w:color="000000" w:fill="F2F2F2"/>
          </w:tcPr>
          <w:p w14:paraId="4D1E5C58" w14:textId="77777777" w:rsidR="00696D3E" w:rsidRDefault="00696D3E">
            <w:pPr>
              <w:pStyle w:val="TableBody"/>
              <w:spacing w:before="45" w:after="45"/>
              <w:ind w:right="57"/>
              <w:jc w:val="right"/>
              <w:rPr>
                <w:rFonts w:ascii="Arial (Body)" w:hAnsi="Arial (Body)"/>
                <w:color w:val="000000"/>
              </w:rPr>
            </w:pPr>
            <w:r w:rsidRPr="00DA3DF8">
              <w:t>66</w:t>
            </w:r>
          </w:p>
        </w:tc>
        <w:tc>
          <w:tcPr>
            <w:tcW w:w="227" w:type="pct"/>
            <w:shd w:val="clear" w:color="000000" w:fill="F2F2F2"/>
          </w:tcPr>
          <w:p w14:paraId="20C96CD2" w14:textId="77777777" w:rsidR="00696D3E" w:rsidRDefault="00696D3E">
            <w:pPr>
              <w:pStyle w:val="TableBody"/>
              <w:spacing w:before="45" w:after="45"/>
              <w:ind w:right="57"/>
              <w:jc w:val="right"/>
              <w:rPr>
                <w:rFonts w:ascii="Arial (Body)" w:hAnsi="Arial (Body)"/>
                <w:color w:val="000000"/>
              </w:rPr>
            </w:pPr>
            <w:r w:rsidRPr="00DA3DF8">
              <w:t>32</w:t>
            </w:r>
          </w:p>
        </w:tc>
        <w:tc>
          <w:tcPr>
            <w:tcW w:w="227" w:type="pct"/>
            <w:shd w:val="clear" w:color="000000" w:fill="F2F2F2"/>
          </w:tcPr>
          <w:p w14:paraId="6A606763" w14:textId="77777777" w:rsidR="00696D3E" w:rsidRDefault="00696D3E">
            <w:pPr>
              <w:pStyle w:val="TableBody"/>
              <w:spacing w:before="45" w:after="45"/>
              <w:ind w:right="57"/>
              <w:jc w:val="right"/>
              <w:rPr>
                <w:rFonts w:ascii="Arial (Body)" w:hAnsi="Arial (Body)"/>
                <w:color w:val="000000"/>
              </w:rPr>
            </w:pPr>
            <w:r w:rsidRPr="00DA3DF8">
              <w:t>69</w:t>
            </w:r>
          </w:p>
        </w:tc>
        <w:tc>
          <w:tcPr>
            <w:tcW w:w="227" w:type="pct"/>
            <w:shd w:val="clear" w:color="000000" w:fill="F2F2F2"/>
          </w:tcPr>
          <w:p w14:paraId="0F6B3C86" w14:textId="77777777" w:rsidR="00696D3E" w:rsidRDefault="00696D3E">
            <w:pPr>
              <w:pStyle w:val="TableBody"/>
              <w:spacing w:before="45" w:after="45"/>
              <w:ind w:right="57"/>
              <w:jc w:val="right"/>
              <w:rPr>
                <w:rFonts w:ascii="Arial (Body)" w:hAnsi="Arial (Body)"/>
                <w:color w:val="000000"/>
              </w:rPr>
            </w:pPr>
            <w:r w:rsidRPr="00DA3DF8">
              <w:t>69</w:t>
            </w:r>
          </w:p>
        </w:tc>
        <w:tc>
          <w:tcPr>
            <w:tcW w:w="227" w:type="pct"/>
            <w:shd w:val="clear" w:color="000000" w:fill="F2F2F2"/>
          </w:tcPr>
          <w:p w14:paraId="1FFDA850" w14:textId="77777777" w:rsidR="00696D3E" w:rsidRDefault="00696D3E">
            <w:pPr>
              <w:pStyle w:val="TableBody"/>
              <w:spacing w:before="45" w:after="45"/>
              <w:ind w:right="57"/>
              <w:jc w:val="right"/>
              <w:rPr>
                <w:rFonts w:ascii="Arial (Body)" w:hAnsi="Arial (Body)"/>
                <w:color w:val="000000"/>
              </w:rPr>
            </w:pPr>
            <w:r w:rsidRPr="00DA3DF8">
              <w:t>73</w:t>
            </w:r>
          </w:p>
        </w:tc>
        <w:tc>
          <w:tcPr>
            <w:tcW w:w="227" w:type="pct"/>
            <w:shd w:val="clear" w:color="000000" w:fill="F2F2F2"/>
          </w:tcPr>
          <w:p w14:paraId="612ED16A" w14:textId="77777777" w:rsidR="00696D3E" w:rsidRDefault="00696D3E">
            <w:pPr>
              <w:pStyle w:val="TableBody"/>
              <w:spacing w:before="45" w:after="45"/>
              <w:ind w:right="57"/>
              <w:jc w:val="right"/>
              <w:rPr>
                <w:rFonts w:ascii="Arial (Body)" w:hAnsi="Arial (Body)"/>
                <w:color w:val="000000"/>
              </w:rPr>
            </w:pPr>
            <w:r w:rsidRPr="00DA3DF8">
              <w:t>81</w:t>
            </w:r>
          </w:p>
        </w:tc>
        <w:tc>
          <w:tcPr>
            <w:tcW w:w="227" w:type="pct"/>
            <w:shd w:val="clear" w:color="000000" w:fill="F2F2F2"/>
          </w:tcPr>
          <w:p w14:paraId="5C24ACDE" w14:textId="77777777" w:rsidR="00696D3E" w:rsidRDefault="00696D3E">
            <w:pPr>
              <w:pStyle w:val="TableBody"/>
              <w:spacing w:before="45" w:after="45"/>
              <w:ind w:right="57"/>
              <w:jc w:val="right"/>
              <w:rPr>
                <w:rFonts w:ascii="Arial (Body)" w:hAnsi="Arial (Body)"/>
                <w:color w:val="000000"/>
              </w:rPr>
            </w:pPr>
            <w:r w:rsidRPr="00DA3DF8">
              <w:t>57</w:t>
            </w:r>
          </w:p>
        </w:tc>
        <w:tc>
          <w:tcPr>
            <w:tcW w:w="227" w:type="pct"/>
            <w:shd w:val="clear" w:color="000000" w:fill="F2F2F2"/>
          </w:tcPr>
          <w:p w14:paraId="0608A6EE" w14:textId="77777777" w:rsidR="00696D3E" w:rsidRDefault="00696D3E">
            <w:pPr>
              <w:pStyle w:val="TableBody"/>
              <w:spacing w:before="45" w:after="45"/>
              <w:ind w:right="57"/>
              <w:jc w:val="right"/>
              <w:rPr>
                <w:rFonts w:ascii="Arial (Body)" w:hAnsi="Arial (Body)"/>
                <w:color w:val="000000"/>
              </w:rPr>
            </w:pPr>
            <w:r w:rsidRPr="00DA3DF8">
              <w:t>43</w:t>
            </w:r>
          </w:p>
        </w:tc>
        <w:tc>
          <w:tcPr>
            <w:tcW w:w="227" w:type="pct"/>
            <w:shd w:val="clear" w:color="000000" w:fill="F2F2F2"/>
          </w:tcPr>
          <w:p w14:paraId="14F8A99E" w14:textId="77777777" w:rsidR="00696D3E" w:rsidRDefault="00696D3E">
            <w:pPr>
              <w:pStyle w:val="TableBody"/>
              <w:spacing w:before="45" w:after="45"/>
              <w:ind w:right="57"/>
              <w:jc w:val="right"/>
              <w:rPr>
                <w:rFonts w:ascii="Arial (Body)" w:hAnsi="Arial (Body)"/>
                <w:color w:val="000000"/>
              </w:rPr>
            </w:pPr>
            <w:r w:rsidRPr="00DA3DF8">
              <w:t>32</w:t>
            </w:r>
          </w:p>
        </w:tc>
        <w:tc>
          <w:tcPr>
            <w:tcW w:w="227" w:type="pct"/>
            <w:shd w:val="clear" w:color="000000" w:fill="F2F2F2"/>
          </w:tcPr>
          <w:p w14:paraId="228FCBDF" w14:textId="77777777" w:rsidR="00696D3E" w:rsidRDefault="00696D3E">
            <w:pPr>
              <w:pStyle w:val="TableBody"/>
              <w:spacing w:before="45" w:after="45"/>
              <w:ind w:right="57"/>
              <w:jc w:val="right"/>
              <w:rPr>
                <w:rFonts w:ascii="Arial (Body)" w:hAnsi="Arial (Body)"/>
                <w:color w:val="000000"/>
              </w:rPr>
            </w:pPr>
            <w:r w:rsidRPr="00DA3DF8">
              <w:t>40</w:t>
            </w:r>
          </w:p>
        </w:tc>
        <w:tc>
          <w:tcPr>
            <w:tcW w:w="227" w:type="pct"/>
            <w:shd w:val="clear" w:color="000000" w:fill="F2F2F2"/>
          </w:tcPr>
          <w:p w14:paraId="018CE9B4" w14:textId="77777777" w:rsidR="00696D3E" w:rsidRDefault="00696D3E">
            <w:pPr>
              <w:pStyle w:val="TableBody"/>
              <w:spacing w:before="45" w:after="45"/>
              <w:ind w:right="57"/>
              <w:jc w:val="right"/>
              <w:rPr>
                <w:rFonts w:ascii="Arial (Body)" w:hAnsi="Arial (Body)"/>
                <w:color w:val="000000"/>
              </w:rPr>
            </w:pPr>
            <w:r w:rsidRPr="00DA3DF8">
              <w:t>84</w:t>
            </w:r>
          </w:p>
        </w:tc>
        <w:tc>
          <w:tcPr>
            <w:tcW w:w="227" w:type="pct"/>
            <w:shd w:val="clear" w:color="000000" w:fill="F2F2F2"/>
          </w:tcPr>
          <w:p w14:paraId="15EE6101" w14:textId="77777777" w:rsidR="00696D3E" w:rsidRDefault="00696D3E">
            <w:pPr>
              <w:pStyle w:val="TableBody"/>
              <w:spacing w:before="45" w:after="45"/>
              <w:ind w:right="57"/>
              <w:jc w:val="right"/>
              <w:rPr>
                <w:rFonts w:ascii="Arial (Body)" w:hAnsi="Arial (Body)"/>
                <w:color w:val="000000"/>
              </w:rPr>
            </w:pPr>
            <w:r w:rsidRPr="00DA3DF8">
              <w:t>107</w:t>
            </w:r>
          </w:p>
        </w:tc>
        <w:tc>
          <w:tcPr>
            <w:tcW w:w="227" w:type="pct"/>
            <w:shd w:val="clear" w:color="000000" w:fill="F2F2F2"/>
          </w:tcPr>
          <w:p w14:paraId="750C2932" w14:textId="77777777" w:rsidR="00696D3E" w:rsidRDefault="00696D3E">
            <w:pPr>
              <w:pStyle w:val="TableBody"/>
              <w:spacing w:before="45" w:after="45"/>
              <w:ind w:right="57"/>
              <w:jc w:val="right"/>
              <w:rPr>
                <w:rFonts w:ascii="Arial (Body)" w:hAnsi="Arial (Body)"/>
                <w:color w:val="000000"/>
              </w:rPr>
            </w:pPr>
            <w:r w:rsidRPr="00DA3DF8">
              <w:t>83</w:t>
            </w:r>
          </w:p>
        </w:tc>
        <w:tc>
          <w:tcPr>
            <w:tcW w:w="227" w:type="pct"/>
            <w:shd w:val="clear" w:color="000000" w:fill="F2F2F2"/>
          </w:tcPr>
          <w:p w14:paraId="6E955397" w14:textId="77777777" w:rsidR="00696D3E" w:rsidRPr="00030C67" w:rsidRDefault="00696D3E">
            <w:pPr>
              <w:pStyle w:val="TableBody"/>
              <w:spacing w:before="45" w:after="45"/>
              <w:ind w:right="57"/>
              <w:jc w:val="right"/>
              <w:rPr>
                <w:rFonts w:ascii="Arial (Body)" w:hAnsi="Arial (Body)"/>
                <w:color w:val="000000"/>
              </w:rPr>
            </w:pPr>
            <w:r w:rsidRPr="00DA3DF8">
              <w:t>92</w:t>
            </w:r>
          </w:p>
        </w:tc>
        <w:tc>
          <w:tcPr>
            <w:tcW w:w="227" w:type="pct"/>
            <w:shd w:val="clear" w:color="000000" w:fill="F2F2F2"/>
          </w:tcPr>
          <w:p w14:paraId="71B4CA27" w14:textId="77777777" w:rsidR="00696D3E" w:rsidRPr="00030C67" w:rsidRDefault="00696D3E">
            <w:pPr>
              <w:pStyle w:val="TableBody"/>
              <w:spacing w:before="45" w:after="45"/>
              <w:ind w:right="57"/>
              <w:jc w:val="right"/>
              <w:rPr>
                <w:rFonts w:ascii="Arial (Body)" w:hAnsi="Arial (Body)"/>
                <w:color w:val="000000"/>
              </w:rPr>
            </w:pPr>
            <w:r w:rsidRPr="00DA3DF8">
              <w:t>91</w:t>
            </w:r>
          </w:p>
        </w:tc>
        <w:tc>
          <w:tcPr>
            <w:tcW w:w="227" w:type="pct"/>
            <w:shd w:val="clear" w:color="000000" w:fill="F2F2F2"/>
          </w:tcPr>
          <w:p w14:paraId="3FBC3593" w14:textId="77777777" w:rsidR="00696D3E" w:rsidRPr="00030C67" w:rsidRDefault="00696D3E">
            <w:pPr>
              <w:pStyle w:val="TableBody"/>
              <w:spacing w:before="45" w:after="45"/>
              <w:ind w:right="57"/>
              <w:jc w:val="right"/>
              <w:rPr>
                <w:rFonts w:ascii="Arial (Body)" w:hAnsi="Arial (Body)"/>
                <w:color w:val="000000"/>
              </w:rPr>
            </w:pPr>
            <w:r w:rsidRPr="00DA3DF8">
              <w:t>72</w:t>
            </w:r>
          </w:p>
        </w:tc>
        <w:tc>
          <w:tcPr>
            <w:tcW w:w="227" w:type="pct"/>
            <w:shd w:val="clear" w:color="000000" w:fill="F2F2F2"/>
          </w:tcPr>
          <w:p w14:paraId="32602889" w14:textId="77777777" w:rsidR="00696D3E" w:rsidRPr="00030C67" w:rsidRDefault="00696D3E">
            <w:pPr>
              <w:pStyle w:val="TableBody"/>
              <w:spacing w:before="45" w:after="45"/>
              <w:ind w:right="57"/>
              <w:jc w:val="right"/>
              <w:rPr>
                <w:rFonts w:ascii="Arial (Body)" w:hAnsi="Arial (Body)"/>
                <w:color w:val="000000"/>
              </w:rPr>
            </w:pPr>
            <w:r w:rsidRPr="00DA3DF8">
              <w:t>91</w:t>
            </w:r>
          </w:p>
        </w:tc>
        <w:tc>
          <w:tcPr>
            <w:tcW w:w="282" w:type="pct"/>
            <w:shd w:val="clear" w:color="000000" w:fill="F2F2F2"/>
          </w:tcPr>
          <w:p w14:paraId="2DFFEB55" w14:textId="77777777" w:rsidR="00696D3E" w:rsidRPr="00030C67" w:rsidRDefault="00696D3E">
            <w:pPr>
              <w:pStyle w:val="TableBody"/>
              <w:spacing w:before="45" w:after="45"/>
              <w:ind w:right="57"/>
              <w:jc w:val="right"/>
              <w:rPr>
                <w:rFonts w:ascii="Arial (Body)" w:hAnsi="Arial (Body)"/>
                <w:color w:val="000000"/>
              </w:rPr>
            </w:pPr>
            <w:r w:rsidRPr="00E63CA7">
              <w:t>58</w:t>
            </w:r>
          </w:p>
        </w:tc>
      </w:tr>
      <w:tr w:rsidR="00696D3E" w:rsidRPr="00030C67" w14:paraId="420284F9" w14:textId="77777777">
        <w:tc>
          <w:tcPr>
            <w:tcW w:w="405" w:type="pct"/>
            <w:shd w:val="clear" w:color="auto" w:fill="auto"/>
          </w:tcPr>
          <w:p w14:paraId="22F2A7D8" w14:textId="77777777" w:rsidR="00696D3E" w:rsidRDefault="00696D3E">
            <w:pPr>
              <w:pStyle w:val="TableHeading"/>
            </w:pPr>
            <w:r>
              <w:t>2018</w:t>
            </w:r>
          </w:p>
        </w:tc>
        <w:tc>
          <w:tcPr>
            <w:tcW w:w="227" w:type="pct"/>
            <w:shd w:val="clear" w:color="auto" w:fill="auto"/>
          </w:tcPr>
          <w:p w14:paraId="521DE04F" w14:textId="77777777" w:rsidR="00696D3E" w:rsidRDefault="00696D3E">
            <w:pPr>
              <w:pStyle w:val="TableBody"/>
              <w:spacing w:before="45" w:after="45"/>
              <w:ind w:right="57"/>
              <w:jc w:val="right"/>
              <w:rPr>
                <w:rFonts w:ascii="Arial (Body)" w:hAnsi="Arial (Body)"/>
                <w:color w:val="000000"/>
              </w:rPr>
            </w:pPr>
            <w:r w:rsidRPr="00DA3DF8">
              <w:t>34</w:t>
            </w:r>
          </w:p>
        </w:tc>
        <w:tc>
          <w:tcPr>
            <w:tcW w:w="227" w:type="pct"/>
            <w:shd w:val="clear" w:color="auto" w:fill="auto"/>
          </w:tcPr>
          <w:p w14:paraId="5F33248B" w14:textId="77777777" w:rsidR="00696D3E" w:rsidRDefault="00696D3E">
            <w:pPr>
              <w:pStyle w:val="TableBody"/>
              <w:spacing w:before="45" w:after="45"/>
              <w:ind w:right="57"/>
              <w:jc w:val="right"/>
              <w:rPr>
                <w:rFonts w:ascii="Arial (Body)" w:hAnsi="Arial (Body)"/>
                <w:color w:val="000000"/>
              </w:rPr>
            </w:pPr>
            <w:r w:rsidRPr="00DA3DF8">
              <w:t>18</w:t>
            </w:r>
          </w:p>
        </w:tc>
        <w:tc>
          <w:tcPr>
            <w:tcW w:w="227" w:type="pct"/>
            <w:shd w:val="clear" w:color="auto" w:fill="auto"/>
          </w:tcPr>
          <w:p w14:paraId="480DCD46" w14:textId="77777777" w:rsidR="00696D3E" w:rsidRDefault="00696D3E">
            <w:pPr>
              <w:pStyle w:val="TableBody"/>
              <w:spacing w:before="45" w:after="45"/>
              <w:ind w:right="57"/>
              <w:jc w:val="right"/>
              <w:rPr>
                <w:rFonts w:ascii="Arial (Body)" w:hAnsi="Arial (Body)"/>
                <w:color w:val="000000"/>
              </w:rPr>
            </w:pPr>
            <w:r w:rsidRPr="00DA3DF8">
              <w:t>65</w:t>
            </w:r>
          </w:p>
        </w:tc>
        <w:tc>
          <w:tcPr>
            <w:tcW w:w="227" w:type="pct"/>
            <w:shd w:val="clear" w:color="auto" w:fill="auto"/>
          </w:tcPr>
          <w:p w14:paraId="5488DC08" w14:textId="77777777" w:rsidR="00696D3E" w:rsidRDefault="00696D3E">
            <w:pPr>
              <w:pStyle w:val="TableBody"/>
              <w:spacing w:before="45" w:after="45"/>
              <w:ind w:right="57"/>
              <w:jc w:val="right"/>
              <w:rPr>
                <w:rFonts w:ascii="Arial (Body)" w:hAnsi="Arial (Body)"/>
                <w:color w:val="000000"/>
              </w:rPr>
            </w:pPr>
            <w:r w:rsidRPr="00DA3DF8">
              <w:t>31</w:t>
            </w:r>
          </w:p>
        </w:tc>
        <w:tc>
          <w:tcPr>
            <w:tcW w:w="227" w:type="pct"/>
            <w:shd w:val="clear" w:color="auto" w:fill="auto"/>
          </w:tcPr>
          <w:p w14:paraId="216E0470" w14:textId="77777777" w:rsidR="00696D3E" w:rsidRDefault="00696D3E">
            <w:pPr>
              <w:pStyle w:val="TableBody"/>
              <w:spacing w:before="45" w:after="45"/>
              <w:ind w:right="57"/>
              <w:jc w:val="right"/>
              <w:rPr>
                <w:rFonts w:ascii="Arial (Body)" w:hAnsi="Arial (Body)"/>
                <w:color w:val="000000"/>
              </w:rPr>
            </w:pPr>
            <w:r w:rsidRPr="00DA3DF8">
              <w:t>67</w:t>
            </w:r>
          </w:p>
        </w:tc>
        <w:tc>
          <w:tcPr>
            <w:tcW w:w="227" w:type="pct"/>
            <w:shd w:val="clear" w:color="auto" w:fill="auto"/>
          </w:tcPr>
          <w:p w14:paraId="14ACF4E3" w14:textId="77777777" w:rsidR="00696D3E" w:rsidRDefault="00696D3E">
            <w:pPr>
              <w:pStyle w:val="TableBody"/>
              <w:spacing w:before="45" w:after="45"/>
              <w:ind w:right="57"/>
              <w:jc w:val="right"/>
              <w:rPr>
                <w:rFonts w:ascii="Arial (Body)" w:hAnsi="Arial (Body)"/>
                <w:color w:val="000000"/>
              </w:rPr>
            </w:pPr>
            <w:r w:rsidRPr="00DA3DF8">
              <w:t>68</w:t>
            </w:r>
          </w:p>
        </w:tc>
        <w:tc>
          <w:tcPr>
            <w:tcW w:w="227" w:type="pct"/>
            <w:shd w:val="clear" w:color="auto" w:fill="auto"/>
          </w:tcPr>
          <w:p w14:paraId="4A3B64C8" w14:textId="77777777" w:rsidR="00696D3E" w:rsidRDefault="00696D3E">
            <w:pPr>
              <w:pStyle w:val="TableBody"/>
              <w:spacing w:before="45" w:after="45"/>
              <w:ind w:right="57"/>
              <w:jc w:val="right"/>
              <w:rPr>
                <w:rFonts w:ascii="Arial (Body)" w:hAnsi="Arial (Body)"/>
                <w:color w:val="000000"/>
              </w:rPr>
            </w:pPr>
            <w:r w:rsidRPr="00DA3DF8">
              <w:t>73</w:t>
            </w:r>
          </w:p>
        </w:tc>
        <w:tc>
          <w:tcPr>
            <w:tcW w:w="227" w:type="pct"/>
            <w:shd w:val="clear" w:color="auto" w:fill="auto"/>
          </w:tcPr>
          <w:p w14:paraId="63962EF6" w14:textId="77777777" w:rsidR="00696D3E" w:rsidRDefault="00696D3E">
            <w:pPr>
              <w:pStyle w:val="TableBody"/>
              <w:spacing w:before="45" w:after="45"/>
              <w:ind w:right="57"/>
              <w:jc w:val="right"/>
              <w:rPr>
                <w:rFonts w:ascii="Arial (Body)" w:hAnsi="Arial (Body)"/>
                <w:color w:val="000000"/>
              </w:rPr>
            </w:pPr>
            <w:r w:rsidRPr="00DA3DF8">
              <w:t>80</w:t>
            </w:r>
          </w:p>
        </w:tc>
        <w:tc>
          <w:tcPr>
            <w:tcW w:w="227" w:type="pct"/>
            <w:shd w:val="clear" w:color="auto" w:fill="auto"/>
          </w:tcPr>
          <w:p w14:paraId="13947933" w14:textId="77777777" w:rsidR="00696D3E" w:rsidRDefault="00696D3E">
            <w:pPr>
              <w:pStyle w:val="TableBody"/>
              <w:spacing w:before="45" w:after="45"/>
              <w:ind w:right="57"/>
              <w:jc w:val="right"/>
              <w:rPr>
                <w:rFonts w:ascii="Arial (Body)" w:hAnsi="Arial (Body)"/>
                <w:color w:val="000000"/>
              </w:rPr>
            </w:pPr>
            <w:r w:rsidRPr="00DA3DF8">
              <w:t>58</w:t>
            </w:r>
          </w:p>
        </w:tc>
        <w:tc>
          <w:tcPr>
            <w:tcW w:w="227" w:type="pct"/>
            <w:shd w:val="clear" w:color="auto" w:fill="auto"/>
          </w:tcPr>
          <w:p w14:paraId="41FA473C" w14:textId="77777777" w:rsidR="00696D3E" w:rsidRDefault="00696D3E">
            <w:pPr>
              <w:pStyle w:val="TableBody"/>
              <w:spacing w:before="45" w:after="45"/>
              <w:ind w:right="57"/>
              <w:jc w:val="right"/>
              <w:rPr>
                <w:rFonts w:ascii="Arial (Body)" w:hAnsi="Arial (Body)"/>
                <w:color w:val="000000"/>
              </w:rPr>
            </w:pPr>
            <w:r w:rsidRPr="00DA3DF8">
              <w:t>45</w:t>
            </w:r>
          </w:p>
        </w:tc>
        <w:tc>
          <w:tcPr>
            <w:tcW w:w="227" w:type="pct"/>
            <w:shd w:val="clear" w:color="auto" w:fill="auto"/>
          </w:tcPr>
          <w:p w14:paraId="398B9AFE" w14:textId="77777777" w:rsidR="00696D3E" w:rsidRDefault="00696D3E">
            <w:pPr>
              <w:pStyle w:val="TableBody"/>
              <w:spacing w:before="45" w:after="45"/>
              <w:ind w:right="57"/>
              <w:jc w:val="right"/>
              <w:rPr>
                <w:rFonts w:ascii="Arial (Body)" w:hAnsi="Arial (Body)"/>
                <w:color w:val="000000"/>
              </w:rPr>
            </w:pPr>
            <w:r w:rsidRPr="00DA3DF8">
              <w:t>33</w:t>
            </w:r>
          </w:p>
        </w:tc>
        <w:tc>
          <w:tcPr>
            <w:tcW w:w="227" w:type="pct"/>
            <w:shd w:val="clear" w:color="auto" w:fill="auto"/>
          </w:tcPr>
          <w:p w14:paraId="3BC5E614" w14:textId="77777777" w:rsidR="00696D3E" w:rsidRDefault="00696D3E">
            <w:pPr>
              <w:pStyle w:val="TableBody"/>
              <w:spacing w:before="45" w:after="45"/>
              <w:ind w:right="57"/>
              <w:jc w:val="right"/>
              <w:rPr>
                <w:rFonts w:ascii="Arial (Body)" w:hAnsi="Arial (Body)"/>
                <w:color w:val="000000"/>
              </w:rPr>
            </w:pPr>
            <w:r w:rsidRPr="00DA3DF8">
              <w:t>42</w:t>
            </w:r>
          </w:p>
        </w:tc>
        <w:tc>
          <w:tcPr>
            <w:tcW w:w="227" w:type="pct"/>
            <w:shd w:val="clear" w:color="auto" w:fill="auto"/>
          </w:tcPr>
          <w:p w14:paraId="32186502" w14:textId="77777777" w:rsidR="00696D3E" w:rsidRDefault="00696D3E">
            <w:pPr>
              <w:pStyle w:val="TableBody"/>
              <w:spacing w:before="45" w:after="45"/>
              <w:ind w:right="57"/>
              <w:jc w:val="right"/>
              <w:rPr>
                <w:rFonts w:ascii="Arial (Body)" w:hAnsi="Arial (Body)"/>
                <w:color w:val="000000"/>
              </w:rPr>
            </w:pPr>
            <w:r w:rsidRPr="00DA3DF8">
              <w:t>85</w:t>
            </w:r>
          </w:p>
        </w:tc>
        <w:tc>
          <w:tcPr>
            <w:tcW w:w="227" w:type="pct"/>
            <w:shd w:val="clear" w:color="auto" w:fill="auto"/>
          </w:tcPr>
          <w:p w14:paraId="6CE7CC19" w14:textId="77777777" w:rsidR="00696D3E" w:rsidRDefault="00696D3E">
            <w:pPr>
              <w:pStyle w:val="TableBody"/>
              <w:spacing w:before="45" w:after="45"/>
              <w:ind w:right="57"/>
              <w:jc w:val="right"/>
              <w:rPr>
                <w:rFonts w:ascii="Arial (Body)" w:hAnsi="Arial (Body)"/>
                <w:color w:val="000000"/>
              </w:rPr>
            </w:pPr>
            <w:r w:rsidRPr="00DA3DF8">
              <w:t>109</w:t>
            </w:r>
          </w:p>
        </w:tc>
        <w:tc>
          <w:tcPr>
            <w:tcW w:w="227" w:type="pct"/>
            <w:shd w:val="clear" w:color="auto" w:fill="auto"/>
          </w:tcPr>
          <w:p w14:paraId="138DDB23" w14:textId="77777777" w:rsidR="00696D3E" w:rsidRDefault="00696D3E">
            <w:pPr>
              <w:pStyle w:val="TableBody"/>
              <w:spacing w:before="45" w:after="45"/>
              <w:ind w:right="57"/>
              <w:jc w:val="right"/>
              <w:rPr>
                <w:rFonts w:ascii="Arial (Body)" w:hAnsi="Arial (Body)"/>
                <w:color w:val="000000"/>
              </w:rPr>
            </w:pPr>
            <w:r w:rsidRPr="00DA3DF8">
              <w:t>83</w:t>
            </w:r>
          </w:p>
        </w:tc>
        <w:tc>
          <w:tcPr>
            <w:tcW w:w="227" w:type="pct"/>
            <w:shd w:val="clear" w:color="auto" w:fill="auto"/>
          </w:tcPr>
          <w:p w14:paraId="441C9186" w14:textId="77777777" w:rsidR="00696D3E" w:rsidRPr="00030C67" w:rsidRDefault="00696D3E">
            <w:pPr>
              <w:pStyle w:val="TableBody"/>
              <w:spacing w:before="45" w:after="45"/>
              <w:ind w:right="57"/>
              <w:jc w:val="right"/>
              <w:rPr>
                <w:rFonts w:ascii="Arial (Body)" w:hAnsi="Arial (Body)"/>
                <w:color w:val="000000"/>
              </w:rPr>
            </w:pPr>
            <w:r w:rsidRPr="00DA3DF8">
              <w:t>93</w:t>
            </w:r>
          </w:p>
        </w:tc>
        <w:tc>
          <w:tcPr>
            <w:tcW w:w="227" w:type="pct"/>
            <w:shd w:val="clear" w:color="auto" w:fill="auto"/>
          </w:tcPr>
          <w:p w14:paraId="1707AA48" w14:textId="77777777" w:rsidR="00696D3E" w:rsidRPr="00030C67" w:rsidRDefault="00696D3E">
            <w:pPr>
              <w:pStyle w:val="TableBody"/>
              <w:spacing w:before="45" w:after="45"/>
              <w:ind w:right="57"/>
              <w:jc w:val="right"/>
              <w:rPr>
                <w:rFonts w:ascii="Arial (Body)" w:hAnsi="Arial (Body)"/>
                <w:color w:val="000000"/>
              </w:rPr>
            </w:pPr>
            <w:r w:rsidRPr="00DA3DF8">
              <w:t>91</w:t>
            </w:r>
          </w:p>
        </w:tc>
        <w:tc>
          <w:tcPr>
            <w:tcW w:w="227" w:type="pct"/>
            <w:shd w:val="clear" w:color="auto" w:fill="auto"/>
          </w:tcPr>
          <w:p w14:paraId="1C1C5583" w14:textId="77777777" w:rsidR="00696D3E" w:rsidRPr="00030C67" w:rsidRDefault="00696D3E">
            <w:pPr>
              <w:pStyle w:val="TableBody"/>
              <w:spacing w:before="45" w:after="45"/>
              <w:ind w:right="57"/>
              <w:jc w:val="right"/>
              <w:rPr>
                <w:rFonts w:ascii="Arial (Body)" w:hAnsi="Arial (Body)"/>
                <w:color w:val="000000"/>
              </w:rPr>
            </w:pPr>
            <w:r w:rsidRPr="00DA3DF8">
              <w:t>70</w:t>
            </w:r>
          </w:p>
        </w:tc>
        <w:tc>
          <w:tcPr>
            <w:tcW w:w="227" w:type="pct"/>
            <w:shd w:val="clear" w:color="auto" w:fill="auto"/>
          </w:tcPr>
          <w:p w14:paraId="060955C4" w14:textId="77777777" w:rsidR="00696D3E" w:rsidRPr="00030C67" w:rsidRDefault="00696D3E">
            <w:pPr>
              <w:pStyle w:val="TableBody"/>
              <w:spacing w:before="45" w:after="45"/>
              <w:ind w:right="57"/>
              <w:jc w:val="right"/>
              <w:rPr>
                <w:rFonts w:ascii="Arial (Body)" w:hAnsi="Arial (Body)"/>
                <w:color w:val="000000"/>
              </w:rPr>
            </w:pPr>
            <w:r w:rsidRPr="00DA3DF8">
              <w:t>93</w:t>
            </w:r>
          </w:p>
        </w:tc>
        <w:tc>
          <w:tcPr>
            <w:tcW w:w="282" w:type="pct"/>
            <w:shd w:val="clear" w:color="auto" w:fill="auto"/>
          </w:tcPr>
          <w:p w14:paraId="2F2BE525" w14:textId="77777777" w:rsidR="00696D3E" w:rsidRPr="00030C67" w:rsidRDefault="00696D3E">
            <w:pPr>
              <w:pStyle w:val="TableBody"/>
              <w:spacing w:before="45" w:after="45"/>
              <w:ind w:right="57"/>
              <w:jc w:val="right"/>
              <w:rPr>
                <w:rFonts w:ascii="Arial (Body)" w:hAnsi="Arial (Body)"/>
                <w:color w:val="000000"/>
              </w:rPr>
            </w:pPr>
            <w:r w:rsidRPr="00E63CA7">
              <w:t>58</w:t>
            </w:r>
          </w:p>
        </w:tc>
      </w:tr>
      <w:tr w:rsidR="00696D3E" w:rsidRPr="00030C67" w14:paraId="0E19381B" w14:textId="77777777">
        <w:tc>
          <w:tcPr>
            <w:tcW w:w="405" w:type="pct"/>
            <w:shd w:val="clear" w:color="000000" w:fill="F2F2F2"/>
          </w:tcPr>
          <w:p w14:paraId="75B417B3" w14:textId="77777777" w:rsidR="00696D3E" w:rsidRDefault="00696D3E">
            <w:pPr>
              <w:pStyle w:val="TableHeading"/>
            </w:pPr>
            <w:r>
              <w:t>2019</w:t>
            </w:r>
          </w:p>
        </w:tc>
        <w:tc>
          <w:tcPr>
            <w:tcW w:w="227" w:type="pct"/>
            <w:shd w:val="clear" w:color="000000" w:fill="F2F2F2"/>
          </w:tcPr>
          <w:p w14:paraId="18FE26AA" w14:textId="77777777" w:rsidR="00696D3E" w:rsidRDefault="00696D3E">
            <w:pPr>
              <w:pStyle w:val="TableBody"/>
              <w:spacing w:before="45" w:after="45"/>
              <w:ind w:right="57"/>
              <w:jc w:val="right"/>
              <w:rPr>
                <w:rFonts w:ascii="Arial (Body)" w:hAnsi="Arial (Body)"/>
                <w:color w:val="000000"/>
              </w:rPr>
            </w:pPr>
            <w:r w:rsidRPr="00DA3DF8">
              <w:t>40</w:t>
            </w:r>
          </w:p>
        </w:tc>
        <w:tc>
          <w:tcPr>
            <w:tcW w:w="227" w:type="pct"/>
            <w:shd w:val="clear" w:color="000000" w:fill="F2F2F2"/>
          </w:tcPr>
          <w:p w14:paraId="691E0C51" w14:textId="77777777" w:rsidR="00696D3E" w:rsidRDefault="00696D3E">
            <w:pPr>
              <w:pStyle w:val="TableBody"/>
              <w:spacing w:before="45" w:after="45"/>
              <w:ind w:right="57"/>
              <w:jc w:val="right"/>
              <w:rPr>
                <w:rFonts w:ascii="Arial (Body)" w:hAnsi="Arial (Body)"/>
                <w:color w:val="000000"/>
              </w:rPr>
            </w:pPr>
            <w:r w:rsidRPr="00DA3DF8">
              <w:t>15</w:t>
            </w:r>
          </w:p>
        </w:tc>
        <w:tc>
          <w:tcPr>
            <w:tcW w:w="227" w:type="pct"/>
            <w:shd w:val="clear" w:color="000000" w:fill="F2F2F2"/>
          </w:tcPr>
          <w:p w14:paraId="40CB60FC" w14:textId="77777777" w:rsidR="00696D3E" w:rsidRDefault="00696D3E">
            <w:pPr>
              <w:pStyle w:val="TableBody"/>
              <w:spacing w:before="45" w:after="45"/>
              <w:ind w:right="57"/>
              <w:jc w:val="right"/>
              <w:rPr>
                <w:rFonts w:ascii="Arial (Body)" w:hAnsi="Arial (Body)"/>
                <w:color w:val="000000"/>
              </w:rPr>
            </w:pPr>
            <w:r w:rsidRPr="00DA3DF8">
              <w:t>66</w:t>
            </w:r>
          </w:p>
        </w:tc>
        <w:tc>
          <w:tcPr>
            <w:tcW w:w="227" w:type="pct"/>
            <w:shd w:val="clear" w:color="000000" w:fill="F2F2F2"/>
          </w:tcPr>
          <w:p w14:paraId="55546A0E" w14:textId="77777777" w:rsidR="00696D3E" w:rsidRDefault="00696D3E">
            <w:pPr>
              <w:pStyle w:val="TableBody"/>
              <w:spacing w:before="45" w:after="45"/>
              <w:ind w:right="57"/>
              <w:jc w:val="right"/>
              <w:rPr>
                <w:rFonts w:ascii="Arial (Body)" w:hAnsi="Arial (Body)"/>
                <w:color w:val="000000"/>
              </w:rPr>
            </w:pPr>
            <w:r w:rsidRPr="00DA3DF8">
              <w:t>32</w:t>
            </w:r>
          </w:p>
        </w:tc>
        <w:tc>
          <w:tcPr>
            <w:tcW w:w="227" w:type="pct"/>
            <w:shd w:val="clear" w:color="000000" w:fill="F2F2F2"/>
          </w:tcPr>
          <w:p w14:paraId="22757201" w14:textId="77777777" w:rsidR="00696D3E" w:rsidRDefault="00696D3E">
            <w:pPr>
              <w:pStyle w:val="TableBody"/>
              <w:spacing w:before="45" w:after="45"/>
              <w:ind w:right="57"/>
              <w:jc w:val="right"/>
              <w:rPr>
                <w:rFonts w:ascii="Arial (Body)" w:hAnsi="Arial (Body)"/>
                <w:color w:val="000000"/>
              </w:rPr>
            </w:pPr>
            <w:r w:rsidRPr="00DA3DF8">
              <w:t>66</w:t>
            </w:r>
          </w:p>
        </w:tc>
        <w:tc>
          <w:tcPr>
            <w:tcW w:w="227" w:type="pct"/>
            <w:shd w:val="clear" w:color="000000" w:fill="F2F2F2"/>
          </w:tcPr>
          <w:p w14:paraId="0EA35ED1" w14:textId="77777777" w:rsidR="00696D3E" w:rsidRDefault="00696D3E">
            <w:pPr>
              <w:pStyle w:val="TableBody"/>
              <w:spacing w:before="45" w:after="45"/>
              <w:ind w:right="57"/>
              <w:jc w:val="right"/>
              <w:rPr>
                <w:rFonts w:ascii="Arial (Body)" w:hAnsi="Arial (Body)"/>
                <w:color w:val="000000"/>
              </w:rPr>
            </w:pPr>
            <w:r w:rsidRPr="00DA3DF8">
              <w:t>69</w:t>
            </w:r>
          </w:p>
        </w:tc>
        <w:tc>
          <w:tcPr>
            <w:tcW w:w="227" w:type="pct"/>
            <w:shd w:val="clear" w:color="000000" w:fill="F2F2F2"/>
          </w:tcPr>
          <w:p w14:paraId="2C793239" w14:textId="77777777" w:rsidR="00696D3E" w:rsidRDefault="00696D3E">
            <w:pPr>
              <w:pStyle w:val="TableBody"/>
              <w:spacing w:before="45" w:after="45"/>
              <w:ind w:right="57"/>
              <w:jc w:val="right"/>
              <w:rPr>
                <w:rFonts w:ascii="Arial (Body)" w:hAnsi="Arial (Body)"/>
                <w:color w:val="000000"/>
              </w:rPr>
            </w:pPr>
            <w:r w:rsidRPr="00DA3DF8">
              <w:t>74</w:t>
            </w:r>
          </w:p>
        </w:tc>
        <w:tc>
          <w:tcPr>
            <w:tcW w:w="227" w:type="pct"/>
            <w:shd w:val="clear" w:color="000000" w:fill="F2F2F2"/>
          </w:tcPr>
          <w:p w14:paraId="40887452" w14:textId="77777777" w:rsidR="00696D3E" w:rsidRDefault="00696D3E">
            <w:pPr>
              <w:pStyle w:val="TableBody"/>
              <w:spacing w:before="45" w:after="45"/>
              <w:ind w:right="57"/>
              <w:jc w:val="right"/>
              <w:rPr>
                <w:rFonts w:ascii="Arial (Body)" w:hAnsi="Arial (Body)"/>
                <w:color w:val="000000"/>
              </w:rPr>
            </w:pPr>
            <w:r w:rsidRPr="00DA3DF8">
              <w:t>82</w:t>
            </w:r>
          </w:p>
        </w:tc>
        <w:tc>
          <w:tcPr>
            <w:tcW w:w="227" w:type="pct"/>
            <w:shd w:val="clear" w:color="000000" w:fill="F2F2F2"/>
          </w:tcPr>
          <w:p w14:paraId="4DE34FCB" w14:textId="77777777" w:rsidR="00696D3E" w:rsidRDefault="00696D3E">
            <w:pPr>
              <w:pStyle w:val="TableBody"/>
              <w:spacing w:before="45" w:after="45"/>
              <w:ind w:right="57"/>
              <w:jc w:val="right"/>
              <w:rPr>
                <w:rFonts w:ascii="Arial (Body)" w:hAnsi="Arial (Body)"/>
                <w:color w:val="000000"/>
              </w:rPr>
            </w:pPr>
            <w:r w:rsidRPr="00DA3DF8">
              <w:t>59</w:t>
            </w:r>
          </w:p>
        </w:tc>
        <w:tc>
          <w:tcPr>
            <w:tcW w:w="227" w:type="pct"/>
            <w:shd w:val="clear" w:color="000000" w:fill="F2F2F2"/>
          </w:tcPr>
          <w:p w14:paraId="24790F11" w14:textId="77777777" w:rsidR="00696D3E" w:rsidRDefault="00696D3E">
            <w:pPr>
              <w:pStyle w:val="TableBody"/>
              <w:spacing w:before="45" w:after="45"/>
              <w:ind w:right="57"/>
              <w:jc w:val="right"/>
              <w:rPr>
                <w:rFonts w:ascii="Arial (Body)" w:hAnsi="Arial (Body)"/>
                <w:color w:val="000000"/>
              </w:rPr>
            </w:pPr>
            <w:r w:rsidRPr="00DA3DF8">
              <w:t>50</w:t>
            </w:r>
          </w:p>
        </w:tc>
        <w:tc>
          <w:tcPr>
            <w:tcW w:w="227" w:type="pct"/>
            <w:shd w:val="clear" w:color="000000" w:fill="F2F2F2"/>
          </w:tcPr>
          <w:p w14:paraId="5343BD5E" w14:textId="77777777" w:rsidR="00696D3E" w:rsidRDefault="00696D3E">
            <w:pPr>
              <w:pStyle w:val="TableBody"/>
              <w:spacing w:before="45" w:after="45"/>
              <w:ind w:right="57"/>
              <w:jc w:val="right"/>
              <w:rPr>
                <w:rFonts w:ascii="Arial (Body)" w:hAnsi="Arial (Body)"/>
                <w:color w:val="000000"/>
              </w:rPr>
            </w:pPr>
            <w:r w:rsidRPr="00DA3DF8">
              <w:t>33</w:t>
            </w:r>
          </w:p>
        </w:tc>
        <w:tc>
          <w:tcPr>
            <w:tcW w:w="227" w:type="pct"/>
            <w:shd w:val="clear" w:color="000000" w:fill="F2F2F2"/>
          </w:tcPr>
          <w:p w14:paraId="68C48FD8" w14:textId="77777777" w:rsidR="00696D3E" w:rsidRDefault="00696D3E">
            <w:pPr>
              <w:pStyle w:val="TableBody"/>
              <w:spacing w:before="45" w:after="45"/>
              <w:ind w:right="57"/>
              <w:jc w:val="right"/>
              <w:rPr>
                <w:rFonts w:ascii="Arial (Body)" w:hAnsi="Arial (Body)"/>
                <w:color w:val="000000"/>
              </w:rPr>
            </w:pPr>
            <w:r w:rsidRPr="00DA3DF8">
              <w:t>40</w:t>
            </w:r>
          </w:p>
        </w:tc>
        <w:tc>
          <w:tcPr>
            <w:tcW w:w="227" w:type="pct"/>
            <w:shd w:val="clear" w:color="000000" w:fill="F2F2F2"/>
          </w:tcPr>
          <w:p w14:paraId="57CF435C" w14:textId="77777777" w:rsidR="00696D3E" w:rsidRDefault="00696D3E">
            <w:pPr>
              <w:pStyle w:val="TableBody"/>
              <w:spacing w:before="45" w:after="45"/>
              <w:ind w:right="57"/>
              <w:jc w:val="right"/>
              <w:rPr>
                <w:rFonts w:ascii="Arial (Body)" w:hAnsi="Arial (Body)"/>
                <w:color w:val="000000"/>
              </w:rPr>
            </w:pPr>
            <w:r w:rsidRPr="00DA3DF8">
              <w:t>85</w:t>
            </w:r>
          </w:p>
        </w:tc>
        <w:tc>
          <w:tcPr>
            <w:tcW w:w="227" w:type="pct"/>
            <w:shd w:val="clear" w:color="000000" w:fill="F2F2F2"/>
          </w:tcPr>
          <w:p w14:paraId="4557FDDC" w14:textId="77777777" w:rsidR="00696D3E" w:rsidRDefault="00696D3E">
            <w:pPr>
              <w:pStyle w:val="TableBody"/>
              <w:spacing w:before="45" w:after="45"/>
              <w:ind w:right="57"/>
              <w:jc w:val="right"/>
              <w:rPr>
                <w:rFonts w:ascii="Arial (Body)" w:hAnsi="Arial (Body)"/>
                <w:color w:val="000000"/>
              </w:rPr>
            </w:pPr>
            <w:r w:rsidRPr="00DA3DF8">
              <w:t>106</w:t>
            </w:r>
          </w:p>
        </w:tc>
        <w:tc>
          <w:tcPr>
            <w:tcW w:w="227" w:type="pct"/>
            <w:shd w:val="clear" w:color="000000" w:fill="F2F2F2"/>
          </w:tcPr>
          <w:p w14:paraId="5BB2A7CD" w14:textId="77777777" w:rsidR="00696D3E" w:rsidRDefault="00696D3E">
            <w:pPr>
              <w:pStyle w:val="TableBody"/>
              <w:spacing w:before="45" w:after="45"/>
              <w:ind w:right="57"/>
              <w:jc w:val="right"/>
              <w:rPr>
                <w:rFonts w:ascii="Arial (Body)" w:hAnsi="Arial (Body)"/>
                <w:color w:val="000000"/>
              </w:rPr>
            </w:pPr>
            <w:r w:rsidRPr="00DA3DF8">
              <w:t>83</w:t>
            </w:r>
          </w:p>
        </w:tc>
        <w:tc>
          <w:tcPr>
            <w:tcW w:w="227" w:type="pct"/>
            <w:shd w:val="clear" w:color="000000" w:fill="F2F2F2"/>
          </w:tcPr>
          <w:p w14:paraId="6FDC5D3B" w14:textId="77777777" w:rsidR="00696D3E" w:rsidRPr="00030C67" w:rsidRDefault="00696D3E">
            <w:pPr>
              <w:pStyle w:val="TableBody"/>
              <w:spacing w:before="45" w:after="45"/>
              <w:ind w:right="57"/>
              <w:jc w:val="right"/>
              <w:rPr>
                <w:rFonts w:ascii="Arial (Body)" w:hAnsi="Arial (Body)"/>
                <w:color w:val="000000"/>
              </w:rPr>
            </w:pPr>
            <w:r w:rsidRPr="00DA3DF8">
              <w:t>92</w:t>
            </w:r>
          </w:p>
        </w:tc>
        <w:tc>
          <w:tcPr>
            <w:tcW w:w="227" w:type="pct"/>
            <w:shd w:val="clear" w:color="000000" w:fill="F2F2F2"/>
          </w:tcPr>
          <w:p w14:paraId="73F180A4" w14:textId="77777777" w:rsidR="00696D3E" w:rsidRPr="00030C67" w:rsidRDefault="00696D3E">
            <w:pPr>
              <w:pStyle w:val="TableBody"/>
              <w:spacing w:before="45" w:after="45"/>
              <w:ind w:right="57"/>
              <w:jc w:val="right"/>
              <w:rPr>
                <w:rFonts w:ascii="Arial (Body)" w:hAnsi="Arial (Body)"/>
                <w:color w:val="000000"/>
              </w:rPr>
            </w:pPr>
            <w:r w:rsidRPr="00DA3DF8">
              <w:t>91</w:t>
            </w:r>
          </w:p>
        </w:tc>
        <w:tc>
          <w:tcPr>
            <w:tcW w:w="227" w:type="pct"/>
            <w:shd w:val="clear" w:color="000000" w:fill="F2F2F2"/>
          </w:tcPr>
          <w:p w14:paraId="12E0F61D" w14:textId="77777777" w:rsidR="00696D3E" w:rsidRPr="00030C67" w:rsidRDefault="00696D3E">
            <w:pPr>
              <w:pStyle w:val="TableBody"/>
              <w:spacing w:before="45" w:after="45"/>
              <w:ind w:right="57"/>
              <w:jc w:val="right"/>
              <w:rPr>
                <w:rFonts w:ascii="Arial (Body)" w:hAnsi="Arial (Body)"/>
                <w:color w:val="000000"/>
              </w:rPr>
            </w:pPr>
            <w:r w:rsidRPr="00DA3DF8">
              <w:t>72</w:t>
            </w:r>
          </w:p>
        </w:tc>
        <w:tc>
          <w:tcPr>
            <w:tcW w:w="227" w:type="pct"/>
            <w:shd w:val="clear" w:color="000000" w:fill="F2F2F2"/>
          </w:tcPr>
          <w:p w14:paraId="5B4E649D" w14:textId="77777777" w:rsidR="00696D3E" w:rsidRPr="00030C67" w:rsidRDefault="00696D3E">
            <w:pPr>
              <w:pStyle w:val="TableBody"/>
              <w:spacing w:before="45" w:after="45"/>
              <w:ind w:right="57"/>
              <w:jc w:val="right"/>
              <w:rPr>
                <w:rFonts w:ascii="Arial (Body)" w:hAnsi="Arial (Body)"/>
                <w:color w:val="000000"/>
              </w:rPr>
            </w:pPr>
            <w:r w:rsidRPr="00DA3DF8">
              <w:t>92</w:t>
            </w:r>
          </w:p>
        </w:tc>
        <w:tc>
          <w:tcPr>
            <w:tcW w:w="282" w:type="pct"/>
            <w:shd w:val="clear" w:color="000000" w:fill="F2F2F2"/>
          </w:tcPr>
          <w:p w14:paraId="6976D012" w14:textId="77777777" w:rsidR="00696D3E" w:rsidRPr="00030C67" w:rsidRDefault="00696D3E">
            <w:pPr>
              <w:pStyle w:val="TableBody"/>
              <w:spacing w:before="45" w:after="45"/>
              <w:ind w:right="57"/>
              <w:jc w:val="right"/>
              <w:rPr>
                <w:rFonts w:ascii="Arial (Body)" w:hAnsi="Arial (Body)"/>
                <w:color w:val="000000"/>
              </w:rPr>
            </w:pPr>
            <w:r w:rsidRPr="00E63CA7">
              <w:t>58</w:t>
            </w:r>
          </w:p>
        </w:tc>
      </w:tr>
      <w:tr w:rsidR="00696D3E" w:rsidRPr="00030C67" w14:paraId="2C51CE66" w14:textId="77777777">
        <w:tc>
          <w:tcPr>
            <w:tcW w:w="405" w:type="pct"/>
            <w:shd w:val="clear" w:color="auto" w:fill="auto"/>
          </w:tcPr>
          <w:p w14:paraId="788A170E" w14:textId="77777777" w:rsidR="00696D3E" w:rsidRDefault="00696D3E">
            <w:pPr>
              <w:pStyle w:val="TableHeading"/>
            </w:pPr>
            <w:r>
              <w:t>2020</w:t>
            </w:r>
          </w:p>
        </w:tc>
        <w:tc>
          <w:tcPr>
            <w:tcW w:w="227" w:type="pct"/>
            <w:shd w:val="clear" w:color="auto" w:fill="auto"/>
          </w:tcPr>
          <w:p w14:paraId="64A37D94" w14:textId="77777777" w:rsidR="00696D3E" w:rsidRDefault="00696D3E">
            <w:pPr>
              <w:pStyle w:val="TableBody"/>
              <w:spacing w:before="45" w:after="45"/>
              <w:ind w:right="57"/>
              <w:jc w:val="right"/>
              <w:rPr>
                <w:rFonts w:ascii="Arial (Body)" w:hAnsi="Arial (Body)"/>
                <w:color w:val="000000"/>
              </w:rPr>
            </w:pPr>
            <w:r w:rsidRPr="00DA3DF8">
              <w:t>41</w:t>
            </w:r>
          </w:p>
        </w:tc>
        <w:tc>
          <w:tcPr>
            <w:tcW w:w="227" w:type="pct"/>
            <w:shd w:val="clear" w:color="auto" w:fill="auto"/>
          </w:tcPr>
          <w:p w14:paraId="6F157C97" w14:textId="77777777" w:rsidR="00696D3E" w:rsidRDefault="00696D3E">
            <w:pPr>
              <w:pStyle w:val="TableBody"/>
              <w:spacing w:before="45" w:after="45"/>
              <w:ind w:right="57"/>
              <w:jc w:val="right"/>
              <w:rPr>
                <w:rFonts w:ascii="Arial (Body)" w:hAnsi="Arial (Body)"/>
                <w:color w:val="000000"/>
              </w:rPr>
            </w:pPr>
            <w:r w:rsidRPr="00DA3DF8">
              <w:t>16</w:t>
            </w:r>
          </w:p>
        </w:tc>
        <w:tc>
          <w:tcPr>
            <w:tcW w:w="227" w:type="pct"/>
            <w:shd w:val="clear" w:color="auto" w:fill="auto"/>
          </w:tcPr>
          <w:p w14:paraId="2659A74A" w14:textId="77777777" w:rsidR="00696D3E" w:rsidRDefault="00696D3E">
            <w:pPr>
              <w:pStyle w:val="TableBody"/>
              <w:spacing w:before="45" w:after="45"/>
              <w:ind w:right="57"/>
              <w:jc w:val="right"/>
              <w:rPr>
                <w:rFonts w:ascii="Arial (Body)" w:hAnsi="Arial (Body)"/>
                <w:color w:val="000000"/>
              </w:rPr>
            </w:pPr>
            <w:r w:rsidRPr="00DA3DF8">
              <w:t>64</w:t>
            </w:r>
          </w:p>
        </w:tc>
        <w:tc>
          <w:tcPr>
            <w:tcW w:w="227" w:type="pct"/>
            <w:shd w:val="clear" w:color="auto" w:fill="auto"/>
          </w:tcPr>
          <w:p w14:paraId="5873943A" w14:textId="77777777" w:rsidR="00696D3E" w:rsidRDefault="00696D3E">
            <w:pPr>
              <w:pStyle w:val="TableBody"/>
              <w:spacing w:before="45" w:after="45"/>
              <w:ind w:right="57"/>
              <w:jc w:val="right"/>
              <w:rPr>
                <w:rFonts w:ascii="Arial (Body)" w:hAnsi="Arial (Body)"/>
                <w:color w:val="000000"/>
              </w:rPr>
            </w:pPr>
            <w:r w:rsidRPr="00DA3DF8">
              <w:t>35</w:t>
            </w:r>
          </w:p>
        </w:tc>
        <w:tc>
          <w:tcPr>
            <w:tcW w:w="227" w:type="pct"/>
            <w:shd w:val="clear" w:color="auto" w:fill="auto"/>
          </w:tcPr>
          <w:p w14:paraId="650A66CF" w14:textId="77777777" w:rsidR="00696D3E" w:rsidRDefault="00696D3E">
            <w:pPr>
              <w:pStyle w:val="TableBody"/>
              <w:spacing w:before="45" w:after="45"/>
              <w:ind w:right="57"/>
              <w:jc w:val="right"/>
              <w:rPr>
                <w:rFonts w:ascii="Arial (Body)" w:hAnsi="Arial (Body)"/>
                <w:color w:val="000000"/>
              </w:rPr>
            </w:pPr>
            <w:r w:rsidRPr="00DA3DF8">
              <w:t>64</w:t>
            </w:r>
          </w:p>
        </w:tc>
        <w:tc>
          <w:tcPr>
            <w:tcW w:w="227" w:type="pct"/>
            <w:shd w:val="clear" w:color="auto" w:fill="auto"/>
          </w:tcPr>
          <w:p w14:paraId="5B17090F" w14:textId="77777777" w:rsidR="00696D3E" w:rsidRDefault="00696D3E">
            <w:pPr>
              <w:pStyle w:val="TableBody"/>
              <w:spacing w:before="45" w:after="45"/>
              <w:ind w:right="57"/>
              <w:jc w:val="right"/>
              <w:rPr>
                <w:rFonts w:ascii="Arial (Body)" w:hAnsi="Arial (Body)"/>
                <w:color w:val="000000"/>
              </w:rPr>
            </w:pPr>
            <w:r w:rsidRPr="00DA3DF8">
              <w:t>64</w:t>
            </w:r>
          </w:p>
        </w:tc>
        <w:tc>
          <w:tcPr>
            <w:tcW w:w="227" w:type="pct"/>
            <w:shd w:val="clear" w:color="auto" w:fill="auto"/>
          </w:tcPr>
          <w:p w14:paraId="1DC379F0" w14:textId="77777777" w:rsidR="00696D3E" w:rsidRDefault="00696D3E">
            <w:pPr>
              <w:pStyle w:val="TableBody"/>
              <w:spacing w:before="45" w:after="45"/>
              <w:ind w:right="57"/>
              <w:jc w:val="right"/>
              <w:rPr>
                <w:rFonts w:ascii="Arial (Body)" w:hAnsi="Arial (Body)"/>
                <w:color w:val="000000"/>
              </w:rPr>
            </w:pPr>
            <w:r w:rsidRPr="00DA3DF8">
              <w:t>69</w:t>
            </w:r>
          </w:p>
        </w:tc>
        <w:tc>
          <w:tcPr>
            <w:tcW w:w="227" w:type="pct"/>
            <w:shd w:val="clear" w:color="auto" w:fill="auto"/>
          </w:tcPr>
          <w:p w14:paraId="6F29BED5" w14:textId="77777777" w:rsidR="00696D3E" w:rsidRDefault="00696D3E">
            <w:pPr>
              <w:pStyle w:val="TableBody"/>
              <w:spacing w:before="45" w:after="45"/>
              <w:ind w:right="57"/>
              <w:jc w:val="right"/>
              <w:rPr>
                <w:rFonts w:ascii="Arial (Body)" w:hAnsi="Arial (Body)"/>
                <w:color w:val="000000"/>
              </w:rPr>
            </w:pPr>
            <w:r w:rsidRPr="00DA3DF8">
              <w:t>81</w:t>
            </w:r>
          </w:p>
        </w:tc>
        <w:tc>
          <w:tcPr>
            <w:tcW w:w="227" w:type="pct"/>
            <w:shd w:val="clear" w:color="auto" w:fill="auto"/>
          </w:tcPr>
          <w:p w14:paraId="2F8AD8A2" w14:textId="77777777" w:rsidR="00696D3E" w:rsidRDefault="00696D3E">
            <w:pPr>
              <w:pStyle w:val="TableBody"/>
              <w:spacing w:before="45" w:after="45"/>
              <w:ind w:right="57"/>
              <w:jc w:val="right"/>
              <w:rPr>
                <w:rFonts w:ascii="Arial (Body)" w:hAnsi="Arial (Body)"/>
                <w:color w:val="000000"/>
              </w:rPr>
            </w:pPr>
            <w:r w:rsidRPr="00DA3DF8">
              <w:t>59</w:t>
            </w:r>
          </w:p>
        </w:tc>
        <w:tc>
          <w:tcPr>
            <w:tcW w:w="227" w:type="pct"/>
            <w:shd w:val="clear" w:color="auto" w:fill="auto"/>
          </w:tcPr>
          <w:p w14:paraId="7CA57E03" w14:textId="77777777" w:rsidR="00696D3E" w:rsidRDefault="00696D3E">
            <w:pPr>
              <w:pStyle w:val="TableBody"/>
              <w:spacing w:before="45" w:after="45"/>
              <w:ind w:right="57"/>
              <w:jc w:val="right"/>
              <w:rPr>
                <w:rFonts w:ascii="Arial (Body)" w:hAnsi="Arial (Body)"/>
                <w:color w:val="000000"/>
              </w:rPr>
            </w:pPr>
            <w:r w:rsidRPr="00DA3DF8">
              <w:t>45</w:t>
            </w:r>
          </w:p>
        </w:tc>
        <w:tc>
          <w:tcPr>
            <w:tcW w:w="227" w:type="pct"/>
            <w:shd w:val="clear" w:color="auto" w:fill="auto"/>
          </w:tcPr>
          <w:p w14:paraId="73E03E03" w14:textId="77777777" w:rsidR="00696D3E" w:rsidRDefault="00696D3E">
            <w:pPr>
              <w:pStyle w:val="TableBody"/>
              <w:spacing w:before="45" w:after="45"/>
              <w:ind w:right="57"/>
              <w:jc w:val="right"/>
              <w:rPr>
                <w:rFonts w:ascii="Arial (Body)" w:hAnsi="Arial (Body)"/>
                <w:color w:val="000000"/>
              </w:rPr>
            </w:pPr>
            <w:r w:rsidRPr="00DA3DF8">
              <w:t>34</w:t>
            </w:r>
          </w:p>
        </w:tc>
        <w:tc>
          <w:tcPr>
            <w:tcW w:w="227" w:type="pct"/>
            <w:shd w:val="clear" w:color="auto" w:fill="auto"/>
          </w:tcPr>
          <w:p w14:paraId="7CB7DBEB" w14:textId="77777777" w:rsidR="00696D3E" w:rsidRDefault="00696D3E">
            <w:pPr>
              <w:pStyle w:val="TableBody"/>
              <w:spacing w:before="45" w:after="45"/>
              <w:ind w:right="57"/>
              <w:jc w:val="right"/>
              <w:rPr>
                <w:rFonts w:ascii="Arial (Body)" w:hAnsi="Arial (Body)"/>
                <w:color w:val="000000"/>
              </w:rPr>
            </w:pPr>
            <w:r w:rsidRPr="00DA3DF8">
              <w:t>41</w:t>
            </w:r>
          </w:p>
        </w:tc>
        <w:tc>
          <w:tcPr>
            <w:tcW w:w="227" w:type="pct"/>
            <w:shd w:val="clear" w:color="auto" w:fill="auto"/>
          </w:tcPr>
          <w:p w14:paraId="347CB6B1" w14:textId="77777777" w:rsidR="00696D3E" w:rsidRDefault="00696D3E">
            <w:pPr>
              <w:pStyle w:val="TableBody"/>
              <w:spacing w:before="45" w:after="45"/>
              <w:ind w:right="57"/>
              <w:jc w:val="right"/>
              <w:rPr>
                <w:rFonts w:ascii="Arial (Body)" w:hAnsi="Arial (Body)"/>
                <w:color w:val="000000"/>
              </w:rPr>
            </w:pPr>
            <w:r w:rsidRPr="00DA3DF8">
              <w:t>82</w:t>
            </w:r>
          </w:p>
        </w:tc>
        <w:tc>
          <w:tcPr>
            <w:tcW w:w="227" w:type="pct"/>
            <w:shd w:val="clear" w:color="auto" w:fill="auto"/>
          </w:tcPr>
          <w:p w14:paraId="2F796291" w14:textId="77777777" w:rsidR="00696D3E" w:rsidRDefault="00696D3E">
            <w:pPr>
              <w:pStyle w:val="TableBody"/>
              <w:spacing w:before="45" w:after="45"/>
              <w:ind w:right="57"/>
              <w:jc w:val="right"/>
              <w:rPr>
                <w:rFonts w:ascii="Arial (Body)" w:hAnsi="Arial (Body)"/>
                <w:color w:val="000000"/>
              </w:rPr>
            </w:pPr>
            <w:r w:rsidRPr="00DA3DF8">
              <w:t>101</w:t>
            </w:r>
          </w:p>
        </w:tc>
        <w:tc>
          <w:tcPr>
            <w:tcW w:w="227" w:type="pct"/>
            <w:shd w:val="clear" w:color="auto" w:fill="auto"/>
          </w:tcPr>
          <w:p w14:paraId="5EC72C57" w14:textId="77777777" w:rsidR="00696D3E" w:rsidRDefault="00696D3E">
            <w:pPr>
              <w:pStyle w:val="TableBody"/>
              <w:spacing w:before="45" w:after="45"/>
              <w:ind w:right="57"/>
              <w:jc w:val="right"/>
              <w:rPr>
                <w:rFonts w:ascii="Arial (Body)" w:hAnsi="Arial (Body)"/>
                <w:color w:val="000000"/>
              </w:rPr>
            </w:pPr>
            <w:r w:rsidRPr="00DA3DF8">
              <w:t>83</w:t>
            </w:r>
          </w:p>
        </w:tc>
        <w:tc>
          <w:tcPr>
            <w:tcW w:w="227" w:type="pct"/>
            <w:shd w:val="clear" w:color="auto" w:fill="auto"/>
          </w:tcPr>
          <w:p w14:paraId="19FCF361" w14:textId="77777777" w:rsidR="00696D3E" w:rsidRPr="00030C67" w:rsidRDefault="00696D3E">
            <w:pPr>
              <w:pStyle w:val="TableBody"/>
              <w:spacing w:before="45" w:after="45"/>
              <w:ind w:right="57"/>
              <w:jc w:val="right"/>
              <w:rPr>
                <w:rFonts w:ascii="Arial (Body)" w:hAnsi="Arial (Body)"/>
                <w:color w:val="000000"/>
              </w:rPr>
            </w:pPr>
            <w:r w:rsidRPr="00DA3DF8">
              <w:t>91</w:t>
            </w:r>
          </w:p>
        </w:tc>
        <w:tc>
          <w:tcPr>
            <w:tcW w:w="227" w:type="pct"/>
            <w:shd w:val="clear" w:color="auto" w:fill="auto"/>
          </w:tcPr>
          <w:p w14:paraId="181187B0" w14:textId="77777777" w:rsidR="00696D3E" w:rsidRPr="00030C67" w:rsidRDefault="00696D3E">
            <w:pPr>
              <w:pStyle w:val="TableBody"/>
              <w:spacing w:before="45" w:after="45"/>
              <w:ind w:right="57"/>
              <w:jc w:val="right"/>
              <w:rPr>
                <w:rFonts w:ascii="Arial (Body)" w:hAnsi="Arial (Body)"/>
                <w:color w:val="000000"/>
              </w:rPr>
            </w:pPr>
            <w:r w:rsidRPr="00DA3DF8">
              <w:t>90</w:t>
            </w:r>
          </w:p>
        </w:tc>
        <w:tc>
          <w:tcPr>
            <w:tcW w:w="227" w:type="pct"/>
            <w:shd w:val="clear" w:color="auto" w:fill="auto"/>
          </w:tcPr>
          <w:p w14:paraId="738F2E4C" w14:textId="77777777" w:rsidR="00696D3E" w:rsidRPr="00030C67" w:rsidRDefault="00696D3E">
            <w:pPr>
              <w:pStyle w:val="TableBody"/>
              <w:spacing w:before="45" w:after="45"/>
              <w:ind w:right="57"/>
              <w:jc w:val="right"/>
              <w:rPr>
                <w:rFonts w:ascii="Arial (Body)" w:hAnsi="Arial (Body)"/>
                <w:color w:val="000000"/>
              </w:rPr>
            </w:pPr>
            <w:r w:rsidRPr="00DA3DF8">
              <w:t>67</w:t>
            </w:r>
          </w:p>
        </w:tc>
        <w:tc>
          <w:tcPr>
            <w:tcW w:w="227" w:type="pct"/>
            <w:shd w:val="clear" w:color="auto" w:fill="auto"/>
          </w:tcPr>
          <w:p w14:paraId="56EFFEC3" w14:textId="77777777" w:rsidR="00696D3E" w:rsidRPr="00030C67" w:rsidRDefault="00696D3E">
            <w:pPr>
              <w:pStyle w:val="TableBody"/>
              <w:spacing w:before="45" w:after="45"/>
              <w:ind w:right="57"/>
              <w:jc w:val="right"/>
              <w:rPr>
                <w:rFonts w:ascii="Arial (Body)" w:hAnsi="Arial (Body)"/>
                <w:color w:val="000000"/>
              </w:rPr>
            </w:pPr>
            <w:r w:rsidRPr="00DA3DF8">
              <w:t>89</w:t>
            </w:r>
          </w:p>
        </w:tc>
        <w:tc>
          <w:tcPr>
            <w:tcW w:w="282" w:type="pct"/>
            <w:shd w:val="clear" w:color="auto" w:fill="auto"/>
          </w:tcPr>
          <w:p w14:paraId="500D6112" w14:textId="77777777" w:rsidR="00696D3E" w:rsidRPr="00030C67" w:rsidRDefault="00696D3E">
            <w:pPr>
              <w:pStyle w:val="TableBody"/>
              <w:spacing w:before="45" w:after="45"/>
              <w:ind w:right="57"/>
              <w:jc w:val="right"/>
              <w:rPr>
                <w:rFonts w:ascii="Arial (Body)" w:hAnsi="Arial (Body)"/>
                <w:color w:val="000000"/>
              </w:rPr>
            </w:pPr>
            <w:r w:rsidRPr="00E63CA7">
              <w:t>57</w:t>
            </w:r>
          </w:p>
        </w:tc>
      </w:tr>
      <w:tr w:rsidR="00696D3E" w:rsidRPr="00030C67" w14:paraId="7C4CFDFB" w14:textId="77777777">
        <w:tc>
          <w:tcPr>
            <w:tcW w:w="405" w:type="pct"/>
            <w:shd w:val="clear" w:color="000000" w:fill="F2F2F2"/>
          </w:tcPr>
          <w:p w14:paraId="5967F73E" w14:textId="77777777" w:rsidR="00696D3E" w:rsidRDefault="00696D3E">
            <w:pPr>
              <w:pStyle w:val="TableHeading"/>
            </w:pPr>
            <w:r>
              <w:t>2021</w:t>
            </w:r>
          </w:p>
        </w:tc>
        <w:tc>
          <w:tcPr>
            <w:tcW w:w="227" w:type="pct"/>
            <w:shd w:val="clear" w:color="000000" w:fill="F2F2F2"/>
          </w:tcPr>
          <w:p w14:paraId="0484FDB6" w14:textId="77777777" w:rsidR="00696D3E" w:rsidRDefault="00696D3E">
            <w:pPr>
              <w:pStyle w:val="TableBody"/>
              <w:spacing w:before="45" w:after="45"/>
              <w:ind w:right="57"/>
              <w:jc w:val="right"/>
              <w:rPr>
                <w:rFonts w:ascii="Arial (Body)" w:hAnsi="Arial (Body)"/>
                <w:color w:val="000000"/>
              </w:rPr>
            </w:pPr>
            <w:r w:rsidRPr="00DA3DF8">
              <w:t>36</w:t>
            </w:r>
          </w:p>
        </w:tc>
        <w:tc>
          <w:tcPr>
            <w:tcW w:w="227" w:type="pct"/>
            <w:shd w:val="clear" w:color="000000" w:fill="F2F2F2"/>
          </w:tcPr>
          <w:p w14:paraId="7D05F014" w14:textId="77777777" w:rsidR="00696D3E" w:rsidRDefault="00696D3E">
            <w:pPr>
              <w:pStyle w:val="TableBody"/>
              <w:spacing w:before="45" w:after="45"/>
              <w:ind w:right="57"/>
              <w:jc w:val="right"/>
              <w:rPr>
                <w:rFonts w:ascii="Arial (Body)" w:hAnsi="Arial (Body)"/>
                <w:color w:val="000000"/>
              </w:rPr>
            </w:pPr>
            <w:r w:rsidRPr="00DA3DF8">
              <w:t>14</w:t>
            </w:r>
          </w:p>
        </w:tc>
        <w:tc>
          <w:tcPr>
            <w:tcW w:w="227" w:type="pct"/>
            <w:shd w:val="clear" w:color="000000" w:fill="F2F2F2"/>
          </w:tcPr>
          <w:p w14:paraId="67D81B9C" w14:textId="77777777" w:rsidR="00696D3E" w:rsidRDefault="00696D3E">
            <w:pPr>
              <w:pStyle w:val="TableBody"/>
              <w:spacing w:before="45" w:after="45"/>
              <w:ind w:right="57"/>
              <w:jc w:val="right"/>
              <w:rPr>
                <w:rFonts w:ascii="Arial (Body)" w:hAnsi="Arial (Body)"/>
                <w:color w:val="000000"/>
              </w:rPr>
            </w:pPr>
            <w:r w:rsidRPr="00DA3DF8">
              <w:t>61</w:t>
            </w:r>
          </w:p>
        </w:tc>
        <w:tc>
          <w:tcPr>
            <w:tcW w:w="227" w:type="pct"/>
            <w:shd w:val="clear" w:color="000000" w:fill="F2F2F2"/>
          </w:tcPr>
          <w:p w14:paraId="68A822AF" w14:textId="77777777" w:rsidR="00696D3E" w:rsidRDefault="00696D3E">
            <w:pPr>
              <w:pStyle w:val="TableBody"/>
              <w:spacing w:before="45" w:after="45"/>
              <w:ind w:right="57"/>
              <w:jc w:val="right"/>
              <w:rPr>
                <w:rFonts w:ascii="Arial (Body)" w:hAnsi="Arial (Body)"/>
                <w:color w:val="000000"/>
              </w:rPr>
            </w:pPr>
            <w:r w:rsidRPr="00DA3DF8">
              <w:t>37</w:t>
            </w:r>
          </w:p>
        </w:tc>
        <w:tc>
          <w:tcPr>
            <w:tcW w:w="227" w:type="pct"/>
            <w:shd w:val="clear" w:color="000000" w:fill="F2F2F2"/>
          </w:tcPr>
          <w:p w14:paraId="15478CD0" w14:textId="77777777" w:rsidR="00696D3E" w:rsidRDefault="00696D3E">
            <w:pPr>
              <w:pStyle w:val="TableBody"/>
              <w:spacing w:before="45" w:after="45"/>
              <w:ind w:right="57"/>
              <w:jc w:val="right"/>
              <w:rPr>
                <w:rFonts w:ascii="Arial (Body)" w:hAnsi="Arial (Body)"/>
                <w:color w:val="000000"/>
              </w:rPr>
            </w:pPr>
            <w:r w:rsidRPr="00DA3DF8">
              <w:t>61</w:t>
            </w:r>
          </w:p>
        </w:tc>
        <w:tc>
          <w:tcPr>
            <w:tcW w:w="227" w:type="pct"/>
            <w:shd w:val="clear" w:color="000000" w:fill="F2F2F2"/>
          </w:tcPr>
          <w:p w14:paraId="74F1B6FD" w14:textId="77777777" w:rsidR="00696D3E" w:rsidRDefault="00696D3E">
            <w:pPr>
              <w:pStyle w:val="TableBody"/>
              <w:spacing w:before="45" w:after="45"/>
              <w:ind w:right="57"/>
              <w:jc w:val="right"/>
              <w:rPr>
                <w:rFonts w:ascii="Arial (Body)" w:hAnsi="Arial (Body)"/>
                <w:color w:val="000000"/>
              </w:rPr>
            </w:pPr>
            <w:r w:rsidRPr="00DA3DF8">
              <w:t>61</w:t>
            </w:r>
          </w:p>
        </w:tc>
        <w:tc>
          <w:tcPr>
            <w:tcW w:w="227" w:type="pct"/>
            <w:shd w:val="clear" w:color="000000" w:fill="F2F2F2"/>
          </w:tcPr>
          <w:p w14:paraId="78060749" w14:textId="77777777" w:rsidR="00696D3E" w:rsidRDefault="00696D3E">
            <w:pPr>
              <w:pStyle w:val="TableBody"/>
              <w:spacing w:before="45" w:after="45"/>
              <w:ind w:right="57"/>
              <w:jc w:val="right"/>
              <w:rPr>
                <w:rFonts w:ascii="Arial (Body)" w:hAnsi="Arial (Body)"/>
                <w:color w:val="000000"/>
              </w:rPr>
            </w:pPr>
            <w:r w:rsidRPr="00DA3DF8">
              <w:t>65</w:t>
            </w:r>
          </w:p>
        </w:tc>
        <w:tc>
          <w:tcPr>
            <w:tcW w:w="227" w:type="pct"/>
            <w:shd w:val="clear" w:color="000000" w:fill="F2F2F2"/>
          </w:tcPr>
          <w:p w14:paraId="1A5273A2" w14:textId="77777777" w:rsidR="00696D3E" w:rsidRDefault="00696D3E">
            <w:pPr>
              <w:pStyle w:val="TableBody"/>
              <w:spacing w:before="45" w:after="45"/>
              <w:ind w:right="57"/>
              <w:jc w:val="right"/>
              <w:rPr>
                <w:rFonts w:ascii="Arial (Body)" w:hAnsi="Arial (Body)"/>
                <w:color w:val="000000"/>
              </w:rPr>
            </w:pPr>
            <w:r w:rsidRPr="00DA3DF8">
              <w:t>75</w:t>
            </w:r>
          </w:p>
        </w:tc>
        <w:tc>
          <w:tcPr>
            <w:tcW w:w="227" w:type="pct"/>
            <w:shd w:val="clear" w:color="000000" w:fill="F2F2F2"/>
          </w:tcPr>
          <w:p w14:paraId="682AC7EB" w14:textId="77777777" w:rsidR="00696D3E" w:rsidRDefault="00696D3E">
            <w:pPr>
              <w:pStyle w:val="TableBody"/>
              <w:spacing w:before="45" w:after="45"/>
              <w:ind w:right="57"/>
              <w:jc w:val="right"/>
              <w:rPr>
                <w:rFonts w:ascii="Arial (Body)" w:hAnsi="Arial (Body)"/>
                <w:color w:val="000000"/>
              </w:rPr>
            </w:pPr>
            <w:r w:rsidRPr="00DA3DF8">
              <w:t>59</w:t>
            </w:r>
          </w:p>
        </w:tc>
        <w:tc>
          <w:tcPr>
            <w:tcW w:w="227" w:type="pct"/>
            <w:shd w:val="clear" w:color="000000" w:fill="F2F2F2"/>
          </w:tcPr>
          <w:p w14:paraId="4C4479CE" w14:textId="77777777" w:rsidR="00696D3E" w:rsidRDefault="00696D3E">
            <w:pPr>
              <w:pStyle w:val="TableBody"/>
              <w:spacing w:before="45" w:after="45"/>
              <w:ind w:right="57"/>
              <w:jc w:val="right"/>
              <w:rPr>
                <w:rFonts w:ascii="Arial (Body)" w:hAnsi="Arial (Body)"/>
                <w:color w:val="000000"/>
              </w:rPr>
            </w:pPr>
            <w:r w:rsidRPr="00DA3DF8">
              <w:t>46</w:t>
            </w:r>
          </w:p>
        </w:tc>
        <w:tc>
          <w:tcPr>
            <w:tcW w:w="227" w:type="pct"/>
            <w:shd w:val="clear" w:color="000000" w:fill="F2F2F2"/>
          </w:tcPr>
          <w:p w14:paraId="7A01C234" w14:textId="77777777" w:rsidR="00696D3E" w:rsidRDefault="00696D3E">
            <w:pPr>
              <w:pStyle w:val="TableBody"/>
              <w:spacing w:before="45" w:after="45"/>
              <w:ind w:right="57"/>
              <w:jc w:val="right"/>
              <w:rPr>
                <w:rFonts w:ascii="Arial (Body)" w:hAnsi="Arial (Body)"/>
                <w:color w:val="000000"/>
              </w:rPr>
            </w:pPr>
            <w:r w:rsidRPr="00DA3DF8">
              <w:t>35</w:t>
            </w:r>
          </w:p>
        </w:tc>
        <w:tc>
          <w:tcPr>
            <w:tcW w:w="227" w:type="pct"/>
            <w:shd w:val="clear" w:color="000000" w:fill="F2F2F2"/>
          </w:tcPr>
          <w:p w14:paraId="30843416" w14:textId="77777777" w:rsidR="00696D3E" w:rsidRDefault="00696D3E">
            <w:pPr>
              <w:pStyle w:val="TableBody"/>
              <w:spacing w:before="45" w:after="45"/>
              <w:ind w:right="57"/>
              <w:jc w:val="right"/>
              <w:rPr>
                <w:rFonts w:ascii="Arial (Body)" w:hAnsi="Arial (Body)"/>
                <w:color w:val="000000"/>
              </w:rPr>
            </w:pPr>
            <w:r w:rsidRPr="00DA3DF8">
              <w:t>42</w:t>
            </w:r>
          </w:p>
        </w:tc>
        <w:tc>
          <w:tcPr>
            <w:tcW w:w="227" w:type="pct"/>
            <w:shd w:val="clear" w:color="000000" w:fill="F2F2F2"/>
          </w:tcPr>
          <w:p w14:paraId="5ACEF8BF" w14:textId="77777777" w:rsidR="00696D3E" w:rsidRDefault="00696D3E">
            <w:pPr>
              <w:pStyle w:val="TableBody"/>
              <w:spacing w:before="45" w:after="45"/>
              <w:ind w:right="57"/>
              <w:jc w:val="right"/>
              <w:rPr>
                <w:rFonts w:ascii="Arial (Body)" w:hAnsi="Arial (Body)"/>
                <w:color w:val="000000"/>
              </w:rPr>
            </w:pPr>
            <w:r w:rsidRPr="00DA3DF8">
              <w:t>79</w:t>
            </w:r>
          </w:p>
        </w:tc>
        <w:tc>
          <w:tcPr>
            <w:tcW w:w="227" w:type="pct"/>
            <w:shd w:val="clear" w:color="000000" w:fill="F2F2F2"/>
          </w:tcPr>
          <w:p w14:paraId="51299F89" w14:textId="77777777" w:rsidR="00696D3E" w:rsidRDefault="00696D3E">
            <w:pPr>
              <w:pStyle w:val="TableBody"/>
              <w:spacing w:before="45" w:after="45"/>
              <w:ind w:right="57"/>
              <w:jc w:val="right"/>
              <w:rPr>
                <w:rFonts w:ascii="Arial (Body)" w:hAnsi="Arial (Body)"/>
                <w:color w:val="000000"/>
              </w:rPr>
            </w:pPr>
            <w:r w:rsidRPr="00DA3DF8">
              <w:t>101</w:t>
            </w:r>
          </w:p>
        </w:tc>
        <w:tc>
          <w:tcPr>
            <w:tcW w:w="227" w:type="pct"/>
            <w:shd w:val="clear" w:color="000000" w:fill="F2F2F2"/>
          </w:tcPr>
          <w:p w14:paraId="44DA370A" w14:textId="77777777" w:rsidR="00696D3E" w:rsidRDefault="00696D3E">
            <w:pPr>
              <w:pStyle w:val="TableBody"/>
              <w:spacing w:before="45" w:after="45"/>
              <w:ind w:right="57"/>
              <w:jc w:val="right"/>
              <w:rPr>
                <w:rFonts w:ascii="Arial (Body)" w:hAnsi="Arial (Body)"/>
                <w:color w:val="000000"/>
              </w:rPr>
            </w:pPr>
            <w:r w:rsidRPr="00DA3DF8">
              <w:t>83</w:t>
            </w:r>
          </w:p>
        </w:tc>
        <w:tc>
          <w:tcPr>
            <w:tcW w:w="227" w:type="pct"/>
            <w:shd w:val="clear" w:color="000000" w:fill="F2F2F2"/>
          </w:tcPr>
          <w:p w14:paraId="027E6689" w14:textId="77777777" w:rsidR="00696D3E" w:rsidRPr="00030C67" w:rsidRDefault="00696D3E">
            <w:pPr>
              <w:pStyle w:val="TableBody"/>
              <w:spacing w:before="45" w:after="45"/>
              <w:ind w:right="57"/>
              <w:jc w:val="right"/>
              <w:rPr>
                <w:rFonts w:ascii="Arial (Body)" w:hAnsi="Arial (Body)"/>
                <w:color w:val="000000"/>
              </w:rPr>
            </w:pPr>
            <w:r w:rsidRPr="00DA3DF8">
              <w:t>90</w:t>
            </w:r>
          </w:p>
        </w:tc>
        <w:tc>
          <w:tcPr>
            <w:tcW w:w="227" w:type="pct"/>
            <w:shd w:val="clear" w:color="000000" w:fill="F2F2F2"/>
          </w:tcPr>
          <w:p w14:paraId="46303876" w14:textId="77777777" w:rsidR="00696D3E" w:rsidRPr="00030C67" w:rsidRDefault="00696D3E">
            <w:pPr>
              <w:pStyle w:val="TableBody"/>
              <w:spacing w:before="45" w:after="45"/>
              <w:ind w:right="57"/>
              <w:jc w:val="right"/>
              <w:rPr>
                <w:rFonts w:ascii="Arial (Body)" w:hAnsi="Arial (Body)"/>
                <w:color w:val="000000"/>
              </w:rPr>
            </w:pPr>
            <w:r w:rsidRPr="00DA3DF8">
              <w:t>88</w:t>
            </w:r>
          </w:p>
        </w:tc>
        <w:tc>
          <w:tcPr>
            <w:tcW w:w="227" w:type="pct"/>
            <w:shd w:val="clear" w:color="000000" w:fill="F2F2F2"/>
          </w:tcPr>
          <w:p w14:paraId="42F2E488" w14:textId="77777777" w:rsidR="00696D3E" w:rsidRPr="00030C67" w:rsidRDefault="00696D3E">
            <w:pPr>
              <w:pStyle w:val="TableBody"/>
              <w:spacing w:before="45" w:after="45"/>
              <w:ind w:right="57"/>
              <w:jc w:val="right"/>
              <w:rPr>
                <w:rFonts w:ascii="Arial (Body)" w:hAnsi="Arial (Body)"/>
                <w:color w:val="000000"/>
              </w:rPr>
            </w:pPr>
            <w:r w:rsidRPr="00DA3DF8">
              <w:t>64</w:t>
            </w:r>
          </w:p>
        </w:tc>
        <w:tc>
          <w:tcPr>
            <w:tcW w:w="227" w:type="pct"/>
            <w:shd w:val="clear" w:color="000000" w:fill="F2F2F2"/>
          </w:tcPr>
          <w:p w14:paraId="7B3601D4" w14:textId="77777777" w:rsidR="00696D3E" w:rsidRPr="00030C67" w:rsidRDefault="00696D3E">
            <w:pPr>
              <w:pStyle w:val="TableBody"/>
              <w:spacing w:before="45" w:after="45"/>
              <w:ind w:right="57"/>
              <w:jc w:val="right"/>
              <w:rPr>
                <w:rFonts w:ascii="Arial (Body)" w:hAnsi="Arial (Body)"/>
                <w:color w:val="000000"/>
              </w:rPr>
            </w:pPr>
            <w:r w:rsidRPr="00DA3DF8">
              <w:t>85</w:t>
            </w:r>
          </w:p>
        </w:tc>
        <w:tc>
          <w:tcPr>
            <w:tcW w:w="282" w:type="pct"/>
            <w:shd w:val="clear" w:color="000000" w:fill="F2F2F2"/>
          </w:tcPr>
          <w:p w14:paraId="61F12CB5" w14:textId="77777777" w:rsidR="00696D3E" w:rsidRPr="00030C67" w:rsidRDefault="00696D3E">
            <w:pPr>
              <w:pStyle w:val="TableBody"/>
              <w:spacing w:before="45" w:after="45"/>
              <w:ind w:right="57"/>
              <w:jc w:val="right"/>
              <w:rPr>
                <w:rFonts w:ascii="Arial (Body)" w:hAnsi="Arial (Body)"/>
                <w:color w:val="000000"/>
              </w:rPr>
            </w:pPr>
            <w:r w:rsidRPr="00E63CA7">
              <w:t>56</w:t>
            </w:r>
          </w:p>
        </w:tc>
      </w:tr>
      <w:tr w:rsidR="00696D3E" w:rsidRPr="00030C67" w14:paraId="7827F81D" w14:textId="77777777">
        <w:tc>
          <w:tcPr>
            <w:tcW w:w="405" w:type="pct"/>
            <w:tcBorders>
              <w:bottom w:val="single" w:sz="4" w:space="0" w:color="B3B3B3"/>
            </w:tcBorders>
            <w:shd w:val="clear" w:color="auto" w:fill="auto"/>
          </w:tcPr>
          <w:p w14:paraId="30B88B68" w14:textId="77777777" w:rsidR="00696D3E" w:rsidRDefault="00696D3E">
            <w:pPr>
              <w:pStyle w:val="TableHeading"/>
            </w:pPr>
            <w:r>
              <w:t>2022</w:t>
            </w:r>
          </w:p>
        </w:tc>
        <w:tc>
          <w:tcPr>
            <w:tcW w:w="227" w:type="pct"/>
            <w:tcBorders>
              <w:bottom w:val="single" w:sz="4" w:space="0" w:color="B3B3B3"/>
            </w:tcBorders>
            <w:shd w:val="clear" w:color="auto" w:fill="auto"/>
          </w:tcPr>
          <w:p w14:paraId="32C8ED1F" w14:textId="77777777" w:rsidR="00696D3E" w:rsidRDefault="00696D3E">
            <w:pPr>
              <w:pStyle w:val="TableBody"/>
              <w:spacing w:before="45" w:after="45"/>
              <w:ind w:right="57"/>
              <w:jc w:val="right"/>
              <w:rPr>
                <w:rFonts w:ascii="Arial (Body)" w:hAnsi="Arial (Body)"/>
                <w:color w:val="000000"/>
              </w:rPr>
            </w:pPr>
            <w:r w:rsidRPr="00DA3DF8">
              <w:t>24</w:t>
            </w:r>
          </w:p>
        </w:tc>
        <w:tc>
          <w:tcPr>
            <w:tcW w:w="227" w:type="pct"/>
            <w:tcBorders>
              <w:bottom w:val="single" w:sz="4" w:space="0" w:color="B3B3B3"/>
            </w:tcBorders>
            <w:shd w:val="clear" w:color="auto" w:fill="auto"/>
          </w:tcPr>
          <w:p w14:paraId="613D9E05" w14:textId="77777777" w:rsidR="00696D3E" w:rsidRDefault="00696D3E">
            <w:pPr>
              <w:pStyle w:val="TableBody"/>
              <w:spacing w:before="45" w:after="45"/>
              <w:ind w:right="57"/>
              <w:jc w:val="right"/>
              <w:rPr>
                <w:rFonts w:ascii="Arial (Body)" w:hAnsi="Arial (Body)"/>
                <w:color w:val="000000"/>
              </w:rPr>
            </w:pPr>
            <w:r w:rsidRPr="00DA3DF8">
              <w:t>11</w:t>
            </w:r>
          </w:p>
        </w:tc>
        <w:tc>
          <w:tcPr>
            <w:tcW w:w="227" w:type="pct"/>
            <w:tcBorders>
              <w:bottom w:val="single" w:sz="4" w:space="0" w:color="B3B3B3"/>
            </w:tcBorders>
            <w:shd w:val="clear" w:color="auto" w:fill="auto"/>
          </w:tcPr>
          <w:p w14:paraId="13E404E7" w14:textId="77777777" w:rsidR="00696D3E" w:rsidRDefault="00696D3E">
            <w:pPr>
              <w:pStyle w:val="TableBody"/>
              <w:spacing w:before="45" w:after="45"/>
              <w:ind w:right="57"/>
              <w:jc w:val="right"/>
              <w:rPr>
                <w:rFonts w:ascii="Arial (Body)" w:hAnsi="Arial (Body)"/>
                <w:color w:val="000000"/>
              </w:rPr>
            </w:pPr>
            <w:r w:rsidRPr="00DA3DF8">
              <w:t>60</w:t>
            </w:r>
          </w:p>
        </w:tc>
        <w:tc>
          <w:tcPr>
            <w:tcW w:w="227" w:type="pct"/>
            <w:tcBorders>
              <w:bottom w:val="single" w:sz="4" w:space="0" w:color="B3B3B3"/>
            </w:tcBorders>
            <w:shd w:val="clear" w:color="auto" w:fill="auto"/>
          </w:tcPr>
          <w:p w14:paraId="2D9CD8A7" w14:textId="77777777" w:rsidR="00696D3E" w:rsidRDefault="00696D3E">
            <w:pPr>
              <w:pStyle w:val="TableBody"/>
              <w:spacing w:before="45" w:after="45"/>
              <w:ind w:right="57"/>
              <w:jc w:val="right"/>
              <w:rPr>
                <w:rFonts w:ascii="Arial (Body)" w:hAnsi="Arial (Body)"/>
                <w:color w:val="000000"/>
              </w:rPr>
            </w:pPr>
            <w:r w:rsidRPr="00DA3DF8">
              <w:t>39</w:t>
            </w:r>
          </w:p>
        </w:tc>
        <w:tc>
          <w:tcPr>
            <w:tcW w:w="227" w:type="pct"/>
            <w:tcBorders>
              <w:bottom w:val="single" w:sz="4" w:space="0" w:color="B3B3B3"/>
            </w:tcBorders>
            <w:shd w:val="clear" w:color="auto" w:fill="auto"/>
          </w:tcPr>
          <w:p w14:paraId="75304420" w14:textId="77777777" w:rsidR="00696D3E" w:rsidRDefault="00696D3E">
            <w:pPr>
              <w:pStyle w:val="TableBody"/>
              <w:spacing w:before="45" w:after="45"/>
              <w:ind w:right="57"/>
              <w:jc w:val="right"/>
              <w:rPr>
                <w:rFonts w:ascii="Arial (Body)" w:hAnsi="Arial (Body)"/>
                <w:color w:val="000000"/>
              </w:rPr>
            </w:pPr>
            <w:r w:rsidRPr="00DA3DF8">
              <w:t>65</w:t>
            </w:r>
          </w:p>
        </w:tc>
        <w:tc>
          <w:tcPr>
            <w:tcW w:w="227" w:type="pct"/>
            <w:tcBorders>
              <w:bottom w:val="single" w:sz="4" w:space="0" w:color="B3B3B3"/>
            </w:tcBorders>
            <w:shd w:val="clear" w:color="auto" w:fill="auto"/>
          </w:tcPr>
          <w:p w14:paraId="57B26813" w14:textId="77777777" w:rsidR="00696D3E" w:rsidRDefault="00696D3E">
            <w:pPr>
              <w:pStyle w:val="TableBody"/>
              <w:spacing w:before="45" w:after="45"/>
              <w:ind w:right="57"/>
              <w:jc w:val="right"/>
              <w:rPr>
                <w:rFonts w:ascii="Arial (Body)" w:hAnsi="Arial (Body)"/>
                <w:color w:val="000000"/>
              </w:rPr>
            </w:pPr>
            <w:r w:rsidRPr="00DA3DF8">
              <w:t>66</w:t>
            </w:r>
          </w:p>
        </w:tc>
        <w:tc>
          <w:tcPr>
            <w:tcW w:w="227" w:type="pct"/>
            <w:tcBorders>
              <w:bottom w:val="single" w:sz="4" w:space="0" w:color="B3B3B3"/>
            </w:tcBorders>
            <w:shd w:val="clear" w:color="auto" w:fill="auto"/>
          </w:tcPr>
          <w:p w14:paraId="724F82D5" w14:textId="77777777" w:rsidR="00696D3E" w:rsidRDefault="00696D3E">
            <w:pPr>
              <w:pStyle w:val="TableBody"/>
              <w:spacing w:before="45" w:after="45"/>
              <w:ind w:right="57"/>
              <w:jc w:val="right"/>
              <w:rPr>
                <w:rFonts w:ascii="Arial (Body)" w:hAnsi="Arial (Body)"/>
                <w:color w:val="000000"/>
              </w:rPr>
            </w:pPr>
            <w:r w:rsidRPr="00DA3DF8">
              <w:t>70</w:t>
            </w:r>
          </w:p>
        </w:tc>
        <w:tc>
          <w:tcPr>
            <w:tcW w:w="227" w:type="pct"/>
            <w:tcBorders>
              <w:bottom w:val="single" w:sz="4" w:space="0" w:color="B3B3B3"/>
            </w:tcBorders>
            <w:shd w:val="clear" w:color="auto" w:fill="auto"/>
          </w:tcPr>
          <w:p w14:paraId="6F5B0EBA" w14:textId="77777777" w:rsidR="00696D3E" w:rsidRDefault="00696D3E">
            <w:pPr>
              <w:pStyle w:val="TableBody"/>
              <w:spacing w:before="45" w:after="45"/>
              <w:ind w:right="57"/>
              <w:jc w:val="right"/>
              <w:rPr>
                <w:rFonts w:ascii="Arial (Body)" w:hAnsi="Arial (Body)"/>
                <w:color w:val="000000"/>
              </w:rPr>
            </w:pPr>
            <w:r w:rsidRPr="00DA3DF8">
              <w:t>79</w:t>
            </w:r>
          </w:p>
        </w:tc>
        <w:tc>
          <w:tcPr>
            <w:tcW w:w="227" w:type="pct"/>
            <w:tcBorders>
              <w:bottom w:val="single" w:sz="4" w:space="0" w:color="B3B3B3"/>
            </w:tcBorders>
            <w:shd w:val="clear" w:color="auto" w:fill="auto"/>
          </w:tcPr>
          <w:p w14:paraId="1350DE66" w14:textId="77777777" w:rsidR="00696D3E" w:rsidRDefault="00696D3E">
            <w:pPr>
              <w:pStyle w:val="TableBody"/>
              <w:spacing w:before="45" w:after="45"/>
              <w:ind w:right="57"/>
              <w:jc w:val="right"/>
              <w:rPr>
                <w:rFonts w:ascii="Arial (Body)" w:hAnsi="Arial (Body)"/>
                <w:color w:val="000000"/>
              </w:rPr>
            </w:pPr>
            <w:r w:rsidRPr="00DA3DF8">
              <w:t>61</w:t>
            </w:r>
          </w:p>
        </w:tc>
        <w:tc>
          <w:tcPr>
            <w:tcW w:w="227" w:type="pct"/>
            <w:tcBorders>
              <w:bottom w:val="single" w:sz="4" w:space="0" w:color="B3B3B3"/>
            </w:tcBorders>
            <w:shd w:val="clear" w:color="auto" w:fill="auto"/>
          </w:tcPr>
          <w:p w14:paraId="2070A707" w14:textId="77777777" w:rsidR="00696D3E" w:rsidRDefault="00696D3E">
            <w:pPr>
              <w:pStyle w:val="TableBody"/>
              <w:spacing w:before="45" w:after="45"/>
              <w:ind w:right="57"/>
              <w:jc w:val="right"/>
              <w:rPr>
                <w:rFonts w:ascii="Arial (Body)" w:hAnsi="Arial (Body)"/>
                <w:color w:val="000000"/>
              </w:rPr>
            </w:pPr>
            <w:r w:rsidRPr="00DA3DF8">
              <w:t>43</w:t>
            </w:r>
          </w:p>
        </w:tc>
        <w:tc>
          <w:tcPr>
            <w:tcW w:w="227" w:type="pct"/>
            <w:tcBorders>
              <w:bottom w:val="single" w:sz="4" w:space="0" w:color="B3B3B3"/>
            </w:tcBorders>
            <w:shd w:val="clear" w:color="auto" w:fill="auto"/>
          </w:tcPr>
          <w:p w14:paraId="1CC48552" w14:textId="77777777" w:rsidR="00696D3E" w:rsidRDefault="00696D3E">
            <w:pPr>
              <w:pStyle w:val="TableBody"/>
              <w:spacing w:before="45" w:after="45"/>
              <w:ind w:right="57"/>
              <w:jc w:val="right"/>
              <w:rPr>
                <w:rFonts w:ascii="Arial (Body)" w:hAnsi="Arial (Body)"/>
                <w:color w:val="000000"/>
              </w:rPr>
            </w:pPr>
            <w:r w:rsidRPr="00DA3DF8">
              <w:t>36</w:t>
            </w:r>
          </w:p>
        </w:tc>
        <w:tc>
          <w:tcPr>
            <w:tcW w:w="227" w:type="pct"/>
            <w:tcBorders>
              <w:bottom w:val="single" w:sz="4" w:space="0" w:color="B3B3B3"/>
            </w:tcBorders>
            <w:shd w:val="clear" w:color="auto" w:fill="auto"/>
          </w:tcPr>
          <w:p w14:paraId="3A3B6318" w14:textId="77777777" w:rsidR="00696D3E" w:rsidRDefault="00696D3E">
            <w:pPr>
              <w:pStyle w:val="TableBody"/>
              <w:spacing w:before="45" w:after="45"/>
              <w:ind w:right="57"/>
              <w:jc w:val="right"/>
              <w:rPr>
                <w:rFonts w:ascii="Arial (Body)" w:hAnsi="Arial (Body)"/>
                <w:color w:val="000000"/>
              </w:rPr>
            </w:pPr>
            <w:r w:rsidRPr="00DA3DF8">
              <w:t>44</w:t>
            </w:r>
          </w:p>
        </w:tc>
        <w:tc>
          <w:tcPr>
            <w:tcW w:w="227" w:type="pct"/>
            <w:tcBorders>
              <w:bottom w:val="single" w:sz="4" w:space="0" w:color="B3B3B3"/>
            </w:tcBorders>
            <w:shd w:val="clear" w:color="auto" w:fill="auto"/>
          </w:tcPr>
          <w:p w14:paraId="1355746D" w14:textId="77777777" w:rsidR="00696D3E" w:rsidRDefault="00696D3E">
            <w:pPr>
              <w:pStyle w:val="TableBody"/>
              <w:spacing w:before="45" w:after="45"/>
              <w:ind w:right="57"/>
              <w:jc w:val="right"/>
              <w:rPr>
                <w:rFonts w:ascii="Arial (Body)" w:hAnsi="Arial (Body)"/>
                <w:color w:val="000000"/>
              </w:rPr>
            </w:pPr>
            <w:r w:rsidRPr="00DA3DF8">
              <w:t>83</w:t>
            </w:r>
          </w:p>
        </w:tc>
        <w:tc>
          <w:tcPr>
            <w:tcW w:w="227" w:type="pct"/>
            <w:tcBorders>
              <w:bottom w:val="single" w:sz="4" w:space="0" w:color="B3B3B3"/>
            </w:tcBorders>
            <w:shd w:val="clear" w:color="auto" w:fill="auto"/>
          </w:tcPr>
          <w:p w14:paraId="506031DE" w14:textId="77777777" w:rsidR="00696D3E" w:rsidRDefault="00696D3E">
            <w:pPr>
              <w:pStyle w:val="TableBody"/>
              <w:spacing w:before="45" w:after="45"/>
              <w:ind w:right="57"/>
              <w:jc w:val="right"/>
              <w:rPr>
                <w:rFonts w:ascii="Arial (Body)" w:hAnsi="Arial (Body)"/>
                <w:color w:val="000000"/>
              </w:rPr>
            </w:pPr>
            <w:r w:rsidRPr="00DA3DF8">
              <w:t>106</w:t>
            </w:r>
          </w:p>
        </w:tc>
        <w:tc>
          <w:tcPr>
            <w:tcW w:w="227" w:type="pct"/>
            <w:tcBorders>
              <w:bottom w:val="single" w:sz="4" w:space="0" w:color="B3B3B3"/>
            </w:tcBorders>
            <w:shd w:val="clear" w:color="auto" w:fill="auto"/>
          </w:tcPr>
          <w:p w14:paraId="1565FB4D" w14:textId="77777777" w:rsidR="00696D3E" w:rsidRDefault="00696D3E">
            <w:pPr>
              <w:pStyle w:val="TableBody"/>
              <w:spacing w:before="45" w:after="45"/>
              <w:ind w:right="57"/>
              <w:jc w:val="right"/>
              <w:rPr>
                <w:rFonts w:ascii="Arial (Body)" w:hAnsi="Arial (Body)"/>
                <w:color w:val="000000"/>
              </w:rPr>
            </w:pPr>
            <w:r w:rsidRPr="00DA3DF8">
              <w:t>82</w:t>
            </w:r>
          </w:p>
        </w:tc>
        <w:tc>
          <w:tcPr>
            <w:tcW w:w="227" w:type="pct"/>
            <w:tcBorders>
              <w:bottom w:val="single" w:sz="4" w:space="0" w:color="B3B3B3"/>
            </w:tcBorders>
            <w:shd w:val="clear" w:color="auto" w:fill="auto"/>
          </w:tcPr>
          <w:p w14:paraId="046670CC" w14:textId="77777777" w:rsidR="00696D3E" w:rsidRPr="00030C67" w:rsidRDefault="00696D3E">
            <w:pPr>
              <w:pStyle w:val="TableBody"/>
              <w:spacing w:before="45" w:after="45"/>
              <w:ind w:right="57"/>
              <w:jc w:val="right"/>
              <w:rPr>
                <w:rFonts w:ascii="Arial (Body)" w:hAnsi="Arial (Body)"/>
                <w:color w:val="000000"/>
              </w:rPr>
            </w:pPr>
            <w:r w:rsidRPr="00DA3DF8">
              <w:t>89</w:t>
            </w:r>
          </w:p>
        </w:tc>
        <w:tc>
          <w:tcPr>
            <w:tcW w:w="227" w:type="pct"/>
            <w:tcBorders>
              <w:bottom w:val="single" w:sz="4" w:space="0" w:color="B3B3B3"/>
            </w:tcBorders>
            <w:shd w:val="clear" w:color="auto" w:fill="auto"/>
          </w:tcPr>
          <w:p w14:paraId="690201F2" w14:textId="77777777" w:rsidR="00696D3E" w:rsidRPr="00030C67" w:rsidRDefault="00696D3E">
            <w:pPr>
              <w:pStyle w:val="TableBody"/>
              <w:spacing w:before="45" w:after="45"/>
              <w:ind w:right="57"/>
              <w:jc w:val="right"/>
              <w:rPr>
                <w:rFonts w:ascii="Arial (Body)" w:hAnsi="Arial (Body)"/>
                <w:color w:val="000000"/>
              </w:rPr>
            </w:pPr>
            <w:r w:rsidRPr="00DA3DF8">
              <w:t>90</w:t>
            </w:r>
          </w:p>
        </w:tc>
        <w:tc>
          <w:tcPr>
            <w:tcW w:w="227" w:type="pct"/>
            <w:tcBorders>
              <w:bottom w:val="single" w:sz="4" w:space="0" w:color="B3B3B3"/>
            </w:tcBorders>
            <w:shd w:val="clear" w:color="auto" w:fill="auto"/>
          </w:tcPr>
          <w:p w14:paraId="0D1197D4" w14:textId="77777777" w:rsidR="00696D3E" w:rsidRPr="00030C67" w:rsidRDefault="00696D3E">
            <w:pPr>
              <w:pStyle w:val="TableBody"/>
              <w:spacing w:before="45" w:after="45"/>
              <w:ind w:right="57"/>
              <w:jc w:val="right"/>
              <w:rPr>
                <w:rFonts w:ascii="Arial (Body)" w:hAnsi="Arial (Body)"/>
                <w:color w:val="000000"/>
              </w:rPr>
            </w:pPr>
            <w:r w:rsidRPr="00DA3DF8">
              <w:t>76</w:t>
            </w:r>
          </w:p>
        </w:tc>
        <w:tc>
          <w:tcPr>
            <w:tcW w:w="227" w:type="pct"/>
            <w:tcBorders>
              <w:bottom w:val="single" w:sz="4" w:space="0" w:color="B3B3B3"/>
            </w:tcBorders>
            <w:shd w:val="clear" w:color="auto" w:fill="auto"/>
          </w:tcPr>
          <w:p w14:paraId="76FA5D9B" w14:textId="77777777" w:rsidR="00696D3E" w:rsidRPr="00030C67" w:rsidRDefault="00696D3E">
            <w:pPr>
              <w:pStyle w:val="TableBody"/>
              <w:spacing w:before="45" w:after="45"/>
              <w:ind w:right="57"/>
              <w:jc w:val="right"/>
              <w:rPr>
                <w:rFonts w:ascii="Arial (Body)" w:hAnsi="Arial (Body)"/>
                <w:color w:val="000000"/>
              </w:rPr>
            </w:pPr>
            <w:r w:rsidRPr="00DA3DF8">
              <w:t>103</w:t>
            </w:r>
          </w:p>
        </w:tc>
        <w:tc>
          <w:tcPr>
            <w:tcW w:w="282" w:type="pct"/>
            <w:tcBorders>
              <w:bottom w:val="single" w:sz="4" w:space="0" w:color="B3B3B3"/>
            </w:tcBorders>
            <w:shd w:val="clear" w:color="auto" w:fill="auto"/>
          </w:tcPr>
          <w:p w14:paraId="7DE5E8FC" w14:textId="77777777" w:rsidR="00696D3E" w:rsidRPr="00030C67" w:rsidRDefault="00696D3E">
            <w:pPr>
              <w:pStyle w:val="TableBody"/>
              <w:spacing w:before="45" w:after="45"/>
              <w:ind w:right="57"/>
              <w:jc w:val="right"/>
              <w:rPr>
                <w:rFonts w:ascii="Arial (Body)" w:hAnsi="Arial (Body)"/>
                <w:color w:val="000000"/>
              </w:rPr>
            </w:pPr>
            <w:r w:rsidRPr="00E63CA7">
              <w:t>55</w:t>
            </w:r>
          </w:p>
        </w:tc>
      </w:tr>
    </w:tbl>
    <w:p w14:paraId="30667862" w14:textId="77777777" w:rsidR="00696D3E" w:rsidRDefault="00696D3E" w:rsidP="00696D3E">
      <w:pPr>
        <w:pStyle w:val="Note"/>
      </w:pPr>
      <w:r w:rsidRPr="00C36914">
        <w:rPr>
          <w:b/>
          <w:bCs/>
        </w:rPr>
        <w:t>a.</w:t>
      </w:r>
      <w:r w:rsidRPr="00C36914">
        <w:t xml:space="preserve"> </w:t>
      </w:r>
      <w:r>
        <w:t>The estimates of the labour share of income differ from those published by the ABS in the Industry Multifactor Productivity Statistics</w:t>
      </w:r>
      <w:r w:rsidRPr="00C36914">
        <w:t>.</w:t>
      </w:r>
      <w:r>
        <w:t xml:space="preserve"> The differences in methodology and results are discussed in appendix A.2.</w:t>
      </w:r>
      <w:r w:rsidRPr="00C36914">
        <w:t xml:space="preserve"> </w:t>
      </w:r>
      <w:r w:rsidRPr="00C36914">
        <w:rPr>
          <w:b/>
          <w:bCs/>
        </w:rPr>
        <w:t>b.</w:t>
      </w:r>
      <w:r w:rsidRPr="00C36914">
        <w:t xml:space="preserve"> </w:t>
      </w:r>
      <w:r>
        <w:t xml:space="preserve">Industry codes are: Agriculture, forestry and fishing (A); Mining (B); Manufacturing (C); Electricity, gas, water and waste services (D); Construction (E); Wholesale trade (F); Retail trade (G); Accommodation and food services (H); Transport, postal and </w:t>
      </w:r>
      <w:r>
        <w:lastRenderedPageBreak/>
        <w:t>warehousing (I); Information media and telecommunications (J); Financial and insurance services (K); Rental, hiring and real estate services (L); Professional, scientific and technical services (M); Administrative and support services (N); Public administration and safety (O); Education and training (P); Health care and social assistance (Q); Arts and recreation services (R); Other services (S)</w:t>
      </w:r>
      <w:r w:rsidRPr="00C36914">
        <w:t>.</w:t>
      </w:r>
      <w:r>
        <w:t xml:space="preserve"> </w:t>
      </w:r>
    </w:p>
    <w:p w14:paraId="66250737" w14:textId="77777777" w:rsidR="00696D3E" w:rsidRDefault="00696D3E" w:rsidP="00696D3E">
      <w:pPr>
        <w:pStyle w:val="Source"/>
      </w:pPr>
      <w:r w:rsidRPr="00696447">
        <w:t xml:space="preserve">Source: </w:t>
      </w:r>
      <w:r>
        <w:t>Commission estimates using: ABS (</w:t>
      </w:r>
      <w:r w:rsidRPr="00B131FA">
        <w:rPr>
          <w:i/>
          <w:iCs/>
        </w:rPr>
        <w:t xml:space="preserve">Australian </w:t>
      </w:r>
      <w:r>
        <w:rPr>
          <w:i/>
          <w:iCs/>
        </w:rPr>
        <w:t>S</w:t>
      </w:r>
      <w:r w:rsidRPr="00B131FA">
        <w:rPr>
          <w:i/>
          <w:iCs/>
        </w:rPr>
        <w:t xml:space="preserve">ystem of </w:t>
      </w:r>
      <w:r>
        <w:rPr>
          <w:i/>
          <w:iCs/>
        </w:rPr>
        <w:t>N</w:t>
      </w:r>
      <w:r w:rsidRPr="00B131FA">
        <w:rPr>
          <w:i/>
          <w:iCs/>
        </w:rPr>
        <w:t xml:space="preserve">ational </w:t>
      </w:r>
      <w:r>
        <w:rPr>
          <w:i/>
          <w:iCs/>
        </w:rPr>
        <w:t>A</w:t>
      </w:r>
      <w:r w:rsidRPr="00B131FA">
        <w:rPr>
          <w:i/>
          <w:iCs/>
        </w:rPr>
        <w:t>ccounts, 2021</w:t>
      </w:r>
      <w:r w:rsidRPr="00B131FA">
        <w:rPr>
          <w:i/>
          <w:iCs/>
        </w:rPr>
        <w:noBreakHyphen/>
        <w:t>22</w:t>
      </w:r>
      <w:r>
        <w:t>, Cat. no. </w:t>
      </w:r>
      <w:r w:rsidRPr="00F567CF">
        <w:t>5204</w:t>
      </w:r>
      <w:r>
        <w:t xml:space="preserve">, table 46; </w:t>
      </w:r>
      <w:r w:rsidRPr="00BB0F6B">
        <w:rPr>
          <w:i/>
          <w:iCs/>
        </w:rPr>
        <w:t>Labour Account Australia, March 2023</w:t>
      </w:r>
      <w:r>
        <w:t>, Cat. no. </w:t>
      </w:r>
      <w:r w:rsidRPr="00821D54">
        <w:t>6150.0.55.003</w:t>
      </w:r>
      <w:r>
        <w:t xml:space="preserve">, industry summary tables; </w:t>
      </w:r>
      <w:r w:rsidRPr="00CA6C97">
        <w:rPr>
          <w:i/>
          <w:iCs/>
        </w:rPr>
        <w:t>Labour Force, Australia, Detailed, April 2023</w:t>
      </w:r>
      <w:r>
        <w:t>, Cat. no. </w:t>
      </w:r>
      <w:r w:rsidRPr="009541C2">
        <w:t>6291.0.55.001</w:t>
      </w:r>
      <w:r>
        <w:t>, table EQ05)</w:t>
      </w:r>
      <w:r w:rsidRPr="00696447">
        <w:t>.</w:t>
      </w:r>
    </w:p>
    <w:p w14:paraId="3592AAFD" w14:textId="1C123BE8" w:rsidR="00696D3E" w:rsidRDefault="00696D3E" w:rsidP="00696D3E">
      <w:pPr>
        <w:pStyle w:val="FigureTableHeading"/>
      </w:pPr>
      <w:r>
        <w:t xml:space="preserve">Table </w:t>
      </w:r>
      <w:r w:rsidR="002B4160">
        <w:rPr>
          <w:noProof/>
        </w:rPr>
        <w:t>4</w:t>
      </w:r>
      <w:r>
        <w:rPr>
          <w:noProof/>
        </w:rPr>
        <w:t xml:space="preserve"> – </w:t>
      </w:r>
      <w:r>
        <w:t>Effects of particular industries on the change in the labour share of income</w:t>
      </w:r>
    </w:p>
    <w:p w14:paraId="56B675DD" w14:textId="77777777" w:rsidR="00696D3E" w:rsidRDefault="00696D3E" w:rsidP="00696D3E">
      <w:pPr>
        <w:pStyle w:val="FigureTableSubheading"/>
      </w:pPr>
      <w:r>
        <w:t>Within effects, between effects and the total effect</w:t>
      </w:r>
    </w:p>
    <w:tbl>
      <w:tblPr>
        <w:tblW w:w="5000" w:type="pct"/>
        <w:tblBorders>
          <w:bottom w:val="single" w:sz="4" w:space="0" w:color="B3B3B3"/>
        </w:tblBorders>
        <w:shd w:val="clear" w:color="000000" w:fill="auto"/>
        <w:tblCellMar>
          <w:left w:w="0" w:type="dxa"/>
          <w:right w:w="0" w:type="dxa"/>
        </w:tblCellMar>
        <w:tblLook w:val="04A0" w:firstRow="1" w:lastRow="0" w:firstColumn="1" w:lastColumn="0" w:noHBand="0" w:noVBand="1"/>
        <w:tblDescription w:val="{&quot;Ott&quot;:{&quot;FirstRow&quot;:{&quot;Font&quot;:{&quot;Bold&quot;:true,&quot;Color&quot;:{&quot;Key&quot;:&quot;TableHeading&quot;},&quot;BulletColor&quot;:{&quot;Key&quot;:&quot;TableHeading&quot;}},&quot;Alignment&quot;:{&quot;Vertical&quot;:&quot;Bottom&quot;},&quot;Borders&quot;:{&quot;Bottom&quot;:{&quot;Color&quot;:{&quot;Key&quot;:&quot;BorderColor&quot;},&quot;BorderWeight&quot;:&quot;Pt0_5&quot;,&quot;Type&quot;:&quot;Solid&quot;,&quot;Visible&quot;:true}}},&quot;LastRow&quot;:{},&quot;FirstColumn&quot;:{&quot;Font&quot;:{&quot;Bold&quot;:true,&quot;Color&quot;:{&quot;Key&quot;:&quot;TableHeading&quot;},&quot;BulletColor&quot;:{&quot;Key&quot;:&quot;TableHeading&quot;}}},&quot;LastColumn&quot;:{},&quot;BandedRow&quot;:{&quot;Item&quot;:{&quot;BackgroundColor&quot;:{&quot;Key&quot;:&quot;BandedRow&quot;}},&quot;Type&quot;:&quot;BandFirst&quot;},&quot;BandedColumn&quot;:{&quot;Item&quot;:{},&quot;Type&quot;:&quot;BandFirst&quot;},&quot;FitRowHeightPp&quot;:true,&quot;ZeroMarginsWord&quot;:true,&quot;BackgroundColor&quot;:{&quot;Key&quot;:&quot;BackgroundColor&quot;},&quot;Font&quot;:{&quot;Name&quot;:&quot;Arial (Body)&quot;,&quot;Size&quot;:9.0,&quot;SizeOverridePp&quot;:16.0,&quot;Bold&quot;:false,&quot;Italic&quot;:false,&quot;Underline&quot;:false,&quot;Color&quot;:{&quot;Key&quot;:&quot;TableBody&quot;},&quot;BulletColor&quot;:{&quot;Key&quot;:&quot;TableBody&quot;}},&quot;Alignment&quot;:{&quot;Horizontal&quot;:&quot;Left&quot;,&quot;Vertical&quot;:&quot;Top&quot;},&quot;Margin&quot;:{&quot;Left&quot;:2.83464575,&quot;Top&quot;:2.26771641,&quot;Right&quot;:5.38582659,&quot;Bottom&quot;:2.26771641},&quot;Borders&quot;:{&quot;Vertical&quot;:{&quot;Visible&quot;:false},&quot;Horizontal&quot;:{&quot;Visible&quot;:false},&quot;Bottom&quot;:{&quot;Color&quot;:{&quot;Key&quot;:&quot;BorderColor&quot;},&quot;BorderWeight&quot;:&quot;Pt0_5&quot;,&quot;Type&quot;:&quot;Solid&quot;,&quot;Visible&quot;:true}}},&quot;Ccs&quot;:{&quot;TableBody&quot;:&quot;Black&quot;,&quot;TableHeading&quot;:&quot;38, 90, 154&quot;,&quot;BandedRow&quot;:&quot;242, 242, 242&quot;,&quot;BorderColor&quot;:&quot;179, 179, 179&quot;,&quot;BackgroundColor&quot;:&quot;Transparent&quot;},&quot;Cop&quot;:{&quot;FirstRow&quot;:true,&quot;LastRow&quot;:false,&quot;FirstColumn&quot;:true,&quot;LastColumn&quot;:false,&quot;BandedRows&quot;:true,&quot;BandedColumns&quot;:false},&quot;Aaf&quot;:false}"/>
      </w:tblPr>
      <w:tblGrid>
        <w:gridCol w:w="2834"/>
        <w:gridCol w:w="1795"/>
        <w:gridCol w:w="1795"/>
        <w:gridCol w:w="1797"/>
        <w:gridCol w:w="1417"/>
      </w:tblGrid>
      <w:tr w:rsidR="00696D3E" w:rsidRPr="00030C67" w14:paraId="7FE2F766" w14:textId="77777777" w:rsidTr="00A8019D">
        <w:trPr>
          <w:tblHeader/>
        </w:trPr>
        <w:tc>
          <w:tcPr>
            <w:tcW w:w="1471" w:type="pct"/>
            <w:tcBorders>
              <w:bottom w:val="single" w:sz="4" w:space="0" w:color="B3B3B3"/>
            </w:tcBorders>
            <w:shd w:val="clear" w:color="000000" w:fill="auto"/>
            <w:vAlign w:val="bottom"/>
          </w:tcPr>
          <w:p w14:paraId="30D483D7" w14:textId="77777777" w:rsidR="00696D3E" w:rsidRPr="00030C67" w:rsidRDefault="00696D3E">
            <w:pPr>
              <w:spacing w:before="40" w:after="20"/>
              <w:ind w:right="108"/>
              <w:rPr>
                <w:rFonts w:ascii="Arial (Body)" w:hAnsi="Arial (Body)"/>
                <w:color w:val="265A9A"/>
              </w:rPr>
            </w:pPr>
          </w:p>
        </w:tc>
        <w:tc>
          <w:tcPr>
            <w:tcW w:w="931" w:type="pct"/>
            <w:tcBorders>
              <w:bottom w:val="single" w:sz="4" w:space="0" w:color="B3B3B3"/>
            </w:tcBorders>
            <w:shd w:val="clear" w:color="000000" w:fill="auto"/>
          </w:tcPr>
          <w:p w14:paraId="63D29FCD" w14:textId="77777777" w:rsidR="00696D3E" w:rsidRPr="00030C67" w:rsidRDefault="00696D3E">
            <w:pPr>
              <w:pStyle w:val="TableHeading"/>
              <w:spacing w:before="40"/>
              <w:ind w:right="57"/>
              <w:jc w:val="right"/>
            </w:pPr>
            <w:r w:rsidRPr="003B4E25">
              <w:t>Within effect (p.p.)</w:t>
            </w:r>
          </w:p>
        </w:tc>
        <w:tc>
          <w:tcPr>
            <w:tcW w:w="931" w:type="pct"/>
            <w:tcBorders>
              <w:bottom w:val="single" w:sz="4" w:space="0" w:color="B3B3B3"/>
            </w:tcBorders>
            <w:shd w:val="clear" w:color="000000" w:fill="auto"/>
          </w:tcPr>
          <w:p w14:paraId="22496D5E" w14:textId="77777777" w:rsidR="00696D3E" w:rsidRPr="000E5DEE" w:rsidRDefault="00696D3E" w:rsidP="000E5DEE">
            <w:pPr>
              <w:pStyle w:val="TableHeading"/>
              <w:spacing w:before="40"/>
              <w:ind w:left="0" w:right="57"/>
              <w:jc w:val="right"/>
              <w:rPr>
                <w:spacing w:val="-4"/>
              </w:rPr>
            </w:pPr>
            <w:r w:rsidRPr="000E5DEE">
              <w:rPr>
                <w:spacing w:val="-4"/>
              </w:rPr>
              <w:t>Between effect (p.p.)</w:t>
            </w:r>
          </w:p>
        </w:tc>
        <w:tc>
          <w:tcPr>
            <w:tcW w:w="932" w:type="pct"/>
            <w:tcBorders>
              <w:bottom w:val="single" w:sz="4" w:space="0" w:color="B3B3B3"/>
            </w:tcBorders>
            <w:shd w:val="clear" w:color="000000" w:fill="auto"/>
          </w:tcPr>
          <w:p w14:paraId="75F56638" w14:textId="77777777" w:rsidR="00696D3E" w:rsidRPr="00030C67" w:rsidRDefault="00696D3E">
            <w:pPr>
              <w:pStyle w:val="TableHeading"/>
              <w:spacing w:before="40"/>
              <w:ind w:right="57"/>
              <w:jc w:val="right"/>
            </w:pPr>
            <w:r w:rsidRPr="003B4E25">
              <w:t>Total effect (p.p.)</w:t>
            </w:r>
          </w:p>
        </w:tc>
        <w:tc>
          <w:tcPr>
            <w:tcW w:w="735" w:type="pct"/>
            <w:tcBorders>
              <w:bottom w:val="single" w:sz="4" w:space="0" w:color="B3B3B3"/>
            </w:tcBorders>
            <w:shd w:val="clear" w:color="000000" w:fill="auto"/>
          </w:tcPr>
          <w:p w14:paraId="625F5F96" w14:textId="77777777" w:rsidR="00696D3E" w:rsidRPr="00030C67" w:rsidRDefault="00696D3E">
            <w:pPr>
              <w:pStyle w:val="TableHeading"/>
              <w:spacing w:before="40"/>
              <w:ind w:right="57"/>
              <w:jc w:val="right"/>
            </w:pPr>
            <w:r w:rsidRPr="003B4E25">
              <w:t>% of total fall</w:t>
            </w:r>
          </w:p>
        </w:tc>
      </w:tr>
      <w:tr w:rsidR="00696D3E" w:rsidRPr="00030C67" w14:paraId="670B1064" w14:textId="77777777" w:rsidTr="00A8019D">
        <w:tc>
          <w:tcPr>
            <w:tcW w:w="1471" w:type="pct"/>
            <w:tcBorders>
              <w:top w:val="single" w:sz="4" w:space="0" w:color="B3B3B3"/>
              <w:bottom w:val="nil"/>
            </w:tcBorders>
            <w:shd w:val="clear" w:color="000000" w:fill="F2F2F2"/>
          </w:tcPr>
          <w:p w14:paraId="4139F233" w14:textId="77777777" w:rsidR="00696D3E" w:rsidRPr="00030C67" w:rsidRDefault="00696D3E">
            <w:pPr>
              <w:pStyle w:val="TableHeading"/>
              <w:spacing w:before="40"/>
            </w:pPr>
            <w:r w:rsidRPr="009A5222">
              <w:t xml:space="preserve">Agriculture, forestry and fishing </w:t>
            </w:r>
          </w:p>
        </w:tc>
        <w:tc>
          <w:tcPr>
            <w:tcW w:w="931" w:type="pct"/>
            <w:tcBorders>
              <w:top w:val="single" w:sz="4" w:space="0" w:color="B3B3B3"/>
              <w:bottom w:val="nil"/>
            </w:tcBorders>
            <w:shd w:val="clear" w:color="000000" w:fill="F2F2F2"/>
          </w:tcPr>
          <w:p w14:paraId="670D68F7" w14:textId="77777777" w:rsidR="00696D3E" w:rsidRPr="00030C67" w:rsidRDefault="00696D3E">
            <w:pPr>
              <w:pStyle w:val="TableBody"/>
              <w:spacing w:before="40"/>
              <w:ind w:right="108"/>
              <w:jc w:val="right"/>
              <w:rPr>
                <w:rFonts w:ascii="Arial (Body)" w:hAnsi="Arial (Body)"/>
                <w:color w:val="000000"/>
              </w:rPr>
            </w:pPr>
            <w:r w:rsidRPr="00984287">
              <w:t>-2.13</w:t>
            </w:r>
          </w:p>
        </w:tc>
        <w:tc>
          <w:tcPr>
            <w:tcW w:w="931" w:type="pct"/>
            <w:tcBorders>
              <w:top w:val="single" w:sz="4" w:space="0" w:color="B3B3B3"/>
              <w:bottom w:val="nil"/>
            </w:tcBorders>
            <w:shd w:val="clear" w:color="000000" w:fill="F2F2F2"/>
          </w:tcPr>
          <w:p w14:paraId="0880AECA" w14:textId="77777777" w:rsidR="00696D3E" w:rsidRDefault="00696D3E">
            <w:pPr>
              <w:pStyle w:val="TableBody"/>
              <w:spacing w:before="40"/>
              <w:ind w:right="108"/>
              <w:jc w:val="right"/>
              <w:rPr>
                <w:rFonts w:ascii="Arial (Body)" w:hAnsi="Arial (Body)"/>
                <w:color w:val="000000"/>
              </w:rPr>
            </w:pPr>
            <w:r w:rsidRPr="00984287">
              <w:t>0.00</w:t>
            </w:r>
          </w:p>
        </w:tc>
        <w:tc>
          <w:tcPr>
            <w:tcW w:w="932" w:type="pct"/>
            <w:tcBorders>
              <w:top w:val="single" w:sz="4" w:space="0" w:color="B3B3B3"/>
              <w:bottom w:val="nil"/>
            </w:tcBorders>
            <w:shd w:val="clear" w:color="000000" w:fill="F2F2F2"/>
          </w:tcPr>
          <w:p w14:paraId="4BBE33CE" w14:textId="77777777" w:rsidR="00696D3E" w:rsidRDefault="00696D3E">
            <w:pPr>
              <w:pStyle w:val="TableBody"/>
              <w:spacing w:before="40"/>
              <w:ind w:right="108"/>
              <w:jc w:val="right"/>
              <w:rPr>
                <w:rFonts w:ascii="Arial (Body)" w:hAnsi="Arial (Body)"/>
                <w:color w:val="000000"/>
              </w:rPr>
            </w:pPr>
            <w:r w:rsidRPr="00984287">
              <w:t>-2.13</w:t>
            </w:r>
          </w:p>
        </w:tc>
        <w:tc>
          <w:tcPr>
            <w:tcW w:w="735" w:type="pct"/>
            <w:tcBorders>
              <w:top w:val="single" w:sz="4" w:space="0" w:color="B3B3B3"/>
              <w:bottom w:val="nil"/>
            </w:tcBorders>
            <w:shd w:val="clear" w:color="000000" w:fill="F2F2F2"/>
          </w:tcPr>
          <w:p w14:paraId="5AD6370F" w14:textId="77777777" w:rsidR="00696D3E" w:rsidRPr="00030C67" w:rsidRDefault="00696D3E">
            <w:pPr>
              <w:pStyle w:val="TableBody"/>
              <w:spacing w:before="40"/>
              <w:ind w:right="108"/>
              <w:jc w:val="right"/>
              <w:rPr>
                <w:rFonts w:ascii="Arial (Body)" w:hAnsi="Arial (Body)"/>
                <w:color w:val="000000"/>
              </w:rPr>
            </w:pPr>
            <w:r w:rsidRPr="00984287">
              <w:t>22</w:t>
            </w:r>
          </w:p>
        </w:tc>
      </w:tr>
      <w:tr w:rsidR="00696D3E" w:rsidRPr="00030C67" w14:paraId="3E9F1B97" w14:textId="77777777" w:rsidTr="00A8019D">
        <w:tc>
          <w:tcPr>
            <w:tcW w:w="1471" w:type="pct"/>
            <w:tcBorders>
              <w:top w:val="nil"/>
              <w:bottom w:val="nil"/>
            </w:tcBorders>
            <w:shd w:val="clear" w:color="000000" w:fill="auto"/>
          </w:tcPr>
          <w:p w14:paraId="2E80B348" w14:textId="77777777" w:rsidR="00696D3E" w:rsidRPr="00030C67" w:rsidRDefault="00696D3E" w:rsidP="00603DD4">
            <w:pPr>
              <w:pStyle w:val="TableHeading"/>
              <w:spacing w:before="20"/>
            </w:pPr>
            <w:r w:rsidRPr="009A5222">
              <w:t xml:space="preserve">Mining </w:t>
            </w:r>
          </w:p>
        </w:tc>
        <w:tc>
          <w:tcPr>
            <w:tcW w:w="931" w:type="pct"/>
            <w:tcBorders>
              <w:top w:val="nil"/>
              <w:bottom w:val="nil"/>
            </w:tcBorders>
            <w:shd w:val="clear" w:color="000000" w:fill="auto"/>
          </w:tcPr>
          <w:p w14:paraId="1A6A9AAA" w14:textId="77777777" w:rsidR="00696D3E" w:rsidRPr="00030C67" w:rsidRDefault="00696D3E" w:rsidP="00603DD4">
            <w:pPr>
              <w:pStyle w:val="TableBody"/>
              <w:spacing w:before="20"/>
              <w:ind w:right="108"/>
              <w:jc w:val="right"/>
              <w:rPr>
                <w:rFonts w:ascii="Arial (Body)" w:hAnsi="Arial (Body)"/>
                <w:color w:val="000000"/>
              </w:rPr>
            </w:pPr>
            <w:r w:rsidRPr="00984287">
              <w:t>-1.72</w:t>
            </w:r>
          </w:p>
        </w:tc>
        <w:tc>
          <w:tcPr>
            <w:tcW w:w="931" w:type="pct"/>
            <w:tcBorders>
              <w:top w:val="nil"/>
              <w:bottom w:val="nil"/>
            </w:tcBorders>
            <w:shd w:val="clear" w:color="000000" w:fill="auto"/>
          </w:tcPr>
          <w:p w14:paraId="06BC2681" w14:textId="77777777" w:rsidR="00696D3E" w:rsidRDefault="00696D3E" w:rsidP="00603DD4">
            <w:pPr>
              <w:pStyle w:val="TableBody"/>
              <w:spacing w:before="20"/>
              <w:ind w:right="108"/>
              <w:jc w:val="right"/>
              <w:rPr>
                <w:rFonts w:ascii="Arial (Body)" w:hAnsi="Arial (Body)"/>
                <w:color w:val="000000"/>
              </w:rPr>
            </w:pPr>
            <w:r w:rsidRPr="00984287">
              <w:t>-3.98</w:t>
            </w:r>
          </w:p>
        </w:tc>
        <w:tc>
          <w:tcPr>
            <w:tcW w:w="932" w:type="pct"/>
            <w:tcBorders>
              <w:top w:val="nil"/>
              <w:bottom w:val="nil"/>
            </w:tcBorders>
            <w:shd w:val="clear" w:color="000000" w:fill="auto"/>
          </w:tcPr>
          <w:p w14:paraId="7B1DE5EC" w14:textId="77777777" w:rsidR="00696D3E" w:rsidRDefault="00696D3E" w:rsidP="00603DD4">
            <w:pPr>
              <w:pStyle w:val="TableBody"/>
              <w:spacing w:before="20"/>
              <w:ind w:right="108"/>
              <w:jc w:val="right"/>
              <w:rPr>
                <w:rFonts w:ascii="Arial (Body)" w:hAnsi="Arial (Body)"/>
                <w:color w:val="000000"/>
              </w:rPr>
            </w:pPr>
            <w:r w:rsidRPr="00984287">
              <w:t>-5.70</w:t>
            </w:r>
          </w:p>
        </w:tc>
        <w:tc>
          <w:tcPr>
            <w:tcW w:w="735" w:type="pct"/>
            <w:tcBorders>
              <w:top w:val="nil"/>
              <w:bottom w:val="nil"/>
            </w:tcBorders>
            <w:shd w:val="clear" w:color="000000" w:fill="auto"/>
          </w:tcPr>
          <w:p w14:paraId="450A7E61" w14:textId="77777777" w:rsidR="00696D3E" w:rsidRPr="00030C67" w:rsidRDefault="00696D3E" w:rsidP="00603DD4">
            <w:pPr>
              <w:pStyle w:val="TableBody"/>
              <w:spacing w:before="20"/>
              <w:ind w:right="108"/>
              <w:jc w:val="right"/>
              <w:rPr>
                <w:rFonts w:ascii="Arial (Body)" w:hAnsi="Arial (Body)"/>
                <w:color w:val="000000"/>
              </w:rPr>
            </w:pPr>
            <w:r w:rsidRPr="00984287">
              <w:t>59</w:t>
            </w:r>
          </w:p>
        </w:tc>
      </w:tr>
      <w:tr w:rsidR="00696D3E" w:rsidRPr="00030C67" w14:paraId="5E49F7E5" w14:textId="77777777" w:rsidTr="00A8019D">
        <w:tc>
          <w:tcPr>
            <w:tcW w:w="1471" w:type="pct"/>
            <w:shd w:val="clear" w:color="000000" w:fill="F2F2F2"/>
          </w:tcPr>
          <w:p w14:paraId="78F24D37" w14:textId="77777777" w:rsidR="00696D3E" w:rsidRPr="00030C67" w:rsidRDefault="00696D3E" w:rsidP="00603DD4">
            <w:pPr>
              <w:pStyle w:val="TableHeading"/>
              <w:spacing w:before="20"/>
            </w:pPr>
            <w:r w:rsidRPr="009A5222">
              <w:t xml:space="preserve">Manufacturing </w:t>
            </w:r>
          </w:p>
        </w:tc>
        <w:tc>
          <w:tcPr>
            <w:tcW w:w="931" w:type="pct"/>
            <w:shd w:val="clear" w:color="000000" w:fill="F2F2F2"/>
          </w:tcPr>
          <w:p w14:paraId="02891D43" w14:textId="77777777" w:rsidR="00696D3E" w:rsidRPr="00030C67" w:rsidRDefault="00696D3E" w:rsidP="00603DD4">
            <w:pPr>
              <w:pStyle w:val="TableBody"/>
              <w:spacing w:before="20"/>
              <w:ind w:right="108"/>
              <w:jc w:val="right"/>
              <w:rPr>
                <w:rFonts w:ascii="Arial (Body)" w:hAnsi="Arial (Body)"/>
                <w:color w:val="000000"/>
              </w:rPr>
            </w:pPr>
            <w:r w:rsidRPr="00984287">
              <w:t>-0.08</w:t>
            </w:r>
          </w:p>
        </w:tc>
        <w:tc>
          <w:tcPr>
            <w:tcW w:w="931" w:type="pct"/>
            <w:shd w:val="clear" w:color="000000" w:fill="F2F2F2"/>
          </w:tcPr>
          <w:p w14:paraId="61344491" w14:textId="77777777" w:rsidR="00696D3E" w:rsidRDefault="00696D3E" w:rsidP="00603DD4">
            <w:pPr>
              <w:pStyle w:val="TableBody"/>
              <w:spacing w:before="20"/>
              <w:ind w:right="108"/>
              <w:jc w:val="right"/>
              <w:rPr>
                <w:rFonts w:ascii="Arial (Body)" w:hAnsi="Arial (Body)"/>
                <w:color w:val="000000"/>
              </w:rPr>
            </w:pPr>
            <w:r w:rsidRPr="00984287">
              <w:t>-0.06</w:t>
            </w:r>
          </w:p>
        </w:tc>
        <w:tc>
          <w:tcPr>
            <w:tcW w:w="932" w:type="pct"/>
            <w:shd w:val="clear" w:color="000000" w:fill="F2F2F2"/>
          </w:tcPr>
          <w:p w14:paraId="2D37557B" w14:textId="77777777" w:rsidR="00696D3E" w:rsidRDefault="00696D3E" w:rsidP="00603DD4">
            <w:pPr>
              <w:pStyle w:val="TableBody"/>
              <w:spacing w:before="20"/>
              <w:ind w:right="108"/>
              <w:jc w:val="right"/>
              <w:rPr>
                <w:rFonts w:ascii="Arial (Body)" w:hAnsi="Arial (Body)"/>
                <w:color w:val="000000"/>
              </w:rPr>
            </w:pPr>
            <w:r w:rsidRPr="00984287">
              <w:t>-0.14</w:t>
            </w:r>
          </w:p>
        </w:tc>
        <w:tc>
          <w:tcPr>
            <w:tcW w:w="735" w:type="pct"/>
            <w:shd w:val="clear" w:color="000000" w:fill="F2F2F2"/>
          </w:tcPr>
          <w:p w14:paraId="3ED72241" w14:textId="77777777" w:rsidR="00696D3E" w:rsidRPr="00030C67" w:rsidRDefault="00696D3E" w:rsidP="00603DD4">
            <w:pPr>
              <w:pStyle w:val="TableBody"/>
              <w:spacing w:before="20"/>
              <w:ind w:right="108"/>
              <w:jc w:val="right"/>
              <w:rPr>
                <w:rFonts w:ascii="Arial (Body)" w:hAnsi="Arial (Body)"/>
                <w:color w:val="000000"/>
              </w:rPr>
            </w:pPr>
            <w:r w:rsidRPr="00984287">
              <w:t>1</w:t>
            </w:r>
          </w:p>
        </w:tc>
      </w:tr>
      <w:tr w:rsidR="00696D3E" w:rsidRPr="00030C67" w14:paraId="2F767553" w14:textId="77777777" w:rsidTr="00A8019D">
        <w:tc>
          <w:tcPr>
            <w:tcW w:w="1471" w:type="pct"/>
            <w:shd w:val="clear" w:color="auto" w:fill="FFFFFF" w:themeFill="background1"/>
          </w:tcPr>
          <w:p w14:paraId="56B7F5B0" w14:textId="77777777" w:rsidR="00696D3E" w:rsidRPr="00030C67" w:rsidRDefault="00696D3E" w:rsidP="00603DD4">
            <w:pPr>
              <w:pStyle w:val="TableHeading"/>
              <w:spacing w:before="20"/>
            </w:pPr>
            <w:r w:rsidRPr="009A5222">
              <w:t xml:space="preserve">Electricity, gas, water and waste services </w:t>
            </w:r>
          </w:p>
        </w:tc>
        <w:tc>
          <w:tcPr>
            <w:tcW w:w="931" w:type="pct"/>
            <w:shd w:val="clear" w:color="auto" w:fill="FFFFFF" w:themeFill="background1"/>
          </w:tcPr>
          <w:p w14:paraId="6A59578C" w14:textId="77777777" w:rsidR="00696D3E" w:rsidRDefault="00696D3E" w:rsidP="00603DD4">
            <w:pPr>
              <w:pStyle w:val="TableBody"/>
              <w:spacing w:before="20"/>
              <w:ind w:right="108"/>
              <w:jc w:val="right"/>
              <w:rPr>
                <w:rFonts w:ascii="Arial (Body)" w:hAnsi="Arial (Body)"/>
                <w:color w:val="000000"/>
              </w:rPr>
            </w:pPr>
            <w:r w:rsidRPr="00984287">
              <w:t>0.08</w:t>
            </w:r>
          </w:p>
        </w:tc>
        <w:tc>
          <w:tcPr>
            <w:tcW w:w="931" w:type="pct"/>
            <w:shd w:val="clear" w:color="auto" w:fill="FFFFFF" w:themeFill="background1"/>
          </w:tcPr>
          <w:p w14:paraId="0080844F" w14:textId="77777777" w:rsidR="00696D3E" w:rsidRDefault="00696D3E" w:rsidP="00603DD4">
            <w:pPr>
              <w:pStyle w:val="TableBody"/>
              <w:spacing w:before="20"/>
              <w:ind w:right="108"/>
              <w:jc w:val="right"/>
              <w:rPr>
                <w:rFonts w:ascii="Arial (Body)" w:hAnsi="Arial (Body)"/>
                <w:color w:val="000000"/>
              </w:rPr>
            </w:pPr>
            <w:r w:rsidRPr="00984287">
              <w:t>0.30</w:t>
            </w:r>
          </w:p>
        </w:tc>
        <w:tc>
          <w:tcPr>
            <w:tcW w:w="932" w:type="pct"/>
            <w:shd w:val="clear" w:color="auto" w:fill="FFFFFF" w:themeFill="background1"/>
          </w:tcPr>
          <w:p w14:paraId="5D607422" w14:textId="77777777" w:rsidR="00696D3E" w:rsidRDefault="00696D3E" w:rsidP="00603DD4">
            <w:pPr>
              <w:pStyle w:val="TableBody"/>
              <w:spacing w:before="20"/>
              <w:ind w:right="108"/>
              <w:jc w:val="right"/>
              <w:rPr>
                <w:rFonts w:ascii="Arial (Body)" w:hAnsi="Arial (Body)"/>
                <w:color w:val="000000"/>
              </w:rPr>
            </w:pPr>
            <w:r w:rsidRPr="00984287">
              <w:t>0.38</w:t>
            </w:r>
          </w:p>
        </w:tc>
        <w:tc>
          <w:tcPr>
            <w:tcW w:w="735" w:type="pct"/>
            <w:shd w:val="clear" w:color="auto" w:fill="FFFFFF" w:themeFill="background1"/>
          </w:tcPr>
          <w:p w14:paraId="58542759" w14:textId="77777777" w:rsidR="00696D3E" w:rsidRDefault="00696D3E" w:rsidP="00603DD4">
            <w:pPr>
              <w:pStyle w:val="TableBody"/>
              <w:spacing w:before="20"/>
              <w:ind w:right="108"/>
              <w:jc w:val="right"/>
              <w:rPr>
                <w:rFonts w:ascii="Arial (Body)" w:hAnsi="Arial (Body)"/>
                <w:color w:val="000000"/>
              </w:rPr>
            </w:pPr>
            <w:r w:rsidRPr="00984287">
              <w:t>-4</w:t>
            </w:r>
          </w:p>
        </w:tc>
      </w:tr>
      <w:tr w:rsidR="00696D3E" w:rsidRPr="00030C67" w14:paraId="383A0598" w14:textId="77777777" w:rsidTr="00A8019D">
        <w:tc>
          <w:tcPr>
            <w:tcW w:w="1471" w:type="pct"/>
            <w:shd w:val="clear" w:color="000000" w:fill="F2F2F2"/>
          </w:tcPr>
          <w:p w14:paraId="6E7FAB85" w14:textId="77777777" w:rsidR="00696D3E" w:rsidRPr="00030C67" w:rsidRDefault="00696D3E" w:rsidP="00603DD4">
            <w:pPr>
              <w:pStyle w:val="TableHeading"/>
              <w:spacing w:before="20"/>
            </w:pPr>
            <w:r w:rsidRPr="009A5222">
              <w:t xml:space="preserve">Construction </w:t>
            </w:r>
          </w:p>
        </w:tc>
        <w:tc>
          <w:tcPr>
            <w:tcW w:w="931" w:type="pct"/>
            <w:shd w:val="clear" w:color="000000" w:fill="F2F2F2"/>
          </w:tcPr>
          <w:p w14:paraId="32E3FA43" w14:textId="77777777" w:rsidR="00696D3E" w:rsidRDefault="00696D3E" w:rsidP="00603DD4">
            <w:pPr>
              <w:pStyle w:val="TableBody"/>
              <w:spacing w:before="20"/>
              <w:ind w:right="108"/>
              <w:jc w:val="right"/>
              <w:rPr>
                <w:rFonts w:ascii="Arial (Body)" w:hAnsi="Arial (Body)"/>
                <w:color w:val="000000"/>
              </w:rPr>
            </w:pPr>
            <w:r w:rsidRPr="00984287">
              <w:t>-1.09</w:t>
            </w:r>
          </w:p>
        </w:tc>
        <w:tc>
          <w:tcPr>
            <w:tcW w:w="931" w:type="pct"/>
            <w:shd w:val="clear" w:color="000000" w:fill="F2F2F2"/>
          </w:tcPr>
          <w:p w14:paraId="6F04BA5F" w14:textId="77777777" w:rsidR="00696D3E" w:rsidRDefault="00696D3E" w:rsidP="00603DD4">
            <w:pPr>
              <w:pStyle w:val="TableBody"/>
              <w:spacing w:before="20"/>
              <w:ind w:right="108"/>
              <w:jc w:val="right"/>
              <w:rPr>
                <w:rFonts w:ascii="Arial (Body)" w:hAnsi="Arial (Body)"/>
                <w:color w:val="000000"/>
              </w:rPr>
            </w:pPr>
            <w:r w:rsidRPr="00984287">
              <w:t>0.13</w:t>
            </w:r>
          </w:p>
        </w:tc>
        <w:tc>
          <w:tcPr>
            <w:tcW w:w="932" w:type="pct"/>
            <w:shd w:val="clear" w:color="000000" w:fill="F2F2F2"/>
          </w:tcPr>
          <w:p w14:paraId="236ECD25" w14:textId="77777777" w:rsidR="00696D3E" w:rsidRDefault="00696D3E" w:rsidP="00603DD4">
            <w:pPr>
              <w:pStyle w:val="TableBody"/>
              <w:spacing w:before="20"/>
              <w:ind w:right="108"/>
              <w:jc w:val="right"/>
              <w:rPr>
                <w:rFonts w:ascii="Arial (Body)" w:hAnsi="Arial (Body)"/>
                <w:color w:val="000000"/>
              </w:rPr>
            </w:pPr>
            <w:r w:rsidRPr="00984287">
              <w:t>-0.96</w:t>
            </w:r>
          </w:p>
        </w:tc>
        <w:tc>
          <w:tcPr>
            <w:tcW w:w="735" w:type="pct"/>
            <w:shd w:val="clear" w:color="000000" w:fill="F2F2F2"/>
          </w:tcPr>
          <w:p w14:paraId="6CC0B704" w14:textId="77777777" w:rsidR="00696D3E" w:rsidRDefault="00696D3E" w:rsidP="00603DD4">
            <w:pPr>
              <w:pStyle w:val="TableBody"/>
              <w:spacing w:before="20"/>
              <w:ind w:right="108"/>
              <w:jc w:val="right"/>
              <w:rPr>
                <w:rFonts w:ascii="Arial (Body)" w:hAnsi="Arial (Body)"/>
                <w:color w:val="000000"/>
              </w:rPr>
            </w:pPr>
            <w:r w:rsidRPr="00984287">
              <w:t>10</w:t>
            </w:r>
          </w:p>
        </w:tc>
      </w:tr>
      <w:tr w:rsidR="00696D3E" w:rsidRPr="00030C67" w14:paraId="515A7D2E" w14:textId="77777777" w:rsidTr="00A8019D">
        <w:tc>
          <w:tcPr>
            <w:tcW w:w="1471" w:type="pct"/>
            <w:shd w:val="clear" w:color="auto" w:fill="FFFFFF" w:themeFill="background1"/>
          </w:tcPr>
          <w:p w14:paraId="24F57CD9" w14:textId="77777777" w:rsidR="00696D3E" w:rsidRPr="00030C67" w:rsidRDefault="00696D3E" w:rsidP="00603DD4">
            <w:pPr>
              <w:pStyle w:val="TableHeading"/>
              <w:spacing w:before="20"/>
            </w:pPr>
            <w:r w:rsidRPr="009A5222">
              <w:t xml:space="preserve">Wholesale trade </w:t>
            </w:r>
          </w:p>
        </w:tc>
        <w:tc>
          <w:tcPr>
            <w:tcW w:w="931" w:type="pct"/>
            <w:shd w:val="clear" w:color="auto" w:fill="FFFFFF" w:themeFill="background1"/>
          </w:tcPr>
          <w:p w14:paraId="78C3687F" w14:textId="77777777" w:rsidR="00696D3E" w:rsidRDefault="00696D3E" w:rsidP="00603DD4">
            <w:pPr>
              <w:pStyle w:val="TableBody"/>
              <w:spacing w:before="20"/>
              <w:ind w:right="108"/>
              <w:jc w:val="right"/>
              <w:rPr>
                <w:rFonts w:ascii="Arial (Body)" w:hAnsi="Arial (Body)"/>
                <w:color w:val="000000"/>
              </w:rPr>
            </w:pPr>
            <w:r w:rsidRPr="00984287">
              <w:t>0.02</w:t>
            </w:r>
          </w:p>
        </w:tc>
        <w:tc>
          <w:tcPr>
            <w:tcW w:w="931" w:type="pct"/>
            <w:shd w:val="clear" w:color="auto" w:fill="FFFFFF" w:themeFill="background1"/>
          </w:tcPr>
          <w:p w14:paraId="7B8CBDE7" w14:textId="77777777" w:rsidR="00696D3E" w:rsidRDefault="00696D3E" w:rsidP="00603DD4">
            <w:pPr>
              <w:pStyle w:val="TableBody"/>
              <w:spacing w:before="20"/>
              <w:ind w:right="108"/>
              <w:jc w:val="right"/>
              <w:rPr>
                <w:rFonts w:ascii="Arial (Body)" w:hAnsi="Arial (Body)"/>
                <w:color w:val="000000"/>
              </w:rPr>
            </w:pPr>
            <w:r w:rsidRPr="00984287">
              <w:t>-0.11</w:t>
            </w:r>
          </w:p>
        </w:tc>
        <w:tc>
          <w:tcPr>
            <w:tcW w:w="932" w:type="pct"/>
            <w:shd w:val="clear" w:color="auto" w:fill="FFFFFF" w:themeFill="background1"/>
          </w:tcPr>
          <w:p w14:paraId="615E4B2A" w14:textId="77777777" w:rsidR="00696D3E" w:rsidRDefault="00696D3E" w:rsidP="00603DD4">
            <w:pPr>
              <w:pStyle w:val="TableBody"/>
              <w:spacing w:before="20"/>
              <w:ind w:right="108"/>
              <w:jc w:val="right"/>
              <w:rPr>
                <w:rFonts w:ascii="Arial (Body)" w:hAnsi="Arial (Body)"/>
                <w:color w:val="000000"/>
              </w:rPr>
            </w:pPr>
            <w:r w:rsidRPr="00984287">
              <w:t>-0.09</w:t>
            </w:r>
          </w:p>
        </w:tc>
        <w:tc>
          <w:tcPr>
            <w:tcW w:w="735" w:type="pct"/>
            <w:shd w:val="clear" w:color="auto" w:fill="FFFFFF" w:themeFill="background1"/>
          </w:tcPr>
          <w:p w14:paraId="79767B06" w14:textId="77777777" w:rsidR="00696D3E" w:rsidRDefault="00696D3E" w:rsidP="00603DD4">
            <w:pPr>
              <w:pStyle w:val="TableBody"/>
              <w:spacing w:before="20"/>
              <w:ind w:right="108"/>
              <w:jc w:val="right"/>
              <w:rPr>
                <w:rFonts w:ascii="Arial (Body)" w:hAnsi="Arial (Body)"/>
                <w:color w:val="000000"/>
              </w:rPr>
            </w:pPr>
            <w:r w:rsidRPr="00984287">
              <w:t>1</w:t>
            </w:r>
          </w:p>
        </w:tc>
      </w:tr>
      <w:tr w:rsidR="00696D3E" w:rsidRPr="00030C67" w14:paraId="1FC6CCEE" w14:textId="77777777" w:rsidTr="00A8019D">
        <w:tc>
          <w:tcPr>
            <w:tcW w:w="1471" w:type="pct"/>
            <w:shd w:val="clear" w:color="000000" w:fill="F2F2F2"/>
          </w:tcPr>
          <w:p w14:paraId="17812C0C" w14:textId="77777777" w:rsidR="00696D3E" w:rsidRPr="00030C67" w:rsidRDefault="00696D3E" w:rsidP="00603DD4">
            <w:pPr>
              <w:pStyle w:val="TableHeading"/>
              <w:spacing w:before="20"/>
            </w:pPr>
            <w:r w:rsidRPr="009A5222">
              <w:t xml:space="preserve">Retail trade </w:t>
            </w:r>
          </w:p>
        </w:tc>
        <w:tc>
          <w:tcPr>
            <w:tcW w:w="931" w:type="pct"/>
            <w:shd w:val="clear" w:color="000000" w:fill="F2F2F2"/>
          </w:tcPr>
          <w:p w14:paraId="51839622" w14:textId="77777777" w:rsidR="00696D3E" w:rsidRDefault="00696D3E" w:rsidP="00603DD4">
            <w:pPr>
              <w:pStyle w:val="TableBody"/>
              <w:spacing w:before="20"/>
              <w:ind w:right="108"/>
              <w:jc w:val="right"/>
              <w:rPr>
                <w:rFonts w:ascii="Arial (Body)" w:hAnsi="Arial (Body)"/>
                <w:color w:val="000000"/>
              </w:rPr>
            </w:pPr>
            <w:r w:rsidRPr="00984287">
              <w:t>-0.47</w:t>
            </w:r>
          </w:p>
        </w:tc>
        <w:tc>
          <w:tcPr>
            <w:tcW w:w="931" w:type="pct"/>
            <w:shd w:val="clear" w:color="000000" w:fill="F2F2F2"/>
          </w:tcPr>
          <w:p w14:paraId="40238505" w14:textId="77777777" w:rsidR="00696D3E" w:rsidRDefault="00696D3E" w:rsidP="00603DD4">
            <w:pPr>
              <w:pStyle w:val="TableBody"/>
              <w:spacing w:before="20"/>
              <w:ind w:right="108"/>
              <w:jc w:val="right"/>
              <w:rPr>
                <w:rFonts w:ascii="Arial (Body)" w:hAnsi="Arial (Body)"/>
                <w:color w:val="000000"/>
              </w:rPr>
            </w:pPr>
            <w:r w:rsidRPr="00984287">
              <w:t>-0.19</w:t>
            </w:r>
          </w:p>
        </w:tc>
        <w:tc>
          <w:tcPr>
            <w:tcW w:w="932" w:type="pct"/>
            <w:shd w:val="clear" w:color="000000" w:fill="F2F2F2"/>
          </w:tcPr>
          <w:p w14:paraId="2DB2F585" w14:textId="77777777" w:rsidR="00696D3E" w:rsidRDefault="00696D3E" w:rsidP="00603DD4">
            <w:pPr>
              <w:pStyle w:val="TableBody"/>
              <w:spacing w:before="20"/>
              <w:ind w:right="108"/>
              <w:jc w:val="right"/>
              <w:rPr>
                <w:rFonts w:ascii="Arial (Body)" w:hAnsi="Arial (Body)"/>
                <w:color w:val="000000"/>
              </w:rPr>
            </w:pPr>
            <w:r w:rsidRPr="00984287">
              <w:t>-0.66</w:t>
            </w:r>
          </w:p>
        </w:tc>
        <w:tc>
          <w:tcPr>
            <w:tcW w:w="735" w:type="pct"/>
            <w:shd w:val="clear" w:color="000000" w:fill="F2F2F2"/>
          </w:tcPr>
          <w:p w14:paraId="4581CDF3" w14:textId="77777777" w:rsidR="00696D3E" w:rsidRDefault="00696D3E" w:rsidP="00603DD4">
            <w:pPr>
              <w:pStyle w:val="TableBody"/>
              <w:spacing w:before="20"/>
              <w:ind w:right="108"/>
              <w:jc w:val="right"/>
              <w:rPr>
                <w:rFonts w:ascii="Arial (Body)" w:hAnsi="Arial (Body)"/>
                <w:color w:val="000000"/>
              </w:rPr>
            </w:pPr>
            <w:r w:rsidRPr="00984287">
              <w:t>7</w:t>
            </w:r>
          </w:p>
        </w:tc>
      </w:tr>
      <w:tr w:rsidR="00696D3E" w:rsidRPr="00030C67" w14:paraId="5A9440C4" w14:textId="77777777" w:rsidTr="00A8019D">
        <w:tc>
          <w:tcPr>
            <w:tcW w:w="1471" w:type="pct"/>
            <w:shd w:val="clear" w:color="auto" w:fill="FFFFFF" w:themeFill="background1"/>
          </w:tcPr>
          <w:p w14:paraId="28B07E49" w14:textId="77777777" w:rsidR="00696D3E" w:rsidRPr="00030C67" w:rsidRDefault="00696D3E" w:rsidP="00603DD4">
            <w:pPr>
              <w:pStyle w:val="TableHeading"/>
              <w:spacing w:before="20"/>
            </w:pPr>
            <w:r w:rsidRPr="009A5222">
              <w:t xml:space="preserve">Accommodation and food services </w:t>
            </w:r>
          </w:p>
        </w:tc>
        <w:tc>
          <w:tcPr>
            <w:tcW w:w="931" w:type="pct"/>
            <w:shd w:val="clear" w:color="auto" w:fill="FFFFFF" w:themeFill="background1"/>
          </w:tcPr>
          <w:p w14:paraId="15E9765D" w14:textId="77777777" w:rsidR="00696D3E" w:rsidRDefault="00696D3E" w:rsidP="00603DD4">
            <w:pPr>
              <w:pStyle w:val="TableBody"/>
              <w:spacing w:before="20"/>
              <w:ind w:right="108"/>
              <w:jc w:val="right"/>
              <w:rPr>
                <w:rFonts w:ascii="Arial (Body)" w:hAnsi="Arial (Body)"/>
                <w:color w:val="000000"/>
              </w:rPr>
            </w:pPr>
            <w:r w:rsidRPr="00984287">
              <w:t>-0.38</w:t>
            </w:r>
          </w:p>
        </w:tc>
        <w:tc>
          <w:tcPr>
            <w:tcW w:w="931" w:type="pct"/>
            <w:shd w:val="clear" w:color="auto" w:fill="FFFFFF" w:themeFill="background1"/>
          </w:tcPr>
          <w:p w14:paraId="386E77F8" w14:textId="77777777" w:rsidR="00696D3E" w:rsidRDefault="00696D3E" w:rsidP="00603DD4">
            <w:pPr>
              <w:pStyle w:val="TableBody"/>
              <w:spacing w:before="20"/>
              <w:ind w:right="108"/>
              <w:jc w:val="right"/>
              <w:rPr>
                <w:rFonts w:ascii="Arial (Body)" w:hAnsi="Arial (Body)"/>
                <w:color w:val="000000"/>
              </w:rPr>
            </w:pPr>
            <w:r w:rsidRPr="00984287">
              <w:t>-0.20</w:t>
            </w:r>
          </w:p>
        </w:tc>
        <w:tc>
          <w:tcPr>
            <w:tcW w:w="932" w:type="pct"/>
            <w:shd w:val="clear" w:color="auto" w:fill="FFFFFF" w:themeFill="background1"/>
          </w:tcPr>
          <w:p w14:paraId="00FD490D" w14:textId="77777777" w:rsidR="00696D3E" w:rsidRDefault="00696D3E" w:rsidP="00603DD4">
            <w:pPr>
              <w:pStyle w:val="TableBody"/>
              <w:spacing w:before="20"/>
              <w:ind w:right="108"/>
              <w:jc w:val="right"/>
              <w:rPr>
                <w:rFonts w:ascii="Arial (Body)" w:hAnsi="Arial (Body)"/>
                <w:color w:val="000000"/>
              </w:rPr>
            </w:pPr>
            <w:r w:rsidRPr="00984287">
              <w:t>-0.58</w:t>
            </w:r>
          </w:p>
        </w:tc>
        <w:tc>
          <w:tcPr>
            <w:tcW w:w="735" w:type="pct"/>
            <w:shd w:val="clear" w:color="auto" w:fill="FFFFFF" w:themeFill="background1"/>
          </w:tcPr>
          <w:p w14:paraId="0FE8370A" w14:textId="77777777" w:rsidR="00696D3E" w:rsidRDefault="00696D3E" w:rsidP="00603DD4">
            <w:pPr>
              <w:pStyle w:val="TableBody"/>
              <w:spacing w:before="20"/>
              <w:ind w:right="108"/>
              <w:jc w:val="right"/>
              <w:rPr>
                <w:rFonts w:ascii="Arial (Body)" w:hAnsi="Arial (Body)"/>
                <w:color w:val="000000"/>
              </w:rPr>
            </w:pPr>
            <w:r w:rsidRPr="00984287">
              <w:t>6</w:t>
            </w:r>
          </w:p>
        </w:tc>
      </w:tr>
      <w:tr w:rsidR="00696D3E" w:rsidRPr="00030C67" w14:paraId="521EB943" w14:textId="77777777" w:rsidTr="00A8019D">
        <w:tc>
          <w:tcPr>
            <w:tcW w:w="1471" w:type="pct"/>
            <w:shd w:val="clear" w:color="000000" w:fill="F2F2F2"/>
          </w:tcPr>
          <w:p w14:paraId="04858526" w14:textId="77777777" w:rsidR="00696D3E" w:rsidRPr="00030C67" w:rsidRDefault="00696D3E" w:rsidP="00603DD4">
            <w:pPr>
              <w:pStyle w:val="TableHeading"/>
              <w:spacing w:before="20"/>
            </w:pPr>
            <w:r w:rsidRPr="009A5222">
              <w:t xml:space="preserve">Transport, postal and warehousing </w:t>
            </w:r>
          </w:p>
        </w:tc>
        <w:tc>
          <w:tcPr>
            <w:tcW w:w="931" w:type="pct"/>
            <w:shd w:val="clear" w:color="000000" w:fill="F2F2F2"/>
          </w:tcPr>
          <w:p w14:paraId="1151A7D3" w14:textId="77777777" w:rsidR="00696D3E" w:rsidRDefault="00696D3E" w:rsidP="00603DD4">
            <w:pPr>
              <w:pStyle w:val="TableBody"/>
              <w:spacing w:before="20"/>
              <w:ind w:right="108"/>
              <w:jc w:val="right"/>
              <w:rPr>
                <w:rFonts w:ascii="Arial (Body)" w:hAnsi="Arial (Body)"/>
                <w:color w:val="000000"/>
              </w:rPr>
            </w:pPr>
            <w:r w:rsidRPr="00984287">
              <w:t>-0.61</w:t>
            </w:r>
          </w:p>
        </w:tc>
        <w:tc>
          <w:tcPr>
            <w:tcW w:w="931" w:type="pct"/>
            <w:shd w:val="clear" w:color="000000" w:fill="F2F2F2"/>
          </w:tcPr>
          <w:p w14:paraId="049FF2CB" w14:textId="77777777" w:rsidR="00696D3E" w:rsidRDefault="00696D3E" w:rsidP="00603DD4">
            <w:pPr>
              <w:pStyle w:val="TableBody"/>
              <w:spacing w:before="20"/>
              <w:ind w:right="108"/>
              <w:jc w:val="right"/>
              <w:rPr>
                <w:rFonts w:ascii="Arial (Body)" w:hAnsi="Arial (Body)"/>
                <w:color w:val="000000"/>
              </w:rPr>
            </w:pPr>
            <w:r w:rsidRPr="00984287">
              <w:t>-0.10</w:t>
            </w:r>
          </w:p>
        </w:tc>
        <w:tc>
          <w:tcPr>
            <w:tcW w:w="932" w:type="pct"/>
            <w:shd w:val="clear" w:color="000000" w:fill="F2F2F2"/>
          </w:tcPr>
          <w:p w14:paraId="0731FE83" w14:textId="77777777" w:rsidR="00696D3E" w:rsidRDefault="00696D3E" w:rsidP="00603DD4">
            <w:pPr>
              <w:pStyle w:val="TableBody"/>
              <w:spacing w:before="20"/>
              <w:ind w:right="108"/>
              <w:jc w:val="right"/>
              <w:rPr>
                <w:rFonts w:ascii="Arial (Body)" w:hAnsi="Arial (Body)"/>
                <w:color w:val="000000"/>
              </w:rPr>
            </w:pPr>
            <w:r w:rsidRPr="00984287">
              <w:t>-0.71</w:t>
            </w:r>
          </w:p>
        </w:tc>
        <w:tc>
          <w:tcPr>
            <w:tcW w:w="735" w:type="pct"/>
            <w:shd w:val="clear" w:color="000000" w:fill="F2F2F2"/>
          </w:tcPr>
          <w:p w14:paraId="23FD93E0" w14:textId="77777777" w:rsidR="00696D3E" w:rsidRDefault="00696D3E" w:rsidP="00603DD4">
            <w:pPr>
              <w:pStyle w:val="TableBody"/>
              <w:spacing w:before="20"/>
              <w:ind w:right="108"/>
              <w:jc w:val="right"/>
              <w:rPr>
                <w:rFonts w:ascii="Arial (Body)" w:hAnsi="Arial (Body)"/>
                <w:color w:val="000000"/>
              </w:rPr>
            </w:pPr>
            <w:r w:rsidRPr="00984287">
              <w:t>7</w:t>
            </w:r>
          </w:p>
        </w:tc>
      </w:tr>
      <w:tr w:rsidR="00696D3E" w:rsidRPr="00030C67" w14:paraId="2C374C42" w14:textId="77777777" w:rsidTr="00A8019D">
        <w:tc>
          <w:tcPr>
            <w:tcW w:w="1471" w:type="pct"/>
            <w:shd w:val="clear" w:color="auto" w:fill="FFFFFF" w:themeFill="background1"/>
          </w:tcPr>
          <w:p w14:paraId="7FB624B7" w14:textId="77777777" w:rsidR="00696D3E" w:rsidRPr="00030C67" w:rsidRDefault="00696D3E" w:rsidP="00603DD4">
            <w:pPr>
              <w:pStyle w:val="TableHeading"/>
              <w:spacing w:before="20"/>
            </w:pPr>
            <w:r w:rsidRPr="009A5222">
              <w:t xml:space="preserve">Information media and telecommunications </w:t>
            </w:r>
          </w:p>
        </w:tc>
        <w:tc>
          <w:tcPr>
            <w:tcW w:w="931" w:type="pct"/>
            <w:shd w:val="clear" w:color="auto" w:fill="FFFFFF" w:themeFill="background1"/>
          </w:tcPr>
          <w:p w14:paraId="09AB7778" w14:textId="77777777" w:rsidR="00696D3E" w:rsidRDefault="00696D3E" w:rsidP="00603DD4">
            <w:pPr>
              <w:pStyle w:val="TableBody"/>
              <w:spacing w:before="20"/>
              <w:ind w:right="108"/>
              <w:jc w:val="right"/>
              <w:rPr>
                <w:rFonts w:ascii="Arial (Body)" w:hAnsi="Arial (Body)"/>
                <w:color w:val="000000"/>
              </w:rPr>
            </w:pPr>
            <w:r w:rsidRPr="00984287">
              <w:t>0.02</w:t>
            </w:r>
          </w:p>
        </w:tc>
        <w:tc>
          <w:tcPr>
            <w:tcW w:w="931" w:type="pct"/>
            <w:shd w:val="clear" w:color="auto" w:fill="FFFFFF" w:themeFill="background1"/>
          </w:tcPr>
          <w:p w14:paraId="1212FB28" w14:textId="77777777" w:rsidR="00696D3E" w:rsidRDefault="00696D3E" w:rsidP="00603DD4">
            <w:pPr>
              <w:pStyle w:val="TableBody"/>
              <w:spacing w:before="20"/>
              <w:ind w:right="108"/>
              <w:jc w:val="right"/>
              <w:rPr>
                <w:rFonts w:ascii="Arial (Body)" w:hAnsi="Arial (Body)"/>
                <w:color w:val="000000"/>
              </w:rPr>
            </w:pPr>
            <w:r w:rsidRPr="00984287">
              <w:t>0.27</w:t>
            </w:r>
          </w:p>
        </w:tc>
        <w:tc>
          <w:tcPr>
            <w:tcW w:w="932" w:type="pct"/>
            <w:shd w:val="clear" w:color="auto" w:fill="FFFFFF" w:themeFill="background1"/>
          </w:tcPr>
          <w:p w14:paraId="7D39E8B9" w14:textId="77777777" w:rsidR="00696D3E" w:rsidRDefault="00696D3E" w:rsidP="00603DD4">
            <w:pPr>
              <w:pStyle w:val="TableBody"/>
              <w:spacing w:before="20"/>
              <w:ind w:right="108"/>
              <w:jc w:val="right"/>
              <w:rPr>
                <w:rFonts w:ascii="Arial (Body)" w:hAnsi="Arial (Body)"/>
                <w:color w:val="000000"/>
              </w:rPr>
            </w:pPr>
            <w:r w:rsidRPr="00984287">
              <w:t>0.29</w:t>
            </w:r>
          </w:p>
        </w:tc>
        <w:tc>
          <w:tcPr>
            <w:tcW w:w="735" w:type="pct"/>
            <w:shd w:val="clear" w:color="auto" w:fill="FFFFFF" w:themeFill="background1"/>
          </w:tcPr>
          <w:p w14:paraId="31A1EE14" w14:textId="77777777" w:rsidR="00696D3E" w:rsidRDefault="00696D3E" w:rsidP="00603DD4">
            <w:pPr>
              <w:pStyle w:val="TableBody"/>
              <w:spacing w:before="20"/>
              <w:ind w:right="108"/>
              <w:jc w:val="right"/>
              <w:rPr>
                <w:rFonts w:ascii="Arial (Body)" w:hAnsi="Arial (Body)"/>
                <w:color w:val="000000"/>
              </w:rPr>
            </w:pPr>
            <w:r w:rsidRPr="00984287">
              <w:t>-3</w:t>
            </w:r>
          </w:p>
        </w:tc>
      </w:tr>
      <w:tr w:rsidR="00696D3E" w:rsidRPr="00030C67" w14:paraId="45722C03" w14:textId="77777777" w:rsidTr="00A8019D">
        <w:tc>
          <w:tcPr>
            <w:tcW w:w="1471" w:type="pct"/>
            <w:shd w:val="clear" w:color="000000" w:fill="F2F2F2"/>
          </w:tcPr>
          <w:p w14:paraId="60755565" w14:textId="77777777" w:rsidR="00696D3E" w:rsidRPr="00030C67" w:rsidRDefault="00696D3E" w:rsidP="00603DD4">
            <w:pPr>
              <w:pStyle w:val="TableHeading"/>
              <w:spacing w:before="20"/>
            </w:pPr>
            <w:r w:rsidRPr="009A5222">
              <w:t xml:space="preserve">Financial and insurance services </w:t>
            </w:r>
          </w:p>
        </w:tc>
        <w:tc>
          <w:tcPr>
            <w:tcW w:w="931" w:type="pct"/>
            <w:shd w:val="clear" w:color="000000" w:fill="F2F2F2"/>
          </w:tcPr>
          <w:p w14:paraId="1059E03B" w14:textId="77777777" w:rsidR="00696D3E" w:rsidRDefault="00696D3E" w:rsidP="00603DD4">
            <w:pPr>
              <w:pStyle w:val="TableBody"/>
              <w:spacing w:before="20"/>
              <w:ind w:right="108"/>
              <w:jc w:val="right"/>
              <w:rPr>
                <w:rFonts w:ascii="Arial (Body)" w:hAnsi="Arial (Body)"/>
                <w:color w:val="000000"/>
              </w:rPr>
            </w:pPr>
            <w:r w:rsidRPr="00984287">
              <w:t>-0.35</w:t>
            </w:r>
          </w:p>
        </w:tc>
        <w:tc>
          <w:tcPr>
            <w:tcW w:w="931" w:type="pct"/>
            <w:shd w:val="clear" w:color="000000" w:fill="F2F2F2"/>
          </w:tcPr>
          <w:p w14:paraId="62FBF76C" w14:textId="77777777" w:rsidR="00696D3E" w:rsidRDefault="00696D3E" w:rsidP="00603DD4">
            <w:pPr>
              <w:pStyle w:val="TableBody"/>
              <w:spacing w:before="20"/>
              <w:ind w:right="108"/>
              <w:jc w:val="right"/>
              <w:rPr>
                <w:rFonts w:ascii="Arial (Body)" w:hAnsi="Arial (Body)"/>
                <w:color w:val="000000"/>
              </w:rPr>
            </w:pPr>
            <w:r w:rsidRPr="00984287">
              <w:t>0.12</w:t>
            </w:r>
          </w:p>
        </w:tc>
        <w:tc>
          <w:tcPr>
            <w:tcW w:w="932" w:type="pct"/>
            <w:shd w:val="clear" w:color="000000" w:fill="F2F2F2"/>
          </w:tcPr>
          <w:p w14:paraId="774FC8B7" w14:textId="77777777" w:rsidR="00696D3E" w:rsidRDefault="00696D3E" w:rsidP="00603DD4">
            <w:pPr>
              <w:pStyle w:val="TableBody"/>
              <w:spacing w:before="20"/>
              <w:ind w:right="108"/>
              <w:jc w:val="right"/>
              <w:rPr>
                <w:rFonts w:ascii="Arial (Body)" w:hAnsi="Arial (Body)"/>
                <w:color w:val="000000"/>
              </w:rPr>
            </w:pPr>
            <w:r w:rsidRPr="00984287">
              <w:t>-0.23</w:t>
            </w:r>
          </w:p>
        </w:tc>
        <w:tc>
          <w:tcPr>
            <w:tcW w:w="735" w:type="pct"/>
            <w:shd w:val="clear" w:color="000000" w:fill="F2F2F2"/>
          </w:tcPr>
          <w:p w14:paraId="4AD4168E" w14:textId="77777777" w:rsidR="00696D3E" w:rsidRDefault="00696D3E" w:rsidP="00603DD4">
            <w:pPr>
              <w:pStyle w:val="TableBody"/>
              <w:spacing w:before="20"/>
              <w:ind w:right="108"/>
              <w:jc w:val="right"/>
              <w:rPr>
                <w:rFonts w:ascii="Arial (Body)" w:hAnsi="Arial (Body)"/>
                <w:color w:val="000000"/>
              </w:rPr>
            </w:pPr>
            <w:r w:rsidRPr="00984287">
              <w:t>2</w:t>
            </w:r>
          </w:p>
        </w:tc>
      </w:tr>
      <w:tr w:rsidR="00696D3E" w:rsidRPr="00030C67" w14:paraId="22BFC3FE" w14:textId="77777777" w:rsidTr="00A8019D">
        <w:tc>
          <w:tcPr>
            <w:tcW w:w="1471" w:type="pct"/>
            <w:shd w:val="clear" w:color="auto" w:fill="FFFFFF" w:themeFill="background1"/>
          </w:tcPr>
          <w:p w14:paraId="480F548B" w14:textId="77777777" w:rsidR="00696D3E" w:rsidRPr="00030C67" w:rsidRDefault="00696D3E" w:rsidP="00603DD4">
            <w:pPr>
              <w:pStyle w:val="TableHeading"/>
              <w:spacing w:before="20"/>
            </w:pPr>
            <w:r w:rsidRPr="009A5222">
              <w:t xml:space="preserve">Rental, hiring and real estate services </w:t>
            </w:r>
          </w:p>
        </w:tc>
        <w:tc>
          <w:tcPr>
            <w:tcW w:w="931" w:type="pct"/>
            <w:shd w:val="clear" w:color="auto" w:fill="FFFFFF" w:themeFill="background1"/>
          </w:tcPr>
          <w:p w14:paraId="0F2B3017" w14:textId="77777777" w:rsidR="00696D3E" w:rsidRDefault="00696D3E" w:rsidP="00603DD4">
            <w:pPr>
              <w:pStyle w:val="TableBody"/>
              <w:spacing w:before="20"/>
              <w:ind w:right="108"/>
              <w:jc w:val="right"/>
              <w:rPr>
                <w:rFonts w:ascii="Arial (Body)" w:hAnsi="Arial (Body)"/>
                <w:color w:val="000000"/>
              </w:rPr>
            </w:pPr>
            <w:r w:rsidRPr="00984287">
              <w:t>-0.02</w:t>
            </w:r>
          </w:p>
        </w:tc>
        <w:tc>
          <w:tcPr>
            <w:tcW w:w="931" w:type="pct"/>
            <w:shd w:val="clear" w:color="auto" w:fill="FFFFFF" w:themeFill="background1"/>
          </w:tcPr>
          <w:p w14:paraId="06E0A2CC" w14:textId="77777777" w:rsidR="00696D3E" w:rsidRDefault="00696D3E" w:rsidP="00603DD4">
            <w:pPr>
              <w:pStyle w:val="TableBody"/>
              <w:spacing w:before="20"/>
              <w:ind w:right="108"/>
              <w:jc w:val="right"/>
              <w:rPr>
                <w:rFonts w:ascii="Arial (Body)" w:hAnsi="Arial (Body)"/>
                <w:color w:val="000000"/>
              </w:rPr>
            </w:pPr>
            <w:r w:rsidRPr="00984287">
              <w:t>-0.06</w:t>
            </w:r>
          </w:p>
        </w:tc>
        <w:tc>
          <w:tcPr>
            <w:tcW w:w="932" w:type="pct"/>
            <w:shd w:val="clear" w:color="auto" w:fill="FFFFFF" w:themeFill="background1"/>
          </w:tcPr>
          <w:p w14:paraId="72D227AD" w14:textId="77777777" w:rsidR="00696D3E" w:rsidRDefault="00696D3E" w:rsidP="00603DD4">
            <w:pPr>
              <w:pStyle w:val="TableBody"/>
              <w:spacing w:before="20"/>
              <w:ind w:right="108"/>
              <w:jc w:val="right"/>
              <w:rPr>
                <w:rFonts w:ascii="Arial (Body)" w:hAnsi="Arial (Body)"/>
                <w:color w:val="000000"/>
              </w:rPr>
            </w:pPr>
            <w:r w:rsidRPr="00984287">
              <w:t>-0.08</w:t>
            </w:r>
          </w:p>
        </w:tc>
        <w:tc>
          <w:tcPr>
            <w:tcW w:w="735" w:type="pct"/>
            <w:shd w:val="clear" w:color="auto" w:fill="FFFFFF" w:themeFill="background1"/>
          </w:tcPr>
          <w:p w14:paraId="03490133" w14:textId="77777777" w:rsidR="00696D3E" w:rsidRDefault="00696D3E" w:rsidP="00603DD4">
            <w:pPr>
              <w:pStyle w:val="TableBody"/>
              <w:spacing w:before="20"/>
              <w:ind w:right="108"/>
              <w:jc w:val="right"/>
              <w:rPr>
                <w:rFonts w:ascii="Arial (Body)" w:hAnsi="Arial (Body)"/>
                <w:color w:val="000000"/>
              </w:rPr>
            </w:pPr>
            <w:r w:rsidRPr="00984287">
              <w:t>1</w:t>
            </w:r>
          </w:p>
        </w:tc>
      </w:tr>
      <w:tr w:rsidR="00696D3E" w:rsidRPr="00030C67" w14:paraId="4439EA84" w14:textId="77777777" w:rsidTr="00A8019D">
        <w:tc>
          <w:tcPr>
            <w:tcW w:w="1471" w:type="pct"/>
            <w:shd w:val="clear" w:color="000000" w:fill="F2F2F2"/>
          </w:tcPr>
          <w:p w14:paraId="31CE9F2C" w14:textId="77777777" w:rsidR="00696D3E" w:rsidRPr="00030C67" w:rsidRDefault="00696D3E" w:rsidP="00603DD4">
            <w:pPr>
              <w:pStyle w:val="TableHeading"/>
              <w:spacing w:before="20"/>
            </w:pPr>
            <w:r w:rsidRPr="009A5222">
              <w:t xml:space="preserve">Professional, scientific and technical services </w:t>
            </w:r>
          </w:p>
        </w:tc>
        <w:tc>
          <w:tcPr>
            <w:tcW w:w="931" w:type="pct"/>
            <w:shd w:val="clear" w:color="000000" w:fill="F2F2F2"/>
          </w:tcPr>
          <w:p w14:paraId="5EBD38CB" w14:textId="77777777" w:rsidR="00696D3E" w:rsidRDefault="00696D3E" w:rsidP="00603DD4">
            <w:pPr>
              <w:pStyle w:val="TableBody"/>
              <w:spacing w:before="20"/>
              <w:ind w:right="108"/>
              <w:jc w:val="right"/>
              <w:rPr>
                <w:rFonts w:ascii="Arial (Body)" w:hAnsi="Arial (Body)"/>
                <w:color w:val="000000"/>
              </w:rPr>
            </w:pPr>
            <w:r w:rsidRPr="00984287">
              <w:t>-1.46</w:t>
            </w:r>
          </w:p>
        </w:tc>
        <w:tc>
          <w:tcPr>
            <w:tcW w:w="931" w:type="pct"/>
            <w:shd w:val="clear" w:color="000000" w:fill="F2F2F2"/>
          </w:tcPr>
          <w:p w14:paraId="1C38AD79" w14:textId="77777777" w:rsidR="00696D3E" w:rsidRDefault="00696D3E" w:rsidP="00603DD4">
            <w:pPr>
              <w:pStyle w:val="TableBody"/>
              <w:spacing w:before="20"/>
              <w:ind w:right="108"/>
              <w:jc w:val="right"/>
              <w:rPr>
                <w:rFonts w:ascii="Arial (Body)" w:hAnsi="Arial (Body)"/>
                <w:color w:val="000000"/>
              </w:rPr>
            </w:pPr>
            <w:r w:rsidRPr="00984287">
              <w:t>1.22</w:t>
            </w:r>
          </w:p>
        </w:tc>
        <w:tc>
          <w:tcPr>
            <w:tcW w:w="932" w:type="pct"/>
            <w:shd w:val="clear" w:color="000000" w:fill="F2F2F2"/>
          </w:tcPr>
          <w:p w14:paraId="4563B9BF" w14:textId="77777777" w:rsidR="00696D3E" w:rsidRDefault="00696D3E" w:rsidP="00603DD4">
            <w:pPr>
              <w:pStyle w:val="TableBody"/>
              <w:spacing w:before="20"/>
              <w:ind w:right="108"/>
              <w:jc w:val="right"/>
              <w:rPr>
                <w:rFonts w:ascii="Arial (Body)" w:hAnsi="Arial (Body)"/>
                <w:color w:val="000000"/>
              </w:rPr>
            </w:pPr>
            <w:r w:rsidRPr="00984287">
              <w:t>-0.24</w:t>
            </w:r>
          </w:p>
        </w:tc>
        <w:tc>
          <w:tcPr>
            <w:tcW w:w="735" w:type="pct"/>
            <w:shd w:val="clear" w:color="000000" w:fill="F2F2F2"/>
          </w:tcPr>
          <w:p w14:paraId="1DD9B678" w14:textId="77777777" w:rsidR="00696D3E" w:rsidRDefault="00696D3E" w:rsidP="00603DD4">
            <w:pPr>
              <w:pStyle w:val="TableBody"/>
              <w:spacing w:before="20"/>
              <w:ind w:right="108"/>
              <w:jc w:val="right"/>
              <w:rPr>
                <w:rFonts w:ascii="Arial (Body)" w:hAnsi="Arial (Body)"/>
                <w:color w:val="000000"/>
              </w:rPr>
            </w:pPr>
            <w:r w:rsidRPr="00984287">
              <w:t>2</w:t>
            </w:r>
          </w:p>
        </w:tc>
      </w:tr>
      <w:tr w:rsidR="00696D3E" w:rsidRPr="00030C67" w14:paraId="27E44C1D" w14:textId="77777777" w:rsidTr="00A8019D">
        <w:tc>
          <w:tcPr>
            <w:tcW w:w="1471" w:type="pct"/>
            <w:shd w:val="clear" w:color="auto" w:fill="FFFFFF" w:themeFill="background1"/>
          </w:tcPr>
          <w:p w14:paraId="7CE6AA62" w14:textId="77777777" w:rsidR="00696D3E" w:rsidRPr="00030C67" w:rsidRDefault="00696D3E" w:rsidP="00603DD4">
            <w:pPr>
              <w:pStyle w:val="TableHeading"/>
              <w:spacing w:before="20"/>
            </w:pPr>
            <w:r w:rsidRPr="009A5222">
              <w:t>Administrative and support services (N)</w:t>
            </w:r>
          </w:p>
        </w:tc>
        <w:tc>
          <w:tcPr>
            <w:tcW w:w="931" w:type="pct"/>
            <w:shd w:val="clear" w:color="auto" w:fill="FFFFFF" w:themeFill="background1"/>
          </w:tcPr>
          <w:p w14:paraId="3823690A" w14:textId="77777777" w:rsidR="00696D3E" w:rsidRDefault="00696D3E" w:rsidP="00603DD4">
            <w:pPr>
              <w:pStyle w:val="TableBody"/>
              <w:spacing w:before="20"/>
              <w:ind w:right="108"/>
              <w:jc w:val="right"/>
              <w:rPr>
                <w:rFonts w:ascii="Arial (Body)" w:hAnsi="Arial (Body)"/>
                <w:color w:val="000000"/>
              </w:rPr>
            </w:pPr>
            <w:r w:rsidRPr="00984287">
              <w:t>-0.06</w:t>
            </w:r>
          </w:p>
        </w:tc>
        <w:tc>
          <w:tcPr>
            <w:tcW w:w="931" w:type="pct"/>
            <w:shd w:val="clear" w:color="auto" w:fill="FFFFFF" w:themeFill="background1"/>
          </w:tcPr>
          <w:p w14:paraId="41816CCA" w14:textId="77777777" w:rsidR="00696D3E" w:rsidRDefault="00696D3E" w:rsidP="00603DD4">
            <w:pPr>
              <w:pStyle w:val="TableBody"/>
              <w:spacing w:before="20"/>
              <w:ind w:right="108"/>
              <w:jc w:val="right"/>
              <w:rPr>
                <w:rFonts w:ascii="Arial (Body)" w:hAnsi="Arial (Body)"/>
                <w:color w:val="000000"/>
              </w:rPr>
            </w:pPr>
            <w:r w:rsidRPr="00984287">
              <w:t>0.64</w:t>
            </w:r>
          </w:p>
        </w:tc>
        <w:tc>
          <w:tcPr>
            <w:tcW w:w="932" w:type="pct"/>
            <w:shd w:val="clear" w:color="auto" w:fill="FFFFFF" w:themeFill="background1"/>
          </w:tcPr>
          <w:p w14:paraId="1D375827" w14:textId="77777777" w:rsidR="00696D3E" w:rsidRDefault="00696D3E" w:rsidP="00603DD4">
            <w:pPr>
              <w:pStyle w:val="TableBody"/>
              <w:spacing w:before="20"/>
              <w:ind w:right="108"/>
              <w:jc w:val="right"/>
              <w:rPr>
                <w:rFonts w:ascii="Arial (Body)" w:hAnsi="Arial (Body)"/>
                <w:color w:val="000000"/>
              </w:rPr>
            </w:pPr>
            <w:r w:rsidRPr="00984287">
              <w:t>0.58</w:t>
            </w:r>
          </w:p>
        </w:tc>
        <w:tc>
          <w:tcPr>
            <w:tcW w:w="735" w:type="pct"/>
            <w:shd w:val="clear" w:color="auto" w:fill="FFFFFF" w:themeFill="background1"/>
          </w:tcPr>
          <w:p w14:paraId="6F3D90AE" w14:textId="77777777" w:rsidR="00696D3E" w:rsidRDefault="00696D3E" w:rsidP="00603DD4">
            <w:pPr>
              <w:pStyle w:val="TableBody"/>
              <w:spacing w:before="20"/>
              <w:ind w:right="108"/>
              <w:jc w:val="right"/>
              <w:rPr>
                <w:rFonts w:ascii="Arial (Body)" w:hAnsi="Arial (Body)"/>
                <w:color w:val="000000"/>
              </w:rPr>
            </w:pPr>
            <w:r w:rsidRPr="00984287">
              <w:t>-6</w:t>
            </w:r>
          </w:p>
        </w:tc>
      </w:tr>
      <w:tr w:rsidR="00696D3E" w:rsidRPr="00030C67" w14:paraId="4061CDB5" w14:textId="77777777" w:rsidTr="00A8019D">
        <w:tc>
          <w:tcPr>
            <w:tcW w:w="1471" w:type="pct"/>
            <w:shd w:val="clear" w:color="000000" w:fill="F2F2F2"/>
          </w:tcPr>
          <w:p w14:paraId="7C48B366" w14:textId="77777777" w:rsidR="00696D3E" w:rsidRPr="00030C67" w:rsidRDefault="00696D3E" w:rsidP="00603DD4">
            <w:pPr>
              <w:pStyle w:val="TableHeading"/>
              <w:spacing w:before="20"/>
            </w:pPr>
            <w:r w:rsidRPr="009A5222">
              <w:t xml:space="preserve">Public administration and safety </w:t>
            </w:r>
          </w:p>
        </w:tc>
        <w:tc>
          <w:tcPr>
            <w:tcW w:w="931" w:type="pct"/>
            <w:shd w:val="clear" w:color="000000" w:fill="F2F2F2"/>
          </w:tcPr>
          <w:p w14:paraId="0C17391C" w14:textId="77777777" w:rsidR="00696D3E" w:rsidRDefault="00696D3E" w:rsidP="00603DD4">
            <w:pPr>
              <w:pStyle w:val="TableBody"/>
              <w:spacing w:before="20"/>
              <w:ind w:right="108"/>
              <w:jc w:val="right"/>
              <w:rPr>
                <w:rFonts w:ascii="Arial (Body)" w:hAnsi="Arial (Body)"/>
                <w:color w:val="000000"/>
              </w:rPr>
            </w:pPr>
            <w:r w:rsidRPr="00984287">
              <w:t>-0.01</w:t>
            </w:r>
          </w:p>
        </w:tc>
        <w:tc>
          <w:tcPr>
            <w:tcW w:w="931" w:type="pct"/>
            <w:shd w:val="clear" w:color="000000" w:fill="F2F2F2"/>
          </w:tcPr>
          <w:p w14:paraId="71F68DC2" w14:textId="77777777" w:rsidR="00696D3E" w:rsidRDefault="00696D3E" w:rsidP="00603DD4">
            <w:pPr>
              <w:pStyle w:val="TableBody"/>
              <w:spacing w:before="20"/>
              <w:ind w:right="108"/>
              <w:jc w:val="right"/>
              <w:rPr>
                <w:rFonts w:ascii="Arial (Body)" w:hAnsi="Arial (Body)"/>
                <w:color w:val="000000"/>
              </w:rPr>
            </w:pPr>
            <w:r w:rsidRPr="00984287">
              <w:t>-0.21</w:t>
            </w:r>
          </w:p>
        </w:tc>
        <w:tc>
          <w:tcPr>
            <w:tcW w:w="932" w:type="pct"/>
            <w:shd w:val="clear" w:color="000000" w:fill="F2F2F2"/>
          </w:tcPr>
          <w:p w14:paraId="1AA93A39" w14:textId="77777777" w:rsidR="00696D3E" w:rsidRDefault="00696D3E" w:rsidP="00603DD4">
            <w:pPr>
              <w:pStyle w:val="TableBody"/>
              <w:spacing w:before="20"/>
              <w:ind w:right="108"/>
              <w:jc w:val="right"/>
              <w:rPr>
                <w:rFonts w:ascii="Arial (Body)" w:hAnsi="Arial (Body)"/>
                <w:color w:val="000000"/>
              </w:rPr>
            </w:pPr>
            <w:r w:rsidRPr="00984287">
              <w:t>-0.22</w:t>
            </w:r>
          </w:p>
        </w:tc>
        <w:tc>
          <w:tcPr>
            <w:tcW w:w="735" w:type="pct"/>
            <w:shd w:val="clear" w:color="000000" w:fill="F2F2F2"/>
          </w:tcPr>
          <w:p w14:paraId="692B622A" w14:textId="77777777" w:rsidR="00696D3E" w:rsidRDefault="00696D3E" w:rsidP="00603DD4">
            <w:pPr>
              <w:pStyle w:val="TableBody"/>
              <w:spacing w:before="20"/>
              <w:ind w:right="108"/>
              <w:jc w:val="right"/>
              <w:rPr>
                <w:rFonts w:ascii="Arial (Body)" w:hAnsi="Arial (Body)"/>
                <w:color w:val="000000"/>
              </w:rPr>
            </w:pPr>
            <w:r w:rsidRPr="00984287">
              <w:t>2</w:t>
            </w:r>
          </w:p>
        </w:tc>
      </w:tr>
      <w:tr w:rsidR="00696D3E" w:rsidRPr="00030C67" w14:paraId="13DF5C3E" w14:textId="77777777" w:rsidTr="00A8019D">
        <w:tc>
          <w:tcPr>
            <w:tcW w:w="1471" w:type="pct"/>
            <w:shd w:val="clear" w:color="auto" w:fill="FFFFFF" w:themeFill="background1"/>
          </w:tcPr>
          <w:p w14:paraId="031D7A8A" w14:textId="77777777" w:rsidR="00696D3E" w:rsidRPr="00030C67" w:rsidRDefault="00696D3E" w:rsidP="00603DD4">
            <w:pPr>
              <w:pStyle w:val="TableHeading"/>
              <w:spacing w:before="20"/>
            </w:pPr>
            <w:r w:rsidRPr="009A5222">
              <w:t xml:space="preserve">Education and training </w:t>
            </w:r>
          </w:p>
        </w:tc>
        <w:tc>
          <w:tcPr>
            <w:tcW w:w="931" w:type="pct"/>
            <w:shd w:val="clear" w:color="auto" w:fill="FFFFFF" w:themeFill="background1"/>
          </w:tcPr>
          <w:p w14:paraId="1CF2B52F" w14:textId="77777777" w:rsidR="00696D3E" w:rsidRDefault="00696D3E" w:rsidP="00603DD4">
            <w:pPr>
              <w:pStyle w:val="TableBody"/>
              <w:spacing w:before="20"/>
              <w:ind w:right="108"/>
              <w:jc w:val="right"/>
              <w:rPr>
                <w:rFonts w:ascii="Arial (Body)" w:hAnsi="Arial (Body)"/>
                <w:color w:val="000000"/>
              </w:rPr>
            </w:pPr>
            <w:r w:rsidRPr="00984287">
              <w:t>-0.07</w:t>
            </w:r>
          </w:p>
        </w:tc>
        <w:tc>
          <w:tcPr>
            <w:tcW w:w="931" w:type="pct"/>
            <w:shd w:val="clear" w:color="auto" w:fill="FFFFFF" w:themeFill="background1"/>
          </w:tcPr>
          <w:p w14:paraId="261D96A2" w14:textId="77777777" w:rsidR="00696D3E" w:rsidRDefault="00696D3E" w:rsidP="00603DD4">
            <w:pPr>
              <w:pStyle w:val="TableBody"/>
              <w:spacing w:before="20"/>
              <w:ind w:right="108"/>
              <w:jc w:val="right"/>
              <w:rPr>
                <w:rFonts w:ascii="Arial (Body)" w:hAnsi="Arial (Body)"/>
                <w:color w:val="000000"/>
              </w:rPr>
            </w:pPr>
            <w:r w:rsidRPr="00984287">
              <w:t>-0.04</w:t>
            </w:r>
          </w:p>
        </w:tc>
        <w:tc>
          <w:tcPr>
            <w:tcW w:w="932" w:type="pct"/>
            <w:shd w:val="clear" w:color="auto" w:fill="FFFFFF" w:themeFill="background1"/>
          </w:tcPr>
          <w:p w14:paraId="58288510" w14:textId="77777777" w:rsidR="00696D3E" w:rsidRDefault="00696D3E" w:rsidP="00603DD4">
            <w:pPr>
              <w:pStyle w:val="TableBody"/>
              <w:spacing w:before="20"/>
              <w:ind w:right="108"/>
              <w:jc w:val="right"/>
              <w:rPr>
                <w:rFonts w:ascii="Arial (Body)" w:hAnsi="Arial (Body)"/>
                <w:color w:val="000000"/>
              </w:rPr>
            </w:pPr>
            <w:r w:rsidRPr="00984287">
              <w:t>-0.10</w:t>
            </w:r>
          </w:p>
        </w:tc>
        <w:tc>
          <w:tcPr>
            <w:tcW w:w="735" w:type="pct"/>
            <w:shd w:val="clear" w:color="auto" w:fill="FFFFFF" w:themeFill="background1"/>
          </w:tcPr>
          <w:p w14:paraId="2585AA34" w14:textId="77777777" w:rsidR="00696D3E" w:rsidRDefault="00696D3E" w:rsidP="00603DD4">
            <w:pPr>
              <w:pStyle w:val="TableBody"/>
              <w:spacing w:before="20"/>
              <w:ind w:right="108"/>
              <w:jc w:val="right"/>
              <w:rPr>
                <w:rFonts w:ascii="Arial (Body)" w:hAnsi="Arial (Body)"/>
                <w:color w:val="000000"/>
              </w:rPr>
            </w:pPr>
            <w:r w:rsidRPr="00984287">
              <w:t>1</w:t>
            </w:r>
          </w:p>
        </w:tc>
      </w:tr>
      <w:tr w:rsidR="00696D3E" w:rsidRPr="00030C67" w14:paraId="37363B16" w14:textId="77777777" w:rsidTr="00A8019D">
        <w:tc>
          <w:tcPr>
            <w:tcW w:w="1471" w:type="pct"/>
            <w:shd w:val="clear" w:color="000000" w:fill="F2F2F2"/>
          </w:tcPr>
          <w:p w14:paraId="7AE277B5" w14:textId="77777777" w:rsidR="00696D3E" w:rsidRPr="00030C67" w:rsidRDefault="00696D3E" w:rsidP="00603DD4">
            <w:pPr>
              <w:pStyle w:val="TableHeading"/>
              <w:spacing w:before="20"/>
            </w:pPr>
            <w:r w:rsidRPr="009A5222">
              <w:t xml:space="preserve">Health care and social assistance </w:t>
            </w:r>
          </w:p>
        </w:tc>
        <w:tc>
          <w:tcPr>
            <w:tcW w:w="931" w:type="pct"/>
            <w:shd w:val="clear" w:color="000000" w:fill="F2F2F2"/>
          </w:tcPr>
          <w:p w14:paraId="5D175C01" w14:textId="77777777" w:rsidR="00696D3E" w:rsidRDefault="00696D3E" w:rsidP="00603DD4">
            <w:pPr>
              <w:pStyle w:val="TableBody"/>
              <w:spacing w:before="20"/>
              <w:ind w:right="108"/>
              <w:jc w:val="right"/>
              <w:rPr>
                <w:rFonts w:ascii="Arial (Body)" w:hAnsi="Arial (Body)"/>
                <w:color w:val="000000"/>
              </w:rPr>
            </w:pPr>
            <w:r w:rsidRPr="00984287">
              <w:t>0.20</w:t>
            </w:r>
          </w:p>
        </w:tc>
        <w:tc>
          <w:tcPr>
            <w:tcW w:w="931" w:type="pct"/>
            <w:shd w:val="clear" w:color="000000" w:fill="F2F2F2"/>
          </w:tcPr>
          <w:p w14:paraId="643178F0" w14:textId="77777777" w:rsidR="00696D3E" w:rsidRDefault="00696D3E" w:rsidP="00603DD4">
            <w:pPr>
              <w:pStyle w:val="TableBody"/>
              <w:spacing w:before="20"/>
              <w:ind w:right="108"/>
              <w:jc w:val="right"/>
              <w:rPr>
                <w:rFonts w:ascii="Arial (Body)" w:hAnsi="Arial (Body)"/>
                <w:color w:val="000000"/>
              </w:rPr>
            </w:pPr>
            <w:r w:rsidRPr="00984287">
              <w:t>0.72</w:t>
            </w:r>
          </w:p>
        </w:tc>
        <w:tc>
          <w:tcPr>
            <w:tcW w:w="932" w:type="pct"/>
            <w:shd w:val="clear" w:color="000000" w:fill="F2F2F2"/>
          </w:tcPr>
          <w:p w14:paraId="58F98293" w14:textId="77777777" w:rsidR="00696D3E" w:rsidRDefault="00696D3E" w:rsidP="00603DD4">
            <w:pPr>
              <w:pStyle w:val="TableBody"/>
              <w:spacing w:before="20"/>
              <w:ind w:right="108"/>
              <w:jc w:val="right"/>
              <w:rPr>
                <w:rFonts w:ascii="Arial (Body)" w:hAnsi="Arial (Body)"/>
                <w:color w:val="000000"/>
              </w:rPr>
            </w:pPr>
            <w:r w:rsidRPr="00984287">
              <w:t>0.92</w:t>
            </w:r>
          </w:p>
        </w:tc>
        <w:tc>
          <w:tcPr>
            <w:tcW w:w="735" w:type="pct"/>
            <w:shd w:val="clear" w:color="000000" w:fill="F2F2F2"/>
          </w:tcPr>
          <w:p w14:paraId="7713371D" w14:textId="77777777" w:rsidR="00696D3E" w:rsidRDefault="00696D3E" w:rsidP="00603DD4">
            <w:pPr>
              <w:pStyle w:val="TableBody"/>
              <w:spacing w:before="20"/>
              <w:ind w:right="108"/>
              <w:jc w:val="right"/>
              <w:rPr>
                <w:rFonts w:ascii="Arial (Body)" w:hAnsi="Arial (Body)"/>
                <w:color w:val="000000"/>
              </w:rPr>
            </w:pPr>
            <w:r w:rsidRPr="00984287">
              <w:t>-10</w:t>
            </w:r>
          </w:p>
        </w:tc>
      </w:tr>
      <w:tr w:rsidR="00696D3E" w:rsidRPr="00030C67" w14:paraId="347D58B3" w14:textId="77777777" w:rsidTr="00A8019D">
        <w:tc>
          <w:tcPr>
            <w:tcW w:w="1471" w:type="pct"/>
            <w:shd w:val="clear" w:color="auto" w:fill="FFFFFF" w:themeFill="background1"/>
          </w:tcPr>
          <w:p w14:paraId="36859608" w14:textId="77777777" w:rsidR="00696D3E" w:rsidRPr="00030C67" w:rsidRDefault="00696D3E" w:rsidP="00603DD4">
            <w:pPr>
              <w:pStyle w:val="TableHeading"/>
              <w:spacing w:before="20"/>
            </w:pPr>
            <w:r w:rsidRPr="009A5222">
              <w:t xml:space="preserve">Arts and recreation services </w:t>
            </w:r>
          </w:p>
        </w:tc>
        <w:tc>
          <w:tcPr>
            <w:tcW w:w="931" w:type="pct"/>
            <w:shd w:val="clear" w:color="auto" w:fill="FFFFFF" w:themeFill="background1"/>
          </w:tcPr>
          <w:p w14:paraId="3DD97EFB" w14:textId="77777777" w:rsidR="00696D3E" w:rsidRDefault="00696D3E" w:rsidP="00603DD4">
            <w:pPr>
              <w:pStyle w:val="TableBody"/>
              <w:spacing w:before="20"/>
              <w:ind w:right="108"/>
              <w:jc w:val="right"/>
              <w:rPr>
                <w:rFonts w:ascii="Arial (Body)" w:hAnsi="Arial (Body)"/>
                <w:color w:val="000000"/>
              </w:rPr>
            </w:pPr>
            <w:r w:rsidRPr="00984287">
              <w:t>-0.05</w:t>
            </w:r>
          </w:p>
        </w:tc>
        <w:tc>
          <w:tcPr>
            <w:tcW w:w="931" w:type="pct"/>
            <w:shd w:val="clear" w:color="auto" w:fill="FFFFFF" w:themeFill="background1"/>
          </w:tcPr>
          <w:p w14:paraId="5BE9475D" w14:textId="77777777" w:rsidR="00696D3E" w:rsidRDefault="00696D3E" w:rsidP="00603DD4">
            <w:pPr>
              <w:pStyle w:val="TableBody"/>
              <w:spacing w:before="20"/>
              <w:ind w:right="108"/>
              <w:jc w:val="right"/>
              <w:rPr>
                <w:rFonts w:ascii="Arial (Body)" w:hAnsi="Arial (Body)"/>
                <w:color w:val="000000"/>
              </w:rPr>
            </w:pPr>
            <w:r w:rsidRPr="00984287">
              <w:t>-0.04</w:t>
            </w:r>
          </w:p>
        </w:tc>
        <w:tc>
          <w:tcPr>
            <w:tcW w:w="932" w:type="pct"/>
            <w:shd w:val="clear" w:color="auto" w:fill="FFFFFF" w:themeFill="background1"/>
          </w:tcPr>
          <w:p w14:paraId="1F638F02" w14:textId="77777777" w:rsidR="00696D3E" w:rsidRDefault="00696D3E" w:rsidP="00603DD4">
            <w:pPr>
              <w:pStyle w:val="TableBody"/>
              <w:spacing w:before="20"/>
              <w:ind w:right="108"/>
              <w:jc w:val="right"/>
              <w:rPr>
                <w:rFonts w:ascii="Arial (Body)" w:hAnsi="Arial (Body)"/>
                <w:color w:val="000000"/>
              </w:rPr>
            </w:pPr>
            <w:r w:rsidRPr="00984287">
              <w:t>-0.10</w:t>
            </w:r>
          </w:p>
        </w:tc>
        <w:tc>
          <w:tcPr>
            <w:tcW w:w="735" w:type="pct"/>
            <w:shd w:val="clear" w:color="auto" w:fill="FFFFFF" w:themeFill="background1"/>
          </w:tcPr>
          <w:p w14:paraId="4971F97F" w14:textId="77777777" w:rsidR="00696D3E" w:rsidRDefault="00696D3E" w:rsidP="00603DD4">
            <w:pPr>
              <w:pStyle w:val="TableBody"/>
              <w:spacing w:before="20"/>
              <w:ind w:right="108"/>
              <w:jc w:val="right"/>
              <w:rPr>
                <w:rFonts w:ascii="Arial (Body)" w:hAnsi="Arial (Body)"/>
                <w:color w:val="000000"/>
              </w:rPr>
            </w:pPr>
            <w:r w:rsidRPr="00984287">
              <w:t>1</w:t>
            </w:r>
          </w:p>
        </w:tc>
      </w:tr>
      <w:tr w:rsidR="00696D3E" w:rsidRPr="00030C67" w14:paraId="1980A9F5" w14:textId="77777777" w:rsidTr="00A8019D">
        <w:tc>
          <w:tcPr>
            <w:tcW w:w="1471" w:type="pct"/>
            <w:shd w:val="clear" w:color="000000" w:fill="F2F2F2"/>
          </w:tcPr>
          <w:p w14:paraId="47C0A384" w14:textId="77777777" w:rsidR="00696D3E" w:rsidRPr="00030C67" w:rsidRDefault="00696D3E" w:rsidP="00603DD4">
            <w:pPr>
              <w:pStyle w:val="TableHeading"/>
              <w:spacing w:before="20"/>
            </w:pPr>
            <w:r w:rsidRPr="009A5222">
              <w:t xml:space="preserve">Other services </w:t>
            </w:r>
          </w:p>
        </w:tc>
        <w:tc>
          <w:tcPr>
            <w:tcW w:w="931" w:type="pct"/>
            <w:shd w:val="clear" w:color="000000" w:fill="F2F2F2"/>
          </w:tcPr>
          <w:p w14:paraId="444DECA6" w14:textId="77777777" w:rsidR="00696D3E" w:rsidRDefault="00696D3E" w:rsidP="00603DD4">
            <w:pPr>
              <w:pStyle w:val="TableBody"/>
              <w:spacing w:before="20"/>
              <w:ind w:right="108"/>
              <w:jc w:val="right"/>
              <w:rPr>
                <w:rFonts w:ascii="Arial (Body)" w:hAnsi="Arial (Body)"/>
                <w:color w:val="000000"/>
              </w:rPr>
            </w:pPr>
            <w:r w:rsidRPr="00984287">
              <w:t>0.30</w:t>
            </w:r>
          </w:p>
        </w:tc>
        <w:tc>
          <w:tcPr>
            <w:tcW w:w="931" w:type="pct"/>
            <w:shd w:val="clear" w:color="000000" w:fill="F2F2F2"/>
          </w:tcPr>
          <w:p w14:paraId="7C7C7325" w14:textId="77777777" w:rsidR="00696D3E" w:rsidRDefault="00696D3E" w:rsidP="00603DD4">
            <w:pPr>
              <w:pStyle w:val="TableBody"/>
              <w:spacing w:before="20"/>
              <w:ind w:right="108"/>
              <w:jc w:val="right"/>
              <w:rPr>
                <w:rFonts w:ascii="Arial (Body)" w:hAnsi="Arial (Body)"/>
                <w:color w:val="000000"/>
              </w:rPr>
            </w:pPr>
            <w:r w:rsidRPr="00984287">
              <w:t>-0.23</w:t>
            </w:r>
          </w:p>
        </w:tc>
        <w:tc>
          <w:tcPr>
            <w:tcW w:w="932" w:type="pct"/>
            <w:shd w:val="clear" w:color="000000" w:fill="F2F2F2"/>
          </w:tcPr>
          <w:p w14:paraId="4D5A4049" w14:textId="77777777" w:rsidR="00696D3E" w:rsidRDefault="00696D3E" w:rsidP="00603DD4">
            <w:pPr>
              <w:pStyle w:val="TableBody"/>
              <w:spacing w:before="20"/>
              <w:ind w:right="108"/>
              <w:jc w:val="right"/>
              <w:rPr>
                <w:rFonts w:ascii="Arial (Body)" w:hAnsi="Arial (Body)"/>
                <w:color w:val="000000"/>
              </w:rPr>
            </w:pPr>
            <w:r w:rsidRPr="00984287">
              <w:t>0.08</w:t>
            </w:r>
          </w:p>
        </w:tc>
        <w:tc>
          <w:tcPr>
            <w:tcW w:w="735" w:type="pct"/>
            <w:shd w:val="clear" w:color="000000" w:fill="F2F2F2"/>
          </w:tcPr>
          <w:p w14:paraId="1A611573" w14:textId="77777777" w:rsidR="00696D3E" w:rsidRDefault="00696D3E" w:rsidP="00603DD4">
            <w:pPr>
              <w:pStyle w:val="TableBody"/>
              <w:spacing w:before="20"/>
              <w:ind w:right="108"/>
              <w:jc w:val="right"/>
              <w:rPr>
                <w:rFonts w:ascii="Arial (Body)" w:hAnsi="Arial (Body)"/>
                <w:color w:val="000000"/>
              </w:rPr>
            </w:pPr>
            <w:r w:rsidRPr="00984287">
              <w:t>-1</w:t>
            </w:r>
          </w:p>
        </w:tc>
      </w:tr>
      <w:tr w:rsidR="00696D3E" w:rsidRPr="00030C67" w14:paraId="336ECD77" w14:textId="77777777" w:rsidTr="00A8019D">
        <w:tc>
          <w:tcPr>
            <w:tcW w:w="1471" w:type="pct"/>
            <w:shd w:val="clear" w:color="auto" w:fill="FFFFFF" w:themeFill="background1"/>
          </w:tcPr>
          <w:p w14:paraId="7804D2EC" w14:textId="77777777" w:rsidR="00696D3E" w:rsidRPr="00030C67" w:rsidRDefault="00696D3E" w:rsidP="00603DD4">
            <w:pPr>
              <w:pStyle w:val="TableHeading"/>
              <w:spacing w:before="20"/>
            </w:pPr>
            <w:r w:rsidRPr="009A5222">
              <w:t xml:space="preserve">Ownership of dwellings </w:t>
            </w:r>
          </w:p>
        </w:tc>
        <w:tc>
          <w:tcPr>
            <w:tcW w:w="931" w:type="pct"/>
            <w:shd w:val="clear" w:color="auto" w:fill="FFFFFF" w:themeFill="background1"/>
          </w:tcPr>
          <w:p w14:paraId="6C1CAD67" w14:textId="77777777" w:rsidR="00696D3E" w:rsidRDefault="00696D3E" w:rsidP="00603DD4">
            <w:pPr>
              <w:pStyle w:val="TableBody"/>
              <w:spacing w:before="20"/>
              <w:ind w:right="108"/>
              <w:jc w:val="right"/>
              <w:rPr>
                <w:rFonts w:ascii="Arial (Body)" w:hAnsi="Arial (Body)"/>
                <w:color w:val="000000"/>
              </w:rPr>
            </w:pPr>
            <w:r w:rsidRPr="00984287">
              <w:t>0.00</w:t>
            </w:r>
          </w:p>
        </w:tc>
        <w:tc>
          <w:tcPr>
            <w:tcW w:w="931" w:type="pct"/>
            <w:shd w:val="clear" w:color="auto" w:fill="FFFFFF" w:themeFill="background1"/>
          </w:tcPr>
          <w:p w14:paraId="23354A6C" w14:textId="77777777" w:rsidR="00696D3E" w:rsidRDefault="00696D3E" w:rsidP="00603DD4">
            <w:pPr>
              <w:pStyle w:val="TableBody"/>
              <w:spacing w:before="20"/>
              <w:ind w:right="108"/>
              <w:jc w:val="right"/>
              <w:rPr>
                <w:rFonts w:ascii="Arial (Body)" w:hAnsi="Arial (Body)"/>
                <w:color w:val="000000"/>
              </w:rPr>
            </w:pPr>
            <w:r w:rsidRPr="00984287">
              <w:t>0.07</w:t>
            </w:r>
          </w:p>
        </w:tc>
        <w:tc>
          <w:tcPr>
            <w:tcW w:w="932" w:type="pct"/>
            <w:shd w:val="clear" w:color="auto" w:fill="FFFFFF" w:themeFill="background1"/>
          </w:tcPr>
          <w:p w14:paraId="4E74CA67" w14:textId="77777777" w:rsidR="00696D3E" w:rsidRDefault="00696D3E" w:rsidP="00603DD4">
            <w:pPr>
              <w:pStyle w:val="TableBody"/>
              <w:spacing w:before="20"/>
              <w:ind w:right="108"/>
              <w:jc w:val="right"/>
              <w:rPr>
                <w:rFonts w:ascii="Arial (Body)" w:hAnsi="Arial (Body)"/>
                <w:color w:val="000000"/>
              </w:rPr>
            </w:pPr>
            <w:r w:rsidRPr="00984287">
              <w:t>0.07</w:t>
            </w:r>
          </w:p>
        </w:tc>
        <w:tc>
          <w:tcPr>
            <w:tcW w:w="735" w:type="pct"/>
            <w:shd w:val="clear" w:color="auto" w:fill="FFFFFF" w:themeFill="background1"/>
          </w:tcPr>
          <w:p w14:paraId="7185C1F5" w14:textId="77777777" w:rsidR="00696D3E" w:rsidRDefault="00696D3E" w:rsidP="00603DD4">
            <w:pPr>
              <w:pStyle w:val="TableBody"/>
              <w:spacing w:before="20"/>
              <w:ind w:right="108"/>
              <w:jc w:val="right"/>
              <w:rPr>
                <w:rFonts w:ascii="Arial (Body)" w:hAnsi="Arial (Body)"/>
                <w:color w:val="000000"/>
              </w:rPr>
            </w:pPr>
            <w:r w:rsidRPr="00984287">
              <w:t>-1</w:t>
            </w:r>
          </w:p>
        </w:tc>
      </w:tr>
      <w:tr w:rsidR="00696D3E" w:rsidRPr="00C7351C" w14:paraId="3CB48681" w14:textId="77777777" w:rsidTr="00A8019D">
        <w:tc>
          <w:tcPr>
            <w:tcW w:w="1471" w:type="pct"/>
            <w:tcBorders>
              <w:bottom w:val="single" w:sz="4" w:space="0" w:color="B3B3B3"/>
            </w:tcBorders>
            <w:shd w:val="clear" w:color="auto" w:fill="F2F2F2" w:themeFill="background1" w:themeFillShade="F2"/>
          </w:tcPr>
          <w:p w14:paraId="3CCD12A4" w14:textId="77777777" w:rsidR="00696D3E" w:rsidRPr="009A5222" w:rsidRDefault="00696D3E" w:rsidP="00603DD4">
            <w:pPr>
              <w:pStyle w:val="TableHeading"/>
              <w:spacing w:before="20"/>
            </w:pPr>
            <w:r w:rsidRPr="00185D60">
              <w:rPr>
                <w:color w:val="auto"/>
              </w:rPr>
              <w:t>Total</w:t>
            </w:r>
          </w:p>
        </w:tc>
        <w:tc>
          <w:tcPr>
            <w:tcW w:w="931" w:type="pct"/>
            <w:tcBorders>
              <w:bottom w:val="single" w:sz="4" w:space="0" w:color="B3B3B3"/>
            </w:tcBorders>
            <w:shd w:val="clear" w:color="auto" w:fill="F2F2F2" w:themeFill="background1" w:themeFillShade="F2"/>
          </w:tcPr>
          <w:p w14:paraId="2250F133" w14:textId="77777777" w:rsidR="00696D3E" w:rsidRPr="00C7351C" w:rsidRDefault="00696D3E" w:rsidP="00603DD4">
            <w:pPr>
              <w:pStyle w:val="TableBody"/>
              <w:spacing w:before="20"/>
              <w:ind w:right="108"/>
              <w:jc w:val="right"/>
              <w:rPr>
                <w:rFonts w:ascii="Arial (Body)" w:hAnsi="Arial (Body)"/>
                <w:b/>
                <w:color w:val="000000"/>
              </w:rPr>
            </w:pPr>
            <w:r w:rsidRPr="00C7351C">
              <w:rPr>
                <w:b/>
              </w:rPr>
              <w:t>-7.87</w:t>
            </w:r>
          </w:p>
        </w:tc>
        <w:tc>
          <w:tcPr>
            <w:tcW w:w="931" w:type="pct"/>
            <w:tcBorders>
              <w:bottom w:val="single" w:sz="4" w:space="0" w:color="B3B3B3"/>
            </w:tcBorders>
            <w:shd w:val="clear" w:color="auto" w:fill="F2F2F2" w:themeFill="background1" w:themeFillShade="F2"/>
          </w:tcPr>
          <w:p w14:paraId="16420048" w14:textId="77777777" w:rsidR="00696D3E" w:rsidRPr="00C7351C" w:rsidRDefault="00696D3E" w:rsidP="00603DD4">
            <w:pPr>
              <w:pStyle w:val="TableBody"/>
              <w:spacing w:before="20"/>
              <w:ind w:right="108"/>
              <w:jc w:val="right"/>
              <w:rPr>
                <w:rFonts w:ascii="Arial (Body)" w:hAnsi="Arial (Body)"/>
                <w:b/>
                <w:color w:val="000000"/>
              </w:rPr>
            </w:pPr>
            <w:r w:rsidRPr="00C7351C">
              <w:rPr>
                <w:b/>
              </w:rPr>
              <w:t>-1.82</w:t>
            </w:r>
          </w:p>
        </w:tc>
        <w:tc>
          <w:tcPr>
            <w:tcW w:w="932" w:type="pct"/>
            <w:tcBorders>
              <w:bottom w:val="single" w:sz="4" w:space="0" w:color="B3B3B3"/>
            </w:tcBorders>
            <w:shd w:val="clear" w:color="auto" w:fill="F2F2F2" w:themeFill="background1" w:themeFillShade="F2"/>
          </w:tcPr>
          <w:p w14:paraId="7D1179F5" w14:textId="77777777" w:rsidR="00696D3E" w:rsidRPr="00C7351C" w:rsidRDefault="00696D3E" w:rsidP="00603DD4">
            <w:pPr>
              <w:pStyle w:val="TableBody"/>
              <w:spacing w:before="20"/>
              <w:ind w:right="108"/>
              <w:jc w:val="right"/>
              <w:rPr>
                <w:rFonts w:ascii="Arial (Body)" w:hAnsi="Arial (Body)"/>
                <w:b/>
                <w:color w:val="000000"/>
              </w:rPr>
            </w:pPr>
            <w:r w:rsidRPr="00C7351C">
              <w:rPr>
                <w:b/>
              </w:rPr>
              <w:t>-9.69</w:t>
            </w:r>
          </w:p>
        </w:tc>
        <w:tc>
          <w:tcPr>
            <w:tcW w:w="735" w:type="pct"/>
            <w:tcBorders>
              <w:bottom w:val="single" w:sz="4" w:space="0" w:color="B3B3B3"/>
            </w:tcBorders>
            <w:shd w:val="clear" w:color="auto" w:fill="F2F2F2" w:themeFill="background1" w:themeFillShade="F2"/>
          </w:tcPr>
          <w:p w14:paraId="2280A7DD" w14:textId="77777777" w:rsidR="00696D3E" w:rsidRPr="00C7351C" w:rsidRDefault="00696D3E" w:rsidP="00603DD4">
            <w:pPr>
              <w:pStyle w:val="TableBody"/>
              <w:spacing w:before="20"/>
              <w:ind w:right="108"/>
              <w:jc w:val="right"/>
              <w:rPr>
                <w:rFonts w:ascii="Arial (Body)" w:hAnsi="Arial (Body)"/>
                <w:b/>
                <w:color w:val="000000"/>
              </w:rPr>
            </w:pPr>
            <w:r w:rsidRPr="00C7351C">
              <w:rPr>
                <w:b/>
              </w:rPr>
              <w:t>100</w:t>
            </w:r>
          </w:p>
        </w:tc>
      </w:tr>
    </w:tbl>
    <w:p w14:paraId="7498C5B2" w14:textId="77777777" w:rsidR="00696D3E" w:rsidRDefault="00696D3E" w:rsidP="00696D3E">
      <w:pPr>
        <w:pStyle w:val="Source"/>
      </w:pPr>
      <w:r w:rsidRPr="00696447">
        <w:t xml:space="preserve">Source: </w:t>
      </w:r>
      <w:r>
        <w:t>Commission estimates using ABS (</w:t>
      </w:r>
      <w:r w:rsidRPr="00B131FA">
        <w:rPr>
          <w:i/>
          <w:iCs/>
        </w:rPr>
        <w:t xml:space="preserve">Australian </w:t>
      </w:r>
      <w:r>
        <w:rPr>
          <w:i/>
          <w:iCs/>
        </w:rPr>
        <w:t>S</w:t>
      </w:r>
      <w:r w:rsidRPr="00B131FA">
        <w:rPr>
          <w:i/>
          <w:iCs/>
        </w:rPr>
        <w:t xml:space="preserve">ystem of </w:t>
      </w:r>
      <w:r>
        <w:rPr>
          <w:i/>
          <w:iCs/>
        </w:rPr>
        <w:t>N</w:t>
      </w:r>
      <w:r w:rsidRPr="00B131FA">
        <w:rPr>
          <w:i/>
          <w:iCs/>
        </w:rPr>
        <w:t xml:space="preserve">ational </w:t>
      </w:r>
      <w:r>
        <w:rPr>
          <w:i/>
          <w:iCs/>
        </w:rPr>
        <w:t>A</w:t>
      </w:r>
      <w:r w:rsidRPr="00B131FA">
        <w:rPr>
          <w:i/>
          <w:iCs/>
        </w:rPr>
        <w:t>ccounts, 2021</w:t>
      </w:r>
      <w:r w:rsidRPr="00B131FA">
        <w:rPr>
          <w:i/>
          <w:iCs/>
        </w:rPr>
        <w:noBreakHyphen/>
        <w:t>22</w:t>
      </w:r>
      <w:r>
        <w:t>, Cat. no. </w:t>
      </w:r>
      <w:r w:rsidRPr="00F567CF">
        <w:t>5204.0.</w:t>
      </w:r>
      <w:r>
        <w:t xml:space="preserve">, tables 6, 57 and 58; </w:t>
      </w:r>
      <w:r w:rsidRPr="00BB0F6B">
        <w:rPr>
          <w:i/>
          <w:iCs/>
        </w:rPr>
        <w:t>Labour Account Australia, March 2023</w:t>
      </w:r>
      <w:r>
        <w:t>, Cat. no. </w:t>
      </w:r>
      <w:r w:rsidRPr="00821D54">
        <w:t>6150.0.55.003.</w:t>
      </w:r>
      <w:r>
        <w:t xml:space="preserve">, industry summary tables; </w:t>
      </w:r>
      <w:r w:rsidRPr="00CA6C97">
        <w:rPr>
          <w:i/>
          <w:iCs/>
        </w:rPr>
        <w:t>Labour Force, Australia, Detailed, April 2023</w:t>
      </w:r>
      <w:r>
        <w:t>, Cat. no. </w:t>
      </w:r>
      <w:r w:rsidRPr="009541C2">
        <w:t>6291.0.55.001</w:t>
      </w:r>
      <w:r w:rsidRPr="004A2F88">
        <w:t>.</w:t>
      </w:r>
      <w:r>
        <w:t>, table EQ05)</w:t>
      </w:r>
      <w:r w:rsidRPr="00696447">
        <w:t>.</w:t>
      </w:r>
    </w:p>
    <w:p w14:paraId="23E26CB1" w14:textId="77777777" w:rsidR="000E34BE" w:rsidRPr="000E34BE" w:rsidRDefault="000E34BE" w:rsidP="000E34BE">
      <w:pPr>
        <w:pStyle w:val="BodyText"/>
      </w:pPr>
      <w:bookmarkStart w:id="8" w:name="_Toc144912353"/>
      <w:r w:rsidRPr="000E34BE">
        <w:br w:type="page"/>
      </w:r>
    </w:p>
    <w:p w14:paraId="77F70C14" w14:textId="113E7385" w:rsidR="00AA7342" w:rsidRDefault="00AA7342" w:rsidP="00A66808">
      <w:pPr>
        <w:pStyle w:val="Heading1-nobackground"/>
        <w:keepNext/>
      </w:pPr>
      <w:r>
        <w:lastRenderedPageBreak/>
        <w:t>Appendix C –</w:t>
      </w:r>
      <w:r w:rsidR="00270989">
        <w:t xml:space="preserve"> </w:t>
      </w:r>
      <w:r w:rsidR="00087F9B">
        <w:t>M</w:t>
      </w:r>
      <w:r w:rsidR="00270989">
        <w:t>ining and agriculture affect on the aggregate results</w:t>
      </w:r>
      <w:bookmarkEnd w:id="8"/>
    </w:p>
    <w:p w14:paraId="02FBAFEC" w14:textId="41B8FA55" w:rsidR="00703C4F" w:rsidRDefault="005B470D" w:rsidP="00703C4F">
      <w:pPr>
        <w:pStyle w:val="BodyText"/>
      </w:pPr>
      <w:r>
        <w:t xml:space="preserve">The mining and agriculture are responsible for </w:t>
      </w:r>
      <w:r w:rsidR="00DF4421">
        <w:t xml:space="preserve">driving the aggregate wage decoupling seen across the economy. </w:t>
      </w:r>
      <w:r w:rsidR="00703C4F">
        <w:t xml:space="preserve">The lower degree of wage decoupling </w:t>
      </w:r>
      <w:r w:rsidR="00DF4421">
        <w:t xml:space="preserve">that occurs once mining and agriculture are removed </w:t>
      </w:r>
      <w:r w:rsidR="00580FDC">
        <w:t xml:space="preserve">from the aggregate figures </w:t>
      </w:r>
      <w:r w:rsidR="00703C4F">
        <w:t>reflects three factors (figure </w:t>
      </w:r>
      <w:r>
        <w:t>11</w:t>
      </w:r>
      <w:r w:rsidR="00703C4F">
        <w:t>):</w:t>
      </w:r>
    </w:p>
    <w:p w14:paraId="0C98A1D1" w14:textId="77777777" w:rsidR="00703C4F" w:rsidRDefault="00703C4F" w:rsidP="00703C4F">
      <w:pPr>
        <w:pStyle w:val="ListBullet"/>
        <w:numPr>
          <w:ilvl w:val="0"/>
          <w:numId w:val="22"/>
        </w:numPr>
      </w:pPr>
      <w:r>
        <w:t>nominal wage growth is marginally lower (0.01 percentage point annually between 1994</w:t>
      </w:r>
      <w:r>
        <w:noBreakHyphen/>
        <w:t>95 and 2021</w:t>
      </w:r>
      <w:r>
        <w:noBreakHyphen/>
        <w:t xml:space="preserve">22) – likely due to the small share of labour input used by mining and agriculture (about 5.6% of hours worked in the </w:t>
      </w:r>
      <w:r w:rsidRPr="00C51867">
        <w:rPr>
          <w:i/>
          <w:iCs/>
        </w:rPr>
        <w:t>Labour Account</w:t>
      </w:r>
      <w:r>
        <w:t xml:space="preserve">) </w:t>
      </w:r>
    </w:p>
    <w:p w14:paraId="5684816E" w14:textId="77777777" w:rsidR="00703C4F" w:rsidRDefault="00703C4F" w:rsidP="00703C4F">
      <w:pPr>
        <w:pStyle w:val="ListBullet"/>
        <w:numPr>
          <w:ilvl w:val="0"/>
          <w:numId w:val="22"/>
        </w:numPr>
      </w:pPr>
      <w:r>
        <w:t>producer price growth is substantially slower (0.35 percentage points annually between 1994</w:t>
      </w:r>
      <w:r>
        <w:noBreakHyphen/>
        <w:t>95 and 2021</w:t>
      </w:r>
      <w:r>
        <w:noBreakHyphen/>
        <w:t xml:space="preserve">22) – this has the effect of increasing producer wage growth even as nominal wages are roughly unchanged. This slower price growth in producer prices for the economy outside of mining and agriculture reflects the high export prices of these primary industries in recent decades </w:t>
      </w:r>
    </w:p>
    <w:p w14:paraId="346633C4" w14:textId="77777777" w:rsidR="00703C4F" w:rsidRPr="008A7E36" w:rsidRDefault="00703C4F" w:rsidP="00703C4F">
      <w:pPr>
        <w:pStyle w:val="ListBullet"/>
        <w:numPr>
          <w:ilvl w:val="0"/>
          <w:numId w:val="22"/>
        </w:numPr>
      </w:pPr>
      <w:r>
        <w:t>labour productivity growth is also slower (about 0.12 percentage points annually between 1994-95 and 2021</w:t>
      </w:r>
      <w:r>
        <w:noBreakHyphen/>
        <w:t xml:space="preserve">22). Even though mining itself has had slower than average productivity growth, its </w:t>
      </w:r>
      <w:r w:rsidRPr="060836EB">
        <w:rPr>
          <w:i/>
          <w:iCs/>
        </w:rPr>
        <w:t>level</w:t>
      </w:r>
      <w:r>
        <w:t xml:space="preserve"> of labour productivity is nearly nine times the average for the rest of the economy.</w:t>
      </w:r>
      <w:r w:rsidRPr="007C14DC">
        <w:rPr>
          <w:rStyle w:val="FootnoteReference"/>
        </w:rPr>
        <w:footnoteReference w:id="10"/>
      </w:r>
      <w:r>
        <w:t xml:space="preserve"> So as mining has expanded as a share of output this has had the effect of increasing measured aggregate labour productivity even as mining productivity growth itself has been weak. </w:t>
      </w:r>
    </w:p>
    <w:p w14:paraId="61504838" w14:textId="5F537611" w:rsidR="00703C4F" w:rsidRPr="00D40D3F" w:rsidRDefault="00703C4F" w:rsidP="00703C4F">
      <w:pPr>
        <w:pStyle w:val="BodyText"/>
      </w:pPr>
    </w:p>
    <w:p w14:paraId="01459373" w14:textId="7D29A506" w:rsidR="00703C4F" w:rsidRPr="00146382" w:rsidRDefault="00703C4F" w:rsidP="007C22C6">
      <w:pPr>
        <w:pStyle w:val="FigureTableHeading"/>
      </w:pPr>
      <w:r>
        <w:lastRenderedPageBreak/>
        <w:t xml:space="preserve">Figure </w:t>
      </w:r>
      <w:r w:rsidR="002B4160">
        <w:rPr>
          <w:noProof/>
        </w:rPr>
        <w:t>11</w:t>
      </w:r>
      <w:r>
        <w:rPr>
          <w:noProof/>
        </w:rPr>
        <w:t xml:space="preserve"> </w:t>
      </w:r>
      <w:r>
        <w:t>– Factors driving the lower degree of wage decoupling when agriculture and mining are excluded</w:t>
      </w:r>
      <w:r w:rsidRPr="00066CF5">
        <w:rPr>
          <w:vertAlign w:val="superscript"/>
        </w:rPr>
        <w:t>a,b</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A0" w:firstRow="1" w:lastRow="0" w:firstColumn="1" w:lastColumn="0" w:noHBand="1" w:noVBand="1"/>
      </w:tblPr>
      <w:tblGrid>
        <w:gridCol w:w="4819"/>
        <w:gridCol w:w="4819"/>
      </w:tblGrid>
      <w:tr w:rsidR="00703C4F" w:rsidRPr="005550A0" w14:paraId="5B84CC18" w14:textId="77777777">
        <w:trPr>
          <w:tblHeader/>
        </w:trPr>
        <w:tc>
          <w:tcPr>
            <w:tcW w:w="2500" w:type="pct"/>
            <w:shd w:val="clear" w:color="auto" w:fill="auto"/>
          </w:tcPr>
          <w:p w14:paraId="653645D8" w14:textId="77777777" w:rsidR="00703C4F" w:rsidRDefault="00703C4F">
            <w:pPr>
              <w:pStyle w:val="TableBody"/>
            </w:pPr>
            <w:r w:rsidRPr="00130EF2">
              <w:rPr>
                <w:b/>
                <w:bCs/>
              </w:rPr>
              <w:t>a. Nominal wage</w:t>
            </w:r>
            <w:r>
              <w:rPr>
                <w:b/>
                <w:bCs/>
              </w:rPr>
              <w:t xml:space="preserve"> growth</w:t>
            </w:r>
            <w:r w:rsidRPr="00130EF2">
              <w:rPr>
                <w:b/>
                <w:bCs/>
              </w:rPr>
              <w:t xml:space="preserve"> between 1994</w:t>
            </w:r>
            <w:r>
              <w:rPr>
                <w:b/>
                <w:bCs/>
              </w:rPr>
              <w:noBreakHyphen/>
            </w:r>
            <w:r w:rsidRPr="00130EF2">
              <w:rPr>
                <w:b/>
                <w:bCs/>
              </w:rPr>
              <w:t>95 and 2021</w:t>
            </w:r>
            <w:r w:rsidRPr="00130EF2">
              <w:rPr>
                <w:b/>
                <w:bCs/>
              </w:rPr>
              <w:noBreakHyphen/>
              <w:t>22</w:t>
            </w:r>
            <w:r>
              <w:rPr>
                <w:b/>
                <w:bCs/>
              </w:rPr>
              <w:br/>
            </w:r>
          </w:p>
          <w:p w14:paraId="6E22499B" w14:textId="77777777" w:rsidR="00703C4F" w:rsidRPr="005550A0" w:rsidRDefault="00703C4F">
            <w:pPr>
              <w:pStyle w:val="TableBody"/>
            </w:pPr>
            <w:r w:rsidRPr="00FB1EA9">
              <w:rPr>
                <w:noProof/>
              </w:rPr>
              <w:drawing>
                <wp:inline distT="0" distB="0" distL="0" distR="0" wp14:anchorId="03C798CA" wp14:editId="2826DE8E">
                  <wp:extent cx="2986405" cy="2853690"/>
                  <wp:effectExtent l="0" t="0" r="0" b="0"/>
                  <wp:docPr id="1626889251" name="Picture 1626889251" descr="This four panel figure shows the contributors to the smaller gap between productivity growth and wages growth observed when mining and agriculture are excluded. It can be seen in the top left panel that average nominal wages across all industries was near identical regardless of whether the mining and agricultural industries were included or exclud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889251" name="Picture 1626889251" descr="This four panel figure shows the contributors to the smaller gap between productivity growth and wages growth observed when mining and agriculture are excluded. It can be seen in the top left panel that average nominal wages across all industries was near identical regardless of whether the mining and agricultural industries were included or excluded. "/>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986405" cy="2853690"/>
                          </a:xfrm>
                          <a:prstGeom prst="rect">
                            <a:avLst/>
                          </a:prstGeom>
                          <a:noFill/>
                          <a:ln>
                            <a:noFill/>
                          </a:ln>
                        </pic:spPr>
                      </pic:pic>
                    </a:graphicData>
                  </a:graphic>
                </wp:inline>
              </w:drawing>
            </w:r>
          </w:p>
        </w:tc>
        <w:tc>
          <w:tcPr>
            <w:tcW w:w="2500" w:type="pct"/>
            <w:shd w:val="clear" w:color="auto" w:fill="auto"/>
          </w:tcPr>
          <w:p w14:paraId="346EB852" w14:textId="77777777" w:rsidR="00703C4F" w:rsidRPr="00EE04BC" w:rsidRDefault="00703C4F">
            <w:pPr>
              <w:pStyle w:val="TableBody"/>
              <w:rPr>
                <w:b/>
                <w:bCs/>
              </w:rPr>
            </w:pPr>
            <w:r w:rsidRPr="00EE04BC">
              <w:rPr>
                <w:b/>
                <w:bCs/>
              </w:rPr>
              <w:t>b. GDP and GVA deflators including and excluding mining and agriculture</w:t>
            </w:r>
            <w:r>
              <w:rPr>
                <w:b/>
                <w:bCs/>
              </w:rPr>
              <w:t xml:space="preserve"> between 1994</w:t>
            </w:r>
            <w:r>
              <w:rPr>
                <w:b/>
                <w:bCs/>
              </w:rPr>
              <w:noBreakHyphen/>
              <w:t>95 and 2021</w:t>
            </w:r>
            <w:r>
              <w:rPr>
                <w:b/>
                <w:bCs/>
              </w:rPr>
              <w:noBreakHyphen/>
              <w:t>22</w:t>
            </w:r>
          </w:p>
          <w:p w14:paraId="16A1E2C1" w14:textId="77777777" w:rsidR="00703C4F" w:rsidRPr="005550A0" w:rsidRDefault="00703C4F">
            <w:pPr>
              <w:pStyle w:val="TableBody"/>
            </w:pPr>
            <w:r w:rsidRPr="0024149D">
              <w:rPr>
                <w:noProof/>
              </w:rPr>
              <w:drawing>
                <wp:inline distT="0" distB="0" distL="0" distR="0" wp14:anchorId="13FE6B50" wp14:editId="1E3E708B">
                  <wp:extent cx="2986405" cy="2853690"/>
                  <wp:effectExtent l="0" t="0" r="0" b="0"/>
                  <wp:docPr id="401112433" name="Picture 401112433" descr="The top right panel showed the growth in the implicit GDP price deflator for the whole economy and the implicit GVA price deflator for all industries excluding mining and agriculture. From this, it can be seen that producer prices in mining and agriculture were more rapidly and were more volatile than producer prices in other industr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112433" name="Picture 401112433" descr="The top right panel showed the growth in the implicit GDP price deflator for the whole economy and the implicit GVA price deflator for all industries excluding mining and agriculture. From this, it can be seen that producer prices in mining and agriculture were more rapidly and were more volatile than producer prices in other industries. "/>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986405" cy="2853690"/>
                          </a:xfrm>
                          <a:prstGeom prst="rect">
                            <a:avLst/>
                          </a:prstGeom>
                          <a:noFill/>
                          <a:ln>
                            <a:noFill/>
                          </a:ln>
                        </pic:spPr>
                      </pic:pic>
                    </a:graphicData>
                  </a:graphic>
                </wp:inline>
              </w:drawing>
            </w:r>
          </w:p>
        </w:tc>
      </w:tr>
      <w:tr w:rsidR="00703C4F" w:rsidRPr="005550A0" w14:paraId="65D6178F" w14:textId="77777777">
        <w:trPr>
          <w:tblHeader/>
        </w:trPr>
        <w:tc>
          <w:tcPr>
            <w:tcW w:w="2500" w:type="pct"/>
            <w:shd w:val="clear" w:color="auto" w:fill="auto"/>
          </w:tcPr>
          <w:p w14:paraId="1096A796" w14:textId="77777777" w:rsidR="00703C4F" w:rsidRDefault="00703C4F">
            <w:pPr>
              <w:pStyle w:val="BodyText"/>
              <w:rPr>
                <w:b/>
                <w:bCs/>
                <w:noProof/>
                <w:sz w:val="18"/>
                <w:szCs w:val="18"/>
              </w:rPr>
            </w:pPr>
            <w:r w:rsidRPr="00EE04BC">
              <w:rPr>
                <w:b/>
                <w:bCs/>
                <w:noProof/>
                <w:sz w:val="18"/>
                <w:szCs w:val="18"/>
              </w:rPr>
              <w:t>c. Labour prod</w:t>
            </w:r>
            <w:r>
              <w:rPr>
                <w:b/>
                <w:bCs/>
                <w:noProof/>
                <w:sz w:val="18"/>
                <w:szCs w:val="18"/>
              </w:rPr>
              <w:t>u</w:t>
            </w:r>
            <w:r w:rsidRPr="00EE04BC">
              <w:rPr>
                <w:b/>
                <w:bCs/>
                <w:noProof/>
                <w:sz w:val="18"/>
                <w:szCs w:val="18"/>
              </w:rPr>
              <w:t>ctivity including and excluding agriculture and mining between 1994</w:t>
            </w:r>
            <w:r>
              <w:rPr>
                <w:b/>
                <w:bCs/>
                <w:noProof/>
                <w:sz w:val="18"/>
                <w:szCs w:val="18"/>
              </w:rPr>
              <w:noBreakHyphen/>
            </w:r>
            <w:r w:rsidRPr="00EE04BC">
              <w:rPr>
                <w:b/>
                <w:bCs/>
                <w:noProof/>
                <w:sz w:val="18"/>
                <w:szCs w:val="18"/>
              </w:rPr>
              <w:t>95 and 2021</w:t>
            </w:r>
            <w:r w:rsidRPr="00EE04BC">
              <w:rPr>
                <w:b/>
                <w:bCs/>
                <w:noProof/>
                <w:sz w:val="18"/>
                <w:szCs w:val="18"/>
              </w:rPr>
              <w:noBreakHyphen/>
              <w:t>22</w:t>
            </w:r>
          </w:p>
          <w:p w14:paraId="7EA7EA6C" w14:textId="77777777" w:rsidR="00703C4F" w:rsidRPr="00960248" w:rsidRDefault="00703C4F">
            <w:pPr>
              <w:pStyle w:val="BodyText"/>
            </w:pPr>
            <w:r w:rsidRPr="00FE6A02">
              <w:rPr>
                <w:noProof/>
              </w:rPr>
              <w:drawing>
                <wp:inline distT="0" distB="0" distL="0" distR="0" wp14:anchorId="7E08241D" wp14:editId="2B14EDE2">
                  <wp:extent cx="2986405" cy="2853690"/>
                  <wp:effectExtent l="0" t="0" r="0" b="0"/>
                  <wp:docPr id="2013273553" name="Picture 2013273553" descr="The bottom left panel shows economywide labour productivity growth and labour productivity growth for all industries excluding mining and agriculture. It can be seen that when agriculture and mining are included, labour productivity growth is substantially fas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273553" name="Picture 2013273553" descr="The bottom left panel shows economywide labour productivity growth and labour productivity growth for all industries excluding mining and agriculture. It can be seen that when agriculture and mining are included, labour productivity growth is substantially faster. "/>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986405" cy="2853690"/>
                          </a:xfrm>
                          <a:prstGeom prst="rect">
                            <a:avLst/>
                          </a:prstGeom>
                          <a:noFill/>
                          <a:ln>
                            <a:noFill/>
                          </a:ln>
                        </pic:spPr>
                      </pic:pic>
                    </a:graphicData>
                  </a:graphic>
                </wp:inline>
              </w:drawing>
            </w:r>
          </w:p>
        </w:tc>
        <w:tc>
          <w:tcPr>
            <w:tcW w:w="2500" w:type="pct"/>
            <w:shd w:val="clear" w:color="auto" w:fill="auto"/>
          </w:tcPr>
          <w:p w14:paraId="0AD935A3" w14:textId="77777777" w:rsidR="00703C4F" w:rsidRDefault="00703C4F">
            <w:pPr>
              <w:pStyle w:val="BodyText"/>
              <w:rPr>
                <w:b/>
                <w:bCs/>
                <w:noProof/>
                <w:sz w:val="18"/>
                <w:szCs w:val="18"/>
              </w:rPr>
            </w:pPr>
            <w:r w:rsidRPr="00960248">
              <w:rPr>
                <w:b/>
                <w:bCs/>
                <w:noProof/>
                <w:sz w:val="18"/>
                <w:szCs w:val="18"/>
              </w:rPr>
              <w:t>d. Labour income share including and excluding agriculture and mining between 1994</w:t>
            </w:r>
            <w:r w:rsidRPr="00960248">
              <w:rPr>
                <w:b/>
                <w:bCs/>
                <w:noProof/>
                <w:sz w:val="18"/>
                <w:szCs w:val="18"/>
              </w:rPr>
              <w:noBreakHyphen/>
              <w:t>95 and 2021</w:t>
            </w:r>
            <w:r w:rsidRPr="00960248">
              <w:rPr>
                <w:b/>
                <w:bCs/>
                <w:noProof/>
                <w:sz w:val="18"/>
                <w:szCs w:val="18"/>
              </w:rPr>
              <w:noBreakHyphen/>
              <w:t>22</w:t>
            </w:r>
          </w:p>
          <w:p w14:paraId="49EB6031" w14:textId="77777777" w:rsidR="00703C4F" w:rsidRPr="00960248" w:rsidRDefault="00703C4F">
            <w:pPr>
              <w:pStyle w:val="BodyText"/>
            </w:pPr>
            <w:r w:rsidRPr="009E3167">
              <w:rPr>
                <w:noProof/>
              </w:rPr>
              <w:drawing>
                <wp:inline distT="0" distB="0" distL="0" distR="0" wp14:anchorId="57B1F2A5" wp14:editId="7A5D9ED7">
                  <wp:extent cx="2984500" cy="2844800"/>
                  <wp:effectExtent l="0" t="0" r="0" b="0"/>
                  <wp:docPr id="1539431279" name="Picture 1539431279" descr="The bottom right panel shows the labour share of income for the whole economy and for the whole economy excluding agriculture and mining. It can be seen that the two labour shares of income start at very similar levels in 1994-95 but the labour share that includes agriculture and mining decreases at a much faster rate than the other series. This reflects that mining and agriculture have had a large downward effect on the labour share of income over the past 27 yea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431279" name="Picture 1539431279" descr="The bottom right panel shows the labour share of income for the whole economy and for the whole economy excluding agriculture and mining. It can be seen that the two labour shares of income start at very similar levels in 1994-95 but the labour share that includes agriculture and mining decreases at a much faster rate than the other series. This reflects that mining and agriculture have had a large downward effect on the labour share of income over the past 27 years. "/>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984500" cy="2844800"/>
                          </a:xfrm>
                          <a:prstGeom prst="rect">
                            <a:avLst/>
                          </a:prstGeom>
                          <a:noFill/>
                          <a:ln>
                            <a:noFill/>
                          </a:ln>
                        </pic:spPr>
                      </pic:pic>
                    </a:graphicData>
                  </a:graphic>
                </wp:inline>
              </w:drawing>
            </w:r>
          </w:p>
        </w:tc>
      </w:tr>
    </w:tbl>
    <w:p w14:paraId="6152A808" w14:textId="5E7AE229" w:rsidR="00703C4F" w:rsidRPr="007E6992" w:rsidRDefault="00703C4F" w:rsidP="00703C4F">
      <w:pPr>
        <w:pStyle w:val="Note"/>
        <w:keepLines/>
        <w:rPr>
          <w:spacing w:val="-4"/>
        </w:rPr>
      </w:pPr>
      <w:r w:rsidRPr="007E6992">
        <w:rPr>
          <w:b/>
          <w:spacing w:val="-4"/>
        </w:rPr>
        <w:t>a.</w:t>
      </w:r>
      <w:r w:rsidRPr="007E6992">
        <w:rPr>
          <w:spacing w:val="-4"/>
        </w:rPr>
        <w:t xml:space="preserve"> When mining and agriculture are included, the relevant deflator is the GDP deflator for the whole economy while when they are excluded, the relevant deflator is the GVA deflator for all industries except mining and agriculture. </w:t>
      </w:r>
      <w:r w:rsidRPr="007E6992">
        <w:rPr>
          <w:b/>
          <w:spacing w:val="-4"/>
        </w:rPr>
        <w:t>b.</w:t>
      </w:r>
      <w:r w:rsidR="009538B2" w:rsidRPr="009538B2">
        <w:t xml:space="preserve"> </w:t>
      </w:r>
      <w:r w:rsidR="009538B2" w:rsidRPr="00845548">
        <w:t>Methodology outlined in appendixes A and B.1</w:t>
      </w:r>
    </w:p>
    <w:p w14:paraId="2F61AE5C" w14:textId="3B052801" w:rsidR="00270989" w:rsidRDefault="00703C4F" w:rsidP="004D545E">
      <w:pPr>
        <w:pStyle w:val="Source"/>
      </w:pPr>
      <w:r w:rsidRPr="00696447">
        <w:t xml:space="preserve">Source: </w:t>
      </w:r>
      <w:r>
        <w:t>Commission estimates using: ABS (</w:t>
      </w:r>
      <w:r w:rsidRPr="00B131FA">
        <w:t xml:space="preserve">Australian </w:t>
      </w:r>
      <w:r>
        <w:t>S</w:t>
      </w:r>
      <w:r w:rsidRPr="00B131FA">
        <w:t xml:space="preserve">ystem of </w:t>
      </w:r>
      <w:r>
        <w:t>N</w:t>
      </w:r>
      <w:r w:rsidRPr="00B131FA">
        <w:t xml:space="preserve">ational </w:t>
      </w:r>
      <w:r>
        <w:t>A</w:t>
      </w:r>
      <w:r w:rsidRPr="00B131FA">
        <w:t>ccounts, 2021</w:t>
      </w:r>
      <w:r w:rsidRPr="00B131FA">
        <w:noBreakHyphen/>
        <w:t>22</w:t>
      </w:r>
      <w:r>
        <w:t>, Cat. no. </w:t>
      </w:r>
      <w:r w:rsidRPr="00F567CF">
        <w:t>5204.0.</w:t>
      </w:r>
      <w:r>
        <w:t xml:space="preserve">, table 6; </w:t>
      </w:r>
      <w:r w:rsidRPr="00BB0F6B">
        <w:t>Labour Account Australia, March 2023</w:t>
      </w:r>
      <w:r>
        <w:t>, Cat. no. </w:t>
      </w:r>
      <w:r w:rsidRPr="00821D54">
        <w:t>6150.0.55.003.</w:t>
      </w:r>
      <w:r>
        <w:t xml:space="preserve">, industry summary tables; </w:t>
      </w:r>
      <w:r w:rsidRPr="00CA6C97">
        <w:t>Labour Force, Australia, Detailed, April 2023</w:t>
      </w:r>
      <w:r>
        <w:t>, Cat. no. </w:t>
      </w:r>
      <w:r w:rsidRPr="009541C2">
        <w:t>6291.0.55.001</w:t>
      </w:r>
      <w:r w:rsidRPr="004A2F88">
        <w:t>.</w:t>
      </w:r>
      <w:r>
        <w:t xml:space="preserve">, table EQ05; </w:t>
      </w:r>
      <w:r w:rsidRPr="004553E0">
        <w:t>Consumer Price Index, Australia</w:t>
      </w:r>
      <w:r>
        <w:t>, Cat. no. </w:t>
      </w:r>
      <w:r w:rsidRPr="00181E4E">
        <w:t>6401.0.</w:t>
      </w:r>
      <w:r>
        <w:t>, table 1)</w:t>
      </w:r>
      <w:r w:rsidRPr="00696447">
        <w:t>.</w:t>
      </w:r>
    </w:p>
    <w:p w14:paraId="02132FA7" w14:textId="3C5F0978" w:rsidR="00D076E8" w:rsidRDefault="00D076E8" w:rsidP="00A66808">
      <w:pPr>
        <w:pStyle w:val="Heading1-nobackground"/>
        <w:keepNext/>
      </w:pPr>
      <w:bookmarkStart w:id="9" w:name="_Toc144912354"/>
      <w:r>
        <w:lastRenderedPageBreak/>
        <w:t xml:space="preserve">Appendix </w:t>
      </w:r>
      <w:r w:rsidR="00AA7342">
        <w:t>D</w:t>
      </w:r>
      <w:r>
        <w:t xml:space="preserve"> – </w:t>
      </w:r>
      <w:r w:rsidR="00087F9B">
        <w:t>W</w:t>
      </w:r>
      <w:r>
        <w:t>age decoupling and other economic indicators</w:t>
      </w:r>
      <w:bookmarkEnd w:id="9"/>
    </w:p>
    <w:p w14:paraId="3517D071" w14:textId="1DF07EBC" w:rsidR="00D076E8" w:rsidRPr="002A27E6" w:rsidRDefault="00AC75FC" w:rsidP="005E1FC2">
      <w:pPr>
        <w:pStyle w:val="Heading2-nonumber"/>
      </w:pPr>
      <w:bookmarkStart w:id="10" w:name="_Toc144912355"/>
      <w:r>
        <w:t>D</w:t>
      </w:r>
      <w:r w:rsidR="005E1FC2">
        <w:t>.1</w:t>
      </w:r>
      <w:r w:rsidR="005E1FC2">
        <w:tab/>
      </w:r>
      <w:r w:rsidR="00D076E8">
        <w:t>Wage decoupling and the labour share of income</w:t>
      </w:r>
      <w:bookmarkEnd w:id="10"/>
    </w:p>
    <w:p w14:paraId="6DA4506C" w14:textId="77777777" w:rsidR="00D076E8" w:rsidRDefault="00D076E8" w:rsidP="00D076E8">
      <w:pPr>
        <w:pStyle w:val="BodyText"/>
      </w:pPr>
      <w:r>
        <w:t>In the event of wage decoupling, we would expect to see a reduction in the labour share of income. This is because, as productivity increases, output and income increases. And if wages are not increasing, income must flow be flowing to other sources, and the labour share of income would decline.</w:t>
      </w:r>
    </w:p>
    <w:p w14:paraId="53AE3A1E" w14:textId="6CE580AF" w:rsidR="00D076E8" w:rsidRDefault="00D076E8" w:rsidP="00D076E8">
      <w:pPr>
        <w:pStyle w:val="BodyText"/>
      </w:pPr>
      <w:r>
        <w:t xml:space="preserve">Consistent with evidence of a small degree of wage decoupling (once mining and agriculture are accounted for) the labour share of income across the majority of the economy has declined slightly since 1995, from </w:t>
      </w:r>
      <w:r w:rsidR="00A33035">
        <w:t xml:space="preserve">65% </w:t>
      </w:r>
      <w:r>
        <w:t xml:space="preserve">to </w:t>
      </w:r>
      <w:r w:rsidR="00A33035">
        <w:t>64%</w:t>
      </w:r>
      <w:r>
        <w:t xml:space="preserve"> (figure </w:t>
      </w:r>
      <w:r w:rsidR="00962FE3">
        <w:t>1</w:t>
      </w:r>
      <w:r w:rsidR="001E7E67">
        <w:t>2</w:t>
      </w:r>
      <w:r>
        <w:t>). And w</w:t>
      </w:r>
      <w:r w:rsidRPr="00C04FCE">
        <w:t xml:space="preserve">hen employee compensation is directly compared to </w:t>
      </w:r>
      <w:r w:rsidRPr="00C04FCE">
        <w:rPr>
          <w:i/>
        </w:rPr>
        <w:t>corporate</w:t>
      </w:r>
      <w:r w:rsidRPr="00C04FCE">
        <w:t xml:space="preserve"> profits, the two only diverged after 2015</w:t>
      </w:r>
      <w:r>
        <w:noBreakHyphen/>
      </w:r>
      <w:r w:rsidRPr="00C04FCE">
        <w:t>16, which coincides with a large increase in mining export prices that increased the profitability of this industry. Indeed, when mining is excluded, corporate profits appear to have lagged compensation of employees</w:t>
      </w:r>
      <w:r w:rsidR="008B385D">
        <w:t xml:space="preserve"> </w:t>
      </w:r>
      <w:r w:rsidR="008B385D" w:rsidRPr="00C04FCE">
        <w:t>(figure </w:t>
      </w:r>
      <w:r w:rsidR="008B385D">
        <w:t>1</w:t>
      </w:r>
      <w:r w:rsidR="001E7E67">
        <w:t>3</w:t>
      </w:r>
      <w:r w:rsidR="008B385D" w:rsidRPr="00C04FCE">
        <w:t>)</w:t>
      </w:r>
      <w:r w:rsidRPr="00C04FCE">
        <w:t>.</w:t>
      </w:r>
    </w:p>
    <w:p w14:paraId="5DF8668A" w14:textId="53D63054" w:rsidR="00D076E8" w:rsidRPr="00146382" w:rsidRDefault="007C22C6" w:rsidP="007C22C6">
      <w:pPr>
        <w:pStyle w:val="FigureTableHeading"/>
      </w:pPr>
      <w:r>
        <w:t xml:space="preserve">Figure </w:t>
      </w:r>
      <w:r w:rsidR="002B4160">
        <w:rPr>
          <w:noProof/>
        </w:rPr>
        <w:t>12</w:t>
      </w:r>
      <w:r>
        <w:rPr>
          <w:noProof/>
        </w:rPr>
        <w:t xml:space="preserve"> </w:t>
      </w:r>
      <w:r>
        <w:t xml:space="preserve">– </w:t>
      </w:r>
      <w:r w:rsidR="00D076E8">
        <w:t>The labour share of income has fallen</w:t>
      </w:r>
      <w:r w:rsidR="00D076E8" w:rsidRPr="00066CF5">
        <w:rPr>
          <w:vertAlign w:val="superscript"/>
        </w:rPr>
        <w:t>a</w:t>
      </w:r>
    </w:p>
    <w:p w14:paraId="1D82AD94" w14:textId="77777777" w:rsidR="00D076E8" w:rsidRDefault="00D076E8" w:rsidP="00D076E8">
      <w:pPr>
        <w:pStyle w:val="FigureTableSubheading"/>
        <w:keepLines/>
      </w:pPr>
      <w:r>
        <w:t>Various measures of the labour share of income between 1994</w:t>
      </w:r>
      <w:r>
        <w:noBreakHyphen/>
        <w:t>95 and 2021</w:t>
      </w:r>
      <w:r>
        <w:noBreakHyphen/>
        <w:t>22</w:t>
      </w:r>
    </w:p>
    <w:p w14:paraId="3949BA64" w14:textId="1834EEA0" w:rsidR="00D076E8" w:rsidRDefault="00A33035" w:rsidP="00D076E8">
      <w:pPr>
        <w:pStyle w:val="Note"/>
        <w:keepLines/>
        <w:spacing w:before="0" w:after="0"/>
        <w:rPr>
          <w:noProof/>
        </w:rPr>
      </w:pPr>
      <w:r w:rsidRPr="00A33035">
        <w:rPr>
          <w:noProof/>
        </w:rPr>
        <w:drawing>
          <wp:inline distT="0" distB="0" distL="0" distR="0" wp14:anchorId="706A3664" wp14:editId="2AA076C2">
            <wp:extent cx="6038850" cy="3000375"/>
            <wp:effectExtent l="0" t="0" r="0" b="0"/>
            <wp:docPr id="332411349" name="Picture 332411349" descr="This figure shows estimates of the labour share of income between 1994-95 and 2021-22 using the Productivity Commission (PC) method of splitting gross mixed income between labour and capital. The figure shows that the labour income share has fallen over time, albeit only by about 1 percentage 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411349" name="Picture 332411349" descr="This figure shows estimates of the labour share of income between 1994-95 and 2021-22 using the Productivity Commission (PC) method of splitting gross mixed income between labour and capital. The figure shows that the labour income share has fallen over time, albeit only by about 1 percentage point."/>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038850" cy="3000375"/>
                    </a:xfrm>
                    <a:prstGeom prst="rect">
                      <a:avLst/>
                    </a:prstGeom>
                    <a:noFill/>
                    <a:ln>
                      <a:noFill/>
                    </a:ln>
                  </pic:spPr>
                </pic:pic>
              </a:graphicData>
            </a:graphic>
          </wp:inline>
        </w:drawing>
      </w:r>
    </w:p>
    <w:p w14:paraId="5C806DEF" w14:textId="7843E5F4" w:rsidR="00D076E8" w:rsidRDefault="00D076E8" w:rsidP="00D076E8">
      <w:pPr>
        <w:pStyle w:val="Note"/>
        <w:keepLines/>
      </w:pPr>
      <w:r w:rsidRPr="00180E66">
        <w:rPr>
          <w:b/>
          <w:bCs/>
        </w:rPr>
        <w:t>a.</w:t>
      </w:r>
      <w:r>
        <w:t xml:space="preserve"> The </w:t>
      </w:r>
      <w:r w:rsidR="00ED1824">
        <w:t>Commission</w:t>
      </w:r>
      <w:r>
        <w:t xml:space="preserve"> derived measures of labour income use the method of apportioning GMI between labour and capital outlined in appendix B.1.</w:t>
      </w:r>
    </w:p>
    <w:p w14:paraId="46066156" w14:textId="77777777" w:rsidR="00D076E8" w:rsidRDefault="00D076E8" w:rsidP="00D076E8">
      <w:pPr>
        <w:pStyle w:val="Source"/>
        <w:rPr>
          <w:szCs w:val="18"/>
        </w:rPr>
      </w:pPr>
      <w:r w:rsidRPr="000D28DD">
        <w:rPr>
          <w:szCs w:val="18"/>
        </w:rPr>
        <w:t>Source: Commission estimates using ABS (</w:t>
      </w:r>
      <w:bookmarkStart w:id="11" w:name="_Hlk138866217"/>
      <w:r w:rsidRPr="000D28DD">
        <w:rPr>
          <w:i/>
          <w:iCs/>
          <w:szCs w:val="18"/>
        </w:rPr>
        <w:t xml:space="preserve">Australian </w:t>
      </w:r>
      <w:r>
        <w:rPr>
          <w:i/>
          <w:iCs/>
          <w:szCs w:val="18"/>
        </w:rPr>
        <w:t>S</w:t>
      </w:r>
      <w:r w:rsidRPr="000D28DD">
        <w:rPr>
          <w:i/>
          <w:iCs/>
          <w:szCs w:val="18"/>
        </w:rPr>
        <w:t xml:space="preserve">ystem of </w:t>
      </w:r>
      <w:r>
        <w:rPr>
          <w:i/>
          <w:iCs/>
          <w:szCs w:val="18"/>
        </w:rPr>
        <w:t>N</w:t>
      </w:r>
      <w:r w:rsidRPr="000D28DD">
        <w:rPr>
          <w:i/>
          <w:iCs/>
          <w:szCs w:val="18"/>
        </w:rPr>
        <w:t xml:space="preserve">ational </w:t>
      </w:r>
      <w:r>
        <w:rPr>
          <w:i/>
          <w:iCs/>
          <w:szCs w:val="18"/>
        </w:rPr>
        <w:t>A</w:t>
      </w:r>
      <w:r w:rsidRPr="000D28DD">
        <w:rPr>
          <w:i/>
          <w:iCs/>
          <w:szCs w:val="18"/>
        </w:rPr>
        <w:t>ccounts, 2021</w:t>
      </w:r>
      <w:r w:rsidRPr="000D28DD">
        <w:rPr>
          <w:i/>
          <w:iCs/>
          <w:szCs w:val="18"/>
        </w:rPr>
        <w:noBreakHyphen/>
        <w:t>22</w:t>
      </w:r>
      <w:r w:rsidRPr="000D28DD">
        <w:rPr>
          <w:szCs w:val="18"/>
        </w:rPr>
        <w:t>, Cat. no. 5204.0., tables 1 and 6</w:t>
      </w:r>
      <w:bookmarkEnd w:id="11"/>
      <w:r w:rsidRPr="000D28DD">
        <w:rPr>
          <w:szCs w:val="18"/>
        </w:rPr>
        <w:t xml:space="preserve">; </w:t>
      </w:r>
      <w:r w:rsidRPr="000D28DD">
        <w:rPr>
          <w:i/>
          <w:iCs/>
          <w:szCs w:val="18"/>
        </w:rPr>
        <w:t>Industry Multifactor Productivity Estimates</w:t>
      </w:r>
      <w:r w:rsidRPr="000D28DD">
        <w:rPr>
          <w:szCs w:val="18"/>
        </w:rPr>
        <w:t>, Cat. no. 5260.0.55.002., table</w:t>
      </w:r>
      <w:r>
        <w:rPr>
          <w:szCs w:val="18"/>
        </w:rPr>
        <w:t>s</w:t>
      </w:r>
      <w:r w:rsidRPr="000D28DD">
        <w:rPr>
          <w:szCs w:val="18"/>
        </w:rPr>
        <w:t> </w:t>
      </w:r>
      <w:r>
        <w:rPr>
          <w:szCs w:val="18"/>
        </w:rPr>
        <w:t>1</w:t>
      </w:r>
      <w:r>
        <w:rPr>
          <w:szCs w:val="18"/>
        </w:rPr>
        <w:noBreakHyphen/>
        <w:t>19</w:t>
      </w:r>
      <w:r w:rsidRPr="000D28DD">
        <w:rPr>
          <w:szCs w:val="18"/>
        </w:rPr>
        <w:t xml:space="preserve"> </w:t>
      </w:r>
      <w:r w:rsidRPr="000D28DD">
        <w:rPr>
          <w:i/>
          <w:iCs/>
          <w:szCs w:val="18"/>
        </w:rPr>
        <w:t>Labour Account Australia, March 2023</w:t>
      </w:r>
      <w:r w:rsidRPr="000D28DD">
        <w:rPr>
          <w:szCs w:val="18"/>
        </w:rPr>
        <w:t xml:space="preserve">, Cat. no. 6150.0.55.003., industry summary tables; </w:t>
      </w:r>
      <w:r w:rsidRPr="000D28DD">
        <w:rPr>
          <w:i/>
          <w:iCs/>
          <w:szCs w:val="18"/>
        </w:rPr>
        <w:t>Labour Force, Australia, Detailed, April 2023</w:t>
      </w:r>
      <w:r w:rsidRPr="000D28DD">
        <w:rPr>
          <w:szCs w:val="18"/>
        </w:rPr>
        <w:t>, Cat. no. 6291.0.55.001., table EQ05).</w:t>
      </w:r>
    </w:p>
    <w:p w14:paraId="7DD0EF37" w14:textId="1A843839" w:rsidR="00D076E8" w:rsidRPr="00146382" w:rsidRDefault="007C22C6" w:rsidP="00D076E8">
      <w:pPr>
        <w:pStyle w:val="FigureTableHeading"/>
      </w:pPr>
      <w:r>
        <w:lastRenderedPageBreak/>
        <w:t xml:space="preserve">Figure </w:t>
      </w:r>
      <w:r w:rsidR="002B4160">
        <w:rPr>
          <w:noProof/>
        </w:rPr>
        <w:t>13</w:t>
      </w:r>
      <w:r>
        <w:rPr>
          <w:noProof/>
        </w:rPr>
        <w:t xml:space="preserve"> </w:t>
      </w:r>
      <w:r>
        <w:t xml:space="preserve">– </w:t>
      </w:r>
      <w:r w:rsidR="00D076E8">
        <w:t>Employee compensation has generally kept up with corporate profits when mining is excluded</w:t>
      </w:r>
      <w:r w:rsidR="00D076E8" w:rsidRPr="00066CF5">
        <w:rPr>
          <w:vertAlign w:val="superscript"/>
        </w:rPr>
        <w:t>a,b</w:t>
      </w:r>
    </w:p>
    <w:p w14:paraId="5375FC0D" w14:textId="77777777" w:rsidR="00D076E8" w:rsidRDefault="00D076E8" w:rsidP="00D076E8">
      <w:pPr>
        <w:pStyle w:val="FigureTableSubheading"/>
        <w:keepLines/>
      </w:pPr>
      <w:r>
        <w:t>Compensation of employees and corporate profits (both with and without mining)</w:t>
      </w:r>
    </w:p>
    <w:p w14:paraId="70536E4A" w14:textId="77777777" w:rsidR="00D076E8" w:rsidRDefault="00D076E8" w:rsidP="00D076E8">
      <w:pPr>
        <w:pStyle w:val="Note"/>
        <w:keepLines/>
        <w:spacing w:before="0" w:after="0"/>
      </w:pPr>
      <w:r w:rsidRPr="008A210D">
        <w:rPr>
          <w:noProof/>
        </w:rPr>
        <w:drawing>
          <wp:inline distT="0" distB="0" distL="0" distR="0" wp14:anchorId="69E86EAB" wp14:editId="6D847AC8">
            <wp:extent cx="6120130" cy="2540000"/>
            <wp:effectExtent l="0" t="0" r="0" b="0"/>
            <wp:docPr id="301873183" name="Picture 301873183" descr="This figure shows growth of real compensation of employees (COE, with and without mining) and real corporate profits (with and without mining) between 1994-95 and 2021-22. It can be seen that when mining is included, COE grew more slowly than corporate profits, especially after about 2015-16. But when mining is excluded, COE growth outpaced corporate profits grow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873183" name="Picture 301873183" descr="This figure shows growth of real compensation of employees (COE, with and without mining) and real corporate profits (with and without mining) between 1994-95 and 2021-22. It can be seen that when mining is included, COE grew more slowly than corporate profits, especially after about 2015-16. But when mining is excluded, COE growth outpaced corporate profits growth."/>
                    <pic:cNvPicPr>
                      <a:picLocks noChangeAspect="1" noChangeArrowheads="1"/>
                    </pic:cNvPicPr>
                  </pic:nvPicPr>
                  <pic:blipFill rotWithShape="1">
                    <a:blip r:embed="rId44" cstate="print">
                      <a:extLst>
                        <a:ext uri="{28A0092B-C50C-407E-A947-70E740481C1C}">
                          <a14:useLocalDpi xmlns:a14="http://schemas.microsoft.com/office/drawing/2010/main" val="0"/>
                        </a:ext>
                      </a:extLst>
                    </a:blip>
                    <a:srcRect b="13024"/>
                    <a:stretch/>
                  </pic:blipFill>
                  <pic:spPr bwMode="auto">
                    <a:xfrm>
                      <a:off x="0" y="0"/>
                      <a:ext cx="6120130" cy="2540000"/>
                    </a:xfrm>
                    <a:prstGeom prst="rect">
                      <a:avLst/>
                    </a:prstGeom>
                    <a:noFill/>
                    <a:ln>
                      <a:noFill/>
                    </a:ln>
                    <a:extLst>
                      <a:ext uri="{53640926-AAD7-44D8-BBD7-CCE9431645EC}">
                        <a14:shadowObscured xmlns:a14="http://schemas.microsoft.com/office/drawing/2010/main"/>
                      </a:ext>
                    </a:extLst>
                  </pic:spPr>
                </pic:pic>
              </a:graphicData>
            </a:graphic>
          </wp:inline>
        </w:drawing>
      </w:r>
    </w:p>
    <w:p w14:paraId="4BBAF87B" w14:textId="3BC102AC" w:rsidR="00D076E8" w:rsidRDefault="00D076E8" w:rsidP="00D076E8">
      <w:pPr>
        <w:pStyle w:val="Note"/>
        <w:keepLines/>
      </w:pPr>
      <w:r w:rsidRPr="00180E66">
        <w:rPr>
          <w:b/>
          <w:bCs/>
        </w:rPr>
        <w:t>a.</w:t>
      </w:r>
      <w:r>
        <w:t xml:space="preserve"> Total compensation of employees (COE) excluding mining deducts the COE of employees for mining. Corporate profits is gross operating surplus (GOS). The value for GOS excluding mining was calculated as total corporate GOS minus the GOS + GMI for the mining sector from table 46 of the national accounts publication. The GMI component of GOS plus GMI for mining is less than 1% of the total based on ABS </w:t>
      </w:r>
      <w:r w:rsidRPr="00F846A3">
        <w:rPr>
          <w:rFonts w:ascii="Arial" w:hAnsi="Arial" w:cs="Arial"/>
        </w:rPr>
        <w:t>(2022b)</w:t>
      </w:r>
      <w:r>
        <w:t xml:space="preserve"> so the lack of delineation between total profits (corporate plus non-corporate) and corporate profits for mining is inconsequential. </w:t>
      </w:r>
      <w:r w:rsidRPr="00180E66">
        <w:rPr>
          <w:b/>
          <w:bCs/>
        </w:rPr>
        <w:t>b.</w:t>
      </w:r>
      <w:r>
        <w:t xml:space="preserve"> All values are deflated by the consumer price index.</w:t>
      </w:r>
    </w:p>
    <w:p w14:paraId="5EDB5A3A" w14:textId="77777777" w:rsidR="00D076E8" w:rsidRDefault="00D076E8" w:rsidP="00D076E8">
      <w:pPr>
        <w:pStyle w:val="Source"/>
      </w:pPr>
      <w:r w:rsidRPr="00696447">
        <w:t xml:space="preserve">Source: </w:t>
      </w:r>
      <w:r>
        <w:t>ABS (</w:t>
      </w:r>
      <w:r w:rsidRPr="00B131FA">
        <w:rPr>
          <w:i/>
          <w:iCs/>
        </w:rPr>
        <w:t xml:space="preserve">Australian </w:t>
      </w:r>
      <w:r>
        <w:rPr>
          <w:i/>
          <w:iCs/>
        </w:rPr>
        <w:t>S</w:t>
      </w:r>
      <w:r w:rsidRPr="00B131FA">
        <w:rPr>
          <w:i/>
          <w:iCs/>
        </w:rPr>
        <w:t xml:space="preserve">ystem of </w:t>
      </w:r>
      <w:r>
        <w:rPr>
          <w:i/>
          <w:iCs/>
        </w:rPr>
        <w:t>N</w:t>
      </w:r>
      <w:r w:rsidRPr="00B131FA">
        <w:rPr>
          <w:i/>
          <w:iCs/>
        </w:rPr>
        <w:t xml:space="preserve">ational </w:t>
      </w:r>
      <w:r>
        <w:rPr>
          <w:i/>
          <w:iCs/>
        </w:rPr>
        <w:t>A</w:t>
      </w:r>
      <w:r w:rsidRPr="00B131FA">
        <w:rPr>
          <w:i/>
          <w:iCs/>
        </w:rPr>
        <w:t>ccounts, 2021</w:t>
      </w:r>
      <w:r w:rsidRPr="00B131FA">
        <w:rPr>
          <w:i/>
          <w:iCs/>
        </w:rPr>
        <w:noBreakHyphen/>
        <w:t>22</w:t>
      </w:r>
      <w:r>
        <w:t>, Cat. no. </w:t>
      </w:r>
      <w:r w:rsidRPr="00F567CF">
        <w:t>5204.0.</w:t>
      </w:r>
      <w:r>
        <w:t xml:space="preserve">, tables 6 and 46; </w:t>
      </w:r>
      <w:r w:rsidRPr="004553E0">
        <w:rPr>
          <w:i/>
          <w:iCs/>
        </w:rPr>
        <w:t>Consumer Price Index, Australia</w:t>
      </w:r>
      <w:r>
        <w:t>, Cat. no. </w:t>
      </w:r>
      <w:r w:rsidRPr="00181E4E">
        <w:t>6401.0.</w:t>
      </w:r>
      <w:r>
        <w:t>, table 1)</w:t>
      </w:r>
      <w:r w:rsidRPr="00696447">
        <w:t>.</w:t>
      </w:r>
    </w:p>
    <w:p w14:paraId="20215138" w14:textId="42C63BF4" w:rsidR="00D076E8" w:rsidRDefault="00AC75FC" w:rsidP="00D076E8">
      <w:pPr>
        <w:pStyle w:val="Heading2-nonumber"/>
      </w:pPr>
      <w:bookmarkStart w:id="12" w:name="_Toc144912356"/>
      <w:r>
        <w:t>D</w:t>
      </w:r>
      <w:r w:rsidR="0070304D">
        <w:t>.2</w:t>
      </w:r>
      <w:r w:rsidR="0068070B">
        <w:tab/>
      </w:r>
      <w:r w:rsidR="00D076E8">
        <w:t>Wage decoupling and the terms of trade</w:t>
      </w:r>
      <w:bookmarkEnd w:id="12"/>
    </w:p>
    <w:p w14:paraId="39358545" w14:textId="3B219A4F" w:rsidR="00D076E8" w:rsidRDefault="00D076E8" w:rsidP="00D076E8">
      <w:pPr>
        <w:pStyle w:val="BodyText"/>
      </w:pPr>
      <w:r>
        <w:t>While the terms of trade boom (and in particular, volatility in the terms of trade) contributes to wage decoupling, the Commission does not consider this to be an eminent issue for policymakers. Commodity booms in primary industries are generally beneficial. When Australia’s terms of trade rises – the ratio of export prices to import prices – overall real income per capita rises (figure </w:t>
      </w:r>
      <w:r w:rsidR="00731890">
        <w:t>1</w:t>
      </w:r>
      <w:r w:rsidR="001E7E67">
        <w:t>4</w:t>
      </w:r>
      <w:r>
        <w:t xml:space="preserve">). There is also some empirical evidence that real wages also increase with terms of trade shocks, with one study finding that for every 1% increase in the terms of trade, real wages rise by 0.15% – a large amount given the size of some shocks </w:t>
      </w:r>
      <w:r w:rsidRPr="00423B53">
        <w:rPr>
          <w:rFonts w:ascii="Arial" w:hAnsi="Arial" w:cs="Arial"/>
          <w:szCs w:val="24"/>
        </w:rPr>
        <w:t>(Fisher and Kingston 2022)</w:t>
      </w:r>
      <w:r>
        <w:t xml:space="preserve">. </w:t>
      </w:r>
    </w:p>
    <w:p w14:paraId="55467D2F" w14:textId="3977B61B" w:rsidR="00D076E8" w:rsidRDefault="00D076E8" w:rsidP="00D076E8">
      <w:pPr>
        <w:pStyle w:val="BodyText"/>
      </w:pPr>
      <w:r>
        <w:t>The higher returns to capital associated with higher commodity prices are also subject to tax (albeit recognising that there are debates about the design and level of the taxes used). Such tax revenue gives government the capacity to re</w:t>
      </w:r>
      <w:r>
        <w:noBreakHyphen/>
        <w:t>distribute capital income via the tax and transfer system and through the in</w:t>
      </w:r>
      <w:r>
        <w:noBreakHyphen/>
        <w:t>kind delivery of taxpayer</w:t>
      </w:r>
      <w:r>
        <w:noBreakHyphen/>
        <w:t>funded services (as noted below). In effect, governments have levers to change who gets the dividends of income growth in the economy, and in this context, it is better to have the income from a high productivity rate to underpin any such re-distribution than from a lower one. Consider the reverse situation Greece and Italy have real producer wages that have grown faster than labour productivity, but only because productivity has been so low in these economies (running at about 0.6 and 0.4% per annum over the period from 1994</w:t>
      </w:r>
      <w:r>
        <w:noBreakHyphen/>
        <w:t>95 to 2019</w:t>
      </w:r>
      <w:r>
        <w:noBreakHyphen/>
        <w:t xml:space="preserve">20) </w:t>
      </w:r>
      <w:r w:rsidRPr="00145E05">
        <w:rPr>
          <w:rFonts w:ascii="Arial" w:hAnsi="Arial" w:cs="Arial"/>
          <w:szCs w:val="24"/>
        </w:rPr>
        <w:t>(figure</w:t>
      </w:r>
      <w:r>
        <w:rPr>
          <w:rFonts w:ascii="Arial" w:hAnsi="Arial" w:cs="Arial"/>
          <w:szCs w:val="24"/>
        </w:rPr>
        <w:t> </w:t>
      </w:r>
      <w:r w:rsidRPr="00145E05">
        <w:rPr>
          <w:rFonts w:ascii="Arial" w:hAnsi="Arial" w:cs="Arial"/>
          <w:szCs w:val="24"/>
        </w:rPr>
        <w:t>3, OECD 2023)</w:t>
      </w:r>
      <w:r>
        <w:t>. This is not an enviable situation.</w:t>
      </w:r>
    </w:p>
    <w:p w14:paraId="0C3D5B1B" w14:textId="0F497B97" w:rsidR="00D076E8" w:rsidRDefault="00D076E8" w:rsidP="00D076E8">
      <w:pPr>
        <w:pStyle w:val="BodyText"/>
      </w:pPr>
      <w:r>
        <w:t xml:space="preserve">Moreover, employed people also benefit from capital income as they are often owners of the assets, particularly through the superannuation system. Some 14.8 million people were covered by superannuation </w:t>
      </w:r>
      <w:r>
        <w:lastRenderedPageBreak/>
        <w:t>in 2019</w:t>
      </w:r>
      <w:r>
        <w:noBreakHyphen/>
        <w:t>20, with superannuation assets accounting for about 19% of all household assets (which has grown from 13.8% in 2009</w:t>
      </w:r>
      <w:r>
        <w:noBreakHyphen/>
        <w:t xml:space="preserve">10 </w:t>
      </w:r>
      <w:r w:rsidRPr="0094212E">
        <w:rPr>
          <w:rFonts w:ascii="Arial" w:hAnsi="Arial" w:cs="Arial"/>
          <w:szCs w:val="24"/>
        </w:rPr>
        <w:t>(ABS 2022f, tables</w:t>
      </w:r>
      <w:r>
        <w:rPr>
          <w:rFonts w:ascii="Arial" w:hAnsi="Arial" w:cs="Arial"/>
          <w:szCs w:val="24"/>
        </w:rPr>
        <w:t> </w:t>
      </w:r>
      <w:r w:rsidRPr="0094212E">
        <w:rPr>
          <w:rFonts w:ascii="Arial" w:hAnsi="Arial" w:cs="Arial"/>
          <w:szCs w:val="24"/>
        </w:rPr>
        <w:t>2 and 12)</w:t>
      </w:r>
      <w:r>
        <w:t xml:space="preserve">). The higher rate of employer contributions and population ageing will increase this share further. </w:t>
      </w:r>
    </w:p>
    <w:p w14:paraId="28DCC4EC" w14:textId="3F50877E" w:rsidR="00D076E8" w:rsidRPr="00146382" w:rsidRDefault="007C22C6" w:rsidP="00D076E8">
      <w:pPr>
        <w:pStyle w:val="FigureTableHeading"/>
      </w:pPr>
      <w:r>
        <w:t xml:space="preserve">Figure </w:t>
      </w:r>
      <w:r w:rsidR="002B4160">
        <w:rPr>
          <w:noProof/>
        </w:rPr>
        <w:t>14</w:t>
      </w:r>
      <w:r>
        <w:rPr>
          <w:noProof/>
        </w:rPr>
        <w:t xml:space="preserve"> </w:t>
      </w:r>
      <w:r>
        <w:t xml:space="preserve">– </w:t>
      </w:r>
      <w:r w:rsidR="00D076E8">
        <w:t>Higher commodity prices create higher incomes for Australians</w:t>
      </w:r>
      <w:r w:rsidR="00D076E8" w:rsidRPr="00066CF5">
        <w:rPr>
          <w:vertAlign w:val="superscript"/>
        </w:rPr>
        <w:t>a</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A0" w:firstRow="1" w:lastRow="0" w:firstColumn="1" w:lastColumn="0" w:noHBand="1" w:noVBand="1"/>
      </w:tblPr>
      <w:tblGrid>
        <w:gridCol w:w="4819"/>
        <w:gridCol w:w="4819"/>
      </w:tblGrid>
      <w:tr w:rsidR="00D076E8" w:rsidRPr="005550A0" w14:paraId="798E21AD" w14:textId="77777777">
        <w:trPr>
          <w:tblHeader/>
        </w:trPr>
        <w:tc>
          <w:tcPr>
            <w:tcW w:w="2500" w:type="pct"/>
            <w:shd w:val="clear" w:color="auto" w:fill="auto"/>
          </w:tcPr>
          <w:p w14:paraId="387B485C" w14:textId="77777777" w:rsidR="00D076E8" w:rsidRPr="00130EF2" w:rsidRDefault="00D076E8">
            <w:pPr>
              <w:pStyle w:val="TableBody"/>
              <w:rPr>
                <w:b/>
                <w:bCs/>
              </w:rPr>
            </w:pPr>
            <w:r>
              <w:rPr>
                <w:b/>
                <w:bCs/>
              </w:rPr>
              <w:t xml:space="preserve">The terms of trade and Australian’s incomes, </w:t>
            </w:r>
            <w:r>
              <w:rPr>
                <w:b/>
                <w:bCs/>
              </w:rPr>
              <w:br/>
              <w:t>1995 to 2023</w:t>
            </w:r>
          </w:p>
        </w:tc>
        <w:tc>
          <w:tcPr>
            <w:tcW w:w="2500" w:type="pct"/>
            <w:shd w:val="clear" w:color="auto" w:fill="auto"/>
          </w:tcPr>
          <w:p w14:paraId="6C93B4DB" w14:textId="77777777" w:rsidR="00D076E8" w:rsidRPr="00EE04BC" w:rsidRDefault="00D076E8">
            <w:pPr>
              <w:pStyle w:val="TableBody"/>
              <w:rPr>
                <w:b/>
                <w:bCs/>
              </w:rPr>
            </w:pPr>
            <w:r>
              <w:rPr>
                <w:b/>
                <w:bCs/>
              </w:rPr>
              <w:t>Relationship between the growth in terms of trade and growth Australian’s incomes, 1995 to 2023</w:t>
            </w:r>
          </w:p>
        </w:tc>
      </w:tr>
      <w:tr w:rsidR="00D076E8" w:rsidRPr="005550A0" w14:paraId="3E12F3D4" w14:textId="77777777">
        <w:trPr>
          <w:tblHeader/>
        </w:trPr>
        <w:tc>
          <w:tcPr>
            <w:tcW w:w="2500" w:type="pct"/>
            <w:shd w:val="clear" w:color="auto" w:fill="auto"/>
          </w:tcPr>
          <w:p w14:paraId="5CAEEE3F" w14:textId="77777777" w:rsidR="00D076E8" w:rsidRPr="005550A0" w:rsidRDefault="00D076E8">
            <w:pPr>
              <w:pStyle w:val="TableBody"/>
            </w:pPr>
            <w:r w:rsidRPr="00220F25">
              <w:rPr>
                <w:noProof/>
              </w:rPr>
              <w:drawing>
                <wp:inline distT="0" distB="0" distL="0" distR="0" wp14:anchorId="061D0542" wp14:editId="46376244">
                  <wp:extent cx="2986405" cy="2802255"/>
                  <wp:effectExtent l="0" t="0" r="0" b="0"/>
                  <wp:docPr id="1092989474" name="Picture 1092989474" descr="This figure has two panels. In the left panel are the annualised growth (from the corresponding quarter the year before) in the terms of trade and the annualised growth in the real net national disposable income per capita between 1995 and 2023. It can be seen that as the terms of trade rise or fall, real net national disposable income per capita tends to grow in the same direc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989474" name="Picture 1092989474" descr="This figure has two panels. In the left panel are the annualised growth (from the corresponding quarter the year before) in the terms of trade and the annualised growth in the real net national disposable income per capita between 1995 and 2023. It can be seen that as the terms of trade rise or fall, real net national disposable income per capita tends to grow in the same direction. "/>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986405" cy="2802255"/>
                          </a:xfrm>
                          <a:prstGeom prst="rect">
                            <a:avLst/>
                          </a:prstGeom>
                          <a:noFill/>
                          <a:ln>
                            <a:noFill/>
                          </a:ln>
                        </pic:spPr>
                      </pic:pic>
                    </a:graphicData>
                  </a:graphic>
                </wp:inline>
              </w:drawing>
            </w:r>
          </w:p>
        </w:tc>
        <w:tc>
          <w:tcPr>
            <w:tcW w:w="2500" w:type="pct"/>
            <w:shd w:val="clear" w:color="auto" w:fill="auto"/>
          </w:tcPr>
          <w:p w14:paraId="3DF6BF3A" w14:textId="77777777" w:rsidR="00D076E8" w:rsidRPr="005550A0" w:rsidRDefault="00D076E8">
            <w:pPr>
              <w:pStyle w:val="TableBody"/>
            </w:pPr>
            <w:r w:rsidRPr="002332D2">
              <w:rPr>
                <w:noProof/>
              </w:rPr>
              <w:drawing>
                <wp:inline distT="0" distB="0" distL="0" distR="0" wp14:anchorId="4416DAB5" wp14:editId="604915D5">
                  <wp:extent cx="2986405" cy="2839085"/>
                  <wp:effectExtent l="0" t="0" r="0" b="0"/>
                  <wp:docPr id="489485260" name="Picture 489485260" descr="On the right panel is a scatter diagram of the change with real net disposable income per capita on the y axis and the change in the terms of trade on the x axis between 1995 and 2023. It can be seen that the correlation between the two is quite st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485260" name="Picture 489485260" descr="On the right panel is a scatter diagram of the change with real net disposable income per capita on the y axis and the change in the terms of trade on the x axis between 1995 and 2023. It can be seen that the correlation between the two is quite strong."/>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986405" cy="2839085"/>
                          </a:xfrm>
                          <a:prstGeom prst="rect">
                            <a:avLst/>
                          </a:prstGeom>
                          <a:noFill/>
                          <a:ln>
                            <a:noFill/>
                          </a:ln>
                        </pic:spPr>
                      </pic:pic>
                    </a:graphicData>
                  </a:graphic>
                </wp:inline>
              </w:drawing>
            </w:r>
          </w:p>
        </w:tc>
      </w:tr>
    </w:tbl>
    <w:p w14:paraId="7820EB19" w14:textId="77777777" w:rsidR="00D076E8" w:rsidRDefault="00D076E8" w:rsidP="00D076E8">
      <w:pPr>
        <w:pStyle w:val="Note"/>
        <w:keepLines/>
      </w:pPr>
      <w:r w:rsidRPr="00180E66">
        <w:rPr>
          <w:b/>
          <w:bCs/>
        </w:rPr>
        <w:t>a.</w:t>
      </w:r>
      <w:r>
        <w:t xml:space="preserve"> The growth rates relate to the percentage difference between a given year’s quarter and the corresponding quarter of the previous year (for the period from June quarter 1995 to March quarter 2023).</w:t>
      </w:r>
    </w:p>
    <w:p w14:paraId="21E80B2E" w14:textId="77777777" w:rsidR="00D076E8" w:rsidRDefault="00D076E8" w:rsidP="00D076E8">
      <w:pPr>
        <w:pStyle w:val="Source"/>
      </w:pPr>
      <w:r w:rsidRPr="00696447">
        <w:t xml:space="preserve">Source: </w:t>
      </w:r>
      <w:r>
        <w:t xml:space="preserve">ABS (2023, </w:t>
      </w:r>
      <w:r w:rsidRPr="00500837">
        <w:t>Australian National Accounts: National Income, Expenditure and Product, Key National Accounts Aggregates</w:t>
      </w:r>
      <w:r>
        <w:t>, table 1, Cat. no. 5206.0).</w:t>
      </w:r>
    </w:p>
    <w:p w14:paraId="5E01A92B" w14:textId="40C84EFA" w:rsidR="00D076E8" w:rsidRDefault="00AC75FC" w:rsidP="00D076E8">
      <w:pPr>
        <w:pStyle w:val="Heading2-nonumber"/>
      </w:pPr>
      <w:bookmarkStart w:id="13" w:name="_Toc144912357"/>
      <w:r>
        <w:t>D</w:t>
      </w:r>
      <w:r w:rsidR="0068070B">
        <w:t>.3</w:t>
      </w:r>
      <w:r w:rsidR="0068070B">
        <w:tab/>
      </w:r>
      <w:r w:rsidR="00D076E8">
        <w:t>Wage decoupling and inequality</w:t>
      </w:r>
      <w:bookmarkEnd w:id="13"/>
    </w:p>
    <w:p w14:paraId="00C3BF13" w14:textId="77777777" w:rsidR="00D076E8" w:rsidRDefault="00D076E8" w:rsidP="00D076E8">
      <w:pPr>
        <w:pStyle w:val="BodyText"/>
      </w:pPr>
      <w:r>
        <w:t xml:space="preserve">A major concern about wage decoupling is that it could increase income and wealth inequality. Notwithstanding that employees generally obtain some direct benefits from capital income (such as through their superannuation accounts), it is distributed less equally than labour income. Accordingly, an increase in the share of capital in national income – which is implied by wage decoupling – may, prime facie, increase the overall degree of income inequality. To what extent this has occurred in Australia is an empirical question, since governments can offset these distributional impacts through policy. </w:t>
      </w:r>
    </w:p>
    <w:p w14:paraId="7085F751" w14:textId="77777777" w:rsidR="00D076E8" w:rsidRDefault="00D076E8" w:rsidP="00D076E8">
      <w:pPr>
        <w:pStyle w:val="Heading3"/>
      </w:pPr>
      <w:r>
        <w:t>Overall income inequality has moved little</w:t>
      </w:r>
    </w:p>
    <w:p w14:paraId="5E6DE034" w14:textId="626748FC" w:rsidR="00D076E8" w:rsidRDefault="00D076E8" w:rsidP="00D076E8">
      <w:pPr>
        <w:pStyle w:val="BodyText"/>
        <w:rPr>
          <w:color w:val="000000" w:themeColor="text1"/>
        </w:rPr>
      </w:pPr>
      <w:r>
        <w:rPr>
          <w:color w:val="000000" w:themeColor="text1"/>
        </w:rPr>
        <w:t>Income inequality is significantly reduced by transfers – as shown by the narrower margin between the income held by the top 10% of earners and the bottom 10% (the 90/10 ratio) after transfers (figure </w:t>
      </w:r>
      <w:r w:rsidR="00731890">
        <w:rPr>
          <w:color w:val="000000" w:themeColor="text1"/>
        </w:rPr>
        <w:t>1</w:t>
      </w:r>
      <w:r w:rsidR="001E7E67">
        <w:rPr>
          <w:color w:val="000000" w:themeColor="text1"/>
        </w:rPr>
        <w:t>5</w:t>
      </w:r>
      <w:r>
        <w:rPr>
          <w:color w:val="000000" w:themeColor="text1"/>
        </w:rPr>
        <w:t>). Moreover, there have been relatively modest increases in income inequality as measured by the 90/10 ratio and no increase when measured by the 80/20 or 90/50 ratios (figure 1</w:t>
      </w:r>
      <w:r w:rsidR="001E7E67">
        <w:rPr>
          <w:color w:val="000000" w:themeColor="text1"/>
        </w:rPr>
        <w:t>5</w:t>
      </w:r>
      <w:r>
        <w:rPr>
          <w:color w:val="000000" w:themeColor="text1"/>
        </w:rPr>
        <w:t xml:space="preserve">). Data from the </w:t>
      </w:r>
      <w:r w:rsidRPr="00603C18">
        <w:rPr>
          <w:color w:val="000000" w:themeColor="text1"/>
        </w:rPr>
        <w:t xml:space="preserve">Household, Income and Labour Dynamics in Australia (HILDA) survey </w:t>
      </w:r>
      <w:r>
        <w:rPr>
          <w:color w:val="000000" w:themeColor="text1"/>
        </w:rPr>
        <w:t xml:space="preserve">from 2001 to 2020 also show that inequality has remained </w:t>
      </w:r>
      <w:r>
        <w:rPr>
          <w:color w:val="000000" w:themeColor="text1"/>
        </w:rPr>
        <w:lastRenderedPageBreak/>
        <w:t xml:space="preserve">largely stable over that period albeit with a modest fall over the past decade </w:t>
      </w:r>
      <w:r w:rsidRPr="006C0D0F">
        <w:rPr>
          <w:rFonts w:ascii="Arial" w:hAnsi="Arial" w:cs="Arial"/>
          <w:szCs w:val="24"/>
        </w:rPr>
        <w:t>(Wilkins et al. 2022)</w:t>
      </w:r>
      <w:r>
        <w:rPr>
          <w:color w:val="000000" w:themeColor="text1"/>
        </w:rPr>
        <w:t>.</w:t>
      </w:r>
      <w:r w:rsidRPr="002E6CB2">
        <w:rPr>
          <w:rStyle w:val="FootnoteReference"/>
        </w:rPr>
        <w:footnoteReference w:id="11"/>
      </w:r>
      <w:r>
        <w:rPr>
          <w:color w:val="000000" w:themeColor="text1"/>
        </w:rPr>
        <w:t xml:space="preserve"> Nonetheless, another indicator of inequality, the share of total income accounted for the top 10% of income earners has increased significantly on a pre-tax, but much less on the post</w:t>
      </w:r>
      <w:r>
        <w:rPr>
          <w:color w:val="000000" w:themeColor="text1"/>
        </w:rPr>
        <w:noBreakHyphen/>
        <w:t>tax basis (figure 1</w:t>
      </w:r>
      <w:r w:rsidR="001E7E67">
        <w:rPr>
          <w:color w:val="000000" w:themeColor="text1"/>
        </w:rPr>
        <w:t>6</w:t>
      </w:r>
      <w:r>
        <w:rPr>
          <w:color w:val="000000" w:themeColor="text1"/>
        </w:rPr>
        <w:t>).</w:t>
      </w:r>
      <w:r w:rsidRPr="002E6CB2">
        <w:rPr>
          <w:rStyle w:val="FootnoteReference"/>
        </w:rPr>
        <w:footnoteReference w:id="12"/>
      </w:r>
      <w:r>
        <w:rPr>
          <w:color w:val="000000" w:themeColor="text1"/>
        </w:rPr>
        <w:t xml:space="preserve"> </w:t>
      </w:r>
    </w:p>
    <w:p w14:paraId="383F00FC" w14:textId="40385976" w:rsidR="00D076E8" w:rsidRDefault="00D076E8" w:rsidP="00D076E8">
      <w:pPr>
        <w:pStyle w:val="BodyText"/>
        <w:rPr>
          <w:color w:val="000000" w:themeColor="text1"/>
        </w:rPr>
      </w:pPr>
      <w:r>
        <w:rPr>
          <w:color w:val="000000" w:themeColor="text1"/>
        </w:rPr>
        <w:t xml:space="preserve">In part, these patterns reflect the complex relationship between the distribution of income between labour and capital, and income inequality, even on a pre-tax basis. While capital income is more unequally distributed than labour income, capital income is also less strongly correlated with total income than labour income. While only a minority of people receive any significant capital income, many of these people do not have a high income overall. For example, a self-funded retiree may well have a lower-than-average income that is almost entirely capital funded. By contrast, a high earning professional in the higher end of the labour income distribution will tend to be in the upper end of the overall income distribution. </w:t>
      </w:r>
    </w:p>
    <w:p w14:paraId="64159212" w14:textId="0DA95B55" w:rsidR="00D076E8" w:rsidRPr="00146382" w:rsidRDefault="00584CCB" w:rsidP="00D076E8">
      <w:pPr>
        <w:pStyle w:val="FigureTableHeading"/>
      </w:pPr>
      <w:r>
        <w:t xml:space="preserve">Figure </w:t>
      </w:r>
      <w:r w:rsidR="002B4160">
        <w:rPr>
          <w:noProof/>
        </w:rPr>
        <w:t>15</w:t>
      </w:r>
      <w:r>
        <w:rPr>
          <w:noProof/>
        </w:rPr>
        <w:t xml:space="preserve"> </w:t>
      </w:r>
      <w:r>
        <w:t xml:space="preserve">– </w:t>
      </w:r>
      <w:r w:rsidR="00D076E8">
        <w:t>Income inequality has been generally stable</w:t>
      </w:r>
      <w:r w:rsidR="00D076E8" w:rsidRPr="002A2DAA">
        <w:rPr>
          <w:vertAlign w:val="superscript"/>
        </w:rPr>
        <w:t>a</w:t>
      </w:r>
      <w:r w:rsidR="00D076E8" w:rsidRPr="00066CF5">
        <w:rPr>
          <w:vertAlign w:val="superscript"/>
        </w:rPr>
        <w:t>,b</w:t>
      </w:r>
    </w:p>
    <w:p w14:paraId="2A91A42B" w14:textId="77777777" w:rsidR="00D076E8" w:rsidRDefault="00D076E8" w:rsidP="00D076E8">
      <w:pPr>
        <w:pStyle w:val="FigureTableSubheading"/>
        <w:keepLines/>
      </w:pPr>
      <w:r>
        <w:t>Ratios of percentiles of gross household income (LHS) and equivalised disposable household income (RHS)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A0" w:firstRow="1" w:lastRow="0" w:firstColumn="1" w:lastColumn="0" w:noHBand="1" w:noVBand="1"/>
      </w:tblPr>
      <w:tblGrid>
        <w:gridCol w:w="4819"/>
        <w:gridCol w:w="4819"/>
      </w:tblGrid>
      <w:tr w:rsidR="00D076E8" w:rsidRPr="00C93572" w14:paraId="454D98CE" w14:textId="77777777">
        <w:trPr>
          <w:tblHeader/>
        </w:trPr>
        <w:tc>
          <w:tcPr>
            <w:tcW w:w="2500" w:type="pct"/>
            <w:shd w:val="clear" w:color="auto" w:fill="auto"/>
          </w:tcPr>
          <w:p w14:paraId="3053C11E" w14:textId="77777777" w:rsidR="00D076E8" w:rsidRPr="00B929ED" w:rsidRDefault="00D076E8">
            <w:pPr>
              <w:pStyle w:val="BodyText"/>
              <w:spacing w:before="0" w:after="0"/>
              <w:rPr>
                <w:b/>
              </w:rPr>
            </w:pPr>
            <w:r w:rsidRPr="00B929ED">
              <w:rPr>
                <w:b/>
              </w:rPr>
              <w:t>Gross household income</w:t>
            </w:r>
          </w:p>
        </w:tc>
        <w:tc>
          <w:tcPr>
            <w:tcW w:w="2500" w:type="pct"/>
            <w:shd w:val="clear" w:color="auto" w:fill="auto"/>
          </w:tcPr>
          <w:p w14:paraId="182457EB" w14:textId="77777777" w:rsidR="00D076E8" w:rsidRPr="00B929ED" w:rsidRDefault="00D076E8">
            <w:pPr>
              <w:pStyle w:val="BodyText"/>
              <w:spacing w:before="0" w:after="0"/>
              <w:rPr>
                <w:b/>
              </w:rPr>
            </w:pPr>
            <w:r w:rsidRPr="00B929ED">
              <w:rPr>
                <w:b/>
              </w:rPr>
              <w:t>Equivalised disposable household income</w:t>
            </w:r>
          </w:p>
        </w:tc>
      </w:tr>
      <w:tr w:rsidR="00D076E8" w:rsidRPr="005550A0" w14:paraId="0188A424" w14:textId="77777777">
        <w:trPr>
          <w:tblHeader/>
        </w:trPr>
        <w:tc>
          <w:tcPr>
            <w:tcW w:w="2500" w:type="pct"/>
            <w:shd w:val="clear" w:color="auto" w:fill="auto"/>
          </w:tcPr>
          <w:p w14:paraId="4CEBE6C9" w14:textId="77777777" w:rsidR="00D076E8" w:rsidRPr="005550A0" w:rsidRDefault="00D076E8">
            <w:pPr>
              <w:pStyle w:val="TableBody"/>
            </w:pPr>
            <w:r w:rsidRPr="00152B31">
              <w:rPr>
                <w:noProof/>
              </w:rPr>
              <w:drawing>
                <wp:inline distT="0" distB="0" distL="0" distR="0" wp14:anchorId="5F9119C6" wp14:editId="27C46956">
                  <wp:extent cx="2992755" cy="2874645"/>
                  <wp:effectExtent l="0" t="0" r="0" b="0"/>
                  <wp:docPr id="2104595115" name="Picture 2104595115" descr="This figure has two panels. In the left hand panel, there are ratios of the percentiles of gross household income (that is, pre-tax household income) between 1995 and 2020. These percentiles are the ratios of the 90th percentile of household income to the 10th, the ratio of the 80th to the 20th and the ratio of the 90th to the 50th. It can be seen that the ratio of the 90th to the 10th percentile of gross household income has increased very slightly over time (indicating worsening pre-tax income inequality), but that this has fallen after again after about 2007.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595115" name="Picture 2104595115" descr="This figure has two panels. In the left hand panel, there are ratios of the percentiles of gross household income (that is, pre-tax household income) between 1995 and 2020. These percentiles are the ratios of the 90th percentile of household income to the 10th, the ratio of the 80th to the 20th and the ratio of the 90th to the 50th. It can be seen that the ratio of the 90th to the 10th percentile of gross household income has increased very slightly over time (indicating worsening pre-tax income inequality), but that this has fallen after again after about 2007. "/>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992755" cy="2874645"/>
                          </a:xfrm>
                          <a:prstGeom prst="rect">
                            <a:avLst/>
                          </a:prstGeom>
                          <a:noFill/>
                          <a:ln>
                            <a:noFill/>
                          </a:ln>
                        </pic:spPr>
                      </pic:pic>
                    </a:graphicData>
                  </a:graphic>
                </wp:inline>
              </w:drawing>
            </w:r>
          </w:p>
        </w:tc>
        <w:tc>
          <w:tcPr>
            <w:tcW w:w="2500" w:type="pct"/>
            <w:shd w:val="clear" w:color="auto" w:fill="auto"/>
          </w:tcPr>
          <w:p w14:paraId="11017F98" w14:textId="77777777" w:rsidR="00D076E8" w:rsidRPr="005550A0" w:rsidRDefault="00D076E8">
            <w:pPr>
              <w:pStyle w:val="TableBody"/>
            </w:pPr>
            <w:r w:rsidRPr="00CA1040">
              <w:rPr>
                <w:noProof/>
              </w:rPr>
              <w:drawing>
                <wp:inline distT="0" distB="0" distL="0" distR="0" wp14:anchorId="197FC072" wp14:editId="2AAD363A">
                  <wp:extent cx="2992755" cy="2879090"/>
                  <wp:effectExtent l="0" t="0" r="0" b="0"/>
                  <wp:docPr id="945682204" name="Picture 945682204" descr="In the right hand panel, are the same ratios of 90th percentile of household income to the 10th, the ratio of the 80th to the 20th and the ratio of the 90th to the 50th except that these ratios are for equivalised disposable household income. This measure differs from gross income primarily in that it is post-tax and has been adjusted for the size of the household (larger households have average cost of living per person because many expenses do not scale proportionally for larger households). It can be seen across these three ratios, that post-tax income inequality has increased by a very small amount since 1995, although it has fallen after about 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682204" name="Picture 945682204" descr="In the right hand panel, are the same ratios of 90th percentile of household income to the 10th, the ratio of the 80th to the 20th and the ratio of the 90th to the 50th except that these ratios are for equivalised disposable household income. This measure differs from gross income primarily in that it is post-tax and has been adjusted for the size of the household (larger households have average cost of living per person because many expenses do not scale proportionally for larger households). It can be seen across these three ratios, that post-tax income inequality has increased by a very small amount since 1995, although it has fallen after about 2007."/>
                          <pic:cNvPicPr>
                            <a:picLocks noChangeAspect="1" noChangeArrowheads="1"/>
                          </pic:cNvPicPr>
                        </pic:nvPicPr>
                        <pic:blipFill rotWithShape="1">
                          <a:blip r:embed="rId48" cstate="print">
                            <a:extLst>
                              <a:ext uri="{28A0092B-C50C-407E-A947-70E740481C1C}">
                                <a14:useLocalDpi xmlns:a14="http://schemas.microsoft.com/office/drawing/2010/main" val="0"/>
                              </a:ext>
                            </a:extLst>
                          </a:blip>
                          <a:srcRect t="1047" b="1"/>
                          <a:stretch/>
                        </pic:blipFill>
                        <pic:spPr bwMode="auto">
                          <a:xfrm>
                            <a:off x="0" y="0"/>
                            <a:ext cx="2992755" cy="287909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20DBC36" w14:textId="77777777" w:rsidR="00D076E8" w:rsidRDefault="00D076E8" w:rsidP="00D076E8">
      <w:pPr>
        <w:pStyle w:val="Note"/>
        <w:keepLines/>
      </w:pPr>
      <w:r w:rsidRPr="00180E66">
        <w:rPr>
          <w:b/>
          <w:bCs/>
        </w:rPr>
        <w:t>a.</w:t>
      </w:r>
      <w:r>
        <w:t xml:space="preserve"> </w:t>
      </w:r>
      <w:r w:rsidRPr="00EC39BB">
        <w:t>Gross</w:t>
      </w:r>
      <w:r>
        <w:t xml:space="preserve"> household</w:t>
      </w:r>
      <w:r w:rsidRPr="00EC39BB">
        <w:t xml:space="preserve"> income is the sum of the income from all sources before income tax and the Medicare levy have been deducted</w:t>
      </w:r>
      <w:r>
        <w:t>. Income generally refers to the sum of income households receive from: employee income (</w:t>
      </w:r>
      <w:r w:rsidRPr="005537E3">
        <w:t>wages and salaries, salary sacrificed income, non-cash benefits, bonuses and termination payment</w:t>
      </w:r>
      <w:r>
        <w:t xml:space="preserve">), </w:t>
      </w:r>
      <w:r w:rsidRPr="00E124E3">
        <w:t>government pensions and allowances</w:t>
      </w:r>
      <w:r>
        <w:t xml:space="preserve">, </w:t>
      </w:r>
      <w:r w:rsidRPr="007C21A3">
        <w:t>private transfers (</w:t>
      </w:r>
      <w:r>
        <w:t>for example,</w:t>
      </w:r>
      <w:r w:rsidRPr="007C21A3">
        <w:t xml:space="preserve"> superannuation, workers</w:t>
      </w:r>
      <w:r>
        <w:t>’</w:t>
      </w:r>
      <w:r w:rsidRPr="007C21A3">
        <w:t xml:space="preserve"> compensation, income from annuities, child support, and financial support received from family members not living in the same household)</w:t>
      </w:r>
      <w:r>
        <w:t xml:space="preserve">. This measure excludes capital gains on financial assets and some other benefits. </w:t>
      </w:r>
      <w:r w:rsidRPr="00180E66">
        <w:rPr>
          <w:b/>
          <w:bCs/>
        </w:rPr>
        <w:t>b.</w:t>
      </w:r>
      <w:r>
        <w:t xml:space="preserve"> Equivalised disposable household income is post</w:t>
      </w:r>
      <w:r>
        <w:noBreakHyphen/>
        <w:t xml:space="preserve">tax income (gross income minus taxes) scaled by the size of the household. Larger households generally have lower per person living expenses than smaller households which this scaling adjustment corrects for. </w:t>
      </w:r>
    </w:p>
    <w:p w14:paraId="13FA5A3C" w14:textId="564C2A11" w:rsidR="00D076E8" w:rsidRDefault="00D076E8" w:rsidP="00D076E8">
      <w:pPr>
        <w:pStyle w:val="Source"/>
      </w:pPr>
      <w:r w:rsidRPr="00696447">
        <w:t xml:space="preserve">Source: </w:t>
      </w:r>
      <w:r>
        <w:t xml:space="preserve">ABS </w:t>
      </w:r>
      <w:r w:rsidR="00EE26AE" w:rsidRPr="00EE26AE">
        <w:rPr>
          <w:rFonts w:ascii="Arial" w:hAnsi="Arial" w:cs="Arial"/>
        </w:rPr>
        <w:t>(2022f)</w:t>
      </w:r>
      <w:r w:rsidRPr="00696447">
        <w:t>.</w:t>
      </w:r>
    </w:p>
    <w:p w14:paraId="06645D22" w14:textId="5740CBBB" w:rsidR="00D076E8" w:rsidRPr="00146382" w:rsidRDefault="007C22C6" w:rsidP="00D076E8">
      <w:pPr>
        <w:pStyle w:val="FigureTableHeading"/>
      </w:pPr>
      <w:r>
        <w:lastRenderedPageBreak/>
        <w:t xml:space="preserve">Figure </w:t>
      </w:r>
      <w:r w:rsidR="002B4160">
        <w:rPr>
          <w:noProof/>
        </w:rPr>
        <w:t>16</w:t>
      </w:r>
      <w:r>
        <w:rPr>
          <w:noProof/>
        </w:rPr>
        <w:t xml:space="preserve"> </w:t>
      </w:r>
      <w:r>
        <w:t xml:space="preserve">– </w:t>
      </w:r>
      <w:r w:rsidR="00D076E8">
        <w:t>The share of the top 10% of pre- and post-tax income has increased</w:t>
      </w:r>
      <w:r w:rsidR="00D076E8" w:rsidRPr="00DE4958">
        <w:rPr>
          <w:vertAlign w:val="superscript"/>
        </w:rPr>
        <w:t>a</w:t>
      </w:r>
    </w:p>
    <w:p w14:paraId="535590B5" w14:textId="77777777" w:rsidR="00D076E8" w:rsidRDefault="00D076E8" w:rsidP="00D076E8">
      <w:pPr>
        <w:pStyle w:val="FigureTableSubheading"/>
        <w:keepLines/>
      </w:pPr>
      <w:r>
        <w:t>Pre- and post-tax share of the top 10% of income earners between 1989</w:t>
      </w:r>
      <w:r>
        <w:noBreakHyphen/>
        <w:t>90 and 2020</w:t>
      </w:r>
      <w:r>
        <w:noBreakHyphen/>
        <w:t>21</w:t>
      </w:r>
    </w:p>
    <w:p w14:paraId="149D41CE" w14:textId="77777777" w:rsidR="00D076E8" w:rsidRDefault="00D076E8" w:rsidP="00D076E8">
      <w:pPr>
        <w:pStyle w:val="BodyText"/>
        <w:spacing w:before="0" w:after="0"/>
      </w:pPr>
      <w:r w:rsidRPr="00E01B97">
        <w:rPr>
          <w:noProof/>
        </w:rPr>
        <w:drawing>
          <wp:inline distT="0" distB="0" distL="0" distR="0" wp14:anchorId="7AAC773C" wp14:editId="12CB2B76">
            <wp:extent cx="6120130" cy="2618509"/>
            <wp:effectExtent l="0" t="0" r="0" b="0"/>
            <wp:docPr id="1872704531" name="Picture 1872704531" descr="This figure shows the share of pre-tax and post-tax income going to the top 10% of income earners between 1990 and 2020. It can be seen that while the pre-tax share of income going to the top 10% has increased substantially, the post-tax share has increased by a much smaller amount. Both measures also show that income inequality fell from about 2011 onw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704531" name="Picture 1872704531" descr="This figure shows the share of pre-tax and post-tax income going to the top 10% of income earners between 1990 and 2020. It can be seen that while the pre-tax share of income going to the top 10% has increased substantially, the post-tax share has increased by a much smaller amount. Both measures also show that income inequality fell from about 2011 onwards."/>
                    <pic:cNvPicPr>
                      <a:picLocks noChangeAspect="1" noChangeArrowheads="1"/>
                    </pic:cNvPicPr>
                  </pic:nvPicPr>
                  <pic:blipFill rotWithShape="1">
                    <a:blip r:embed="rId49" cstate="print">
                      <a:extLst>
                        <a:ext uri="{28A0092B-C50C-407E-A947-70E740481C1C}">
                          <a14:useLocalDpi xmlns:a14="http://schemas.microsoft.com/office/drawing/2010/main" val="0"/>
                        </a:ext>
                      </a:extLst>
                    </a:blip>
                    <a:srcRect b="5204"/>
                    <a:stretch/>
                  </pic:blipFill>
                  <pic:spPr bwMode="auto">
                    <a:xfrm>
                      <a:off x="0" y="0"/>
                      <a:ext cx="6120130" cy="2618509"/>
                    </a:xfrm>
                    <a:prstGeom prst="rect">
                      <a:avLst/>
                    </a:prstGeom>
                    <a:noFill/>
                    <a:ln>
                      <a:noFill/>
                    </a:ln>
                    <a:extLst>
                      <a:ext uri="{53640926-AAD7-44D8-BBD7-CCE9431645EC}">
                        <a14:shadowObscured xmlns:a14="http://schemas.microsoft.com/office/drawing/2010/main"/>
                      </a:ext>
                    </a:extLst>
                  </pic:spPr>
                </pic:pic>
              </a:graphicData>
            </a:graphic>
          </wp:inline>
        </w:drawing>
      </w:r>
    </w:p>
    <w:p w14:paraId="6FF22B56" w14:textId="77777777" w:rsidR="00D076E8" w:rsidRDefault="00D076E8" w:rsidP="00D076E8">
      <w:pPr>
        <w:pStyle w:val="Note"/>
      </w:pPr>
      <w:r>
        <w:rPr>
          <w:b/>
          <w:bCs/>
        </w:rPr>
        <w:t xml:space="preserve">a. </w:t>
      </w:r>
      <w:r w:rsidRPr="008C1B9F">
        <w:t>These figures relate to individuals not households.</w:t>
      </w:r>
    </w:p>
    <w:p w14:paraId="38758897" w14:textId="162E9F02" w:rsidR="00D076E8" w:rsidRPr="00473BEC" w:rsidRDefault="00D076E8" w:rsidP="00D076E8">
      <w:pPr>
        <w:pStyle w:val="Source"/>
      </w:pPr>
      <w:r w:rsidRPr="00696447">
        <w:t>Source:</w:t>
      </w:r>
      <w:r>
        <w:t xml:space="preserve"> </w:t>
      </w:r>
      <w:r w:rsidRPr="00AD0B93">
        <w:t>Fisher-Post</w:t>
      </w:r>
      <w:r>
        <w:t xml:space="preserve">, </w:t>
      </w:r>
      <w:r w:rsidRPr="00E35611">
        <w:t>Hérault</w:t>
      </w:r>
      <w:r>
        <w:t xml:space="preserve"> and Wilkins </w:t>
      </w:r>
      <w:r w:rsidRPr="00255EB9">
        <w:rPr>
          <w:rFonts w:ascii="Arial" w:hAnsi="Arial" w:cs="Arial"/>
        </w:rPr>
        <w:t>(2022)</w:t>
      </w:r>
      <w:r>
        <w:t xml:space="preserve"> presented by World Inequality Lab </w:t>
      </w:r>
      <w:r w:rsidRPr="001323C6">
        <w:rPr>
          <w:rFonts w:ascii="Arial" w:hAnsi="Arial" w:cs="Arial"/>
        </w:rPr>
        <w:t>(2023)</w:t>
      </w:r>
      <w:r>
        <w:t>.</w:t>
      </w:r>
    </w:p>
    <w:p w14:paraId="0062159A" w14:textId="77777777" w:rsidR="00D076E8" w:rsidRDefault="00D076E8" w:rsidP="00D076E8">
      <w:pPr>
        <w:pStyle w:val="Heading3"/>
      </w:pPr>
      <w:r>
        <w:t>Wage inequality trends</w:t>
      </w:r>
    </w:p>
    <w:p w14:paraId="4DE35B75" w14:textId="77777777" w:rsidR="00D076E8" w:rsidRDefault="00D076E8" w:rsidP="00D076E8">
      <w:pPr>
        <w:pStyle w:val="BodyText"/>
      </w:pPr>
      <w:r>
        <w:t xml:space="preserve">Decoupling is not a significant source of reduced income for most employed Australians given its isolation to a few industries. A more prominent factor underpinning wage stagnation for many Australian wage earners are variations in wage rates over time </w:t>
      </w:r>
      <w:r w:rsidRPr="005012D3">
        <w:rPr>
          <w:i/>
          <w:iCs/>
        </w:rPr>
        <w:t>between</w:t>
      </w:r>
      <w:r>
        <w:t xml:space="preserve"> different employees, which, depending on the period, the employee type and the data source, has also increased wage inequality. </w:t>
      </w:r>
    </w:p>
    <w:p w14:paraId="26387F48" w14:textId="3F384493" w:rsidR="00D076E8" w:rsidRDefault="00D076E8" w:rsidP="00D076E8">
      <w:pPr>
        <w:pStyle w:val="BodyText"/>
      </w:pPr>
      <w:r>
        <w:t xml:space="preserve">The longest available time series of data on wage inequality – the </w:t>
      </w:r>
      <w:r w:rsidRPr="00B37A72">
        <w:rPr>
          <w:i/>
          <w:iCs/>
        </w:rPr>
        <w:t>Employee hours and earnings survey</w:t>
      </w:r>
      <w:r>
        <w:t xml:space="preserve"> – shows that over the last 45 years, full</w:t>
      </w:r>
      <w:r>
        <w:noBreakHyphen/>
        <w:t>time adult non</w:t>
      </w:r>
      <w:r>
        <w:noBreakHyphen/>
        <w:t>managerial employees with (pre</w:t>
      </w:r>
      <w:r>
        <w:noBreakHyphen/>
        <w:t>tax) wages in higher percentiles experienced more rapid wage growth (figures </w:t>
      </w:r>
      <w:r w:rsidR="00246E21">
        <w:t>1</w:t>
      </w:r>
      <w:r w:rsidR="00A34DC9">
        <w:t>7</w:t>
      </w:r>
      <w:r>
        <w:t xml:space="preserve">, </w:t>
      </w:r>
      <w:r w:rsidR="00A34DC9">
        <w:t>18</w:t>
      </w:r>
      <w:r>
        <w:t xml:space="preserve">, </w:t>
      </w:r>
      <w:r w:rsidR="00A34DC9">
        <w:t>19</w:t>
      </w:r>
      <w:r>
        <w:t xml:space="preserve"> and </w:t>
      </w:r>
      <w:r w:rsidR="00A34DC9">
        <w:t>20</w:t>
      </w:r>
      <w:r>
        <w:t>), though the gap between them has varied depending on the period.</w:t>
      </w:r>
      <w:r w:rsidRPr="002E6CB2">
        <w:rPr>
          <w:rStyle w:val="FootnoteReference"/>
        </w:rPr>
        <w:footnoteReference w:id="13"/>
      </w:r>
      <w:r>
        <w:t xml:space="preserve"> There was, for example, little change in the dispersion of wages by percentile over the last decade and this even fell from 2016 to 2021 (a period in which economywide decoupling actually increased). </w:t>
      </w:r>
    </w:p>
    <w:p w14:paraId="6077C4F8" w14:textId="311CDB81" w:rsidR="00D076E8" w:rsidRDefault="00D076E8" w:rsidP="00D076E8">
      <w:pPr>
        <w:pStyle w:val="BodyText"/>
      </w:pPr>
      <w:r>
        <w:t xml:space="preserve">Data from a different ABS survey relating to </w:t>
      </w:r>
      <w:r w:rsidRPr="009A5DCB">
        <w:t>hourly</w:t>
      </w:r>
      <w:r>
        <w:t xml:space="preserve"> earnings of all employees – the </w:t>
      </w:r>
      <w:r>
        <w:rPr>
          <w:i/>
          <w:iCs/>
        </w:rPr>
        <w:t xml:space="preserve">Characteristics of employment </w:t>
      </w:r>
      <w:r>
        <w:t xml:space="preserve">supplement to the </w:t>
      </w:r>
      <w:r w:rsidRPr="004B1F72">
        <w:rPr>
          <w:i/>
          <w:iCs/>
        </w:rPr>
        <w:t>Labour Force Survey</w:t>
      </w:r>
      <w:r w:rsidRPr="00AE1A45">
        <w:t xml:space="preserve"> </w:t>
      </w:r>
      <w:r>
        <w:t xml:space="preserve">(LFS) </w:t>
      </w:r>
      <w:r>
        <w:rPr>
          <w:i/>
          <w:iCs/>
        </w:rPr>
        <w:t>–</w:t>
      </w:r>
      <w:r>
        <w:t xml:space="preserve"> shows significantly </w:t>
      </w:r>
      <w:r w:rsidRPr="004C43E6">
        <w:t xml:space="preserve">higher </w:t>
      </w:r>
      <w:r w:rsidRPr="004C43E6">
        <w:rPr>
          <w:i/>
          <w:iCs/>
        </w:rPr>
        <w:t>levels</w:t>
      </w:r>
      <w:r w:rsidRPr="004C43E6">
        <w:t xml:space="preserve"> of </w:t>
      </w:r>
      <w:r>
        <w:t xml:space="preserve">wage </w:t>
      </w:r>
      <w:r w:rsidRPr="004C43E6">
        <w:t xml:space="preserve">inequality </w:t>
      </w:r>
      <w:r>
        <w:t>for</w:t>
      </w:r>
      <w:r w:rsidRPr="004C43E6">
        <w:t xml:space="preserve"> hourly wage</w:t>
      </w:r>
      <w:r>
        <w:t xml:space="preserve"> rates. This is not surprising as the hourly series will include many </w:t>
      </w:r>
      <w:r w:rsidRPr="004C43E6">
        <w:t>people working in part</w:t>
      </w:r>
      <w:r>
        <w:noBreakHyphen/>
      </w:r>
      <w:r w:rsidRPr="004C43E6">
        <w:t>time, lower</w:t>
      </w:r>
      <w:r>
        <w:noBreakHyphen/>
      </w:r>
      <w:r w:rsidRPr="004C43E6">
        <w:t>paid jobs, such as cafe</w:t>
      </w:r>
      <w:r>
        <w:t xml:space="preserve"> worker</w:t>
      </w:r>
      <w:r w:rsidRPr="004C43E6">
        <w:t>s.</w:t>
      </w:r>
      <w:r>
        <w:t xml:space="preserve"> What is less explicable are the different trends in recent years, with wage inequality increasing from 2018 to 2021 for hourly wage rates, while falling for full</w:t>
      </w:r>
      <w:r>
        <w:noBreakHyphen/>
        <w:t>time weekly pay rates. (The pattern for earlier years tell a more consistent story between the two series</w:t>
      </w:r>
      <w:r w:rsidDel="006E7769">
        <w:t>.</w:t>
      </w:r>
      <w:r>
        <w:t>)</w:t>
      </w:r>
    </w:p>
    <w:p w14:paraId="6DCC59CC" w14:textId="3C323125" w:rsidR="00D076E8" w:rsidRDefault="00D076E8" w:rsidP="00D076E8">
      <w:pPr>
        <w:pStyle w:val="BodyText"/>
      </w:pPr>
      <w:r>
        <w:t xml:space="preserve">The hourly data also show large variations in wage inequality by occupation, industry and (to a lesser extent) skill levels, which suggests that structural changes in the economy favouring specific types of employees is the decisive determinant of changes in real wages affecting different workers </w:t>
      </w:r>
      <w:r w:rsidR="00EE26AE" w:rsidRPr="00EE26AE">
        <w:rPr>
          <w:rFonts w:ascii="Arial" w:hAnsi="Arial" w:cs="Arial"/>
          <w:szCs w:val="24"/>
        </w:rPr>
        <w:t>(ABS 2022c)</w:t>
      </w:r>
      <w:r>
        <w:t xml:space="preserve">. Wage decoupling </w:t>
      </w:r>
      <w:r>
        <w:lastRenderedPageBreak/>
        <w:t xml:space="preserve">is an important phenomenon, but one that, given its narrow incidence, appears likely to play a peripheral role in wage trends and dispersion. </w:t>
      </w:r>
    </w:p>
    <w:p w14:paraId="539DE30A" w14:textId="7F17B83A" w:rsidR="00D076E8" w:rsidRPr="00146382" w:rsidRDefault="00DF7242" w:rsidP="00D076E8">
      <w:pPr>
        <w:pStyle w:val="FigureTableHeading"/>
      </w:pPr>
      <w:r>
        <w:t xml:space="preserve">Figure </w:t>
      </w:r>
      <w:r w:rsidR="002B4160">
        <w:rPr>
          <w:noProof/>
        </w:rPr>
        <w:t>17</w:t>
      </w:r>
      <w:r>
        <w:rPr>
          <w:noProof/>
        </w:rPr>
        <w:t xml:space="preserve"> </w:t>
      </w:r>
      <w:r>
        <w:t xml:space="preserve">– </w:t>
      </w:r>
      <w:r w:rsidR="00D076E8">
        <w:t>Long</w:t>
      </w:r>
      <w:r w:rsidR="00D076E8">
        <w:noBreakHyphen/>
        <w:t>run real wage growth has been higher for higher</w:t>
      </w:r>
      <w:r w:rsidR="00D076E8">
        <w:noBreakHyphen/>
        <w:t>paid employees</w:t>
      </w:r>
      <w:r w:rsidR="00D076E8" w:rsidRPr="00D83690">
        <w:rPr>
          <w:vertAlign w:val="superscript"/>
        </w:rPr>
        <w:t>a</w:t>
      </w:r>
    </w:p>
    <w:p w14:paraId="6B1BE141" w14:textId="77777777" w:rsidR="00D076E8" w:rsidRDefault="00D076E8" w:rsidP="00D076E8">
      <w:pPr>
        <w:pStyle w:val="FigureTableSubheading"/>
        <w:keepLines/>
      </w:pPr>
      <w:r>
        <w:t>Full</w:t>
      </w:r>
      <w:r>
        <w:noBreakHyphen/>
        <w:t>time adult non-managerial employees, 1975–2021 (1975=100)</w:t>
      </w:r>
    </w:p>
    <w:p w14:paraId="279D66A9" w14:textId="77777777" w:rsidR="00D076E8" w:rsidRDefault="00D076E8" w:rsidP="00D076E8">
      <w:pPr>
        <w:pStyle w:val="Note"/>
        <w:keepLines/>
      </w:pPr>
      <w:r w:rsidRPr="00647E23">
        <w:rPr>
          <w:noProof/>
        </w:rPr>
        <w:drawing>
          <wp:inline distT="0" distB="0" distL="0" distR="0" wp14:anchorId="73C70690" wp14:editId="126BD699">
            <wp:extent cx="6119495" cy="2877820"/>
            <wp:effectExtent l="0" t="0" r="0" b="0"/>
            <wp:docPr id="2076474927" name="Picture 2076474927" descr="This figure shows the growth of weekly full-time pay of non-managerial employees between 1975 and 2021 at different points of the earnings distribution. It shows the growth of the minimum wage weekly earnings, the bottom 10th percentile of earnings, the 25th percentile, the 50th percentile, the 75th percentile, the 90th percentile and the mean value. It can be seen that after about 1990, the higher percentiles have had faster growth in earnings compared to the rest of the distribution. The minimum wage also grew more slowly than all the other percentiles of the distribution presented in this chart after 1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474927" name="Picture 2076474927" descr="This figure shows the growth of weekly full-time pay of non-managerial employees between 1975 and 2021 at different points of the earnings distribution. It shows the growth of the minimum wage weekly earnings, the bottom 10th percentile of earnings, the 25th percentile, the 50th percentile, the 75th percentile, the 90th percentile and the mean value. It can be seen that after about 1990, the higher percentiles have had faster growth in earnings compared to the rest of the distribution. The minimum wage also grew more slowly than all the other percentiles of the distribution presented in this chart after 199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119495" cy="2877820"/>
                    </a:xfrm>
                    <a:prstGeom prst="rect">
                      <a:avLst/>
                    </a:prstGeom>
                    <a:noFill/>
                    <a:ln>
                      <a:noFill/>
                    </a:ln>
                  </pic:spPr>
                </pic:pic>
              </a:graphicData>
            </a:graphic>
          </wp:inline>
        </w:drawing>
      </w:r>
    </w:p>
    <w:p w14:paraId="5C783889" w14:textId="77777777" w:rsidR="00D076E8" w:rsidRPr="00E248D2" w:rsidRDefault="00D076E8" w:rsidP="00341116">
      <w:pPr>
        <w:pStyle w:val="Note"/>
        <w:rPr>
          <w:spacing w:val="-6"/>
        </w:rPr>
      </w:pPr>
      <w:r w:rsidRPr="00E248D2">
        <w:rPr>
          <w:b/>
          <w:bCs/>
          <w:spacing w:val="-6"/>
        </w:rPr>
        <w:t xml:space="preserve">a. </w:t>
      </w:r>
      <w:r w:rsidRPr="00E248D2">
        <w:rPr>
          <w:spacing w:val="-6"/>
        </w:rPr>
        <w:t xml:space="preserve">Based on average real weekly gross earnings of full-time adult non-managerial employees by earnings percentile. This will be a good proxy for </w:t>
      </w:r>
      <w:r w:rsidRPr="00E248D2">
        <w:rPr>
          <w:i/>
          <w:spacing w:val="-6"/>
        </w:rPr>
        <w:t>hourly</w:t>
      </w:r>
      <w:r w:rsidRPr="00E248D2">
        <w:rPr>
          <w:spacing w:val="-6"/>
        </w:rPr>
        <w:t xml:space="preserve"> earnings for full</w:t>
      </w:r>
      <w:r w:rsidRPr="00E248D2">
        <w:rPr>
          <w:spacing w:val="-6"/>
        </w:rPr>
        <w:noBreakHyphen/>
        <w:t>time workers (because full-time hours have been relatively stable). The data does not take account of movements in hourly earnings of part</w:t>
      </w:r>
      <w:r w:rsidRPr="00E248D2">
        <w:rPr>
          <w:spacing w:val="-6"/>
        </w:rPr>
        <w:noBreakHyphen/>
        <w:t>time employees as long time series for these employees are not available. Nominal wages were deflated by the consumer price index for the June quarter of any year. Data is missing for some years.</w:t>
      </w:r>
    </w:p>
    <w:p w14:paraId="0B1DC321" w14:textId="4D592638" w:rsidR="00D076E8" w:rsidRDefault="00D076E8" w:rsidP="00D076E8">
      <w:pPr>
        <w:pStyle w:val="Source"/>
      </w:pPr>
      <w:r w:rsidRPr="00696447">
        <w:t>Source:</w:t>
      </w:r>
      <w:r>
        <w:t xml:space="preserve"> Based on</w:t>
      </w:r>
      <w:r w:rsidRPr="00696447">
        <w:t xml:space="preserve"> </w:t>
      </w:r>
      <w:r>
        <w:t xml:space="preserve">Leigh </w:t>
      </w:r>
      <w:r w:rsidRPr="00D83690">
        <w:t>(2013)</w:t>
      </w:r>
      <w:r>
        <w:t>, updated using ABS (</w:t>
      </w:r>
      <w:r w:rsidRPr="000A2751">
        <w:rPr>
          <w:i/>
          <w:iCs/>
        </w:rPr>
        <w:t>Employee Earnings and Hours, Australia, May</w:t>
      </w:r>
      <w:r>
        <w:t xml:space="preserve">, cat. no. 6306.0, 2013, 2015, 2017,2019, 2022 editions); ABS (2023, </w:t>
      </w:r>
      <w:r w:rsidRPr="008A3E7E">
        <w:rPr>
          <w:i/>
          <w:iCs/>
        </w:rPr>
        <w:t>Consumer Price Index, Australia</w:t>
      </w:r>
      <w:r>
        <w:t>, table 8, cat. no. 6401.0) and data on the national minimum wage from the Fair Work Commission.</w:t>
      </w:r>
    </w:p>
    <w:p w14:paraId="0FD376EC" w14:textId="5BCE7707" w:rsidR="00D076E8" w:rsidRPr="00146382" w:rsidRDefault="007C22C6" w:rsidP="00D076E8">
      <w:pPr>
        <w:pStyle w:val="FigureTableHeading"/>
      </w:pPr>
      <w:r>
        <w:t xml:space="preserve">Figure </w:t>
      </w:r>
      <w:r w:rsidR="002B4160">
        <w:rPr>
          <w:noProof/>
        </w:rPr>
        <w:t>18</w:t>
      </w:r>
      <w:r>
        <w:rPr>
          <w:noProof/>
        </w:rPr>
        <w:t xml:space="preserve"> </w:t>
      </w:r>
      <w:r>
        <w:t xml:space="preserve">– </w:t>
      </w:r>
      <w:r w:rsidR="00D076E8">
        <w:t>Long</w:t>
      </w:r>
      <w:r w:rsidR="00D076E8">
        <w:noBreakHyphen/>
        <w:t>run relative wages of full</w:t>
      </w:r>
      <w:r w:rsidR="00D076E8">
        <w:noBreakHyphen/>
        <w:t>time adult non</w:t>
      </w:r>
      <w:r w:rsidR="00D076E8">
        <w:noBreakHyphen/>
        <w:t>managerial employees</w:t>
      </w:r>
      <w:r w:rsidR="00D076E8" w:rsidRPr="00066CF5">
        <w:rPr>
          <w:vertAlign w:val="superscript"/>
        </w:rPr>
        <w:t>a</w:t>
      </w:r>
    </w:p>
    <w:p w14:paraId="3E85FC79" w14:textId="77777777" w:rsidR="00D076E8" w:rsidRDefault="00D076E8" w:rsidP="00D076E8">
      <w:pPr>
        <w:pStyle w:val="FigureTableSubheading"/>
        <w:keepLines/>
      </w:pPr>
      <w:r>
        <w:t>1975–2021</w:t>
      </w:r>
    </w:p>
    <w:p w14:paraId="35338566" w14:textId="77777777" w:rsidR="00D076E8" w:rsidRDefault="00D076E8" w:rsidP="00D076E8">
      <w:pPr>
        <w:pStyle w:val="Note"/>
        <w:keepLines/>
      </w:pPr>
      <w:r w:rsidRPr="00460196">
        <w:rPr>
          <w:noProof/>
        </w:rPr>
        <w:drawing>
          <wp:inline distT="0" distB="0" distL="0" distR="0" wp14:anchorId="65F8DAB3" wp14:editId="0C18E53E">
            <wp:extent cx="6119495" cy="2877820"/>
            <wp:effectExtent l="0" t="0" r="0" b="0"/>
            <wp:docPr id="1286086051" name="Picture 1286086051" descr="This figure shows the ratios of various portions of the employee pay distribution for full-time non-managerial employees between 1975 and 2021. These ratios are the ratio of the 90th percentile of the pay distribution to the minimum wage, the 90th percentile to the 10th percentile, the 90th percentile to the 50 percentile, the 50th percentile to the 10th percentile and the 75th percentile to the 25th percentile. Generally, all these ratios have increased, though the ratio of the 90th percentile to both the minimum wage and to the 10th percentile appear to have increased the mos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086051" name="Picture 1286086051" descr="This figure shows the ratios of various portions of the employee pay distribution for full-time non-managerial employees between 1975 and 2021. These ratios are the ratio of the 90th percentile of the pay distribution to the minimum wage, the 90th percentile to the 10th percentile, the 90th percentile to the 50 percentile, the 50th percentile to the 10th percentile and the 75th percentile to the 25th percentile. Generally, all these ratios have increased, though the ratio of the 90th percentile to both the minimum wage and to the 10th percentile appear to have increased the most. "/>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119495" cy="2877820"/>
                    </a:xfrm>
                    <a:prstGeom prst="rect">
                      <a:avLst/>
                    </a:prstGeom>
                    <a:noFill/>
                    <a:ln>
                      <a:noFill/>
                    </a:ln>
                  </pic:spPr>
                </pic:pic>
              </a:graphicData>
            </a:graphic>
          </wp:inline>
        </w:drawing>
      </w:r>
      <w:r w:rsidRPr="00487D0C">
        <w:rPr>
          <w:b/>
          <w:bCs/>
        </w:rPr>
        <w:t xml:space="preserve"> </w:t>
      </w:r>
      <w:r w:rsidRPr="00180E66">
        <w:rPr>
          <w:b/>
          <w:bCs/>
        </w:rPr>
        <w:t>a.</w:t>
      </w:r>
      <w:r>
        <w:t xml:space="preserve"> Notes and sources are as above.</w:t>
      </w:r>
    </w:p>
    <w:p w14:paraId="149172EC" w14:textId="4C8D0EED" w:rsidR="00D076E8" w:rsidRPr="003B1EB1" w:rsidRDefault="007C22C6" w:rsidP="00D076E8">
      <w:pPr>
        <w:pStyle w:val="FigureTableHeading"/>
        <w:rPr>
          <w:spacing w:val="-4"/>
        </w:rPr>
      </w:pPr>
      <w:r>
        <w:lastRenderedPageBreak/>
        <w:t xml:space="preserve">Figure </w:t>
      </w:r>
      <w:r w:rsidR="002B4160">
        <w:rPr>
          <w:noProof/>
        </w:rPr>
        <w:t>19</w:t>
      </w:r>
      <w:r>
        <w:rPr>
          <w:noProof/>
        </w:rPr>
        <w:t xml:space="preserve"> </w:t>
      </w:r>
      <w:r>
        <w:t xml:space="preserve">– </w:t>
      </w:r>
      <w:r w:rsidR="00D076E8" w:rsidRPr="003B1EB1">
        <w:rPr>
          <w:spacing w:val="-4"/>
        </w:rPr>
        <w:t>Growth rates in real non</w:t>
      </w:r>
      <w:r w:rsidR="00D076E8" w:rsidRPr="003B1EB1">
        <w:rPr>
          <w:spacing w:val="-4"/>
        </w:rPr>
        <w:noBreakHyphen/>
        <w:t>managerial full-time adult wages have varied significantly across different periods and across different parts of the wage distribution</w:t>
      </w:r>
      <w:r w:rsidR="00D076E8" w:rsidRPr="003B1EB1">
        <w:rPr>
          <w:spacing w:val="-4"/>
          <w:vertAlign w:val="superscript"/>
        </w:rPr>
        <w:t>a</w:t>
      </w:r>
    </w:p>
    <w:p w14:paraId="2AF28B8C" w14:textId="77777777" w:rsidR="00D076E8" w:rsidRDefault="00D076E8" w:rsidP="00D076E8">
      <w:pPr>
        <w:pStyle w:val="FigureTableSubheading"/>
        <w:keepLines/>
      </w:pPr>
      <w:r>
        <w:t>1975–2021</w:t>
      </w:r>
    </w:p>
    <w:p w14:paraId="35E03C19" w14:textId="77777777" w:rsidR="00D076E8" w:rsidRDefault="00D076E8" w:rsidP="00D076E8">
      <w:pPr>
        <w:pStyle w:val="BodyText"/>
        <w:spacing w:before="0" w:after="0"/>
      </w:pPr>
      <w:r w:rsidRPr="0022619A">
        <w:rPr>
          <w:noProof/>
        </w:rPr>
        <w:drawing>
          <wp:inline distT="0" distB="0" distL="0" distR="0" wp14:anchorId="4F65AEED" wp14:editId="67D60A66">
            <wp:extent cx="6120130" cy="2896235"/>
            <wp:effectExtent l="0" t="0" r="0" b="0"/>
            <wp:docPr id="1169610025" name="Picture 1169610025" descr="This figure shows the average growth rates in weekly wages for different parts of the pay distribution between 1975 and 2021. These parts of the distribution are: the minimum wage, the 10th percentile of the distribution, the 25th percentile of the distribution, the 50th percentile of the distribution, the 75th percentile of the distribution, the 90th percentile of the distribution and the mean of the distribution. Generally, it can be seen that wage growth was most unequal between 1992 and 2008, when the higher parts of the distribution earned more than those in the lower parts of the distribution or those on minimum wage. At most other times, the different parts of the wage distribution experienced relatively similar rates of wage grow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610025" name="Picture 1169610025" descr="This figure shows the average growth rates in weekly wages for different parts of the pay distribution between 1975 and 2021. These parts of the distribution are: the minimum wage, the 10th percentile of the distribution, the 25th percentile of the distribution, the 50th percentile of the distribution, the 75th percentile of the distribution, the 90th percentile of the distribution and the mean of the distribution. Generally, it can be seen that wage growth was most unequal between 1992 and 2008, when the higher parts of the distribution earned more than those in the lower parts of the distribution or those on minimum wage. At most other times, the different parts of the wage distribution experienced relatively similar rates of wage growth. "/>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120130" cy="2896235"/>
                    </a:xfrm>
                    <a:prstGeom prst="rect">
                      <a:avLst/>
                    </a:prstGeom>
                    <a:noFill/>
                    <a:ln>
                      <a:noFill/>
                    </a:ln>
                  </pic:spPr>
                </pic:pic>
              </a:graphicData>
            </a:graphic>
          </wp:inline>
        </w:drawing>
      </w:r>
    </w:p>
    <w:p w14:paraId="766E546F" w14:textId="77777777" w:rsidR="00D076E8" w:rsidRDefault="00D076E8" w:rsidP="00D076E8">
      <w:pPr>
        <w:pStyle w:val="Note"/>
        <w:keepLines/>
      </w:pPr>
      <w:r w:rsidRPr="00180E66">
        <w:rPr>
          <w:b/>
          <w:bCs/>
        </w:rPr>
        <w:t>a.</w:t>
      </w:r>
      <w:r>
        <w:t xml:space="preserve"> Notes and sources are as above.</w:t>
      </w:r>
    </w:p>
    <w:p w14:paraId="01AA1FDD" w14:textId="145C336A" w:rsidR="00D076E8" w:rsidRPr="00146382" w:rsidRDefault="007C22C6" w:rsidP="00D076E8">
      <w:pPr>
        <w:pStyle w:val="FigureTableHeading"/>
      </w:pPr>
      <w:r>
        <w:t xml:space="preserve">Figure </w:t>
      </w:r>
      <w:r w:rsidR="002B4160">
        <w:rPr>
          <w:noProof/>
        </w:rPr>
        <w:t>20</w:t>
      </w:r>
      <w:r>
        <w:rPr>
          <w:noProof/>
        </w:rPr>
        <w:t xml:space="preserve"> </w:t>
      </w:r>
      <w:r>
        <w:t xml:space="preserve">– </w:t>
      </w:r>
      <w:r w:rsidR="00D076E8" w:rsidRPr="00146A76">
        <w:rPr>
          <w:i/>
          <w:iCs w:val="0"/>
        </w:rPr>
        <w:t>Hourly</w:t>
      </w:r>
      <w:r w:rsidR="00D076E8">
        <w:t xml:space="preserve"> rates of pay show greater and, recently, growing wage inequality</w:t>
      </w:r>
      <w:r w:rsidR="00D076E8" w:rsidRPr="00066CF5">
        <w:rPr>
          <w:vertAlign w:val="superscript"/>
        </w:rPr>
        <w:t>a</w:t>
      </w:r>
    </w:p>
    <w:p w14:paraId="7695065F" w14:textId="77777777" w:rsidR="00D076E8" w:rsidRDefault="00D076E8" w:rsidP="00D076E8">
      <w:pPr>
        <w:pStyle w:val="FigureTableSubheading"/>
        <w:keepLines/>
      </w:pPr>
      <w:r>
        <w:t>Wage inequality measures 2014–2021</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A0" w:firstRow="1" w:lastRow="0" w:firstColumn="1" w:lastColumn="0" w:noHBand="1" w:noVBand="1"/>
      </w:tblPr>
      <w:tblGrid>
        <w:gridCol w:w="3214"/>
        <w:gridCol w:w="3213"/>
        <w:gridCol w:w="3211"/>
      </w:tblGrid>
      <w:tr w:rsidR="00D076E8" w:rsidRPr="00383C0E" w14:paraId="0AFEE337" w14:textId="77777777">
        <w:trPr>
          <w:tblHeader/>
        </w:trPr>
        <w:tc>
          <w:tcPr>
            <w:tcW w:w="1667" w:type="pct"/>
            <w:shd w:val="clear" w:color="auto" w:fill="auto"/>
          </w:tcPr>
          <w:p w14:paraId="4E226758" w14:textId="77777777" w:rsidR="00D076E8" w:rsidRPr="00383C0E" w:rsidRDefault="00D076E8">
            <w:pPr>
              <w:pStyle w:val="TableBody"/>
              <w:rPr>
                <w:b/>
              </w:rPr>
            </w:pPr>
            <w:r w:rsidRPr="00383C0E">
              <w:rPr>
                <w:b/>
              </w:rPr>
              <w:t>90</w:t>
            </w:r>
            <w:r w:rsidRPr="00383C0E">
              <w:rPr>
                <w:b/>
                <w:vertAlign w:val="superscript"/>
              </w:rPr>
              <w:t>th</w:t>
            </w:r>
            <w:r w:rsidRPr="00383C0E">
              <w:rPr>
                <w:b/>
              </w:rPr>
              <w:t xml:space="preserve"> on 10</w:t>
            </w:r>
            <w:r w:rsidRPr="006459FB">
              <w:rPr>
                <w:b/>
                <w:vertAlign w:val="superscript"/>
              </w:rPr>
              <w:t>th</w:t>
            </w:r>
            <w:r w:rsidRPr="00383C0E">
              <w:rPr>
                <w:b/>
              </w:rPr>
              <w:t xml:space="preserve"> percentile wage rates</w:t>
            </w:r>
          </w:p>
        </w:tc>
        <w:tc>
          <w:tcPr>
            <w:tcW w:w="1667" w:type="pct"/>
          </w:tcPr>
          <w:p w14:paraId="18E37183" w14:textId="77777777" w:rsidR="00D076E8" w:rsidRPr="00383C0E" w:rsidRDefault="00D076E8">
            <w:pPr>
              <w:pStyle w:val="TableBody"/>
              <w:rPr>
                <w:b/>
              </w:rPr>
            </w:pPr>
            <w:r w:rsidRPr="00383C0E">
              <w:rPr>
                <w:b/>
              </w:rPr>
              <w:t>Mean/median wage rates</w:t>
            </w:r>
          </w:p>
        </w:tc>
        <w:tc>
          <w:tcPr>
            <w:tcW w:w="1666" w:type="pct"/>
            <w:shd w:val="clear" w:color="auto" w:fill="auto"/>
          </w:tcPr>
          <w:p w14:paraId="6886808F" w14:textId="77777777" w:rsidR="00D076E8" w:rsidRPr="00383C0E" w:rsidRDefault="00D076E8">
            <w:pPr>
              <w:pStyle w:val="TableBody"/>
              <w:rPr>
                <w:b/>
              </w:rPr>
            </w:pPr>
            <w:r w:rsidRPr="00383C0E">
              <w:rPr>
                <w:b/>
              </w:rPr>
              <w:t>75</w:t>
            </w:r>
            <w:r w:rsidRPr="00383C0E">
              <w:rPr>
                <w:b/>
                <w:vertAlign w:val="superscript"/>
              </w:rPr>
              <w:t>th</w:t>
            </w:r>
            <w:r w:rsidRPr="00383C0E">
              <w:rPr>
                <w:b/>
              </w:rPr>
              <w:t xml:space="preserve"> on 25</w:t>
            </w:r>
            <w:r w:rsidRPr="00383C0E">
              <w:rPr>
                <w:b/>
                <w:vertAlign w:val="superscript"/>
              </w:rPr>
              <w:t>th</w:t>
            </w:r>
            <w:r w:rsidRPr="00383C0E">
              <w:rPr>
                <w:b/>
              </w:rPr>
              <w:t xml:space="preserve"> percentile wage rates</w:t>
            </w:r>
          </w:p>
        </w:tc>
      </w:tr>
      <w:tr w:rsidR="00D076E8" w:rsidRPr="005550A0" w14:paraId="64EE7988" w14:textId="77777777">
        <w:trPr>
          <w:tblHeader/>
        </w:trPr>
        <w:tc>
          <w:tcPr>
            <w:tcW w:w="1667" w:type="pct"/>
            <w:shd w:val="clear" w:color="auto" w:fill="auto"/>
          </w:tcPr>
          <w:p w14:paraId="6F5F72B8" w14:textId="77777777" w:rsidR="00D076E8" w:rsidRPr="005550A0" w:rsidRDefault="00D076E8">
            <w:pPr>
              <w:pStyle w:val="TableBody"/>
            </w:pPr>
            <w:r w:rsidRPr="003D1803">
              <w:rPr>
                <w:noProof/>
              </w:rPr>
              <w:drawing>
                <wp:inline distT="0" distB="0" distL="0" distR="0" wp14:anchorId="657CFD1B" wp14:editId="59069855">
                  <wp:extent cx="1929496" cy="1859915"/>
                  <wp:effectExtent l="0" t="0" r="0" b="0"/>
                  <wp:docPr id="720911386" name="Picture 720911386" descr="This figure has three panels. All three panels show ratios of hourly and weekly full-time wage earnings for the years 2014, 2016, 2018 and 2021. In the left panel, both the hourly and full-time weekly wage ratios are of the ratio of the 90th to the 10th percentile of the wage distribution. It can be seen that while the hourly measure initially trended downward then trended up significantly in 2021, the weekly measure showed the opposite trend: staying flat and then decreasing significantly in 202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911386" name="Picture 720911386" descr="This figure has three panels. All three panels show ratios of hourly and weekly full-time wage earnings for the years 2014, 2016, 2018 and 2021. In the left panel, both the hourly and full-time weekly wage ratios are of the ratio of the 90th to the 10th percentile of the wage distribution. It can be seen that while the hourly measure initially trended downward then trended up significantly in 2021, the weekly measure showed the opposite trend: staying flat and then decreasing significantly in 2021. "/>
                          <pic:cNvPicPr>
                            <a:picLocks noChangeAspect="1" noChangeArrowheads="1"/>
                          </pic:cNvPicPr>
                        </pic:nvPicPr>
                        <pic:blipFill rotWithShape="1">
                          <a:blip r:embed="rId53" cstate="print">
                            <a:extLst>
                              <a:ext uri="{28A0092B-C50C-407E-A947-70E740481C1C}">
                                <a14:useLocalDpi xmlns:a14="http://schemas.microsoft.com/office/drawing/2010/main" val="0"/>
                              </a:ext>
                            </a:extLst>
                          </a:blip>
                          <a:srcRect l="2735" r="-1"/>
                          <a:stretch/>
                        </pic:blipFill>
                        <pic:spPr bwMode="auto">
                          <a:xfrm>
                            <a:off x="0" y="0"/>
                            <a:ext cx="1929496" cy="185991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667" w:type="pct"/>
          </w:tcPr>
          <w:p w14:paraId="3BC0F075" w14:textId="77777777" w:rsidR="00D076E8" w:rsidRPr="005550A0" w:rsidRDefault="00D076E8">
            <w:pPr>
              <w:pStyle w:val="TableBody"/>
            </w:pPr>
            <w:r w:rsidRPr="00B71DB8">
              <w:rPr>
                <w:noProof/>
              </w:rPr>
              <w:drawing>
                <wp:inline distT="0" distB="0" distL="0" distR="0" wp14:anchorId="2D910CB1" wp14:editId="48289F45">
                  <wp:extent cx="1983740" cy="1859915"/>
                  <wp:effectExtent l="0" t="0" r="0" b="0"/>
                  <wp:docPr id="39211117" name="Picture 39211117" descr="The middle panel shows the ratio of mean to median wage rates. The trend remains the same as the left 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11117" name="Picture 39211117" descr="The middle panel shows the ratio of mean to median wage rates. The trend remains the same as the left panel."/>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983740" cy="1859915"/>
                          </a:xfrm>
                          <a:prstGeom prst="rect">
                            <a:avLst/>
                          </a:prstGeom>
                          <a:noFill/>
                          <a:ln>
                            <a:noFill/>
                          </a:ln>
                        </pic:spPr>
                      </pic:pic>
                    </a:graphicData>
                  </a:graphic>
                </wp:inline>
              </w:drawing>
            </w:r>
          </w:p>
        </w:tc>
        <w:tc>
          <w:tcPr>
            <w:tcW w:w="1666" w:type="pct"/>
            <w:shd w:val="clear" w:color="auto" w:fill="auto"/>
          </w:tcPr>
          <w:p w14:paraId="73D59CD4" w14:textId="77777777" w:rsidR="00D076E8" w:rsidRPr="005550A0" w:rsidRDefault="00D076E8">
            <w:pPr>
              <w:pStyle w:val="TableBody"/>
            </w:pPr>
            <w:r w:rsidRPr="007A592D">
              <w:rPr>
                <w:noProof/>
              </w:rPr>
              <w:drawing>
                <wp:inline distT="0" distB="0" distL="0" distR="0" wp14:anchorId="1D790FA1" wp14:editId="7C958CE9">
                  <wp:extent cx="1983740" cy="1859915"/>
                  <wp:effectExtent l="0" t="0" r="0" b="0"/>
                  <wp:docPr id="1900164605" name="Picture 1900164605" descr="The right panel shows the ratio of the 75th to the 25th percentile of wage earnings. The trend remains the same as the left-hand 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164605" name="Picture 1900164605" descr="The right panel shows the ratio of the 75th to the 25th percentile of wage earnings. The trend remains the same as the left-hand panel."/>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983740" cy="1859915"/>
                          </a:xfrm>
                          <a:prstGeom prst="rect">
                            <a:avLst/>
                          </a:prstGeom>
                          <a:noFill/>
                          <a:ln>
                            <a:noFill/>
                          </a:ln>
                        </pic:spPr>
                      </pic:pic>
                    </a:graphicData>
                  </a:graphic>
                </wp:inline>
              </w:drawing>
            </w:r>
          </w:p>
        </w:tc>
      </w:tr>
    </w:tbl>
    <w:p w14:paraId="2BB954D0" w14:textId="77777777" w:rsidR="00D076E8" w:rsidRDefault="00D076E8" w:rsidP="00D076E8">
      <w:pPr>
        <w:pStyle w:val="Note"/>
        <w:keepLines/>
      </w:pPr>
      <w:r w:rsidRPr="00180E66">
        <w:rPr>
          <w:b/>
          <w:bCs/>
        </w:rPr>
        <w:t>a.</w:t>
      </w:r>
      <w:r>
        <w:t xml:space="preserve"> The ABS produces several series on the wage distribution. One – as shown in the previous figures – relates to weekly wages of full</w:t>
      </w:r>
      <w:r>
        <w:noBreakHyphen/>
        <w:t>time non</w:t>
      </w:r>
      <w:r>
        <w:noBreakHyphen/>
        <w:t>managerial employees and is based on data provided by employers. This data is available for the years 2014, 2016, 2018 and 2021 only (and for August). The other, which is included above, relates to (median) hourly wages of employees in their main job and is collected from employees. While the latter series has data for all years from 2014 to 2022, only those that are also available for full</w:t>
      </w:r>
      <w:r>
        <w:noBreakHyphen/>
        <w:t xml:space="preserve">time rates are shown for easier comparison (for May). The higher </w:t>
      </w:r>
      <w:r w:rsidRPr="00B01FDB">
        <w:rPr>
          <w:i/>
          <w:iCs/>
        </w:rPr>
        <w:t>levels</w:t>
      </w:r>
      <w:r>
        <w:t xml:space="preserve"> of inequality among hourly wages is likely to reflect the greater share of people working in part</w:t>
      </w:r>
      <w:r>
        <w:noBreakHyphen/>
        <w:t>time, lower</w:t>
      </w:r>
      <w:r>
        <w:noBreakHyphen/>
        <w:t xml:space="preserve">paid jobs, such as cafes. However, it is not clear why the </w:t>
      </w:r>
      <w:r w:rsidRPr="004B374C">
        <w:rPr>
          <w:i/>
          <w:iCs/>
        </w:rPr>
        <w:t>trends</w:t>
      </w:r>
      <w:r>
        <w:t xml:space="preserve"> vary.</w:t>
      </w:r>
    </w:p>
    <w:p w14:paraId="7FF77372" w14:textId="77777777" w:rsidR="00D076E8" w:rsidRDefault="00D076E8" w:rsidP="00D076E8">
      <w:pPr>
        <w:pStyle w:val="Source"/>
      </w:pPr>
      <w:r w:rsidRPr="00696447">
        <w:t xml:space="preserve">Source: </w:t>
      </w:r>
      <w:r>
        <w:t>ABS (</w:t>
      </w:r>
      <w:r w:rsidRPr="000A2751">
        <w:t>Employee Earnings and Hours, Australia, May</w:t>
      </w:r>
      <w:r>
        <w:t xml:space="preserve"> (various years), Cat. no. 6306; </w:t>
      </w:r>
      <w:r w:rsidRPr="00DF35CE">
        <w:t>Employee Earnings, August</w:t>
      </w:r>
      <w:r>
        <w:t xml:space="preserve"> (various years), Cat. no. 6337).</w:t>
      </w:r>
    </w:p>
    <w:p w14:paraId="5314CBFB" w14:textId="77777777" w:rsidR="00D076E8" w:rsidRDefault="00D076E8" w:rsidP="00D076E8">
      <w:pPr>
        <w:pStyle w:val="Heading3"/>
      </w:pPr>
      <w:r>
        <w:lastRenderedPageBreak/>
        <w:t>An illustration of the complex relationship between the capital income share and overall income inequality</w:t>
      </w:r>
    </w:p>
    <w:p w14:paraId="5FE247DB" w14:textId="77777777" w:rsidR="00D076E8" w:rsidRDefault="00D076E8" w:rsidP="00D076E8">
      <w:pPr>
        <w:pStyle w:val="BodyText"/>
      </w:pPr>
      <w:r>
        <w:t>Overall pre-tax income inequality stems from the inequality of the two main market sources of income: capital and labour. And of the two, capital income generally has a higher Gini coefficient – a broad measure of the overall inequality of an income distribution – than does labour income. On face value, this appears to imply</w:t>
      </w:r>
      <w:r w:rsidRPr="00D757FA">
        <w:t xml:space="preserve"> </w:t>
      </w:r>
      <w:r>
        <w:t xml:space="preserve">that income inequality would increase if capital obtains a higher share of income. However, in practice, this is not true. While most top wage earners are in the upper end of the overall income distribution, many of those in the upper end of the capital income distribution are in the middle of the overall income distribution. Put differently, capital income is less correlated with overall income than labour income (see below). In part, this stems from the use of capital income to smooth consumption over a lifecycle. A person will save and have low capital income when their labour income (and overall income) is highest and then draw on a higher capital income at retirement when their overall income is lower. </w:t>
      </w:r>
    </w:p>
    <w:p w14:paraId="06EB7713" w14:textId="77777777" w:rsidR="00D076E8" w:rsidRDefault="00D076E8" w:rsidP="00D076E8">
      <w:pPr>
        <w:pStyle w:val="BodyText"/>
      </w:pPr>
      <w:r>
        <w:t xml:space="preserve">Another way to think of this issue is that while overall income and capital income are highly correlated over an individual’s lifecycle, the cross-sectional correlation is much weaker due having a mix of individuals at different points in that lifecycle. </w:t>
      </w:r>
    </w:p>
    <w:p w14:paraId="1243D791" w14:textId="77777777" w:rsidR="00D076E8" w:rsidRDefault="00D076E8" w:rsidP="00D076E8">
      <w:pPr>
        <w:pStyle w:val="Heading4"/>
      </w:pPr>
      <w:r>
        <w:t>Quantifying the role of capital and labour in driving overall income inequality</w:t>
      </w:r>
    </w:p>
    <w:p w14:paraId="4FB189FA" w14:textId="173888ED" w:rsidR="00D076E8" w:rsidRDefault="00D076E8" w:rsidP="00D076E8">
      <w:pPr>
        <w:pStyle w:val="BodyText"/>
      </w:pPr>
      <w:r>
        <w:t>The Gini coefficient of overall income inequality can be decomposed into the contributions from labour, capital and the shifting share of these two sources in national income</w:t>
      </w:r>
      <w:r w:rsidRPr="00305B93">
        <w:t xml:space="preserve"> </w:t>
      </w:r>
      <w:r>
        <w:t xml:space="preserve">Van Kerm </w:t>
      </w:r>
      <w:r w:rsidRPr="00964585">
        <w:rPr>
          <w:rFonts w:ascii="Arial" w:hAnsi="Arial" w:cs="Arial"/>
          <w:szCs w:val="24"/>
        </w:rPr>
        <w:t>(2010, p. 3)</w:t>
      </w:r>
      <w:r>
        <w:t>:</w:t>
      </w:r>
    </w:p>
    <w:p w14:paraId="69070D6A" w14:textId="77777777" w:rsidR="00D076E8" w:rsidRDefault="00000000" w:rsidP="00D076E8">
      <w:pPr>
        <w:pStyle w:val="BodyText"/>
      </w:pPr>
      <m:oMathPara>
        <m:oMath>
          <m:sSub>
            <m:sSubPr>
              <m:ctrlPr>
                <w:rPr>
                  <w:rFonts w:ascii="Cambria Math" w:hAnsi="Cambria Math"/>
                  <w:i/>
                </w:rPr>
              </m:ctrlPr>
            </m:sSubPr>
            <m:e>
              <m:r>
                <w:rPr>
                  <w:rFonts w:ascii="Cambria Math" w:hAnsi="Cambria Math"/>
                </w:rPr>
                <m:t>Gini</m:t>
              </m:r>
            </m:e>
            <m:sub>
              <m:r>
                <w:rPr>
                  <w:rFonts w:ascii="Cambria Math" w:hAnsi="Cambria Math"/>
                </w:rPr>
                <m:t>All</m:t>
              </m:r>
            </m:sub>
          </m:sSub>
          <m:r>
            <w:rPr>
              <w:rFonts w:ascii="Cambria Math" w:hAnsi="Cambria Math"/>
            </w:rPr>
            <m:t>=</m:t>
          </m:r>
          <m:sSub>
            <m:sSubPr>
              <m:ctrlPr>
                <w:rPr>
                  <w:rFonts w:ascii="Cambria Math" w:hAnsi="Cambria Math"/>
                  <w:i/>
                </w:rPr>
              </m:ctrlPr>
            </m:sSubPr>
            <m:e>
              <m:r>
                <w:rPr>
                  <w:rFonts w:ascii="Cambria Math" w:hAnsi="Cambria Math"/>
                </w:rPr>
                <m:t>Gini</m:t>
              </m:r>
            </m:e>
            <m:sub>
              <m:r>
                <w:rPr>
                  <w:rFonts w:ascii="Cambria Math" w:hAnsi="Cambria Math"/>
                </w:rPr>
                <m:t>Cap</m:t>
              </m:r>
            </m:sub>
          </m:sSub>
          <m:r>
            <w:rPr>
              <w:rFonts w:ascii="Cambria Math" w:hAnsi="Cambria Math"/>
            </w:rPr>
            <m:t>×</m:t>
          </m:r>
          <m:sSub>
            <m:sSubPr>
              <m:ctrlPr>
                <w:rPr>
                  <w:rFonts w:ascii="Cambria Math" w:hAnsi="Cambria Math"/>
                  <w:i/>
                </w:rPr>
              </m:ctrlPr>
            </m:sSubPr>
            <m:e>
              <m:r>
                <w:rPr>
                  <w:rFonts w:ascii="Cambria Math" w:hAnsi="Cambria Math"/>
                </w:rPr>
                <m:t>corr</m:t>
              </m:r>
            </m:e>
            <m:sub>
              <m:r>
                <w:rPr>
                  <w:rFonts w:ascii="Cambria Math" w:hAnsi="Cambria Math"/>
                </w:rPr>
                <m:t>Cap-All</m:t>
              </m:r>
            </m:sub>
          </m:sSub>
          <m:r>
            <w:rPr>
              <w:rFonts w:ascii="Cambria Math" w:hAnsi="Cambria Math"/>
            </w:rPr>
            <m:t>×</m:t>
          </m:r>
          <m:sSub>
            <m:sSubPr>
              <m:ctrlPr>
                <w:rPr>
                  <w:rFonts w:ascii="Cambria Math" w:hAnsi="Cambria Math"/>
                  <w:i/>
                </w:rPr>
              </m:ctrlPr>
            </m:sSubPr>
            <m:e>
              <m:r>
                <w:rPr>
                  <w:rFonts w:ascii="Cambria Math" w:hAnsi="Cambria Math"/>
                </w:rPr>
                <m:t>Share</m:t>
              </m:r>
            </m:e>
            <m:sub>
              <m:r>
                <w:rPr>
                  <w:rFonts w:ascii="Cambria Math" w:hAnsi="Cambria Math"/>
                </w:rPr>
                <m:t>Cap</m:t>
              </m:r>
            </m:sub>
          </m:sSub>
          <m:r>
            <w:rPr>
              <w:rFonts w:ascii="Cambria Math" w:hAnsi="Cambria Math"/>
            </w:rPr>
            <m:t>+</m:t>
          </m:r>
          <m:sSub>
            <m:sSubPr>
              <m:ctrlPr>
                <w:rPr>
                  <w:rFonts w:ascii="Cambria Math" w:hAnsi="Cambria Math"/>
                  <w:i/>
                </w:rPr>
              </m:ctrlPr>
            </m:sSubPr>
            <m:e>
              <m:r>
                <w:rPr>
                  <w:rFonts w:ascii="Cambria Math" w:hAnsi="Cambria Math"/>
                </w:rPr>
                <m:t>Gini</m:t>
              </m:r>
            </m:e>
            <m:sub>
              <m:r>
                <w:rPr>
                  <w:rFonts w:ascii="Cambria Math" w:hAnsi="Cambria Math"/>
                </w:rPr>
                <m:t>Lab</m:t>
              </m:r>
            </m:sub>
          </m:sSub>
          <m:r>
            <w:rPr>
              <w:rFonts w:ascii="Cambria Math" w:hAnsi="Cambria Math"/>
            </w:rPr>
            <m:t>×</m:t>
          </m:r>
          <m:sSub>
            <m:sSubPr>
              <m:ctrlPr>
                <w:rPr>
                  <w:rFonts w:ascii="Cambria Math" w:hAnsi="Cambria Math"/>
                  <w:i/>
                </w:rPr>
              </m:ctrlPr>
            </m:sSubPr>
            <m:e>
              <m:r>
                <w:rPr>
                  <w:rFonts w:ascii="Cambria Math" w:hAnsi="Cambria Math"/>
                </w:rPr>
                <m:t>corr</m:t>
              </m:r>
            </m:e>
            <m:sub>
              <m:r>
                <w:rPr>
                  <w:rFonts w:ascii="Cambria Math" w:hAnsi="Cambria Math"/>
                </w:rPr>
                <m:t>Lab-All</m:t>
              </m:r>
            </m:sub>
          </m:sSub>
          <m:r>
            <w:rPr>
              <w:rFonts w:ascii="Cambria Math" w:hAnsi="Cambria Math"/>
            </w:rPr>
            <m:t>×</m:t>
          </m:r>
          <m:sSub>
            <m:sSubPr>
              <m:ctrlPr>
                <w:rPr>
                  <w:rFonts w:ascii="Cambria Math" w:hAnsi="Cambria Math"/>
                  <w:i/>
                </w:rPr>
              </m:ctrlPr>
            </m:sSubPr>
            <m:e>
              <m:r>
                <w:rPr>
                  <w:rFonts w:ascii="Cambria Math" w:hAnsi="Cambria Math"/>
                </w:rPr>
                <m:t>(1-Share</m:t>
              </m:r>
            </m:e>
            <m:sub>
              <m:r>
                <w:rPr>
                  <w:rFonts w:ascii="Cambria Math" w:hAnsi="Cambria Math"/>
                </w:rPr>
                <m:t>Cap</m:t>
              </m:r>
            </m:sub>
          </m:sSub>
          <m:r>
            <w:rPr>
              <w:rFonts w:ascii="Cambria Math" w:hAnsi="Cambria Math"/>
            </w:rPr>
            <m:t>)</m:t>
          </m:r>
        </m:oMath>
      </m:oMathPara>
    </w:p>
    <w:p w14:paraId="4E9A944B" w14:textId="77777777" w:rsidR="00D076E8" w:rsidRDefault="00D076E8" w:rsidP="00D076E8">
      <w:pPr>
        <w:pStyle w:val="BodyText"/>
      </w:pPr>
      <w:r>
        <w:t xml:space="preserve">where: </w:t>
      </w:r>
      <m:oMath>
        <m:sSub>
          <m:sSubPr>
            <m:ctrlPr>
              <w:rPr>
                <w:rFonts w:ascii="Cambria Math" w:hAnsi="Cambria Math"/>
                <w:i/>
              </w:rPr>
            </m:ctrlPr>
          </m:sSubPr>
          <m:e>
            <m:r>
              <w:rPr>
                <w:rFonts w:ascii="Cambria Math" w:hAnsi="Cambria Math"/>
              </w:rPr>
              <m:t>Gini</m:t>
            </m:r>
          </m:e>
          <m:sub>
            <m:r>
              <w:rPr>
                <w:rFonts w:ascii="Cambria Math" w:hAnsi="Cambria Math"/>
              </w:rPr>
              <m:t>All</m:t>
            </m:r>
          </m:sub>
        </m:sSub>
      </m:oMath>
      <w:r>
        <w:rPr>
          <w:rFonts w:eastAsiaTheme="minorEastAsia"/>
        </w:rPr>
        <w:t xml:space="preserve"> is the Gini coefficient for all income (labour plus capital), </w:t>
      </w:r>
      <m:oMath>
        <m:sSub>
          <m:sSubPr>
            <m:ctrlPr>
              <w:rPr>
                <w:rFonts w:ascii="Cambria Math" w:hAnsi="Cambria Math"/>
                <w:i/>
              </w:rPr>
            </m:ctrlPr>
          </m:sSubPr>
          <m:e>
            <m:r>
              <w:rPr>
                <w:rFonts w:ascii="Cambria Math" w:hAnsi="Cambria Math"/>
              </w:rPr>
              <m:t>Gini</m:t>
            </m:r>
          </m:e>
          <m:sub>
            <m:r>
              <w:rPr>
                <w:rFonts w:ascii="Cambria Math" w:hAnsi="Cambria Math"/>
              </w:rPr>
              <m:t>Cap</m:t>
            </m:r>
          </m:sub>
        </m:sSub>
      </m:oMath>
      <w:r>
        <w:rPr>
          <w:rFonts w:eastAsiaTheme="minorEastAsia"/>
        </w:rPr>
        <w:t xml:space="preserve"> is the Gini coefficient for capital income, </w:t>
      </w:r>
      <m:oMath>
        <m:sSub>
          <m:sSubPr>
            <m:ctrlPr>
              <w:rPr>
                <w:rFonts w:ascii="Cambria Math" w:hAnsi="Cambria Math"/>
                <w:i/>
              </w:rPr>
            </m:ctrlPr>
          </m:sSubPr>
          <m:e>
            <m:r>
              <w:rPr>
                <w:rFonts w:ascii="Cambria Math" w:hAnsi="Cambria Math"/>
              </w:rPr>
              <m:t>Gini</m:t>
            </m:r>
          </m:e>
          <m:sub>
            <m:r>
              <w:rPr>
                <w:rFonts w:ascii="Cambria Math" w:hAnsi="Cambria Math"/>
              </w:rPr>
              <m:t>Lab</m:t>
            </m:r>
          </m:sub>
        </m:sSub>
      </m:oMath>
      <w:r>
        <w:rPr>
          <w:rFonts w:eastAsiaTheme="minorEastAsia"/>
        </w:rPr>
        <w:t xml:space="preserve"> is the Gini coefficient for labour income, </w:t>
      </w:r>
      <m:oMath>
        <m:sSub>
          <m:sSubPr>
            <m:ctrlPr>
              <w:rPr>
                <w:rFonts w:ascii="Cambria Math" w:hAnsi="Cambria Math"/>
                <w:i/>
              </w:rPr>
            </m:ctrlPr>
          </m:sSubPr>
          <m:e>
            <m:r>
              <w:rPr>
                <w:rFonts w:ascii="Cambria Math" w:hAnsi="Cambria Math"/>
              </w:rPr>
              <m:t>Share</m:t>
            </m:r>
          </m:e>
          <m:sub>
            <m:r>
              <w:rPr>
                <w:rFonts w:ascii="Cambria Math" w:hAnsi="Cambria Math"/>
              </w:rPr>
              <m:t>Cap</m:t>
            </m:r>
          </m:sub>
        </m:sSub>
      </m:oMath>
      <w:r>
        <w:rPr>
          <w:rFonts w:eastAsiaTheme="minorEastAsia"/>
        </w:rPr>
        <w:t xml:space="preserve"> is the income share of capital income, </w:t>
      </w:r>
      <m:oMath>
        <m:sSub>
          <m:sSubPr>
            <m:ctrlPr>
              <w:rPr>
                <w:rFonts w:ascii="Cambria Math" w:hAnsi="Cambria Math"/>
                <w:i/>
              </w:rPr>
            </m:ctrlPr>
          </m:sSubPr>
          <m:e>
            <m:r>
              <w:rPr>
                <w:rFonts w:ascii="Cambria Math" w:hAnsi="Cambria Math"/>
              </w:rPr>
              <m:t>corr</m:t>
            </m:r>
          </m:e>
          <m:sub>
            <m:r>
              <w:rPr>
                <w:rFonts w:ascii="Cambria Math" w:hAnsi="Cambria Math"/>
              </w:rPr>
              <m:t>Cap-All</m:t>
            </m:r>
          </m:sub>
        </m:sSub>
      </m:oMath>
      <w:r>
        <w:rPr>
          <w:rFonts w:eastAsiaTheme="minorEastAsia"/>
        </w:rPr>
        <w:t xml:space="preserve"> is the ‘Gini correlation’ between capital income and total income (capital and labour), and </w:t>
      </w:r>
      <m:oMath>
        <m:sSub>
          <m:sSubPr>
            <m:ctrlPr>
              <w:rPr>
                <w:rFonts w:ascii="Cambria Math" w:hAnsi="Cambria Math"/>
                <w:i/>
              </w:rPr>
            </m:ctrlPr>
          </m:sSubPr>
          <m:e>
            <m:r>
              <w:rPr>
                <w:rFonts w:ascii="Cambria Math" w:hAnsi="Cambria Math"/>
              </w:rPr>
              <m:t>corr</m:t>
            </m:r>
          </m:e>
          <m:sub>
            <m:r>
              <w:rPr>
                <w:rFonts w:ascii="Cambria Math" w:hAnsi="Cambria Math"/>
              </w:rPr>
              <m:t>Lab-All</m:t>
            </m:r>
          </m:sub>
        </m:sSub>
      </m:oMath>
      <w:r>
        <w:rPr>
          <w:rFonts w:eastAsiaTheme="minorEastAsia"/>
        </w:rPr>
        <w:t xml:space="preserve"> is the Gini correlation between labour income and total income (capital and labour).</w:t>
      </w:r>
    </w:p>
    <w:p w14:paraId="1B37D398" w14:textId="77777777" w:rsidR="00D076E8" w:rsidRDefault="00D076E8" w:rsidP="00D076E8">
      <w:pPr>
        <w:pStyle w:val="BodyText"/>
      </w:pPr>
      <w:r>
        <w:t xml:space="preserve">This formula is a ‘generalised’ Gini coefficient, meaning it is not bounded above by 1. While this makes its value harder to interpret, it allows for the inclusion of negative income values, which is useful when using unit record data that often have negatives. </w:t>
      </w:r>
    </w:p>
    <w:p w14:paraId="47BD3999" w14:textId="7E867E92" w:rsidR="00D076E8" w:rsidRPr="000E5DEE" w:rsidRDefault="00D076E8" w:rsidP="00D076E8">
      <w:pPr>
        <w:pStyle w:val="BodyText"/>
        <w:rPr>
          <w:spacing w:val="-4"/>
        </w:rPr>
      </w:pPr>
      <w:r w:rsidRPr="000E5DEE">
        <w:rPr>
          <w:spacing w:val="-4"/>
        </w:rPr>
        <w:t>The marginal impact on inequality of an increase in capital income is the derivative with respect to a 1</w:t>
      </w:r>
      <w:r w:rsidR="000E5DEE" w:rsidRPr="000E5DEE">
        <w:rPr>
          <w:spacing w:val="-4"/>
        </w:rPr>
        <w:t> </w:t>
      </w:r>
      <w:r w:rsidRPr="000E5DEE">
        <w:rPr>
          <w:spacing w:val="-4"/>
        </w:rPr>
        <w:t xml:space="preserve">percentage point increase in capital income </w:t>
      </w:r>
      <w:r w:rsidRPr="000E5DEE">
        <w:rPr>
          <w:rFonts w:cs="Arial"/>
          <w:spacing w:val="-4"/>
          <w:szCs w:val="24"/>
        </w:rPr>
        <w:t>(Lerman and Yitzhaki 1985, p. 152)</w:t>
      </w:r>
      <w:r w:rsidRPr="000E5DEE">
        <w:rPr>
          <w:spacing w:val="-4"/>
        </w:rPr>
        <w:t>:</w:t>
      </w:r>
    </w:p>
    <w:p w14:paraId="41577215" w14:textId="77777777" w:rsidR="00D076E8" w:rsidRDefault="00000000" w:rsidP="00D076E8">
      <w:pPr>
        <w:pStyle w:val="BodyText"/>
      </w:pPr>
      <m:oMathPara>
        <m:oMath>
          <m:f>
            <m:fPr>
              <m:ctrlPr>
                <w:rPr>
                  <w:rFonts w:ascii="Cambria Math" w:hAnsi="Cambria Math"/>
                  <w:i/>
                </w:rPr>
              </m:ctrlPr>
            </m:fPr>
            <m:num>
              <m:sSub>
                <m:sSubPr>
                  <m:ctrlPr>
                    <w:rPr>
                      <w:rFonts w:ascii="Cambria Math" w:hAnsi="Cambria Math"/>
                      <w:i/>
                    </w:rPr>
                  </m:ctrlPr>
                </m:sSubPr>
                <m:e>
                  <m:r>
                    <w:rPr>
                      <w:rFonts w:ascii="Cambria Math" w:hAnsi="Cambria Math"/>
                    </w:rPr>
                    <m:t>∂Gini</m:t>
                  </m:r>
                </m:e>
                <m:sub>
                  <m:r>
                    <w:rPr>
                      <w:rFonts w:ascii="Cambria Math" w:hAnsi="Cambria Math"/>
                    </w:rPr>
                    <m:t>All</m:t>
                  </m:r>
                </m:sub>
              </m:sSub>
            </m:num>
            <m:den>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Cap</m:t>
                  </m:r>
                </m:sub>
              </m:sSub>
            </m:den>
          </m:f>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Share</m:t>
                  </m:r>
                </m:e>
                <m:sub>
                  <m:r>
                    <w:rPr>
                      <w:rFonts w:ascii="Cambria Math" w:hAnsi="Cambria Math"/>
                    </w:rPr>
                    <m:t>Cap</m:t>
                  </m:r>
                </m:sub>
              </m:sSub>
              <m:r>
                <w:rPr>
                  <w:rFonts w:ascii="Cambria Math" w:hAnsi="Cambria Math"/>
                </w:rPr>
                <m:t>×(Gini</m:t>
              </m:r>
            </m:e>
            <m:sub>
              <m:r>
                <w:rPr>
                  <w:rFonts w:ascii="Cambria Math" w:hAnsi="Cambria Math"/>
                </w:rPr>
                <m:t>Cap</m:t>
              </m:r>
            </m:sub>
          </m:sSub>
          <m:r>
            <w:rPr>
              <w:rFonts w:ascii="Cambria Math" w:hAnsi="Cambria Math"/>
            </w:rPr>
            <m:t>×</m:t>
          </m:r>
          <m:sSub>
            <m:sSubPr>
              <m:ctrlPr>
                <w:rPr>
                  <w:rFonts w:ascii="Cambria Math" w:hAnsi="Cambria Math"/>
                  <w:i/>
                </w:rPr>
              </m:ctrlPr>
            </m:sSubPr>
            <m:e>
              <m:r>
                <w:rPr>
                  <w:rFonts w:ascii="Cambria Math" w:hAnsi="Cambria Math"/>
                </w:rPr>
                <m:t>corr</m:t>
              </m:r>
            </m:e>
            <m:sub>
              <m:r>
                <w:rPr>
                  <w:rFonts w:ascii="Cambria Math" w:hAnsi="Cambria Math"/>
                </w:rPr>
                <m:t>Cap-All</m:t>
              </m:r>
            </m:sub>
          </m:sSub>
          <m:r>
            <w:rPr>
              <w:rFonts w:ascii="Cambria Math" w:hAnsi="Cambria Math"/>
            </w:rPr>
            <m:t xml:space="preserve">- </m:t>
          </m:r>
          <m:sSub>
            <m:sSubPr>
              <m:ctrlPr>
                <w:rPr>
                  <w:rFonts w:ascii="Cambria Math" w:hAnsi="Cambria Math"/>
                  <w:i/>
                </w:rPr>
              </m:ctrlPr>
            </m:sSubPr>
            <m:e>
              <m:r>
                <w:rPr>
                  <w:rFonts w:ascii="Cambria Math" w:hAnsi="Cambria Math"/>
                </w:rPr>
                <m:t>Gini</m:t>
              </m:r>
            </m:e>
            <m:sub>
              <m:r>
                <w:rPr>
                  <w:rFonts w:ascii="Cambria Math" w:hAnsi="Cambria Math"/>
                </w:rPr>
                <m:t>All</m:t>
              </m:r>
            </m:sub>
          </m:sSub>
          <m:r>
            <w:rPr>
              <w:rFonts w:ascii="Cambria Math" w:hAnsi="Cambria Math"/>
            </w:rPr>
            <m:t>)</m:t>
          </m:r>
        </m:oMath>
      </m:oMathPara>
    </w:p>
    <w:p w14:paraId="52C05EC1" w14:textId="77777777" w:rsidR="00D076E8" w:rsidRDefault="00D076E8" w:rsidP="00D076E8">
      <w:pPr>
        <w:pStyle w:val="BodyText"/>
        <w:rPr>
          <w:rFonts w:eastAsiaTheme="minorEastAsia"/>
        </w:rPr>
      </w:pPr>
      <w:r>
        <w:t xml:space="preserve">where: </w:t>
      </w:r>
      <m:oMath>
        <m:r>
          <w:rPr>
            <w:rFonts w:ascii="Cambria Math" w:hAnsi="Cambria Math"/>
          </w:rPr>
          <m:t>∂</m:t>
        </m:r>
        <m:sSub>
          <m:sSubPr>
            <m:ctrlPr>
              <w:rPr>
                <w:rFonts w:ascii="Cambria Math" w:hAnsi="Cambria Math"/>
                <w:i/>
              </w:rPr>
            </m:ctrlPr>
          </m:sSubPr>
          <m:e>
            <m:r>
              <w:rPr>
                <w:rFonts w:ascii="Cambria Math" w:hAnsi="Cambria Math"/>
              </w:rPr>
              <m:t>Gini</m:t>
            </m:r>
          </m:e>
          <m:sub>
            <m:r>
              <w:rPr>
                <w:rFonts w:ascii="Cambria Math" w:hAnsi="Cambria Math"/>
              </w:rPr>
              <m:t>All</m:t>
            </m:r>
          </m:sub>
        </m:sSub>
      </m:oMath>
      <w:r>
        <w:rPr>
          <w:rFonts w:eastAsiaTheme="minorEastAsia"/>
        </w:rPr>
        <w:t xml:space="preserve"> is the change in the all income Gini coefficient, </w:t>
      </w:r>
      <m:oMath>
        <m:sSub>
          <m:sSubPr>
            <m:ctrlPr>
              <w:rPr>
                <w:rFonts w:ascii="Cambria Math" w:hAnsi="Cambria Math"/>
                <w:i/>
              </w:rPr>
            </m:ctrlPr>
          </m:sSubPr>
          <m:e>
            <m:r>
              <w:rPr>
                <w:rFonts w:ascii="Cambria Math" w:hAnsi="Cambria Math"/>
              </w:rPr>
              <m:t>e</m:t>
            </m:r>
          </m:e>
          <m:sub>
            <m:r>
              <w:rPr>
                <w:rFonts w:ascii="Cambria Math" w:hAnsi="Cambria Math"/>
              </w:rPr>
              <m:t>Cap</m:t>
            </m:r>
          </m:sub>
        </m:sSub>
      </m:oMath>
      <w:r>
        <w:rPr>
          <w:rFonts w:eastAsiaTheme="minorEastAsia"/>
        </w:rPr>
        <w:t xml:space="preserve"> is a 1 percentage point increase in capital income for all individuals.</w:t>
      </w:r>
    </w:p>
    <w:p w14:paraId="38FFE4C3" w14:textId="77777777" w:rsidR="00D076E8" w:rsidRPr="000669FB" w:rsidRDefault="00D076E8" w:rsidP="00D076E8">
      <w:pPr>
        <w:pStyle w:val="BodyText"/>
        <w:rPr>
          <w:rFonts w:eastAsiaTheme="minorEastAsia"/>
          <w:spacing w:val="-4"/>
        </w:rPr>
      </w:pPr>
      <w:r w:rsidRPr="000669FB">
        <w:rPr>
          <w:rFonts w:eastAsiaTheme="minorEastAsia"/>
          <w:spacing w:val="-4"/>
        </w:rPr>
        <w:t xml:space="preserve">This decomposition indicates that a 1 percentage point increase in capital income across the board is an increasing function of the current capital share, the Gini coefficient and capital and the Gini correlation between </w:t>
      </w:r>
      <w:r w:rsidRPr="000669FB">
        <w:rPr>
          <w:rFonts w:eastAsiaTheme="minorEastAsia"/>
          <w:spacing w:val="-6"/>
        </w:rPr>
        <w:t>capital income and total income. It is also a decreasing function of the current Gini coefficient for all income sources</w:t>
      </w:r>
      <w:r w:rsidRPr="000669FB">
        <w:rPr>
          <w:rFonts w:eastAsiaTheme="minorEastAsia"/>
          <w:spacing w:val="-4"/>
        </w:rPr>
        <w:t xml:space="preserve"> indicating that if the Gini coefficient is higher relative to total income (e.g. capital income is more unequally distributed than income generally) then this will mean the marginal effect of capital on inequality will be higher. </w:t>
      </w:r>
    </w:p>
    <w:p w14:paraId="4BF7CDBA" w14:textId="77777777" w:rsidR="00D076E8" w:rsidRDefault="00D076E8" w:rsidP="00D076E8">
      <w:pPr>
        <w:pStyle w:val="BodyText"/>
      </w:pPr>
      <w:r>
        <w:t xml:space="preserve">The Commission estimated the marginal impact of increasing capital shares using data from the </w:t>
      </w:r>
      <w:r w:rsidRPr="00603C18">
        <w:rPr>
          <w:color w:val="000000" w:themeColor="text1"/>
        </w:rPr>
        <w:t>Household, Income and Labour Dynamics in Australia</w:t>
      </w:r>
      <w:r>
        <w:t xml:space="preserve"> (HILDA) survey (table 5). Only market sources of income – capital and labour income – are included in the analysis, and unincorporated business income is treated as labour income. The latter approximation is not problematic as in most industries the vast majority of GMI is labour </w:t>
      </w:r>
      <w:r>
        <w:lastRenderedPageBreak/>
        <w:t>income.</w:t>
      </w:r>
      <w:r w:rsidRPr="007C14DC">
        <w:rPr>
          <w:rStyle w:val="FootnoteReference"/>
        </w:rPr>
        <w:footnoteReference w:id="14"/>
      </w:r>
      <w:r>
        <w:t xml:space="preserve"> The results were the same when unincorporated business earnings were excluded. </w:t>
      </w:r>
      <w:r w:rsidRPr="00B86402">
        <w:t>Private pensions were counted</w:t>
      </w:r>
      <w:r>
        <w:t xml:space="preserve"> as capital income. </w:t>
      </w:r>
    </w:p>
    <w:p w14:paraId="7D625979" w14:textId="2E45CFDF" w:rsidR="00D076E8" w:rsidRPr="00351953" w:rsidRDefault="00D076E8" w:rsidP="00D076E8">
      <w:pPr>
        <w:pStyle w:val="FigureTableHeading"/>
        <w:rPr>
          <w:spacing w:val="-6"/>
        </w:rPr>
      </w:pPr>
      <w:r w:rsidRPr="00351953">
        <w:rPr>
          <w:spacing w:val="-6"/>
        </w:rPr>
        <w:t xml:space="preserve">Table </w:t>
      </w:r>
      <w:r w:rsidR="002B4160" w:rsidRPr="00351953">
        <w:rPr>
          <w:noProof/>
          <w:spacing w:val="-6"/>
        </w:rPr>
        <w:t>5</w:t>
      </w:r>
      <w:r w:rsidRPr="00351953">
        <w:rPr>
          <w:noProof/>
          <w:spacing w:val="-6"/>
        </w:rPr>
        <w:t xml:space="preserve"> – </w:t>
      </w:r>
      <w:r w:rsidRPr="00351953">
        <w:rPr>
          <w:spacing w:val="-6"/>
        </w:rPr>
        <w:t>Estimates of the marginal effect of a higher capital share on the Gini coefficeint</w:t>
      </w:r>
      <w:r w:rsidRPr="00351953">
        <w:rPr>
          <w:spacing w:val="-6"/>
          <w:vertAlign w:val="superscript"/>
        </w:rPr>
        <w:t>a,b,c</w:t>
      </w:r>
    </w:p>
    <w:tbl>
      <w:tblPr>
        <w:tblW w:w="5000" w:type="pct"/>
        <w:tblBorders>
          <w:bottom w:val="single" w:sz="4" w:space="0" w:color="B3B3B3"/>
        </w:tblBorders>
        <w:shd w:val="clear" w:color="000000" w:fill="auto"/>
        <w:tblCellMar>
          <w:left w:w="0" w:type="dxa"/>
          <w:right w:w="0" w:type="dxa"/>
        </w:tblCellMar>
        <w:tblLook w:val="04A0" w:firstRow="1" w:lastRow="0" w:firstColumn="1" w:lastColumn="0" w:noHBand="0" w:noVBand="1"/>
        <w:tblDescription w:val="{&quot;Ott&quot;:{&quot;FirstRow&quot;:{&quot;Font&quot;:{&quot;Bold&quot;:true,&quot;Color&quot;:{&quot;Key&quot;:&quot;TableHeading&quot;},&quot;BulletColor&quot;:{&quot;Key&quot;:&quot;TableHeading&quot;}},&quot;Alignment&quot;:{&quot;Vertical&quot;:&quot;Bottom&quot;},&quot;Borders&quot;:{&quot;Bottom&quot;:{&quot;Color&quot;:{&quot;Key&quot;:&quot;BorderColor&quot;},&quot;BorderWeight&quot;:&quot;Pt0_5&quot;,&quot;Type&quot;:&quot;Solid&quot;,&quot;Visible&quot;:true}}},&quot;LastRow&quot;:{},&quot;FirstColumn&quot;:{&quot;Font&quot;:{&quot;Bold&quot;:true,&quot;Color&quot;:{&quot;Key&quot;:&quot;TableHeading&quot;},&quot;BulletColor&quot;:{&quot;Key&quot;:&quot;TableHeading&quot;}}},&quot;LastColumn&quot;:{},&quot;BandedRow&quot;:{&quot;Item&quot;:{&quot;BackgroundColor&quot;:{&quot;Key&quot;:&quot;BandedRow&quot;}},&quot;Type&quot;:&quot;BandFirst&quot;},&quot;BandedColumn&quot;:{&quot;Item&quot;:{},&quot;Type&quot;:&quot;BandFirst&quot;},&quot;FitRowHeightPp&quot;:true,&quot;ZeroMarginsWord&quot;:true,&quot;BackgroundColor&quot;:{&quot;Key&quot;:&quot;BackgroundColor&quot;},&quot;Font&quot;:{&quot;Name&quot;:&quot;Arial (Body)&quot;,&quot;Size&quot;:9.0,&quot;SizeOverridePp&quot;:16.0,&quot;Bold&quot;:false,&quot;Italic&quot;:false,&quot;Underline&quot;:false,&quot;Color&quot;:{&quot;Key&quot;:&quot;TableBody&quot;},&quot;BulletColor&quot;:{&quot;Key&quot;:&quot;TableBody&quot;}},&quot;Alignment&quot;:{&quot;Horizontal&quot;:&quot;Left&quot;,&quot;Vertical&quot;:&quot;Top&quot;},&quot;Margin&quot;:{&quot;Left&quot;:2.83464575,&quot;Top&quot;:2.26771641,&quot;Right&quot;:5.38582659,&quot;Bottom&quot;:2.26771641},&quot;Borders&quot;:{&quot;Vertical&quot;:{&quot;Visible&quot;:false},&quot;Horizontal&quot;:{&quot;Visible&quot;:false},&quot;Bottom&quot;:{&quot;Color&quot;:{&quot;Key&quot;:&quot;BorderColor&quot;},&quot;BorderWeight&quot;:&quot;Pt0_5&quot;,&quot;Type&quot;:&quot;Solid&quot;,&quot;Visible&quot;:true}}},&quot;Ccs&quot;:{&quot;TableBody&quot;:&quot;Black&quot;,&quot;TableHeading&quot;:&quot;38, 90, 154&quot;,&quot;BandedRow&quot;:&quot;242, 242, 242&quot;,&quot;BorderColor&quot;:&quot;179, 179, 179&quot;,&quot;BackgroundColor&quot;:&quot;Transparent&quot;},&quot;Cop&quot;:{&quot;FirstRow&quot;:true,&quot;LastRow&quot;:false,&quot;FirstColumn&quot;:true,&quot;LastColumn&quot;:false,&quot;BandedRows&quot;:true,&quot;BandedColumns&quot;:false},&quot;Aaf&quot;:false}"/>
      </w:tblPr>
      <w:tblGrid>
        <w:gridCol w:w="710"/>
        <w:gridCol w:w="1275"/>
        <w:gridCol w:w="1275"/>
        <w:gridCol w:w="1277"/>
        <w:gridCol w:w="1275"/>
        <w:gridCol w:w="1276"/>
        <w:gridCol w:w="1274"/>
        <w:gridCol w:w="1276"/>
      </w:tblGrid>
      <w:tr w:rsidR="00D076E8" w:rsidRPr="00030C67" w14:paraId="1B568620" w14:textId="77777777" w:rsidTr="00862C91">
        <w:trPr>
          <w:tblHeader/>
        </w:trPr>
        <w:tc>
          <w:tcPr>
            <w:tcW w:w="368" w:type="pct"/>
            <w:tcBorders>
              <w:bottom w:val="single" w:sz="4" w:space="0" w:color="B3B3B3"/>
            </w:tcBorders>
            <w:shd w:val="clear" w:color="000000" w:fill="auto"/>
            <w:vAlign w:val="bottom"/>
          </w:tcPr>
          <w:p w14:paraId="410F7EE1" w14:textId="77777777" w:rsidR="00D076E8" w:rsidRPr="00030C67" w:rsidRDefault="00D076E8">
            <w:pPr>
              <w:spacing w:before="45" w:after="45"/>
              <w:ind w:right="108"/>
              <w:rPr>
                <w:rFonts w:ascii="Arial (Body)" w:hAnsi="Arial (Body)"/>
                <w:color w:val="265A9A"/>
              </w:rPr>
            </w:pPr>
          </w:p>
        </w:tc>
        <w:tc>
          <w:tcPr>
            <w:tcW w:w="661" w:type="pct"/>
            <w:tcBorders>
              <w:bottom w:val="single" w:sz="4" w:space="0" w:color="B3B3B3"/>
            </w:tcBorders>
            <w:shd w:val="clear" w:color="000000" w:fill="auto"/>
            <w:vAlign w:val="bottom"/>
          </w:tcPr>
          <w:p w14:paraId="0A834466" w14:textId="77777777" w:rsidR="00D076E8" w:rsidRPr="00030C67" w:rsidRDefault="00D076E8">
            <w:pPr>
              <w:pStyle w:val="TableHeading"/>
              <w:ind w:right="57"/>
              <w:jc w:val="right"/>
            </w:pPr>
            <w:r>
              <w:t>Gini coefficient (Labour + capital)</w:t>
            </w:r>
          </w:p>
        </w:tc>
        <w:tc>
          <w:tcPr>
            <w:tcW w:w="661" w:type="pct"/>
            <w:tcBorders>
              <w:bottom w:val="single" w:sz="4" w:space="0" w:color="B3B3B3"/>
            </w:tcBorders>
            <w:shd w:val="clear" w:color="000000" w:fill="auto"/>
            <w:vAlign w:val="bottom"/>
          </w:tcPr>
          <w:p w14:paraId="68E3BB8B" w14:textId="77777777" w:rsidR="00D076E8" w:rsidRPr="00030C67" w:rsidRDefault="00D076E8">
            <w:pPr>
              <w:pStyle w:val="TableHeading"/>
              <w:ind w:right="57"/>
              <w:jc w:val="right"/>
            </w:pPr>
            <w:r>
              <w:t>Gini coefficient (Labour)</w:t>
            </w:r>
          </w:p>
        </w:tc>
        <w:tc>
          <w:tcPr>
            <w:tcW w:w="662" w:type="pct"/>
            <w:tcBorders>
              <w:bottom w:val="single" w:sz="4" w:space="0" w:color="B3B3B3"/>
            </w:tcBorders>
            <w:shd w:val="clear" w:color="000000" w:fill="auto"/>
            <w:vAlign w:val="bottom"/>
          </w:tcPr>
          <w:p w14:paraId="039EB012" w14:textId="77777777" w:rsidR="00D076E8" w:rsidRPr="00030C67" w:rsidRDefault="00D076E8">
            <w:pPr>
              <w:pStyle w:val="TableHeading"/>
              <w:ind w:right="57"/>
              <w:jc w:val="right"/>
            </w:pPr>
            <w:r>
              <w:t>Gini coefficient (capital)</w:t>
            </w:r>
          </w:p>
        </w:tc>
        <w:tc>
          <w:tcPr>
            <w:tcW w:w="661" w:type="pct"/>
            <w:tcBorders>
              <w:bottom w:val="single" w:sz="4" w:space="0" w:color="B3B3B3"/>
            </w:tcBorders>
            <w:shd w:val="clear" w:color="000000" w:fill="auto"/>
            <w:vAlign w:val="bottom"/>
          </w:tcPr>
          <w:p w14:paraId="79D55D94" w14:textId="77777777" w:rsidR="00D076E8" w:rsidRPr="00030C67" w:rsidRDefault="00D076E8">
            <w:pPr>
              <w:pStyle w:val="TableHeading"/>
              <w:ind w:right="57"/>
              <w:jc w:val="right"/>
            </w:pPr>
            <w:r>
              <w:t>Correlation (labour, total income</w:t>
            </w:r>
          </w:p>
        </w:tc>
        <w:tc>
          <w:tcPr>
            <w:tcW w:w="662" w:type="pct"/>
            <w:tcBorders>
              <w:bottom w:val="single" w:sz="4" w:space="0" w:color="B3B3B3"/>
            </w:tcBorders>
            <w:shd w:val="clear" w:color="000000" w:fill="auto"/>
            <w:vAlign w:val="bottom"/>
          </w:tcPr>
          <w:p w14:paraId="0973FC11" w14:textId="77777777" w:rsidR="00D076E8" w:rsidRPr="00030C67" w:rsidRDefault="00D076E8">
            <w:pPr>
              <w:pStyle w:val="TableHeading"/>
              <w:ind w:right="57"/>
              <w:jc w:val="right"/>
            </w:pPr>
            <w:r>
              <w:t>Correlation (capital, total income</w:t>
            </w:r>
          </w:p>
        </w:tc>
        <w:tc>
          <w:tcPr>
            <w:tcW w:w="661" w:type="pct"/>
            <w:tcBorders>
              <w:bottom w:val="single" w:sz="4" w:space="0" w:color="B3B3B3"/>
            </w:tcBorders>
            <w:shd w:val="clear" w:color="000000" w:fill="auto"/>
            <w:vAlign w:val="bottom"/>
          </w:tcPr>
          <w:p w14:paraId="4199D10C" w14:textId="77777777" w:rsidR="00D076E8" w:rsidRDefault="00D076E8">
            <w:pPr>
              <w:pStyle w:val="TableHeading"/>
              <w:ind w:right="57"/>
              <w:jc w:val="right"/>
            </w:pPr>
            <w:r>
              <w:t>Capital share of income</w:t>
            </w:r>
          </w:p>
        </w:tc>
        <w:tc>
          <w:tcPr>
            <w:tcW w:w="662" w:type="pct"/>
            <w:tcBorders>
              <w:bottom w:val="single" w:sz="4" w:space="0" w:color="B3B3B3"/>
            </w:tcBorders>
            <w:shd w:val="clear" w:color="000000" w:fill="auto"/>
            <w:vAlign w:val="bottom"/>
          </w:tcPr>
          <w:p w14:paraId="44F58E07" w14:textId="77777777" w:rsidR="00D076E8" w:rsidRPr="00030C67" w:rsidRDefault="00D076E8">
            <w:pPr>
              <w:pStyle w:val="TableHeading"/>
              <w:ind w:right="57"/>
              <w:jc w:val="right"/>
            </w:pPr>
            <w:r>
              <w:t xml:space="preserve">Marginal effect </w:t>
            </w:r>
            <w:r>
              <w:br/>
              <w:t>of 1 p.p. increase in capital income</w:t>
            </w:r>
          </w:p>
        </w:tc>
      </w:tr>
      <w:tr w:rsidR="00D076E8" w:rsidRPr="00030C67" w14:paraId="0A871656" w14:textId="77777777" w:rsidTr="00862C91">
        <w:tc>
          <w:tcPr>
            <w:tcW w:w="368" w:type="pct"/>
            <w:tcBorders>
              <w:top w:val="single" w:sz="4" w:space="0" w:color="B3B3B3"/>
              <w:bottom w:val="nil"/>
            </w:tcBorders>
            <w:shd w:val="clear" w:color="000000" w:fill="F2F2F2"/>
          </w:tcPr>
          <w:p w14:paraId="61643C76" w14:textId="77777777" w:rsidR="00D076E8" w:rsidRPr="00030C67" w:rsidRDefault="00D076E8">
            <w:pPr>
              <w:pStyle w:val="TableHeading"/>
            </w:pPr>
            <w:r w:rsidRPr="006A7FD2">
              <w:t>2001</w:t>
            </w:r>
          </w:p>
        </w:tc>
        <w:tc>
          <w:tcPr>
            <w:tcW w:w="661" w:type="pct"/>
            <w:tcBorders>
              <w:top w:val="single" w:sz="4" w:space="0" w:color="B3B3B3"/>
              <w:bottom w:val="nil"/>
            </w:tcBorders>
            <w:shd w:val="clear" w:color="000000" w:fill="F2F2F2"/>
          </w:tcPr>
          <w:p w14:paraId="5D70559B" w14:textId="77777777" w:rsidR="00D076E8" w:rsidRPr="00030C67" w:rsidRDefault="00D076E8">
            <w:pPr>
              <w:pStyle w:val="TableBody"/>
              <w:spacing w:before="45" w:after="45"/>
              <w:ind w:right="57"/>
              <w:jc w:val="right"/>
              <w:rPr>
                <w:rFonts w:ascii="Arial (Body)" w:hAnsi="Arial (Body)"/>
                <w:color w:val="000000"/>
              </w:rPr>
            </w:pPr>
            <w:r w:rsidRPr="00016032">
              <w:t>0.466</w:t>
            </w:r>
          </w:p>
        </w:tc>
        <w:tc>
          <w:tcPr>
            <w:tcW w:w="661" w:type="pct"/>
            <w:tcBorders>
              <w:top w:val="single" w:sz="4" w:space="0" w:color="B3B3B3"/>
              <w:bottom w:val="nil"/>
            </w:tcBorders>
            <w:shd w:val="clear" w:color="000000" w:fill="F2F2F2"/>
          </w:tcPr>
          <w:p w14:paraId="3990F3E0" w14:textId="77777777" w:rsidR="00D076E8" w:rsidRPr="001F600C" w:rsidRDefault="00D076E8">
            <w:pPr>
              <w:pStyle w:val="TableBody"/>
              <w:spacing w:before="45" w:after="45"/>
              <w:ind w:right="57"/>
              <w:jc w:val="right"/>
            </w:pPr>
            <w:r w:rsidRPr="001F600C">
              <w:t>0.492</w:t>
            </w:r>
          </w:p>
        </w:tc>
        <w:tc>
          <w:tcPr>
            <w:tcW w:w="662" w:type="pct"/>
            <w:tcBorders>
              <w:top w:val="single" w:sz="4" w:space="0" w:color="B3B3B3"/>
              <w:bottom w:val="nil"/>
            </w:tcBorders>
            <w:shd w:val="clear" w:color="000000" w:fill="F2F2F2"/>
          </w:tcPr>
          <w:p w14:paraId="08E8A6AE" w14:textId="77777777" w:rsidR="00D076E8" w:rsidRPr="001F600C" w:rsidRDefault="00D076E8">
            <w:pPr>
              <w:pStyle w:val="TableBody"/>
              <w:spacing w:before="45" w:after="45"/>
              <w:ind w:right="57"/>
              <w:jc w:val="right"/>
            </w:pPr>
            <w:r w:rsidRPr="001F600C">
              <w:t>0.946</w:t>
            </w:r>
          </w:p>
        </w:tc>
        <w:tc>
          <w:tcPr>
            <w:tcW w:w="661" w:type="pct"/>
            <w:tcBorders>
              <w:top w:val="single" w:sz="4" w:space="0" w:color="B3B3B3"/>
              <w:bottom w:val="nil"/>
            </w:tcBorders>
            <w:shd w:val="clear" w:color="000000" w:fill="F2F2F2"/>
          </w:tcPr>
          <w:p w14:paraId="604F0D91" w14:textId="77777777" w:rsidR="00D076E8" w:rsidRPr="006C6130" w:rsidRDefault="00D076E8">
            <w:pPr>
              <w:pStyle w:val="TableBody"/>
              <w:spacing w:before="45" w:after="45"/>
              <w:ind w:right="57"/>
              <w:jc w:val="right"/>
            </w:pPr>
            <w:r w:rsidRPr="006C6130">
              <w:t>0.957</w:t>
            </w:r>
          </w:p>
        </w:tc>
        <w:tc>
          <w:tcPr>
            <w:tcW w:w="662" w:type="pct"/>
            <w:tcBorders>
              <w:top w:val="single" w:sz="4" w:space="0" w:color="B3B3B3"/>
              <w:bottom w:val="nil"/>
            </w:tcBorders>
            <w:shd w:val="clear" w:color="000000" w:fill="F2F2F2"/>
          </w:tcPr>
          <w:p w14:paraId="53C861E5" w14:textId="77777777" w:rsidR="00D076E8" w:rsidRDefault="00D076E8">
            <w:pPr>
              <w:pStyle w:val="TableBody"/>
              <w:spacing w:before="45" w:after="45"/>
              <w:ind w:right="57"/>
              <w:jc w:val="right"/>
              <w:rPr>
                <w:rFonts w:ascii="Arial (Body)" w:hAnsi="Arial (Body)"/>
                <w:color w:val="000000"/>
              </w:rPr>
            </w:pPr>
            <w:r w:rsidRPr="006C6130">
              <w:t>0.441</w:t>
            </w:r>
          </w:p>
        </w:tc>
        <w:tc>
          <w:tcPr>
            <w:tcW w:w="661" w:type="pct"/>
            <w:tcBorders>
              <w:top w:val="single" w:sz="4" w:space="0" w:color="B3B3B3"/>
              <w:bottom w:val="nil"/>
            </w:tcBorders>
            <w:shd w:val="clear" w:color="000000" w:fill="F2F2F2"/>
          </w:tcPr>
          <w:p w14:paraId="49606F73" w14:textId="77777777" w:rsidR="00D076E8" w:rsidRPr="0018598A" w:rsidRDefault="00D076E8">
            <w:pPr>
              <w:pStyle w:val="TableBody"/>
              <w:spacing w:before="45" w:after="45"/>
              <w:ind w:right="57"/>
              <w:jc w:val="right"/>
            </w:pPr>
            <w:r w:rsidRPr="009C7C4F">
              <w:t>0.093</w:t>
            </w:r>
          </w:p>
        </w:tc>
        <w:tc>
          <w:tcPr>
            <w:tcW w:w="662" w:type="pct"/>
            <w:tcBorders>
              <w:top w:val="single" w:sz="4" w:space="0" w:color="B3B3B3"/>
              <w:bottom w:val="nil"/>
            </w:tcBorders>
            <w:shd w:val="clear" w:color="000000" w:fill="F2F2F2"/>
          </w:tcPr>
          <w:p w14:paraId="13A05FC7" w14:textId="77777777" w:rsidR="00D076E8" w:rsidRPr="00030C67" w:rsidRDefault="00D076E8">
            <w:pPr>
              <w:pStyle w:val="TableBody"/>
              <w:spacing w:before="45" w:after="45"/>
              <w:ind w:right="57"/>
              <w:jc w:val="right"/>
              <w:rPr>
                <w:rFonts w:ascii="Arial (Body)" w:hAnsi="Arial (Body)"/>
                <w:color w:val="000000"/>
              </w:rPr>
            </w:pPr>
            <w:r w:rsidRPr="00EF6CB7">
              <w:t>-0.</w:t>
            </w:r>
            <w:r w:rsidRPr="0018598A">
              <w:t>005</w:t>
            </w:r>
          </w:p>
        </w:tc>
      </w:tr>
      <w:tr w:rsidR="00D076E8" w:rsidRPr="00030C67" w14:paraId="210AB2C4" w14:textId="77777777" w:rsidTr="00862C91">
        <w:tc>
          <w:tcPr>
            <w:tcW w:w="368" w:type="pct"/>
            <w:tcBorders>
              <w:top w:val="nil"/>
              <w:bottom w:val="nil"/>
            </w:tcBorders>
            <w:shd w:val="clear" w:color="000000" w:fill="auto"/>
          </w:tcPr>
          <w:p w14:paraId="7B7087D4" w14:textId="77777777" w:rsidR="00D076E8" w:rsidRPr="00030C67" w:rsidRDefault="00D076E8">
            <w:pPr>
              <w:pStyle w:val="TableHeading"/>
            </w:pPr>
            <w:r w:rsidRPr="006A7FD2">
              <w:t>2002</w:t>
            </w:r>
          </w:p>
        </w:tc>
        <w:tc>
          <w:tcPr>
            <w:tcW w:w="661" w:type="pct"/>
            <w:tcBorders>
              <w:top w:val="nil"/>
              <w:bottom w:val="nil"/>
            </w:tcBorders>
            <w:shd w:val="clear" w:color="000000" w:fill="auto"/>
          </w:tcPr>
          <w:p w14:paraId="2717BEC3" w14:textId="77777777" w:rsidR="00D076E8" w:rsidRPr="00030C67" w:rsidRDefault="00D076E8">
            <w:pPr>
              <w:pStyle w:val="TableBody"/>
              <w:spacing w:before="45" w:after="45"/>
              <w:ind w:right="57"/>
              <w:jc w:val="right"/>
              <w:rPr>
                <w:rFonts w:ascii="Arial (Body)" w:hAnsi="Arial (Body)"/>
                <w:color w:val="000000"/>
              </w:rPr>
            </w:pPr>
            <w:r w:rsidRPr="00016032">
              <w:t>0.467</w:t>
            </w:r>
          </w:p>
        </w:tc>
        <w:tc>
          <w:tcPr>
            <w:tcW w:w="661" w:type="pct"/>
            <w:tcBorders>
              <w:top w:val="nil"/>
              <w:bottom w:val="nil"/>
            </w:tcBorders>
            <w:shd w:val="clear" w:color="000000" w:fill="auto"/>
          </w:tcPr>
          <w:p w14:paraId="54FE044C" w14:textId="77777777" w:rsidR="00D076E8" w:rsidRPr="001F600C" w:rsidRDefault="00D076E8">
            <w:pPr>
              <w:pStyle w:val="TableBody"/>
              <w:spacing w:before="45" w:after="45"/>
              <w:ind w:right="57"/>
              <w:jc w:val="right"/>
            </w:pPr>
            <w:r w:rsidRPr="001F600C">
              <w:t>0.493</w:t>
            </w:r>
          </w:p>
        </w:tc>
        <w:tc>
          <w:tcPr>
            <w:tcW w:w="662" w:type="pct"/>
            <w:tcBorders>
              <w:top w:val="nil"/>
              <w:bottom w:val="nil"/>
            </w:tcBorders>
            <w:shd w:val="clear" w:color="000000" w:fill="auto"/>
          </w:tcPr>
          <w:p w14:paraId="2FF7C010" w14:textId="77777777" w:rsidR="00D076E8" w:rsidRPr="001F600C" w:rsidRDefault="00D076E8">
            <w:pPr>
              <w:pStyle w:val="TableBody"/>
              <w:spacing w:before="45" w:after="45"/>
              <w:ind w:right="57"/>
              <w:jc w:val="right"/>
            </w:pPr>
            <w:r w:rsidRPr="001F600C">
              <w:t>0.936</w:t>
            </w:r>
          </w:p>
        </w:tc>
        <w:tc>
          <w:tcPr>
            <w:tcW w:w="661" w:type="pct"/>
            <w:tcBorders>
              <w:top w:val="nil"/>
              <w:bottom w:val="nil"/>
            </w:tcBorders>
            <w:shd w:val="clear" w:color="000000" w:fill="auto"/>
          </w:tcPr>
          <w:p w14:paraId="4E8FE13B" w14:textId="77777777" w:rsidR="00D076E8" w:rsidRPr="006C6130" w:rsidRDefault="00D076E8">
            <w:pPr>
              <w:pStyle w:val="TableBody"/>
              <w:spacing w:before="45" w:after="45"/>
              <w:ind w:right="57"/>
              <w:jc w:val="right"/>
            </w:pPr>
            <w:r w:rsidRPr="006C6130">
              <w:t>0.959</w:t>
            </w:r>
          </w:p>
        </w:tc>
        <w:tc>
          <w:tcPr>
            <w:tcW w:w="662" w:type="pct"/>
            <w:tcBorders>
              <w:top w:val="nil"/>
              <w:bottom w:val="nil"/>
            </w:tcBorders>
            <w:shd w:val="clear" w:color="000000" w:fill="auto"/>
          </w:tcPr>
          <w:p w14:paraId="00C06FDA" w14:textId="77777777" w:rsidR="00D076E8" w:rsidRDefault="00D076E8">
            <w:pPr>
              <w:pStyle w:val="TableBody"/>
              <w:spacing w:before="45" w:after="45"/>
              <w:ind w:right="57"/>
              <w:jc w:val="right"/>
              <w:rPr>
                <w:rFonts w:ascii="Arial (Body)" w:hAnsi="Arial (Body)"/>
                <w:color w:val="000000"/>
              </w:rPr>
            </w:pPr>
            <w:r w:rsidRPr="006C6130">
              <w:t>0.439</w:t>
            </w:r>
          </w:p>
        </w:tc>
        <w:tc>
          <w:tcPr>
            <w:tcW w:w="661" w:type="pct"/>
            <w:tcBorders>
              <w:top w:val="nil"/>
              <w:bottom w:val="nil"/>
            </w:tcBorders>
            <w:shd w:val="clear" w:color="000000" w:fill="auto"/>
          </w:tcPr>
          <w:p w14:paraId="718FA262" w14:textId="77777777" w:rsidR="00D076E8" w:rsidRPr="0018598A" w:rsidRDefault="00D076E8">
            <w:pPr>
              <w:pStyle w:val="TableBody"/>
              <w:spacing w:before="45" w:after="45"/>
              <w:ind w:right="57"/>
              <w:jc w:val="right"/>
            </w:pPr>
            <w:r w:rsidRPr="009C7C4F">
              <w:t>0.090</w:t>
            </w:r>
          </w:p>
        </w:tc>
        <w:tc>
          <w:tcPr>
            <w:tcW w:w="662" w:type="pct"/>
            <w:tcBorders>
              <w:top w:val="nil"/>
              <w:bottom w:val="nil"/>
            </w:tcBorders>
            <w:shd w:val="clear" w:color="000000" w:fill="auto"/>
          </w:tcPr>
          <w:p w14:paraId="2E557F8B" w14:textId="77777777" w:rsidR="00D076E8" w:rsidRPr="00030C67" w:rsidRDefault="00D076E8">
            <w:pPr>
              <w:pStyle w:val="TableBody"/>
              <w:spacing w:before="45" w:after="45"/>
              <w:ind w:right="57"/>
              <w:jc w:val="right"/>
              <w:rPr>
                <w:rFonts w:ascii="Arial (Body)" w:hAnsi="Arial (Body)"/>
                <w:color w:val="000000"/>
              </w:rPr>
            </w:pPr>
            <w:r w:rsidRPr="00EF6CB7">
              <w:t>-0.</w:t>
            </w:r>
            <w:r w:rsidRPr="0018598A">
              <w:t>005</w:t>
            </w:r>
          </w:p>
        </w:tc>
      </w:tr>
      <w:tr w:rsidR="00D076E8" w:rsidRPr="00030C67" w14:paraId="3B95B9B3" w14:textId="77777777" w:rsidTr="00862C91">
        <w:tc>
          <w:tcPr>
            <w:tcW w:w="368" w:type="pct"/>
            <w:shd w:val="clear" w:color="000000" w:fill="F2F2F2"/>
          </w:tcPr>
          <w:p w14:paraId="3278D6AE" w14:textId="77777777" w:rsidR="00D076E8" w:rsidRPr="00030C67" w:rsidRDefault="00D076E8">
            <w:pPr>
              <w:pStyle w:val="TableHeading"/>
            </w:pPr>
            <w:r w:rsidRPr="006A7FD2">
              <w:t>2003</w:t>
            </w:r>
          </w:p>
        </w:tc>
        <w:tc>
          <w:tcPr>
            <w:tcW w:w="661" w:type="pct"/>
            <w:shd w:val="clear" w:color="000000" w:fill="F2F2F2"/>
          </w:tcPr>
          <w:p w14:paraId="60D0A401" w14:textId="77777777" w:rsidR="00D076E8" w:rsidRPr="00030C67" w:rsidRDefault="00D076E8">
            <w:pPr>
              <w:pStyle w:val="TableBody"/>
              <w:spacing w:before="45" w:after="45"/>
              <w:ind w:right="57"/>
              <w:jc w:val="right"/>
              <w:rPr>
                <w:rFonts w:ascii="Arial (Body)" w:hAnsi="Arial (Body)"/>
                <w:color w:val="000000"/>
              </w:rPr>
            </w:pPr>
            <w:r w:rsidRPr="00016032">
              <w:t>0.467</w:t>
            </w:r>
          </w:p>
        </w:tc>
        <w:tc>
          <w:tcPr>
            <w:tcW w:w="661" w:type="pct"/>
            <w:shd w:val="clear" w:color="000000" w:fill="F2F2F2"/>
          </w:tcPr>
          <w:p w14:paraId="3F30AF8D" w14:textId="77777777" w:rsidR="00D076E8" w:rsidRPr="001F600C" w:rsidRDefault="00D076E8">
            <w:pPr>
              <w:pStyle w:val="TableBody"/>
              <w:spacing w:before="45" w:after="45"/>
              <w:ind w:right="57"/>
              <w:jc w:val="right"/>
            </w:pPr>
            <w:r w:rsidRPr="001F600C">
              <w:t>0.493</w:t>
            </w:r>
          </w:p>
        </w:tc>
        <w:tc>
          <w:tcPr>
            <w:tcW w:w="662" w:type="pct"/>
            <w:shd w:val="clear" w:color="000000" w:fill="F2F2F2"/>
          </w:tcPr>
          <w:p w14:paraId="49CB915C" w14:textId="77777777" w:rsidR="00D076E8" w:rsidRPr="001F600C" w:rsidRDefault="00D076E8">
            <w:pPr>
              <w:pStyle w:val="TableBody"/>
              <w:spacing w:before="45" w:after="45"/>
              <w:ind w:right="57"/>
              <w:jc w:val="right"/>
            </w:pPr>
            <w:r w:rsidRPr="001F600C">
              <w:t>0.951</w:t>
            </w:r>
          </w:p>
        </w:tc>
        <w:tc>
          <w:tcPr>
            <w:tcW w:w="661" w:type="pct"/>
            <w:shd w:val="clear" w:color="000000" w:fill="F2F2F2"/>
          </w:tcPr>
          <w:p w14:paraId="219447CC" w14:textId="77777777" w:rsidR="00D076E8" w:rsidRPr="006C6130" w:rsidRDefault="00D076E8">
            <w:pPr>
              <w:pStyle w:val="TableBody"/>
              <w:spacing w:before="45" w:after="45"/>
              <w:ind w:right="57"/>
              <w:jc w:val="right"/>
            </w:pPr>
            <w:r w:rsidRPr="006C6130">
              <w:t>0.957</w:t>
            </w:r>
          </w:p>
        </w:tc>
        <w:tc>
          <w:tcPr>
            <w:tcW w:w="662" w:type="pct"/>
            <w:shd w:val="clear" w:color="000000" w:fill="F2F2F2"/>
          </w:tcPr>
          <w:p w14:paraId="50931AA0" w14:textId="77777777" w:rsidR="00D076E8" w:rsidRDefault="00D076E8">
            <w:pPr>
              <w:pStyle w:val="TableBody"/>
              <w:spacing w:before="45" w:after="45"/>
              <w:ind w:right="57"/>
              <w:jc w:val="right"/>
              <w:rPr>
                <w:rFonts w:ascii="Arial (Body)" w:hAnsi="Arial (Body)"/>
                <w:color w:val="000000"/>
              </w:rPr>
            </w:pPr>
            <w:r w:rsidRPr="006C6130">
              <w:t>0.445</w:t>
            </w:r>
          </w:p>
        </w:tc>
        <w:tc>
          <w:tcPr>
            <w:tcW w:w="661" w:type="pct"/>
            <w:shd w:val="clear" w:color="000000" w:fill="F2F2F2"/>
          </w:tcPr>
          <w:p w14:paraId="36714AD6" w14:textId="77777777" w:rsidR="00D076E8" w:rsidRPr="0018598A" w:rsidRDefault="00D076E8">
            <w:pPr>
              <w:pStyle w:val="TableBody"/>
              <w:spacing w:before="45" w:after="45"/>
              <w:ind w:right="57"/>
              <w:jc w:val="right"/>
            </w:pPr>
            <w:r w:rsidRPr="009C7C4F">
              <w:t>0.094</w:t>
            </w:r>
          </w:p>
        </w:tc>
        <w:tc>
          <w:tcPr>
            <w:tcW w:w="662" w:type="pct"/>
            <w:shd w:val="clear" w:color="000000" w:fill="F2F2F2"/>
          </w:tcPr>
          <w:p w14:paraId="3350BDFF" w14:textId="77777777" w:rsidR="00D076E8" w:rsidRPr="00030C67" w:rsidRDefault="00D076E8">
            <w:pPr>
              <w:pStyle w:val="TableBody"/>
              <w:spacing w:before="45" w:after="45"/>
              <w:ind w:right="57"/>
              <w:jc w:val="right"/>
              <w:rPr>
                <w:rFonts w:ascii="Arial (Body)" w:hAnsi="Arial (Body)"/>
                <w:color w:val="000000"/>
              </w:rPr>
            </w:pPr>
            <w:r w:rsidRPr="00EF6CB7">
              <w:t>-0.</w:t>
            </w:r>
            <w:r w:rsidRPr="0018598A">
              <w:t>004</w:t>
            </w:r>
          </w:p>
        </w:tc>
      </w:tr>
      <w:tr w:rsidR="00D076E8" w:rsidRPr="00030C67" w14:paraId="58F80AE0" w14:textId="77777777" w:rsidTr="00862C91">
        <w:tc>
          <w:tcPr>
            <w:tcW w:w="368" w:type="pct"/>
            <w:shd w:val="clear" w:color="auto" w:fill="FFFFFF" w:themeFill="background1"/>
          </w:tcPr>
          <w:p w14:paraId="7A01EE9A" w14:textId="77777777" w:rsidR="00D076E8" w:rsidRPr="00030C67" w:rsidRDefault="00D076E8">
            <w:pPr>
              <w:pStyle w:val="TableHeading"/>
            </w:pPr>
            <w:r w:rsidRPr="006A7FD2">
              <w:t>2004</w:t>
            </w:r>
          </w:p>
        </w:tc>
        <w:tc>
          <w:tcPr>
            <w:tcW w:w="661" w:type="pct"/>
            <w:shd w:val="clear" w:color="auto" w:fill="FFFFFF" w:themeFill="background1"/>
          </w:tcPr>
          <w:p w14:paraId="372B7D56" w14:textId="77777777" w:rsidR="00D076E8" w:rsidRDefault="00D076E8">
            <w:pPr>
              <w:pStyle w:val="TableBody"/>
              <w:spacing w:before="45" w:after="45"/>
              <w:ind w:right="57"/>
              <w:jc w:val="right"/>
              <w:rPr>
                <w:rFonts w:ascii="Arial (Body)" w:hAnsi="Arial (Body)"/>
                <w:color w:val="000000"/>
              </w:rPr>
            </w:pPr>
            <w:r w:rsidRPr="00016032">
              <w:t>0.461</w:t>
            </w:r>
          </w:p>
        </w:tc>
        <w:tc>
          <w:tcPr>
            <w:tcW w:w="661" w:type="pct"/>
            <w:shd w:val="clear" w:color="auto" w:fill="FFFFFF" w:themeFill="background1"/>
          </w:tcPr>
          <w:p w14:paraId="1A741B98" w14:textId="77777777" w:rsidR="00D076E8" w:rsidRDefault="00D076E8">
            <w:pPr>
              <w:pStyle w:val="TableBody"/>
              <w:spacing w:before="45" w:after="45"/>
              <w:ind w:right="57"/>
              <w:jc w:val="right"/>
              <w:rPr>
                <w:rFonts w:ascii="Arial (Body)" w:hAnsi="Arial (Body)"/>
                <w:color w:val="000000"/>
              </w:rPr>
            </w:pPr>
            <w:r w:rsidRPr="001F600C">
              <w:t>0.480</w:t>
            </w:r>
          </w:p>
        </w:tc>
        <w:tc>
          <w:tcPr>
            <w:tcW w:w="662" w:type="pct"/>
            <w:shd w:val="clear" w:color="auto" w:fill="FFFFFF" w:themeFill="background1"/>
          </w:tcPr>
          <w:p w14:paraId="73535767" w14:textId="77777777" w:rsidR="00D076E8" w:rsidRDefault="00D076E8">
            <w:pPr>
              <w:pStyle w:val="TableBody"/>
              <w:spacing w:before="45" w:after="45"/>
              <w:ind w:right="57"/>
              <w:jc w:val="right"/>
              <w:rPr>
                <w:rFonts w:ascii="Arial (Body)" w:hAnsi="Arial (Body)"/>
                <w:color w:val="000000"/>
              </w:rPr>
            </w:pPr>
            <w:r w:rsidRPr="001F600C">
              <w:t>0.946</w:t>
            </w:r>
          </w:p>
        </w:tc>
        <w:tc>
          <w:tcPr>
            <w:tcW w:w="661" w:type="pct"/>
            <w:shd w:val="clear" w:color="auto" w:fill="FFFFFF" w:themeFill="background1"/>
          </w:tcPr>
          <w:p w14:paraId="5F4D0BAB" w14:textId="77777777" w:rsidR="00D076E8" w:rsidRDefault="00D076E8">
            <w:pPr>
              <w:pStyle w:val="TableBody"/>
              <w:spacing w:before="45" w:after="45"/>
              <w:ind w:right="57"/>
              <w:jc w:val="right"/>
              <w:rPr>
                <w:rFonts w:ascii="Arial (Body)" w:hAnsi="Arial (Body)"/>
                <w:color w:val="000000"/>
              </w:rPr>
            </w:pPr>
            <w:r w:rsidRPr="006C6130">
              <w:t>0.956</w:t>
            </w:r>
          </w:p>
        </w:tc>
        <w:tc>
          <w:tcPr>
            <w:tcW w:w="662" w:type="pct"/>
            <w:shd w:val="clear" w:color="auto" w:fill="FFFFFF" w:themeFill="background1"/>
          </w:tcPr>
          <w:p w14:paraId="29C585B3" w14:textId="77777777" w:rsidR="00D076E8" w:rsidRDefault="00D076E8">
            <w:pPr>
              <w:pStyle w:val="TableBody"/>
              <w:spacing w:before="45" w:after="45"/>
              <w:ind w:right="57"/>
              <w:jc w:val="right"/>
              <w:rPr>
                <w:rFonts w:ascii="Arial (Body)" w:hAnsi="Arial (Body)"/>
                <w:color w:val="000000"/>
              </w:rPr>
            </w:pPr>
            <w:r w:rsidRPr="006C6130">
              <w:t>0.505</w:t>
            </w:r>
          </w:p>
        </w:tc>
        <w:tc>
          <w:tcPr>
            <w:tcW w:w="661" w:type="pct"/>
            <w:shd w:val="clear" w:color="auto" w:fill="FFFFFF" w:themeFill="background1"/>
          </w:tcPr>
          <w:p w14:paraId="19A6F10E" w14:textId="77777777" w:rsidR="00D076E8" w:rsidRPr="0018598A" w:rsidRDefault="00D076E8">
            <w:pPr>
              <w:pStyle w:val="TableBody"/>
              <w:spacing w:before="45" w:after="45"/>
              <w:ind w:right="57"/>
              <w:jc w:val="right"/>
            </w:pPr>
            <w:r w:rsidRPr="009C7C4F">
              <w:t>0.102</w:t>
            </w:r>
          </w:p>
        </w:tc>
        <w:tc>
          <w:tcPr>
            <w:tcW w:w="662" w:type="pct"/>
            <w:shd w:val="clear" w:color="auto" w:fill="FFFFFF" w:themeFill="background1"/>
          </w:tcPr>
          <w:p w14:paraId="347A7570" w14:textId="77777777" w:rsidR="00D076E8" w:rsidRDefault="00D076E8">
            <w:pPr>
              <w:pStyle w:val="TableBody"/>
              <w:spacing w:before="45" w:after="45"/>
              <w:ind w:right="57"/>
              <w:jc w:val="right"/>
              <w:rPr>
                <w:rFonts w:ascii="Arial (Body)" w:hAnsi="Arial (Body)"/>
                <w:color w:val="000000"/>
              </w:rPr>
            </w:pPr>
            <w:r w:rsidRPr="00EF6CB7">
              <w:t>0.</w:t>
            </w:r>
            <w:r w:rsidRPr="0018598A">
              <w:t>002</w:t>
            </w:r>
          </w:p>
        </w:tc>
      </w:tr>
      <w:tr w:rsidR="00D076E8" w:rsidRPr="00030C67" w14:paraId="1D3F5D64" w14:textId="77777777" w:rsidTr="00862C91">
        <w:tc>
          <w:tcPr>
            <w:tcW w:w="368" w:type="pct"/>
            <w:shd w:val="clear" w:color="000000" w:fill="F2F2F2"/>
          </w:tcPr>
          <w:p w14:paraId="3EC60E43" w14:textId="77777777" w:rsidR="00D076E8" w:rsidRPr="00030C67" w:rsidRDefault="00D076E8">
            <w:pPr>
              <w:pStyle w:val="TableHeading"/>
            </w:pPr>
            <w:r w:rsidRPr="006A7FD2">
              <w:t>2005</w:t>
            </w:r>
          </w:p>
        </w:tc>
        <w:tc>
          <w:tcPr>
            <w:tcW w:w="661" w:type="pct"/>
            <w:shd w:val="clear" w:color="000000" w:fill="F2F2F2"/>
          </w:tcPr>
          <w:p w14:paraId="4F1E06D7" w14:textId="77777777" w:rsidR="00D076E8" w:rsidRDefault="00D076E8">
            <w:pPr>
              <w:pStyle w:val="TableBody"/>
              <w:spacing w:before="45" w:after="45"/>
              <w:ind w:right="57"/>
              <w:jc w:val="right"/>
              <w:rPr>
                <w:rFonts w:ascii="Arial (Body)" w:hAnsi="Arial (Body)"/>
                <w:color w:val="000000"/>
              </w:rPr>
            </w:pPr>
            <w:r w:rsidRPr="00016032">
              <w:t>0.456</w:t>
            </w:r>
          </w:p>
        </w:tc>
        <w:tc>
          <w:tcPr>
            <w:tcW w:w="661" w:type="pct"/>
            <w:shd w:val="clear" w:color="000000" w:fill="F2F2F2"/>
          </w:tcPr>
          <w:p w14:paraId="4DF95287" w14:textId="77777777" w:rsidR="00D076E8" w:rsidRDefault="00D076E8">
            <w:pPr>
              <w:pStyle w:val="TableBody"/>
              <w:spacing w:before="45" w:after="45"/>
              <w:ind w:right="57"/>
              <w:jc w:val="right"/>
              <w:rPr>
                <w:rFonts w:ascii="Arial (Body)" w:hAnsi="Arial (Body)"/>
                <w:color w:val="000000"/>
              </w:rPr>
            </w:pPr>
            <w:r w:rsidRPr="001F600C">
              <w:t>0.475</w:t>
            </w:r>
          </w:p>
        </w:tc>
        <w:tc>
          <w:tcPr>
            <w:tcW w:w="662" w:type="pct"/>
            <w:shd w:val="clear" w:color="000000" w:fill="F2F2F2"/>
          </w:tcPr>
          <w:p w14:paraId="70DFD883" w14:textId="77777777" w:rsidR="00D076E8" w:rsidRDefault="00D076E8">
            <w:pPr>
              <w:pStyle w:val="TableBody"/>
              <w:spacing w:before="45" w:after="45"/>
              <w:ind w:right="57"/>
              <w:jc w:val="right"/>
              <w:rPr>
                <w:rFonts w:ascii="Arial (Body)" w:hAnsi="Arial (Body)"/>
                <w:color w:val="000000"/>
              </w:rPr>
            </w:pPr>
            <w:r w:rsidRPr="001F600C">
              <w:t>0.956</w:t>
            </w:r>
          </w:p>
        </w:tc>
        <w:tc>
          <w:tcPr>
            <w:tcW w:w="661" w:type="pct"/>
            <w:shd w:val="clear" w:color="000000" w:fill="F2F2F2"/>
          </w:tcPr>
          <w:p w14:paraId="568200C4" w14:textId="77777777" w:rsidR="00D076E8" w:rsidRDefault="00D076E8">
            <w:pPr>
              <w:pStyle w:val="TableBody"/>
              <w:spacing w:before="45" w:after="45"/>
              <w:ind w:right="57"/>
              <w:jc w:val="right"/>
              <w:rPr>
                <w:rFonts w:ascii="Arial (Body)" w:hAnsi="Arial (Body)"/>
                <w:color w:val="000000"/>
              </w:rPr>
            </w:pPr>
            <w:r w:rsidRPr="006C6130">
              <w:t>0.948</w:t>
            </w:r>
          </w:p>
        </w:tc>
        <w:tc>
          <w:tcPr>
            <w:tcW w:w="662" w:type="pct"/>
            <w:shd w:val="clear" w:color="000000" w:fill="F2F2F2"/>
          </w:tcPr>
          <w:p w14:paraId="54643DB0" w14:textId="77777777" w:rsidR="00D076E8" w:rsidRDefault="00D076E8">
            <w:pPr>
              <w:pStyle w:val="TableBody"/>
              <w:spacing w:before="45" w:after="45"/>
              <w:ind w:right="57"/>
              <w:jc w:val="right"/>
              <w:rPr>
                <w:rFonts w:ascii="Arial (Body)" w:hAnsi="Arial (Body)"/>
                <w:color w:val="000000"/>
              </w:rPr>
            </w:pPr>
            <w:r w:rsidRPr="006C6130">
              <w:t>0.521</w:t>
            </w:r>
          </w:p>
        </w:tc>
        <w:tc>
          <w:tcPr>
            <w:tcW w:w="661" w:type="pct"/>
            <w:shd w:val="clear" w:color="000000" w:fill="F2F2F2"/>
          </w:tcPr>
          <w:p w14:paraId="249F64A7" w14:textId="77777777" w:rsidR="00D076E8" w:rsidRPr="0018598A" w:rsidRDefault="00D076E8">
            <w:pPr>
              <w:pStyle w:val="TableBody"/>
              <w:spacing w:before="45" w:after="45"/>
              <w:ind w:right="57"/>
              <w:jc w:val="right"/>
            </w:pPr>
            <w:r w:rsidRPr="009C7C4F">
              <w:t>0.112</w:t>
            </w:r>
          </w:p>
        </w:tc>
        <w:tc>
          <w:tcPr>
            <w:tcW w:w="662" w:type="pct"/>
            <w:shd w:val="clear" w:color="000000" w:fill="F2F2F2"/>
          </w:tcPr>
          <w:p w14:paraId="11E51ABC" w14:textId="77777777" w:rsidR="00D076E8" w:rsidRDefault="00D076E8">
            <w:pPr>
              <w:pStyle w:val="TableBody"/>
              <w:spacing w:before="45" w:after="45"/>
              <w:ind w:right="57"/>
              <w:jc w:val="right"/>
              <w:rPr>
                <w:rFonts w:ascii="Arial (Body)" w:hAnsi="Arial (Body)"/>
                <w:color w:val="000000"/>
              </w:rPr>
            </w:pPr>
            <w:r w:rsidRPr="00EF6CB7">
              <w:t>0.</w:t>
            </w:r>
            <w:r w:rsidRPr="0018598A">
              <w:t>005</w:t>
            </w:r>
          </w:p>
        </w:tc>
      </w:tr>
      <w:tr w:rsidR="00D076E8" w:rsidRPr="00030C67" w14:paraId="32ADA00C" w14:textId="77777777" w:rsidTr="00862C91">
        <w:tc>
          <w:tcPr>
            <w:tcW w:w="368" w:type="pct"/>
            <w:shd w:val="clear" w:color="auto" w:fill="FFFFFF" w:themeFill="background1"/>
          </w:tcPr>
          <w:p w14:paraId="22EE768F" w14:textId="77777777" w:rsidR="00D076E8" w:rsidRPr="00030C67" w:rsidRDefault="00D076E8">
            <w:pPr>
              <w:pStyle w:val="TableHeading"/>
            </w:pPr>
            <w:r w:rsidRPr="006A7FD2">
              <w:t>2006</w:t>
            </w:r>
          </w:p>
        </w:tc>
        <w:tc>
          <w:tcPr>
            <w:tcW w:w="661" w:type="pct"/>
            <w:shd w:val="clear" w:color="auto" w:fill="FFFFFF" w:themeFill="background1"/>
          </w:tcPr>
          <w:p w14:paraId="31470C64" w14:textId="77777777" w:rsidR="00D076E8" w:rsidRDefault="00D076E8">
            <w:pPr>
              <w:pStyle w:val="TableBody"/>
              <w:spacing w:before="45" w:after="45"/>
              <w:ind w:right="57"/>
              <w:jc w:val="right"/>
              <w:rPr>
                <w:rFonts w:ascii="Arial (Body)" w:hAnsi="Arial (Body)"/>
                <w:color w:val="000000"/>
              </w:rPr>
            </w:pPr>
            <w:r w:rsidRPr="00016032">
              <w:t>0.454</w:t>
            </w:r>
          </w:p>
        </w:tc>
        <w:tc>
          <w:tcPr>
            <w:tcW w:w="661" w:type="pct"/>
            <w:shd w:val="clear" w:color="auto" w:fill="FFFFFF" w:themeFill="background1"/>
          </w:tcPr>
          <w:p w14:paraId="0DB313E6" w14:textId="77777777" w:rsidR="00D076E8" w:rsidRDefault="00D076E8">
            <w:pPr>
              <w:pStyle w:val="TableBody"/>
              <w:spacing w:before="45" w:after="45"/>
              <w:ind w:right="57"/>
              <w:jc w:val="right"/>
              <w:rPr>
                <w:rFonts w:ascii="Arial (Body)" w:hAnsi="Arial (Body)"/>
                <w:color w:val="000000"/>
              </w:rPr>
            </w:pPr>
            <w:r w:rsidRPr="001F600C">
              <w:t>0.472</w:t>
            </w:r>
          </w:p>
        </w:tc>
        <w:tc>
          <w:tcPr>
            <w:tcW w:w="662" w:type="pct"/>
            <w:shd w:val="clear" w:color="auto" w:fill="FFFFFF" w:themeFill="background1"/>
          </w:tcPr>
          <w:p w14:paraId="2A0F218B" w14:textId="77777777" w:rsidR="00D076E8" w:rsidRDefault="00D076E8">
            <w:pPr>
              <w:pStyle w:val="TableBody"/>
              <w:spacing w:before="45" w:after="45"/>
              <w:ind w:right="57"/>
              <w:jc w:val="right"/>
              <w:rPr>
                <w:rFonts w:ascii="Arial (Body)" w:hAnsi="Arial (Body)"/>
                <w:color w:val="000000"/>
              </w:rPr>
            </w:pPr>
            <w:r w:rsidRPr="001F600C">
              <w:t>0.948</w:t>
            </w:r>
          </w:p>
        </w:tc>
        <w:tc>
          <w:tcPr>
            <w:tcW w:w="661" w:type="pct"/>
            <w:shd w:val="clear" w:color="auto" w:fill="FFFFFF" w:themeFill="background1"/>
          </w:tcPr>
          <w:p w14:paraId="218693CF" w14:textId="77777777" w:rsidR="00D076E8" w:rsidRDefault="00D076E8">
            <w:pPr>
              <w:pStyle w:val="TableBody"/>
              <w:spacing w:before="45" w:after="45"/>
              <w:ind w:right="57"/>
              <w:jc w:val="right"/>
              <w:rPr>
                <w:rFonts w:ascii="Arial (Body)" w:hAnsi="Arial (Body)"/>
                <w:color w:val="000000"/>
              </w:rPr>
            </w:pPr>
            <w:r w:rsidRPr="006C6130">
              <w:t>0.943</w:t>
            </w:r>
          </w:p>
        </w:tc>
        <w:tc>
          <w:tcPr>
            <w:tcW w:w="662" w:type="pct"/>
            <w:shd w:val="clear" w:color="auto" w:fill="FFFFFF" w:themeFill="background1"/>
          </w:tcPr>
          <w:p w14:paraId="42E13C86" w14:textId="77777777" w:rsidR="00D076E8" w:rsidRDefault="00D076E8">
            <w:pPr>
              <w:pStyle w:val="TableBody"/>
              <w:spacing w:before="45" w:after="45"/>
              <w:ind w:right="57"/>
              <w:jc w:val="right"/>
              <w:rPr>
                <w:rFonts w:ascii="Arial (Body)" w:hAnsi="Arial (Body)"/>
                <w:color w:val="000000"/>
              </w:rPr>
            </w:pPr>
            <w:r w:rsidRPr="006C6130">
              <w:t>0.544</w:t>
            </w:r>
          </w:p>
        </w:tc>
        <w:tc>
          <w:tcPr>
            <w:tcW w:w="661" w:type="pct"/>
            <w:shd w:val="clear" w:color="auto" w:fill="FFFFFF" w:themeFill="background1"/>
          </w:tcPr>
          <w:p w14:paraId="55DBAFBA" w14:textId="77777777" w:rsidR="00D076E8" w:rsidRPr="0018598A" w:rsidRDefault="00D076E8">
            <w:pPr>
              <w:pStyle w:val="TableBody"/>
              <w:spacing w:before="45" w:after="45"/>
              <w:ind w:right="57"/>
              <w:jc w:val="right"/>
            </w:pPr>
            <w:r w:rsidRPr="009C7C4F">
              <w:t>0.119</w:t>
            </w:r>
          </w:p>
        </w:tc>
        <w:tc>
          <w:tcPr>
            <w:tcW w:w="662" w:type="pct"/>
            <w:shd w:val="clear" w:color="auto" w:fill="FFFFFF" w:themeFill="background1"/>
          </w:tcPr>
          <w:p w14:paraId="67F1649C" w14:textId="77777777" w:rsidR="00D076E8" w:rsidRDefault="00D076E8">
            <w:pPr>
              <w:pStyle w:val="TableBody"/>
              <w:spacing w:before="45" w:after="45"/>
              <w:ind w:right="57"/>
              <w:jc w:val="right"/>
              <w:rPr>
                <w:rFonts w:ascii="Arial (Body)" w:hAnsi="Arial (Body)"/>
                <w:color w:val="000000"/>
              </w:rPr>
            </w:pPr>
            <w:r w:rsidRPr="00EF6CB7">
              <w:t>0.</w:t>
            </w:r>
            <w:r w:rsidRPr="0018598A">
              <w:t>007</w:t>
            </w:r>
          </w:p>
        </w:tc>
      </w:tr>
      <w:tr w:rsidR="00D076E8" w:rsidRPr="00030C67" w14:paraId="7E111FC5" w14:textId="77777777" w:rsidTr="00862C91">
        <w:tc>
          <w:tcPr>
            <w:tcW w:w="368" w:type="pct"/>
            <w:shd w:val="clear" w:color="000000" w:fill="F2F2F2"/>
          </w:tcPr>
          <w:p w14:paraId="49E1AB00" w14:textId="77777777" w:rsidR="00D076E8" w:rsidRPr="00030C67" w:rsidRDefault="00D076E8">
            <w:pPr>
              <w:pStyle w:val="TableHeading"/>
            </w:pPr>
            <w:r w:rsidRPr="006A7FD2">
              <w:t>2007</w:t>
            </w:r>
          </w:p>
        </w:tc>
        <w:tc>
          <w:tcPr>
            <w:tcW w:w="661" w:type="pct"/>
            <w:shd w:val="clear" w:color="000000" w:fill="F2F2F2"/>
          </w:tcPr>
          <w:p w14:paraId="7169F324" w14:textId="77777777" w:rsidR="00D076E8" w:rsidRDefault="00D076E8">
            <w:pPr>
              <w:pStyle w:val="TableBody"/>
              <w:spacing w:before="45" w:after="45"/>
              <w:ind w:right="57"/>
              <w:jc w:val="right"/>
              <w:rPr>
                <w:rFonts w:ascii="Arial (Body)" w:hAnsi="Arial (Body)"/>
                <w:color w:val="000000"/>
              </w:rPr>
            </w:pPr>
            <w:r w:rsidRPr="00016032">
              <w:t>0.464</w:t>
            </w:r>
          </w:p>
        </w:tc>
        <w:tc>
          <w:tcPr>
            <w:tcW w:w="661" w:type="pct"/>
            <w:shd w:val="clear" w:color="000000" w:fill="F2F2F2"/>
          </w:tcPr>
          <w:p w14:paraId="08A1AB9C" w14:textId="77777777" w:rsidR="00D076E8" w:rsidRDefault="00D076E8">
            <w:pPr>
              <w:pStyle w:val="TableBody"/>
              <w:spacing w:before="45" w:after="45"/>
              <w:ind w:right="57"/>
              <w:jc w:val="right"/>
              <w:rPr>
                <w:rFonts w:ascii="Arial (Body)" w:hAnsi="Arial (Body)"/>
                <w:color w:val="000000"/>
              </w:rPr>
            </w:pPr>
            <w:r w:rsidRPr="001F600C">
              <w:t>0.489</w:t>
            </w:r>
          </w:p>
        </w:tc>
        <w:tc>
          <w:tcPr>
            <w:tcW w:w="662" w:type="pct"/>
            <w:shd w:val="clear" w:color="000000" w:fill="F2F2F2"/>
          </w:tcPr>
          <w:p w14:paraId="3D413924" w14:textId="77777777" w:rsidR="00D076E8" w:rsidRDefault="00D076E8">
            <w:pPr>
              <w:pStyle w:val="TableBody"/>
              <w:spacing w:before="45" w:after="45"/>
              <w:ind w:right="57"/>
              <w:jc w:val="right"/>
              <w:rPr>
                <w:rFonts w:ascii="Arial (Body)" w:hAnsi="Arial (Body)"/>
                <w:color w:val="000000"/>
              </w:rPr>
            </w:pPr>
            <w:r w:rsidRPr="001F600C">
              <w:t>0.943</w:t>
            </w:r>
          </w:p>
        </w:tc>
        <w:tc>
          <w:tcPr>
            <w:tcW w:w="661" w:type="pct"/>
            <w:shd w:val="clear" w:color="000000" w:fill="F2F2F2"/>
          </w:tcPr>
          <w:p w14:paraId="0A3A0022" w14:textId="77777777" w:rsidR="00D076E8" w:rsidRDefault="00D076E8">
            <w:pPr>
              <w:pStyle w:val="TableBody"/>
              <w:spacing w:before="45" w:after="45"/>
              <w:ind w:right="57"/>
              <w:jc w:val="right"/>
              <w:rPr>
                <w:rFonts w:ascii="Arial (Body)" w:hAnsi="Arial (Body)"/>
                <w:color w:val="000000"/>
              </w:rPr>
            </w:pPr>
            <w:r w:rsidRPr="006C6130">
              <w:t>0.946</w:t>
            </w:r>
          </w:p>
        </w:tc>
        <w:tc>
          <w:tcPr>
            <w:tcW w:w="662" w:type="pct"/>
            <w:shd w:val="clear" w:color="000000" w:fill="F2F2F2"/>
          </w:tcPr>
          <w:p w14:paraId="6E23DAF6" w14:textId="77777777" w:rsidR="00D076E8" w:rsidRDefault="00D076E8">
            <w:pPr>
              <w:pStyle w:val="TableBody"/>
              <w:spacing w:before="45" w:after="45"/>
              <w:ind w:right="57"/>
              <w:jc w:val="right"/>
              <w:rPr>
                <w:rFonts w:ascii="Arial (Body)" w:hAnsi="Arial (Body)"/>
                <w:color w:val="000000"/>
              </w:rPr>
            </w:pPr>
            <w:r w:rsidRPr="006C6130">
              <w:t>0.508</w:t>
            </w:r>
          </w:p>
        </w:tc>
        <w:tc>
          <w:tcPr>
            <w:tcW w:w="661" w:type="pct"/>
            <w:shd w:val="clear" w:color="000000" w:fill="F2F2F2"/>
          </w:tcPr>
          <w:p w14:paraId="7093FB90" w14:textId="77777777" w:rsidR="00D076E8" w:rsidRPr="0018598A" w:rsidRDefault="00D076E8">
            <w:pPr>
              <w:pStyle w:val="TableBody"/>
              <w:spacing w:before="45" w:after="45"/>
              <w:ind w:right="57"/>
              <w:jc w:val="right"/>
            </w:pPr>
            <w:r w:rsidRPr="009C7C4F">
              <w:t>0.112</w:t>
            </w:r>
          </w:p>
        </w:tc>
        <w:tc>
          <w:tcPr>
            <w:tcW w:w="662" w:type="pct"/>
            <w:shd w:val="clear" w:color="000000" w:fill="F2F2F2"/>
          </w:tcPr>
          <w:p w14:paraId="7826A83D" w14:textId="77777777" w:rsidR="00D076E8" w:rsidRDefault="00D076E8">
            <w:pPr>
              <w:pStyle w:val="TableBody"/>
              <w:spacing w:before="45" w:after="45"/>
              <w:ind w:right="57"/>
              <w:jc w:val="right"/>
              <w:rPr>
                <w:rFonts w:ascii="Arial (Body)" w:hAnsi="Arial (Body)"/>
                <w:color w:val="000000"/>
              </w:rPr>
            </w:pPr>
            <w:r w:rsidRPr="00EF6CB7">
              <w:t>0.</w:t>
            </w:r>
            <w:r w:rsidRPr="0018598A">
              <w:t>002</w:t>
            </w:r>
          </w:p>
        </w:tc>
      </w:tr>
      <w:tr w:rsidR="00D076E8" w:rsidRPr="00030C67" w14:paraId="2B26A94C" w14:textId="77777777" w:rsidTr="00862C91">
        <w:tc>
          <w:tcPr>
            <w:tcW w:w="368" w:type="pct"/>
            <w:shd w:val="clear" w:color="auto" w:fill="FFFFFF" w:themeFill="background1"/>
          </w:tcPr>
          <w:p w14:paraId="71FCD342" w14:textId="77777777" w:rsidR="00D076E8" w:rsidRPr="00030C67" w:rsidRDefault="00D076E8">
            <w:pPr>
              <w:pStyle w:val="TableHeading"/>
            </w:pPr>
            <w:r w:rsidRPr="006A7FD2">
              <w:t>2008</w:t>
            </w:r>
          </w:p>
        </w:tc>
        <w:tc>
          <w:tcPr>
            <w:tcW w:w="661" w:type="pct"/>
            <w:shd w:val="clear" w:color="auto" w:fill="FFFFFF" w:themeFill="background1"/>
          </w:tcPr>
          <w:p w14:paraId="0B416D36" w14:textId="77777777" w:rsidR="00D076E8" w:rsidRDefault="00D076E8">
            <w:pPr>
              <w:pStyle w:val="TableBody"/>
              <w:spacing w:before="45" w:after="45"/>
              <w:ind w:right="57"/>
              <w:jc w:val="right"/>
              <w:rPr>
                <w:rFonts w:ascii="Arial (Body)" w:hAnsi="Arial (Body)"/>
                <w:color w:val="000000"/>
              </w:rPr>
            </w:pPr>
            <w:r w:rsidRPr="00016032">
              <w:t>0.444</w:t>
            </w:r>
          </w:p>
        </w:tc>
        <w:tc>
          <w:tcPr>
            <w:tcW w:w="661" w:type="pct"/>
            <w:shd w:val="clear" w:color="auto" w:fill="FFFFFF" w:themeFill="background1"/>
          </w:tcPr>
          <w:p w14:paraId="68076930" w14:textId="77777777" w:rsidR="00D076E8" w:rsidRDefault="00D076E8">
            <w:pPr>
              <w:pStyle w:val="TableBody"/>
              <w:spacing w:before="45" w:after="45"/>
              <w:ind w:right="57"/>
              <w:jc w:val="right"/>
              <w:rPr>
                <w:rFonts w:ascii="Arial (Body)" w:hAnsi="Arial (Body)"/>
                <w:color w:val="000000"/>
              </w:rPr>
            </w:pPr>
            <w:r w:rsidRPr="001F600C">
              <w:t>0.463</w:t>
            </w:r>
          </w:p>
        </w:tc>
        <w:tc>
          <w:tcPr>
            <w:tcW w:w="662" w:type="pct"/>
            <w:shd w:val="clear" w:color="auto" w:fill="FFFFFF" w:themeFill="background1"/>
          </w:tcPr>
          <w:p w14:paraId="7F5B3598" w14:textId="77777777" w:rsidR="00D076E8" w:rsidRDefault="00D076E8">
            <w:pPr>
              <w:pStyle w:val="TableBody"/>
              <w:spacing w:before="45" w:after="45"/>
              <w:ind w:right="57"/>
              <w:jc w:val="right"/>
              <w:rPr>
                <w:rFonts w:ascii="Arial (Body)" w:hAnsi="Arial (Body)"/>
                <w:color w:val="000000"/>
              </w:rPr>
            </w:pPr>
            <w:r w:rsidRPr="001F600C">
              <w:t>0.962</w:t>
            </w:r>
          </w:p>
        </w:tc>
        <w:tc>
          <w:tcPr>
            <w:tcW w:w="661" w:type="pct"/>
            <w:shd w:val="clear" w:color="auto" w:fill="FFFFFF" w:themeFill="background1"/>
          </w:tcPr>
          <w:p w14:paraId="6923FC48" w14:textId="77777777" w:rsidR="00D076E8" w:rsidRDefault="00D076E8">
            <w:pPr>
              <w:pStyle w:val="TableBody"/>
              <w:spacing w:before="45" w:after="45"/>
              <w:ind w:right="57"/>
              <w:jc w:val="right"/>
              <w:rPr>
                <w:rFonts w:ascii="Arial (Body)" w:hAnsi="Arial (Body)"/>
                <w:color w:val="000000"/>
              </w:rPr>
            </w:pPr>
            <w:r w:rsidRPr="006C6130">
              <w:t>0.943</w:t>
            </w:r>
          </w:p>
        </w:tc>
        <w:tc>
          <w:tcPr>
            <w:tcW w:w="662" w:type="pct"/>
            <w:shd w:val="clear" w:color="auto" w:fill="FFFFFF" w:themeFill="background1"/>
          </w:tcPr>
          <w:p w14:paraId="24923DEF" w14:textId="77777777" w:rsidR="00D076E8" w:rsidRDefault="00D076E8">
            <w:pPr>
              <w:pStyle w:val="TableBody"/>
              <w:spacing w:before="45" w:after="45"/>
              <w:ind w:right="57"/>
              <w:jc w:val="right"/>
              <w:rPr>
                <w:rFonts w:ascii="Arial (Body)" w:hAnsi="Arial (Body)"/>
                <w:color w:val="000000"/>
              </w:rPr>
            </w:pPr>
            <w:r w:rsidRPr="006C6130">
              <w:t>0.522</w:t>
            </w:r>
          </w:p>
        </w:tc>
        <w:tc>
          <w:tcPr>
            <w:tcW w:w="661" w:type="pct"/>
            <w:shd w:val="clear" w:color="auto" w:fill="FFFFFF" w:themeFill="background1"/>
          </w:tcPr>
          <w:p w14:paraId="195EC342" w14:textId="77777777" w:rsidR="00D076E8" w:rsidRPr="0018598A" w:rsidRDefault="00D076E8">
            <w:pPr>
              <w:pStyle w:val="TableBody"/>
              <w:spacing w:before="45" w:after="45"/>
              <w:ind w:right="57"/>
              <w:jc w:val="right"/>
            </w:pPr>
            <w:r w:rsidRPr="009C7C4F">
              <w:t>0.115</w:t>
            </w:r>
          </w:p>
        </w:tc>
        <w:tc>
          <w:tcPr>
            <w:tcW w:w="662" w:type="pct"/>
            <w:shd w:val="clear" w:color="auto" w:fill="FFFFFF" w:themeFill="background1"/>
          </w:tcPr>
          <w:p w14:paraId="63756EC0" w14:textId="77777777" w:rsidR="00D076E8" w:rsidRDefault="00D076E8">
            <w:pPr>
              <w:pStyle w:val="TableBody"/>
              <w:spacing w:before="45" w:after="45"/>
              <w:ind w:right="57"/>
              <w:jc w:val="right"/>
              <w:rPr>
                <w:rFonts w:ascii="Arial (Body)" w:hAnsi="Arial (Body)"/>
                <w:color w:val="000000"/>
              </w:rPr>
            </w:pPr>
            <w:r w:rsidRPr="00EF6CB7">
              <w:t>0.</w:t>
            </w:r>
            <w:r w:rsidRPr="0018598A">
              <w:t>007</w:t>
            </w:r>
          </w:p>
        </w:tc>
      </w:tr>
      <w:tr w:rsidR="00D076E8" w:rsidRPr="00030C67" w14:paraId="3D531871" w14:textId="77777777" w:rsidTr="00862C91">
        <w:tc>
          <w:tcPr>
            <w:tcW w:w="368" w:type="pct"/>
            <w:shd w:val="clear" w:color="000000" w:fill="F2F2F2"/>
          </w:tcPr>
          <w:p w14:paraId="05399185" w14:textId="77777777" w:rsidR="00D076E8" w:rsidRPr="00030C67" w:rsidRDefault="00D076E8">
            <w:pPr>
              <w:pStyle w:val="TableHeading"/>
            </w:pPr>
            <w:r w:rsidRPr="006A7FD2">
              <w:t>2009</w:t>
            </w:r>
          </w:p>
        </w:tc>
        <w:tc>
          <w:tcPr>
            <w:tcW w:w="661" w:type="pct"/>
            <w:shd w:val="clear" w:color="000000" w:fill="F2F2F2"/>
          </w:tcPr>
          <w:p w14:paraId="0C9044AE" w14:textId="77777777" w:rsidR="00D076E8" w:rsidRDefault="00D076E8">
            <w:pPr>
              <w:pStyle w:val="TableBody"/>
              <w:spacing w:before="45" w:after="45"/>
              <w:ind w:right="57"/>
              <w:jc w:val="right"/>
              <w:rPr>
                <w:rFonts w:ascii="Arial (Body)" w:hAnsi="Arial (Body)"/>
                <w:color w:val="000000"/>
              </w:rPr>
            </w:pPr>
            <w:r w:rsidRPr="00016032">
              <w:t>0.448</w:t>
            </w:r>
          </w:p>
        </w:tc>
        <w:tc>
          <w:tcPr>
            <w:tcW w:w="661" w:type="pct"/>
            <w:shd w:val="clear" w:color="000000" w:fill="F2F2F2"/>
          </w:tcPr>
          <w:p w14:paraId="15A784E1" w14:textId="77777777" w:rsidR="00D076E8" w:rsidRDefault="00D076E8">
            <w:pPr>
              <w:pStyle w:val="TableBody"/>
              <w:spacing w:before="45" w:after="45"/>
              <w:ind w:right="57"/>
              <w:jc w:val="right"/>
              <w:rPr>
                <w:rFonts w:ascii="Arial (Body)" w:hAnsi="Arial (Body)"/>
                <w:color w:val="000000"/>
              </w:rPr>
            </w:pPr>
            <w:r w:rsidRPr="001F600C">
              <w:t>0.466</w:t>
            </w:r>
          </w:p>
        </w:tc>
        <w:tc>
          <w:tcPr>
            <w:tcW w:w="662" w:type="pct"/>
            <w:shd w:val="clear" w:color="000000" w:fill="F2F2F2"/>
          </w:tcPr>
          <w:p w14:paraId="56A17205" w14:textId="77777777" w:rsidR="00D076E8" w:rsidRDefault="00D076E8">
            <w:pPr>
              <w:pStyle w:val="TableBody"/>
              <w:spacing w:before="45" w:after="45"/>
              <w:ind w:right="57"/>
              <w:jc w:val="right"/>
              <w:rPr>
                <w:rFonts w:ascii="Arial (Body)" w:hAnsi="Arial (Body)"/>
                <w:color w:val="000000"/>
              </w:rPr>
            </w:pPr>
            <w:r w:rsidRPr="001F600C">
              <w:t>0.968</w:t>
            </w:r>
          </w:p>
        </w:tc>
        <w:tc>
          <w:tcPr>
            <w:tcW w:w="661" w:type="pct"/>
            <w:shd w:val="clear" w:color="000000" w:fill="F2F2F2"/>
          </w:tcPr>
          <w:p w14:paraId="0AA01232" w14:textId="77777777" w:rsidR="00D076E8" w:rsidRDefault="00D076E8">
            <w:pPr>
              <w:pStyle w:val="TableBody"/>
              <w:spacing w:before="45" w:after="45"/>
              <w:ind w:right="57"/>
              <w:jc w:val="right"/>
              <w:rPr>
                <w:rFonts w:ascii="Arial (Body)" w:hAnsi="Arial (Body)"/>
                <w:color w:val="000000"/>
              </w:rPr>
            </w:pPr>
            <w:r w:rsidRPr="006C6130">
              <w:t>0.947</w:t>
            </w:r>
          </w:p>
        </w:tc>
        <w:tc>
          <w:tcPr>
            <w:tcW w:w="662" w:type="pct"/>
            <w:shd w:val="clear" w:color="000000" w:fill="F2F2F2"/>
          </w:tcPr>
          <w:p w14:paraId="39E6BC9D" w14:textId="77777777" w:rsidR="00D076E8" w:rsidRDefault="00D076E8">
            <w:pPr>
              <w:pStyle w:val="TableBody"/>
              <w:spacing w:before="45" w:after="45"/>
              <w:ind w:right="57"/>
              <w:jc w:val="right"/>
              <w:rPr>
                <w:rFonts w:ascii="Arial (Body)" w:hAnsi="Arial (Body)"/>
                <w:color w:val="000000"/>
              </w:rPr>
            </w:pPr>
            <w:r w:rsidRPr="006C6130">
              <w:t>0.516</w:t>
            </w:r>
          </w:p>
        </w:tc>
        <w:tc>
          <w:tcPr>
            <w:tcW w:w="661" w:type="pct"/>
            <w:shd w:val="clear" w:color="000000" w:fill="F2F2F2"/>
          </w:tcPr>
          <w:p w14:paraId="63DEB291" w14:textId="77777777" w:rsidR="00D076E8" w:rsidRPr="0018598A" w:rsidRDefault="00D076E8">
            <w:pPr>
              <w:pStyle w:val="TableBody"/>
              <w:spacing w:before="45" w:after="45"/>
              <w:ind w:right="57"/>
              <w:jc w:val="right"/>
            </w:pPr>
            <w:r w:rsidRPr="009C7C4F">
              <w:t>0.109</w:t>
            </w:r>
          </w:p>
        </w:tc>
        <w:tc>
          <w:tcPr>
            <w:tcW w:w="662" w:type="pct"/>
            <w:shd w:val="clear" w:color="000000" w:fill="F2F2F2"/>
          </w:tcPr>
          <w:p w14:paraId="71755537" w14:textId="77777777" w:rsidR="00D076E8" w:rsidRDefault="00D076E8">
            <w:pPr>
              <w:pStyle w:val="TableBody"/>
              <w:spacing w:before="45" w:after="45"/>
              <w:ind w:right="57"/>
              <w:jc w:val="right"/>
              <w:rPr>
                <w:rFonts w:ascii="Arial (Body)" w:hAnsi="Arial (Body)"/>
                <w:color w:val="000000"/>
              </w:rPr>
            </w:pPr>
            <w:r w:rsidRPr="00EF6CB7">
              <w:t>0.</w:t>
            </w:r>
            <w:r w:rsidRPr="0018598A">
              <w:t>006</w:t>
            </w:r>
          </w:p>
        </w:tc>
      </w:tr>
      <w:tr w:rsidR="00D076E8" w:rsidRPr="00030C67" w14:paraId="289479A3" w14:textId="77777777" w:rsidTr="00862C91">
        <w:tc>
          <w:tcPr>
            <w:tcW w:w="368" w:type="pct"/>
            <w:shd w:val="clear" w:color="auto" w:fill="FFFFFF" w:themeFill="background1"/>
          </w:tcPr>
          <w:p w14:paraId="37DD6B76" w14:textId="77777777" w:rsidR="00D076E8" w:rsidRPr="00030C67" w:rsidRDefault="00D076E8">
            <w:pPr>
              <w:pStyle w:val="TableHeading"/>
            </w:pPr>
            <w:r w:rsidRPr="006A7FD2">
              <w:t>2010</w:t>
            </w:r>
          </w:p>
        </w:tc>
        <w:tc>
          <w:tcPr>
            <w:tcW w:w="661" w:type="pct"/>
            <w:shd w:val="clear" w:color="auto" w:fill="FFFFFF" w:themeFill="background1"/>
          </w:tcPr>
          <w:p w14:paraId="4470617D" w14:textId="77777777" w:rsidR="00D076E8" w:rsidRDefault="00D076E8">
            <w:pPr>
              <w:pStyle w:val="TableBody"/>
              <w:spacing w:before="45" w:after="45"/>
              <w:ind w:right="57"/>
              <w:jc w:val="right"/>
              <w:rPr>
                <w:rFonts w:ascii="Arial (Body)" w:hAnsi="Arial (Body)"/>
                <w:color w:val="000000"/>
              </w:rPr>
            </w:pPr>
            <w:r w:rsidRPr="00016032">
              <w:t>0.447</w:t>
            </w:r>
          </w:p>
        </w:tc>
        <w:tc>
          <w:tcPr>
            <w:tcW w:w="661" w:type="pct"/>
            <w:shd w:val="clear" w:color="auto" w:fill="FFFFFF" w:themeFill="background1"/>
          </w:tcPr>
          <w:p w14:paraId="2658C729" w14:textId="77777777" w:rsidR="00D076E8" w:rsidRDefault="00D076E8">
            <w:pPr>
              <w:pStyle w:val="TableBody"/>
              <w:spacing w:before="45" w:after="45"/>
              <w:ind w:right="57"/>
              <w:jc w:val="right"/>
              <w:rPr>
                <w:rFonts w:ascii="Arial (Body)" w:hAnsi="Arial (Body)"/>
                <w:color w:val="000000"/>
              </w:rPr>
            </w:pPr>
            <w:r w:rsidRPr="001F600C">
              <w:t>0.469</w:t>
            </w:r>
          </w:p>
        </w:tc>
        <w:tc>
          <w:tcPr>
            <w:tcW w:w="662" w:type="pct"/>
            <w:shd w:val="clear" w:color="auto" w:fill="FFFFFF" w:themeFill="background1"/>
          </w:tcPr>
          <w:p w14:paraId="36DD4610" w14:textId="77777777" w:rsidR="00D076E8" w:rsidRDefault="00D076E8">
            <w:pPr>
              <w:pStyle w:val="TableBody"/>
              <w:spacing w:before="45" w:after="45"/>
              <w:ind w:right="57"/>
              <w:jc w:val="right"/>
              <w:rPr>
                <w:rFonts w:ascii="Arial (Body)" w:hAnsi="Arial (Body)"/>
                <w:color w:val="000000"/>
              </w:rPr>
            </w:pPr>
            <w:r w:rsidRPr="001F600C">
              <w:t>0.975</w:t>
            </w:r>
          </w:p>
        </w:tc>
        <w:tc>
          <w:tcPr>
            <w:tcW w:w="661" w:type="pct"/>
            <w:shd w:val="clear" w:color="auto" w:fill="FFFFFF" w:themeFill="background1"/>
          </w:tcPr>
          <w:p w14:paraId="61D5A94E" w14:textId="77777777" w:rsidR="00D076E8" w:rsidRDefault="00D076E8">
            <w:pPr>
              <w:pStyle w:val="TableBody"/>
              <w:spacing w:before="45" w:after="45"/>
              <w:ind w:right="57"/>
              <w:jc w:val="right"/>
              <w:rPr>
                <w:rFonts w:ascii="Arial (Body)" w:hAnsi="Arial (Body)"/>
                <w:color w:val="000000"/>
              </w:rPr>
            </w:pPr>
            <w:r w:rsidRPr="006C6130">
              <w:t>0.950</w:t>
            </w:r>
          </w:p>
        </w:tc>
        <w:tc>
          <w:tcPr>
            <w:tcW w:w="662" w:type="pct"/>
            <w:shd w:val="clear" w:color="auto" w:fill="FFFFFF" w:themeFill="background1"/>
          </w:tcPr>
          <w:p w14:paraId="5CCCF8D7" w14:textId="77777777" w:rsidR="00D076E8" w:rsidRDefault="00D076E8">
            <w:pPr>
              <w:pStyle w:val="TableBody"/>
              <w:spacing w:before="45" w:after="45"/>
              <w:ind w:right="57"/>
              <w:jc w:val="right"/>
              <w:rPr>
                <w:rFonts w:ascii="Arial (Body)" w:hAnsi="Arial (Body)"/>
                <w:color w:val="000000"/>
              </w:rPr>
            </w:pPr>
            <w:r w:rsidRPr="006C6130">
              <w:t>0.473</w:t>
            </w:r>
          </w:p>
        </w:tc>
        <w:tc>
          <w:tcPr>
            <w:tcW w:w="661" w:type="pct"/>
            <w:shd w:val="clear" w:color="auto" w:fill="FFFFFF" w:themeFill="background1"/>
          </w:tcPr>
          <w:p w14:paraId="3E733256" w14:textId="77777777" w:rsidR="00D076E8" w:rsidRPr="0018598A" w:rsidRDefault="00D076E8">
            <w:pPr>
              <w:pStyle w:val="TableBody"/>
              <w:spacing w:before="45" w:after="45"/>
              <w:ind w:right="57"/>
              <w:jc w:val="right"/>
            </w:pPr>
            <w:r w:rsidRPr="009C7C4F">
              <w:t>0.098</w:t>
            </w:r>
          </w:p>
        </w:tc>
        <w:tc>
          <w:tcPr>
            <w:tcW w:w="662" w:type="pct"/>
            <w:shd w:val="clear" w:color="auto" w:fill="FFFFFF" w:themeFill="background1"/>
          </w:tcPr>
          <w:p w14:paraId="645EEC19" w14:textId="77777777" w:rsidR="00D076E8" w:rsidRDefault="00D076E8">
            <w:pPr>
              <w:pStyle w:val="TableBody"/>
              <w:spacing w:before="45" w:after="45"/>
              <w:ind w:right="57"/>
              <w:jc w:val="right"/>
              <w:rPr>
                <w:rFonts w:ascii="Arial (Body)" w:hAnsi="Arial (Body)"/>
                <w:color w:val="000000"/>
              </w:rPr>
            </w:pPr>
            <w:r w:rsidRPr="00EF6CB7">
              <w:t>0.</w:t>
            </w:r>
            <w:r w:rsidRPr="0018598A">
              <w:t>001</w:t>
            </w:r>
          </w:p>
        </w:tc>
      </w:tr>
      <w:tr w:rsidR="00D076E8" w:rsidRPr="00030C67" w14:paraId="16D70C9B" w14:textId="77777777" w:rsidTr="00862C91">
        <w:tc>
          <w:tcPr>
            <w:tcW w:w="368" w:type="pct"/>
            <w:shd w:val="clear" w:color="000000" w:fill="F2F2F2"/>
          </w:tcPr>
          <w:p w14:paraId="630B3409" w14:textId="77777777" w:rsidR="00D076E8" w:rsidRPr="00030C67" w:rsidRDefault="00D076E8">
            <w:pPr>
              <w:pStyle w:val="TableHeading"/>
            </w:pPr>
            <w:r w:rsidRPr="006A7FD2">
              <w:t>2011</w:t>
            </w:r>
          </w:p>
        </w:tc>
        <w:tc>
          <w:tcPr>
            <w:tcW w:w="661" w:type="pct"/>
            <w:shd w:val="clear" w:color="000000" w:fill="F2F2F2"/>
          </w:tcPr>
          <w:p w14:paraId="3FD82499" w14:textId="77777777" w:rsidR="00D076E8" w:rsidRDefault="00D076E8">
            <w:pPr>
              <w:pStyle w:val="TableBody"/>
              <w:spacing w:before="45" w:after="45"/>
              <w:ind w:right="57"/>
              <w:jc w:val="right"/>
              <w:rPr>
                <w:rFonts w:ascii="Arial (Body)" w:hAnsi="Arial (Body)"/>
                <w:color w:val="000000"/>
              </w:rPr>
            </w:pPr>
            <w:r w:rsidRPr="00016032">
              <w:t>0.455</w:t>
            </w:r>
          </w:p>
        </w:tc>
        <w:tc>
          <w:tcPr>
            <w:tcW w:w="661" w:type="pct"/>
            <w:shd w:val="clear" w:color="000000" w:fill="F2F2F2"/>
          </w:tcPr>
          <w:p w14:paraId="6200C790" w14:textId="77777777" w:rsidR="00D076E8" w:rsidRDefault="00D076E8">
            <w:pPr>
              <w:pStyle w:val="TableBody"/>
              <w:spacing w:before="45" w:after="45"/>
              <w:ind w:right="57"/>
              <w:jc w:val="right"/>
              <w:rPr>
                <w:rFonts w:ascii="Arial (Body)" w:hAnsi="Arial (Body)"/>
                <w:color w:val="000000"/>
              </w:rPr>
            </w:pPr>
            <w:r w:rsidRPr="001F600C">
              <w:t>0.477</w:t>
            </w:r>
          </w:p>
        </w:tc>
        <w:tc>
          <w:tcPr>
            <w:tcW w:w="662" w:type="pct"/>
            <w:shd w:val="clear" w:color="000000" w:fill="F2F2F2"/>
          </w:tcPr>
          <w:p w14:paraId="52F4D22D" w14:textId="77777777" w:rsidR="00D076E8" w:rsidRDefault="00D076E8">
            <w:pPr>
              <w:pStyle w:val="TableBody"/>
              <w:spacing w:before="45" w:after="45"/>
              <w:ind w:right="57"/>
              <w:jc w:val="right"/>
              <w:rPr>
                <w:rFonts w:ascii="Arial (Body)" w:hAnsi="Arial (Body)"/>
                <w:color w:val="000000"/>
              </w:rPr>
            </w:pPr>
            <w:r w:rsidRPr="001F600C">
              <w:t>0.991</w:t>
            </w:r>
          </w:p>
        </w:tc>
        <w:tc>
          <w:tcPr>
            <w:tcW w:w="661" w:type="pct"/>
            <w:shd w:val="clear" w:color="000000" w:fill="F2F2F2"/>
          </w:tcPr>
          <w:p w14:paraId="152FF3A6" w14:textId="77777777" w:rsidR="00D076E8" w:rsidRDefault="00D076E8">
            <w:pPr>
              <w:pStyle w:val="TableBody"/>
              <w:spacing w:before="45" w:after="45"/>
              <w:ind w:right="57"/>
              <w:jc w:val="right"/>
              <w:rPr>
                <w:rFonts w:ascii="Arial (Body)" w:hAnsi="Arial (Body)"/>
                <w:color w:val="000000"/>
              </w:rPr>
            </w:pPr>
            <w:r w:rsidRPr="006C6130">
              <w:t>0.951</w:t>
            </w:r>
          </w:p>
        </w:tc>
        <w:tc>
          <w:tcPr>
            <w:tcW w:w="662" w:type="pct"/>
            <w:shd w:val="clear" w:color="000000" w:fill="F2F2F2"/>
          </w:tcPr>
          <w:p w14:paraId="6BA2DEF9" w14:textId="77777777" w:rsidR="00D076E8" w:rsidRDefault="00D076E8">
            <w:pPr>
              <w:pStyle w:val="TableBody"/>
              <w:spacing w:before="45" w:after="45"/>
              <w:ind w:right="57"/>
              <w:jc w:val="right"/>
              <w:rPr>
                <w:rFonts w:ascii="Arial (Body)" w:hAnsi="Arial (Body)"/>
                <w:color w:val="000000"/>
              </w:rPr>
            </w:pPr>
            <w:r w:rsidRPr="006C6130">
              <w:t>0.465</w:t>
            </w:r>
          </w:p>
        </w:tc>
        <w:tc>
          <w:tcPr>
            <w:tcW w:w="661" w:type="pct"/>
            <w:shd w:val="clear" w:color="000000" w:fill="F2F2F2"/>
          </w:tcPr>
          <w:p w14:paraId="6250F516" w14:textId="77777777" w:rsidR="00D076E8" w:rsidRPr="0018598A" w:rsidRDefault="00D076E8">
            <w:pPr>
              <w:pStyle w:val="TableBody"/>
              <w:spacing w:before="45" w:after="45"/>
              <w:ind w:right="57"/>
              <w:jc w:val="right"/>
            </w:pPr>
            <w:r w:rsidRPr="009C7C4F">
              <w:t>0.100</w:t>
            </w:r>
          </w:p>
        </w:tc>
        <w:tc>
          <w:tcPr>
            <w:tcW w:w="662" w:type="pct"/>
            <w:shd w:val="clear" w:color="000000" w:fill="F2F2F2"/>
          </w:tcPr>
          <w:p w14:paraId="56D725EE" w14:textId="77777777" w:rsidR="00D076E8" w:rsidRDefault="00D076E8">
            <w:pPr>
              <w:pStyle w:val="TableBody"/>
              <w:spacing w:before="45" w:after="45"/>
              <w:ind w:right="57"/>
              <w:jc w:val="right"/>
              <w:rPr>
                <w:rFonts w:ascii="Arial (Body)" w:hAnsi="Arial (Body)"/>
                <w:color w:val="000000"/>
              </w:rPr>
            </w:pPr>
            <w:r w:rsidRPr="00EF6CB7">
              <w:t>0.</w:t>
            </w:r>
            <w:r w:rsidRPr="0018598A">
              <w:t>001</w:t>
            </w:r>
          </w:p>
        </w:tc>
      </w:tr>
      <w:tr w:rsidR="00D076E8" w:rsidRPr="00030C67" w14:paraId="78347E08" w14:textId="77777777" w:rsidTr="00862C91">
        <w:tc>
          <w:tcPr>
            <w:tcW w:w="368" w:type="pct"/>
            <w:shd w:val="clear" w:color="auto" w:fill="FFFFFF" w:themeFill="background1"/>
          </w:tcPr>
          <w:p w14:paraId="530B546C" w14:textId="77777777" w:rsidR="00D076E8" w:rsidRPr="00030C67" w:rsidRDefault="00D076E8">
            <w:pPr>
              <w:pStyle w:val="TableHeading"/>
            </w:pPr>
            <w:r w:rsidRPr="006A7FD2">
              <w:t>2012</w:t>
            </w:r>
          </w:p>
        </w:tc>
        <w:tc>
          <w:tcPr>
            <w:tcW w:w="661" w:type="pct"/>
            <w:shd w:val="clear" w:color="auto" w:fill="FFFFFF" w:themeFill="background1"/>
          </w:tcPr>
          <w:p w14:paraId="74B2A353" w14:textId="77777777" w:rsidR="00D076E8" w:rsidRDefault="00D076E8">
            <w:pPr>
              <w:pStyle w:val="TableBody"/>
              <w:spacing w:before="45" w:after="45"/>
              <w:ind w:right="57"/>
              <w:jc w:val="right"/>
              <w:rPr>
                <w:rFonts w:ascii="Arial (Body)" w:hAnsi="Arial (Body)"/>
                <w:color w:val="000000"/>
              </w:rPr>
            </w:pPr>
            <w:r w:rsidRPr="00016032">
              <w:t>0.446</w:t>
            </w:r>
          </w:p>
        </w:tc>
        <w:tc>
          <w:tcPr>
            <w:tcW w:w="661" w:type="pct"/>
            <w:shd w:val="clear" w:color="auto" w:fill="FFFFFF" w:themeFill="background1"/>
          </w:tcPr>
          <w:p w14:paraId="04309D2B" w14:textId="77777777" w:rsidR="00D076E8" w:rsidRDefault="00D076E8">
            <w:pPr>
              <w:pStyle w:val="TableBody"/>
              <w:spacing w:before="45" w:after="45"/>
              <w:ind w:right="57"/>
              <w:jc w:val="right"/>
              <w:rPr>
                <w:rFonts w:ascii="Arial (Body)" w:hAnsi="Arial (Body)"/>
                <w:color w:val="000000"/>
              </w:rPr>
            </w:pPr>
            <w:r w:rsidRPr="001F600C">
              <w:t>0.465</w:t>
            </w:r>
          </w:p>
        </w:tc>
        <w:tc>
          <w:tcPr>
            <w:tcW w:w="662" w:type="pct"/>
            <w:shd w:val="clear" w:color="auto" w:fill="FFFFFF" w:themeFill="background1"/>
          </w:tcPr>
          <w:p w14:paraId="580A3164" w14:textId="77777777" w:rsidR="00D076E8" w:rsidRDefault="00D076E8">
            <w:pPr>
              <w:pStyle w:val="TableBody"/>
              <w:spacing w:before="45" w:after="45"/>
              <w:ind w:right="57"/>
              <w:jc w:val="right"/>
              <w:rPr>
                <w:rFonts w:ascii="Arial (Body)" w:hAnsi="Arial (Body)"/>
                <w:color w:val="000000"/>
              </w:rPr>
            </w:pPr>
            <w:r w:rsidRPr="001F600C">
              <w:t>0.985</w:t>
            </w:r>
          </w:p>
        </w:tc>
        <w:tc>
          <w:tcPr>
            <w:tcW w:w="661" w:type="pct"/>
            <w:shd w:val="clear" w:color="auto" w:fill="FFFFFF" w:themeFill="background1"/>
          </w:tcPr>
          <w:p w14:paraId="1A15C111" w14:textId="77777777" w:rsidR="00D076E8" w:rsidRDefault="00D076E8">
            <w:pPr>
              <w:pStyle w:val="TableBody"/>
              <w:spacing w:before="45" w:after="45"/>
              <w:ind w:right="57"/>
              <w:jc w:val="right"/>
              <w:rPr>
                <w:rFonts w:ascii="Arial (Body)" w:hAnsi="Arial (Body)"/>
                <w:color w:val="000000"/>
              </w:rPr>
            </w:pPr>
            <w:r w:rsidRPr="006C6130">
              <w:t>0.947</w:t>
            </w:r>
          </w:p>
        </w:tc>
        <w:tc>
          <w:tcPr>
            <w:tcW w:w="662" w:type="pct"/>
            <w:shd w:val="clear" w:color="auto" w:fill="FFFFFF" w:themeFill="background1"/>
          </w:tcPr>
          <w:p w14:paraId="4F9C66B1" w14:textId="77777777" w:rsidR="00D076E8" w:rsidRDefault="00D076E8">
            <w:pPr>
              <w:pStyle w:val="TableBody"/>
              <w:spacing w:before="45" w:after="45"/>
              <w:ind w:right="57"/>
              <w:jc w:val="right"/>
              <w:rPr>
                <w:rFonts w:ascii="Arial (Body)" w:hAnsi="Arial (Body)"/>
                <w:color w:val="000000"/>
              </w:rPr>
            </w:pPr>
            <w:r w:rsidRPr="006C6130">
              <w:t>0.504</w:t>
            </w:r>
          </w:p>
        </w:tc>
        <w:tc>
          <w:tcPr>
            <w:tcW w:w="661" w:type="pct"/>
            <w:shd w:val="clear" w:color="auto" w:fill="FFFFFF" w:themeFill="background1"/>
          </w:tcPr>
          <w:p w14:paraId="3E1C7303" w14:textId="77777777" w:rsidR="00D076E8" w:rsidRPr="0018598A" w:rsidRDefault="00D076E8">
            <w:pPr>
              <w:pStyle w:val="TableBody"/>
              <w:spacing w:before="45" w:after="45"/>
              <w:ind w:right="57"/>
              <w:jc w:val="right"/>
            </w:pPr>
            <w:r w:rsidRPr="009C7C4F">
              <w:t>0.103</w:t>
            </w:r>
          </w:p>
        </w:tc>
        <w:tc>
          <w:tcPr>
            <w:tcW w:w="662" w:type="pct"/>
            <w:shd w:val="clear" w:color="auto" w:fill="FFFFFF" w:themeFill="background1"/>
          </w:tcPr>
          <w:p w14:paraId="64750458" w14:textId="77777777" w:rsidR="00D076E8" w:rsidRDefault="00D076E8">
            <w:pPr>
              <w:pStyle w:val="TableBody"/>
              <w:spacing w:before="45" w:after="45"/>
              <w:ind w:right="57"/>
              <w:jc w:val="right"/>
              <w:rPr>
                <w:rFonts w:ascii="Arial (Body)" w:hAnsi="Arial (Body)"/>
                <w:color w:val="000000"/>
              </w:rPr>
            </w:pPr>
            <w:r w:rsidRPr="00EF6CB7">
              <w:t>0.</w:t>
            </w:r>
            <w:r w:rsidRPr="0018598A">
              <w:t>005</w:t>
            </w:r>
          </w:p>
        </w:tc>
      </w:tr>
      <w:tr w:rsidR="00D076E8" w:rsidRPr="00030C67" w14:paraId="21D35D82" w14:textId="77777777" w:rsidTr="00862C91">
        <w:tc>
          <w:tcPr>
            <w:tcW w:w="368" w:type="pct"/>
            <w:shd w:val="clear" w:color="000000" w:fill="F2F2F2"/>
          </w:tcPr>
          <w:p w14:paraId="10D3DF7C" w14:textId="77777777" w:rsidR="00D076E8" w:rsidRPr="00030C67" w:rsidRDefault="00D076E8">
            <w:pPr>
              <w:pStyle w:val="TableHeading"/>
            </w:pPr>
            <w:r w:rsidRPr="006A7FD2">
              <w:t>2013</w:t>
            </w:r>
          </w:p>
        </w:tc>
        <w:tc>
          <w:tcPr>
            <w:tcW w:w="661" w:type="pct"/>
            <w:shd w:val="clear" w:color="000000" w:fill="F2F2F2"/>
          </w:tcPr>
          <w:p w14:paraId="2B316526" w14:textId="77777777" w:rsidR="00D076E8" w:rsidRDefault="00D076E8">
            <w:pPr>
              <w:pStyle w:val="TableBody"/>
              <w:spacing w:before="45" w:after="45"/>
              <w:ind w:right="57"/>
              <w:jc w:val="right"/>
              <w:rPr>
                <w:rFonts w:ascii="Arial (Body)" w:hAnsi="Arial (Body)"/>
                <w:color w:val="000000"/>
              </w:rPr>
            </w:pPr>
            <w:r w:rsidRPr="00016032">
              <w:t>0.454</w:t>
            </w:r>
          </w:p>
        </w:tc>
        <w:tc>
          <w:tcPr>
            <w:tcW w:w="661" w:type="pct"/>
            <w:shd w:val="clear" w:color="000000" w:fill="F2F2F2"/>
          </w:tcPr>
          <w:p w14:paraId="21023920" w14:textId="77777777" w:rsidR="00D076E8" w:rsidRDefault="00D076E8">
            <w:pPr>
              <w:pStyle w:val="TableBody"/>
              <w:spacing w:before="45" w:after="45"/>
              <w:ind w:right="57"/>
              <w:jc w:val="right"/>
              <w:rPr>
                <w:rFonts w:ascii="Arial (Body)" w:hAnsi="Arial (Body)"/>
                <w:color w:val="000000"/>
              </w:rPr>
            </w:pPr>
            <w:r w:rsidRPr="001F600C">
              <w:t>0.479</w:t>
            </w:r>
          </w:p>
        </w:tc>
        <w:tc>
          <w:tcPr>
            <w:tcW w:w="662" w:type="pct"/>
            <w:shd w:val="clear" w:color="000000" w:fill="F2F2F2"/>
          </w:tcPr>
          <w:p w14:paraId="6D563DB0" w14:textId="77777777" w:rsidR="00D076E8" w:rsidRDefault="00D076E8">
            <w:pPr>
              <w:pStyle w:val="TableBody"/>
              <w:spacing w:before="45" w:after="45"/>
              <w:ind w:right="57"/>
              <w:jc w:val="right"/>
              <w:rPr>
                <w:rFonts w:ascii="Arial (Body)" w:hAnsi="Arial (Body)"/>
                <w:color w:val="000000"/>
              </w:rPr>
            </w:pPr>
            <w:r w:rsidRPr="001F600C">
              <w:t>0.971</w:t>
            </w:r>
          </w:p>
        </w:tc>
        <w:tc>
          <w:tcPr>
            <w:tcW w:w="661" w:type="pct"/>
            <w:shd w:val="clear" w:color="000000" w:fill="F2F2F2"/>
          </w:tcPr>
          <w:p w14:paraId="20898A91" w14:textId="77777777" w:rsidR="00D076E8" w:rsidRDefault="00D076E8">
            <w:pPr>
              <w:pStyle w:val="TableBody"/>
              <w:spacing w:before="45" w:after="45"/>
              <w:ind w:right="57"/>
              <w:jc w:val="right"/>
              <w:rPr>
                <w:rFonts w:ascii="Arial (Body)" w:hAnsi="Arial (Body)"/>
                <w:color w:val="000000"/>
              </w:rPr>
            </w:pPr>
            <w:r w:rsidRPr="006C6130">
              <w:t>0.943</w:t>
            </w:r>
          </w:p>
        </w:tc>
        <w:tc>
          <w:tcPr>
            <w:tcW w:w="662" w:type="pct"/>
            <w:shd w:val="clear" w:color="000000" w:fill="F2F2F2"/>
          </w:tcPr>
          <w:p w14:paraId="57959971" w14:textId="77777777" w:rsidR="00D076E8" w:rsidRDefault="00D076E8">
            <w:pPr>
              <w:pStyle w:val="TableBody"/>
              <w:spacing w:before="45" w:after="45"/>
              <w:ind w:right="57"/>
              <w:jc w:val="right"/>
              <w:rPr>
                <w:rFonts w:ascii="Arial (Body)" w:hAnsi="Arial (Body)"/>
                <w:color w:val="000000"/>
              </w:rPr>
            </w:pPr>
            <w:r w:rsidRPr="006C6130">
              <w:t>0.483</w:t>
            </w:r>
          </w:p>
        </w:tc>
        <w:tc>
          <w:tcPr>
            <w:tcW w:w="661" w:type="pct"/>
            <w:shd w:val="clear" w:color="000000" w:fill="F2F2F2"/>
          </w:tcPr>
          <w:p w14:paraId="212C69CE" w14:textId="77777777" w:rsidR="00D076E8" w:rsidRPr="0018598A" w:rsidRDefault="00D076E8">
            <w:pPr>
              <w:pStyle w:val="TableBody"/>
              <w:spacing w:before="45" w:after="45"/>
              <w:ind w:right="57"/>
              <w:jc w:val="right"/>
            </w:pPr>
            <w:r w:rsidRPr="009C7C4F">
              <w:t>0.104</w:t>
            </w:r>
          </w:p>
        </w:tc>
        <w:tc>
          <w:tcPr>
            <w:tcW w:w="662" w:type="pct"/>
            <w:shd w:val="clear" w:color="000000" w:fill="F2F2F2"/>
          </w:tcPr>
          <w:p w14:paraId="3FE3D0F0" w14:textId="77777777" w:rsidR="00D076E8" w:rsidRDefault="00D076E8">
            <w:pPr>
              <w:pStyle w:val="TableBody"/>
              <w:spacing w:before="45" w:after="45"/>
              <w:ind w:right="57"/>
              <w:jc w:val="right"/>
              <w:rPr>
                <w:rFonts w:ascii="Arial (Body)" w:hAnsi="Arial (Body)"/>
                <w:color w:val="000000"/>
              </w:rPr>
            </w:pPr>
            <w:r w:rsidRPr="00EF6CB7">
              <w:t>0.</w:t>
            </w:r>
            <w:r w:rsidRPr="0018598A">
              <w:t>002</w:t>
            </w:r>
          </w:p>
        </w:tc>
      </w:tr>
      <w:tr w:rsidR="00D076E8" w:rsidRPr="00030C67" w14:paraId="1E2352C0" w14:textId="77777777" w:rsidTr="00862C91">
        <w:tc>
          <w:tcPr>
            <w:tcW w:w="368" w:type="pct"/>
            <w:shd w:val="clear" w:color="auto" w:fill="FFFFFF" w:themeFill="background1"/>
          </w:tcPr>
          <w:p w14:paraId="44B7014B" w14:textId="77777777" w:rsidR="00D076E8" w:rsidRPr="00030C67" w:rsidRDefault="00D076E8">
            <w:pPr>
              <w:pStyle w:val="TableHeading"/>
            </w:pPr>
            <w:r w:rsidRPr="006A7FD2">
              <w:t>2014</w:t>
            </w:r>
          </w:p>
        </w:tc>
        <w:tc>
          <w:tcPr>
            <w:tcW w:w="661" w:type="pct"/>
            <w:shd w:val="clear" w:color="auto" w:fill="FFFFFF" w:themeFill="background1"/>
          </w:tcPr>
          <w:p w14:paraId="3BB97582" w14:textId="77777777" w:rsidR="00D076E8" w:rsidRDefault="00D076E8">
            <w:pPr>
              <w:pStyle w:val="TableBody"/>
              <w:spacing w:before="45" w:after="45"/>
              <w:ind w:right="57"/>
              <w:jc w:val="right"/>
              <w:rPr>
                <w:rFonts w:ascii="Arial (Body)" w:hAnsi="Arial (Body)"/>
                <w:color w:val="000000"/>
              </w:rPr>
            </w:pPr>
            <w:r w:rsidRPr="00016032">
              <w:t>0.454</w:t>
            </w:r>
          </w:p>
        </w:tc>
        <w:tc>
          <w:tcPr>
            <w:tcW w:w="661" w:type="pct"/>
            <w:shd w:val="clear" w:color="auto" w:fill="FFFFFF" w:themeFill="background1"/>
          </w:tcPr>
          <w:p w14:paraId="54DDDF35" w14:textId="77777777" w:rsidR="00D076E8" w:rsidRDefault="00D076E8">
            <w:pPr>
              <w:pStyle w:val="TableBody"/>
              <w:spacing w:before="45" w:after="45"/>
              <w:ind w:right="57"/>
              <w:jc w:val="right"/>
              <w:rPr>
                <w:rFonts w:ascii="Arial (Body)" w:hAnsi="Arial (Body)"/>
                <w:color w:val="000000"/>
              </w:rPr>
            </w:pPr>
            <w:r w:rsidRPr="001F600C">
              <w:t>0.477</w:t>
            </w:r>
          </w:p>
        </w:tc>
        <w:tc>
          <w:tcPr>
            <w:tcW w:w="662" w:type="pct"/>
            <w:shd w:val="clear" w:color="auto" w:fill="FFFFFF" w:themeFill="background1"/>
          </w:tcPr>
          <w:p w14:paraId="5EC8CC11" w14:textId="77777777" w:rsidR="00D076E8" w:rsidRDefault="00D076E8">
            <w:pPr>
              <w:pStyle w:val="TableBody"/>
              <w:spacing w:before="45" w:after="45"/>
              <w:ind w:right="57"/>
              <w:jc w:val="right"/>
              <w:rPr>
                <w:rFonts w:ascii="Arial (Body)" w:hAnsi="Arial (Body)"/>
                <w:color w:val="000000"/>
              </w:rPr>
            </w:pPr>
            <w:r w:rsidRPr="001F600C">
              <w:t>0.943</w:t>
            </w:r>
          </w:p>
        </w:tc>
        <w:tc>
          <w:tcPr>
            <w:tcW w:w="661" w:type="pct"/>
            <w:shd w:val="clear" w:color="auto" w:fill="FFFFFF" w:themeFill="background1"/>
          </w:tcPr>
          <w:p w14:paraId="5849A3E2" w14:textId="77777777" w:rsidR="00D076E8" w:rsidRDefault="00D076E8">
            <w:pPr>
              <w:pStyle w:val="TableBody"/>
              <w:spacing w:before="45" w:after="45"/>
              <w:ind w:right="57"/>
              <w:jc w:val="right"/>
              <w:rPr>
                <w:rFonts w:ascii="Arial (Body)" w:hAnsi="Arial (Body)"/>
                <w:color w:val="000000"/>
              </w:rPr>
            </w:pPr>
            <w:r w:rsidRPr="006C6130">
              <w:t>0.941</w:t>
            </w:r>
          </w:p>
        </w:tc>
        <w:tc>
          <w:tcPr>
            <w:tcW w:w="662" w:type="pct"/>
            <w:shd w:val="clear" w:color="auto" w:fill="FFFFFF" w:themeFill="background1"/>
          </w:tcPr>
          <w:p w14:paraId="1C20EAAC" w14:textId="77777777" w:rsidR="00D076E8" w:rsidRDefault="00D076E8">
            <w:pPr>
              <w:pStyle w:val="TableBody"/>
              <w:spacing w:before="45" w:after="45"/>
              <w:ind w:right="57"/>
              <w:jc w:val="right"/>
              <w:rPr>
                <w:rFonts w:ascii="Arial (Body)" w:hAnsi="Arial (Body)"/>
                <w:color w:val="000000"/>
              </w:rPr>
            </w:pPr>
            <w:r w:rsidRPr="006C6130">
              <w:t>0.519</w:t>
            </w:r>
          </w:p>
        </w:tc>
        <w:tc>
          <w:tcPr>
            <w:tcW w:w="661" w:type="pct"/>
            <w:shd w:val="clear" w:color="auto" w:fill="FFFFFF" w:themeFill="background1"/>
          </w:tcPr>
          <w:p w14:paraId="35D78C98" w14:textId="77777777" w:rsidR="00D076E8" w:rsidRPr="0018598A" w:rsidRDefault="00D076E8">
            <w:pPr>
              <w:pStyle w:val="TableBody"/>
              <w:spacing w:before="45" w:after="45"/>
              <w:ind w:right="57"/>
              <w:jc w:val="right"/>
            </w:pPr>
            <w:r w:rsidRPr="009C7C4F">
              <w:t>0.114</w:t>
            </w:r>
          </w:p>
        </w:tc>
        <w:tc>
          <w:tcPr>
            <w:tcW w:w="662" w:type="pct"/>
            <w:shd w:val="clear" w:color="auto" w:fill="FFFFFF" w:themeFill="background1"/>
          </w:tcPr>
          <w:p w14:paraId="29398155" w14:textId="77777777" w:rsidR="00D076E8" w:rsidRDefault="00D076E8">
            <w:pPr>
              <w:pStyle w:val="TableBody"/>
              <w:spacing w:before="45" w:after="45"/>
              <w:ind w:right="57"/>
              <w:jc w:val="right"/>
              <w:rPr>
                <w:rFonts w:ascii="Arial (Body)" w:hAnsi="Arial (Body)"/>
                <w:color w:val="000000"/>
              </w:rPr>
            </w:pPr>
            <w:r w:rsidRPr="00EF6CB7">
              <w:t>0.</w:t>
            </w:r>
            <w:r w:rsidRPr="0018598A">
              <w:t>004</w:t>
            </w:r>
          </w:p>
        </w:tc>
      </w:tr>
      <w:tr w:rsidR="00D076E8" w:rsidRPr="00030C67" w14:paraId="11E47BB7" w14:textId="77777777" w:rsidTr="00862C91">
        <w:tc>
          <w:tcPr>
            <w:tcW w:w="368" w:type="pct"/>
            <w:shd w:val="clear" w:color="000000" w:fill="F2F2F2"/>
          </w:tcPr>
          <w:p w14:paraId="4C2A646B" w14:textId="77777777" w:rsidR="00D076E8" w:rsidRPr="00030C67" w:rsidRDefault="00D076E8">
            <w:pPr>
              <w:pStyle w:val="TableHeading"/>
            </w:pPr>
            <w:r w:rsidRPr="006A7FD2">
              <w:t>2015</w:t>
            </w:r>
          </w:p>
        </w:tc>
        <w:tc>
          <w:tcPr>
            <w:tcW w:w="661" w:type="pct"/>
            <w:shd w:val="clear" w:color="000000" w:fill="F2F2F2"/>
          </w:tcPr>
          <w:p w14:paraId="115B4074" w14:textId="77777777" w:rsidR="00D076E8" w:rsidRDefault="00D076E8">
            <w:pPr>
              <w:pStyle w:val="TableBody"/>
              <w:spacing w:before="45" w:after="45"/>
              <w:ind w:right="57"/>
              <w:jc w:val="right"/>
              <w:rPr>
                <w:rFonts w:ascii="Arial (Body)" w:hAnsi="Arial (Body)"/>
                <w:color w:val="000000"/>
              </w:rPr>
            </w:pPr>
            <w:r w:rsidRPr="00016032">
              <w:t>0.449</w:t>
            </w:r>
          </w:p>
        </w:tc>
        <w:tc>
          <w:tcPr>
            <w:tcW w:w="661" w:type="pct"/>
            <w:shd w:val="clear" w:color="000000" w:fill="F2F2F2"/>
          </w:tcPr>
          <w:p w14:paraId="74C464F9" w14:textId="77777777" w:rsidR="00D076E8" w:rsidRDefault="00D076E8">
            <w:pPr>
              <w:pStyle w:val="TableBody"/>
              <w:spacing w:before="45" w:after="45"/>
              <w:ind w:right="57"/>
              <w:jc w:val="right"/>
              <w:rPr>
                <w:rFonts w:ascii="Arial (Body)" w:hAnsi="Arial (Body)"/>
                <w:color w:val="000000"/>
              </w:rPr>
            </w:pPr>
            <w:r w:rsidRPr="001F600C">
              <w:t>0.473</w:t>
            </w:r>
          </w:p>
        </w:tc>
        <w:tc>
          <w:tcPr>
            <w:tcW w:w="662" w:type="pct"/>
            <w:shd w:val="clear" w:color="000000" w:fill="F2F2F2"/>
          </w:tcPr>
          <w:p w14:paraId="2D62A58F" w14:textId="77777777" w:rsidR="00D076E8" w:rsidRDefault="00D076E8">
            <w:pPr>
              <w:pStyle w:val="TableBody"/>
              <w:spacing w:before="45" w:after="45"/>
              <w:ind w:right="57"/>
              <w:jc w:val="right"/>
              <w:rPr>
                <w:rFonts w:ascii="Arial (Body)" w:hAnsi="Arial (Body)"/>
                <w:color w:val="000000"/>
              </w:rPr>
            </w:pPr>
            <w:r w:rsidRPr="001F600C">
              <w:t>0.945</w:t>
            </w:r>
          </w:p>
        </w:tc>
        <w:tc>
          <w:tcPr>
            <w:tcW w:w="661" w:type="pct"/>
            <w:shd w:val="clear" w:color="000000" w:fill="F2F2F2"/>
          </w:tcPr>
          <w:p w14:paraId="3C763797" w14:textId="77777777" w:rsidR="00D076E8" w:rsidRDefault="00D076E8">
            <w:pPr>
              <w:pStyle w:val="TableBody"/>
              <w:spacing w:before="45" w:after="45"/>
              <w:ind w:right="57"/>
              <w:jc w:val="right"/>
              <w:rPr>
                <w:rFonts w:ascii="Arial (Body)" w:hAnsi="Arial (Body)"/>
                <w:color w:val="000000"/>
              </w:rPr>
            </w:pPr>
            <w:r w:rsidRPr="006C6130">
              <w:t>0.945</w:t>
            </w:r>
          </w:p>
        </w:tc>
        <w:tc>
          <w:tcPr>
            <w:tcW w:w="662" w:type="pct"/>
            <w:shd w:val="clear" w:color="000000" w:fill="F2F2F2"/>
          </w:tcPr>
          <w:p w14:paraId="1E3F7120" w14:textId="77777777" w:rsidR="00D076E8" w:rsidRDefault="00D076E8">
            <w:pPr>
              <w:pStyle w:val="TableBody"/>
              <w:spacing w:before="45" w:after="45"/>
              <w:ind w:right="57"/>
              <w:jc w:val="right"/>
              <w:rPr>
                <w:rFonts w:ascii="Arial (Body)" w:hAnsi="Arial (Body)"/>
                <w:color w:val="000000"/>
              </w:rPr>
            </w:pPr>
            <w:r w:rsidRPr="006C6130">
              <w:t>0.493</w:t>
            </w:r>
          </w:p>
        </w:tc>
        <w:tc>
          <w:tcPr>
            <w:tcW w:w="661" w:type="pct"/>
            <w:shd w:val="clear" w:color="000000" w:fill="F2F2F2"/>
          </w:tcPr>
          <w:p w14:paraId="02E3A73B" w14:textId="77777777" w:rsidR="00D076E8" w:rsidRPr="0018598A" w:rsidRDefault="00D076E8">
            <w:pPr>
              <w:pStyle w:val="TableBody"/>
              <w:spacing w:before="45" w:after="45"/>
              <w:ind w:right="57"/>
              <w:jc w:val="right"/>
            </w:pPr>
            <w:r w:rsidRPr="009C7C4F">
              <w:t>0.108</w:t>
            </w:r>
          </w:p>
        </w:tc>
        <w:tc>
          <w:tcPr>
            <w:tcW w:w="662" w:type="pct"/>
            <w:shd w:val="clear" w:color="000000" w:fill="F2F2F2"/>
          </w:tcPr>
          <w:p w14:paraId="7293244C" w14:textId="77777777" w:rsidR="00D076E8" w:rsidRDefault="00D076E8">
            <w:pPr>
              <w:pStyle w:val="TableBody"/>
              <w:spacing w:before="45" w:after="45"/>
              <w:ind w:right="57"/>
              <w:jc w:val="right"/>
              <w:rPr>
                <w:rFonts w:ascii="Arial (Body)" w:hAnsi="Arial (Body)"/>
                <w:color w:val="000000"/>
              </w:rPr>
            </w:pPr>
            <w:r w:rsidRPr="00EF6CB7">
              <w:t>0.</w:t>
            </w:r>
            <w:r w:rsidRPr="0018598A">
              <w:t>002</w:t>
            </w:r>
          </w:p>
        </w:tc>
      </w:tr>
      <w:tr w:rsidR="00D076E8" w:rsidRPr="00030C67" w14:paraId="2C33B4CD" w14:textId="77777777" w:rsidTr="00862C91">
        <w:tc>
          <w:tcPr>
            <w:tcW w:w="368" w:type="pct"/>
            <w:shd w:val="clear" w:color="auto" w:fill="FFFFFF" w:themeFill="background1"/>
          </w:tcPr>
          <w:p w14:paraId="056AC884" w14:textId="77777777" w:rsidR="00D076E8" w:rsidRPr="00030C67" w:rsidRDefault="00D076E8">
            <w:pPr>
              <w:pStyle w:val="TableHeading"/>
            </w:pPr>
            <w:r w:rsidRPr="006A7FD2">
              <w:t>2016</w:t>
            </w:r>
          </w:p>
        </w:tc>
        <w:tc>
          <w:tcPr>
            <w:tcW w:w="661" w:type="pct"/>
            <w:shd w:val="clear" w:color="auto" w:fill="FFFFFF" w:themeFill="background1"/>
          </w:tcPr>
          <w:p w14:paraId="6C9B29CC" w14:textId="77777777" w:rsidR="00D076E8" w:rsidRDefault="00D076E8">
            <w:pPr>
              <w:pStyle w:val="TableBody"/>
              <w:spacing w:before="45" w:after="45"/>
              <w:ind w:right="57"/>
              <w:jc w:val="right"/>
              <w:rPr>
                <w:rFonts w:ascii="Arial (Body)" w:hAnsi="Arial (Body)"/>
                <w:color w:val="000000"/>
              </w:rPr>
            </w:pPr>
            <w:r w:rsidRPr="00016032">
              <w:t>0.446</w:t>
            </w:r>
          </w:p>
        </w:tc>
        <w:tc>
          <w:tcPr>
            <w:tcW w:w="661" w:type="pct"/>
            <w:shd w:val="clear" w:color="auto" w:fill="FFFFFF" w:themeFill="background1"/>
          </w:tcPr>
          <w:p w14:paraId="179F59A5" w14:textId="77777777" w:rsidR="00D076E8" w:rsidRDefault="00D076E8">
            <w:pPr>
              <w:pStyle w:val="TableBody"/>
              <w:spacing w:before="45" w:after="45"/>
              <w:ind w:right="57"/>
              <w:jc w:val="right"/>
              <w:rPr>
                <w:rFonts w:ascii="Arial (Body)" w:hAnsi="Arial (Body)"/>
                <w:color w:val="000000"/>
              </w:rPr>
            </w:pPr>
            <w:r w:rsidRPr="001F600C">
              <w:t>0.475</w:t>
            </w:r>
          </w:p>
        </w:tc>
        <w:tc>
          <w:tcPr>
            <w:tcW w:w="662" w:type="pct"/>
            <w:shd w:val="clear" w:color="auto" w:fill="FFFFFF" w:themeFill="background1"/>
          </w:tcPr>
          <w:p w14:paraId="573EBD05" w14:textId="77777777" w:rsidR="00D076E8" w:rsidRDefault="00D076E8">
            <w:pPr>
              <w:pStyle w:val="TableBody"/>
              <w:spacing w:before="45" w:after="45"/>
              <w:ind w:right="57"/>
              <w:jc w:val="right"/>
              <w:rPr>
                <w:rFonts w:ascii="Arial (Body)" w:hAnsi="Arial (Body)"/>
                <w:color w:val="000000"/>
              </w:rPr>
            </w:pPr>
            <w:r w:rsidRPr="001F600C">
              <w:t>0.934</w:t>
            </w:r>
          </w:p>
        </w:tc>
        <w:tc>
          <w:tcPr>
            <w:tcW w:w="661" w:type="pct"/>
            <w:shd w:val="clear" w:color="auto" w:fill="FFFFFF" w:themeFill="background1"/>
          </w:tcPr>
          <w:p w14:paraId="1CE65DDB" w14:textId="77777777" w:rsidR="00D076E8" w:rsidRDefault="00D076E8">
            <w:pPr>
              <w:pStyle w:val="TableBody"/>
              <w:spacing w:before="45" w:after="45"/>
              <w:ind w:right="57"/>
              <w:jc w:val="right"/>
              <w:rPr>
                <w:rFonts w:ascii="Arial (Body)" w:hAnsi="Arial (Body)"/>
                <w:color w:val="000000"/>
              </w:rPr>
            </w:pPr>
            <w:r w:rsidRPr="006C6130">
              <w:t>0.941</w:t>
            </w:r>
          </w:p>
        </w:tc>
        <w:tc>
          <w:tcPr>
            <w:tcW w:w="662" w:type="pct"/>
            <w:shd w:val="clear" w:color="auto" w:fill="FFFFFF" w:themeFill="background1"/>
          </w:tcPr>
          <w:p w14:paraId="4CAB69C2" w14:textId="77777777" w:rsidR="00D076E8" w:rsidRDefault="00D076E8">
            <w:pPr>
              <w:pStyle w:val="TableBody"/>
              <w:spacing w:before="45" w:after="45"/>
              <w:ind w:right="57"/>
              <w:jc w:val="right"/>
              <w:rPr>
                <w:rFonts w:ascii="Arial (Body)" w:hAnsi="Arial (Body)"/>
                <w:color w:val="000000"/>
              </w:rPr>
            </w:pPr>
            <w:r w:rsidRPr="006C6130">
              <w:t>0.466</w:t>
            </w:r>
          </w:p>
        </w:tc>
        <w:tc>
          <w:tcPr>
            <w:tcW w:w="661" w:type="pct"/>
            <w:shd w:val="clear" w:color="auto" w:fill="FFFFFF" w:themeFill="background1"/>
          </w:tcPr>
          <w:p w14:paraId="67051117" w14:textId="77777777" w:rsidR="00D076E8" w:rsidRPr="0018598A" w:rsidRDefault="00D076E8">
            <w:pPr>
              <w:pStyle w:val="TableBody"/>
              <w:spacing w:before="45" w:after="45"/>
              <w:ind w:right="57"/>
              <w:jc w:val="right"/>
            </w:pPr>
            <w:r w:rsidRPr="009C7C4F">
              <w:t>0.111</w:t>
            </w:r>
          </w:p>
        </w:tc>
        <w:tc>
          <w:tcPr>
            <w:tcW w:w="662" w:type="pct"/>
            <w:shd w:val="clear" w:color="auto" w:fill="FFFFFF" w:themeFill="background1"/>
          </w:tcPr>
          <w:p w14:paraId="486D827C" w14:textId="77777777" w:rsidR="00D076E8" w:rsidRDefault="00D076E8">
            <w:pPr>
              <w:pStyle w:val="TableBody"/>
              <w:spacing w:before="45" w:after="45"/>
              <w:ind w:right="57"/>
              <w:jc w:val="right"/>
              <w:rPr>
                <w:rFonts w:ascii="Arial (Body)" w:hAnsi="Arial (Body)"/>
                <w:color w:val="000000"/>
              </w:rPr>
            </w:pPr>
            <w:r w:rsidRPr="00EF6CB7">
              <w:t>-0.</w:t>
            </w:r>
            <w:r w:rsidRPr="0018598A">
              <w:t>001</w:t>
            </w:r>
          </w:p>
        </w:tc>
      </w:tr>
      <w:tr w:rsidR="00D076E8" w:rsidRPr="00030C67" w14:paraId="3CB1920C" w14:textId="77777777" w:rsidTr="00862C91">
        <w:tc>
          <w:tcPr>
            <w:tcW w:w="368" w:type="pct"/>
            <w:shd w:val="clear" w:color="000000" w:fill="F2F2F2"/>
          </w:tcPr>
          <w:p w14:paraId="56ABE993" w14:textId="77777777" w:rsidR="00D076E8" w:rsidRPr="00030C67" w:rsidRDefault="00D076E8">
            <w:pPr>
              <w:pStyle w:val="TableHeading"/>
            </w:pPr>
            <w:r w:rsidRPr="006A7FD2">
              <w:t>2017</w:t>
            </w:r>
          </w:p>
        </w:tc>
        <w:tc>
          <w:tcPr>
            <w:tcW w:w="661" w:type="pct"/>
            <w:shd w:val="clear" w:color="000000" w:fill="F2F2F2"/>
          </w:tcPr>
          <w:p w14:paraId="1C2C82B9" w14:textId="77777777" w:rsidR="00D076E8" w:rsidRDefault="00D076E8">
            <w:pPr>
              <w:pStyle w:val="TableBody"/>
              <w:spacing w:before="45" w:after="45"/>
              <w:ind w:right="57"/>
              <w:jc w:val="right"/>
              <w:rPr>
                <w:rFonts w:ascii="Arial (Body)" w:hAnsi="Arial (Body)"/>
                <w:color w:val="000000"/>
              </w:rPr>
            </w:pPr>
            <w:r w:rsidRPr="00016032">
              <w:t>0.449</w:t>
            </w:r>
          </w:p>
        </w:tc>
        <w:tc>
          <w:tcPr>
            <w:tcW w:w="661" w:type="pct"/>
            <w:shd w:val="clear" w:color="000000" w:fill="F2F2F2"/>
          </w:tcPr>
          <w:p w14:paraId="729FB045" w14:textId="77777777" w:rsidR="00D076E8" w:rsidRDefault="00D076E8">
            <w:pPr>
              <w:pStyle w:val="TableBody"/>
              <w:spacing w:before="45" w:after="45"/>
              <w:ind w:right="57"/>
              <w:jc w:val="right"/>
              <w:rPr>
                <w:rFonts w:ascii="Arial (Body)" w:hAnsi="Arial (Body)"/>
                <w:color w:val="000000"/>
              </w:rPr>
            </w:pPr>
            <w:r w:rsidRPr="001F600C">
              <w:t>0.470</w:t>
            </w:r>
          </w:p>
        </w:tc>
        <w:tc>
          <w:tcPr>
            <w:tcW w:w="662" w:type="pct"/>
            <w:shd w:val="clear" w:color="000000" w:fill="F2F2F2"/>
          </w:tcPr>
          <w:p w14:paraId="733A48B1" w14:textId="77777777" w:rsidR="00D076E8" w:rsidRDefault="00D076E8">
            <w:pPr>
              <w:pStyle w:val="TableBody"/>
              <w:spacing w:before="45" w:after="45"/>
              <w:ind w:right="57"/>
              <w:jc w:val="right"/>
              <w:rPr>
                <w:rFonts w:ascii="Arial (Body)" w:hAnsi="Arial (Body)"/>
                <w:color w:val="000000"/>
              </w:rPr>
            </w:pPr>
            <w:r w:rsidRPr="001F600C">
              <w:t>0.965</w:t>
            </w:r>
          </w:p>
        </w:tc>
        <w:tc>
          <w:tcPr>
            <w:tcW w:w="661" w:type="pct"/>
            <w:shd w:val="clear" w:color="000000" w:fill="F2F2F2"/>
          </w:tcPr>
          <w:p w14:paraId="1E03916F" w14:textId="77777777" w:rsidR="00D076E8" w:rsidRDefault="00D076E8">
            <w:pPr>
              <w:pStyle w:val="TableBody"/>
              <w:spacing w:before="45" w:after="45"/>
              <w:ind w:right="57"/>
              <w:jc w:val="right"/>
              <w:rPr>
                <w:rFonts w:ascii="Arial (Body)" w:hAnsi="Arial (Body)"/>
                <w:color w:val="000000"/>
              </w:rPr>
            </w:pPr>
            <w:r w:rsidRPr="006C6130">
              <w:t>0.941</w:t>
            </w:r>
          </w:p>
        </w:tc>
        <w:tc>
          <w:tcPr>
            <w:tcW w:w="662" w:type="pct"/>
            <w:shd w:val="clear" w:color="000000" w:fill="F2F2F2"/>
          </w:tcPr>
          <w:p w14:paraId="09EF0ECB" w14:textId="77777777" w:rsidR="00D076E8" w:rsidRDefault="00D076E8">
            <w:pPr>
              <w:pStyle w:val="TableBody"/>
              <w:spacing w:before="45" w:after="45"/>
              <w:ind w:right="57"/>
              <w:jc w:val="right"/>
              <w:rPr>
                <w:rFonts w:ascii="Arial (Body)" w:hAnsi="Arial (Body)"/>
                <w:color w:val="000000"/>
              </w:rPr>
            </w:pPr>
            <w:r w:rsidRPr="006C6130">
              <w:t>0.520</w:t>
            </w:r>
          </w:p>
        </w:tc>
        <w:tc>
          <w:tcPr>
            <w:tcW w:w="661" w:type="pct"/>
            <w:shd w:val="clear" w:color="000000" w:fill="F2F2F2"/>
          </w:tcPr>
          <w:p w14:paraId="33172F74" w14:textId="77777777" w:rsidR="00D076E8" w:rsidRPr="0018598A" w:rsidRDefault="00D076E8">
            <w:pPr>
              <w:pStyle w:val="TableBody"/>
              <w:spacing w:before="45" w:after="45"/>
              <w:ind w:right="57"/>
              <w:jc w:val="right"/>
            </w:pPr>
            <w:r w:rsidRPr="009C7C4F">
              <w:t>0.114</w:t>
            </w:r>
          </w:p>
        </w:tc>
        <w:tc>
          <w:tcPr>
            <w:tcW w:w="662" w:type="pct"/>
            <w:shd w:val="clear" w:color="000000" w:fill="F2F2F2"/>
          </w:tcPr>
          <w:p w14:paraId="1B844757" w14:textId="77777777" w:rsidR="00D076E8" w:rsidRDefault="00D076E8">
            <w:pPr>
              <w:pStyle w:val="TableBody"/>
              <w:spacing w:before="45" w:after="45"/>
              <w:ind w:right="57"/>
              <w:jc w:val="right"/>
              <w:rPr>
                <w:rFonts w:ascii="Arial (Body)" w:hAnsi="Arial (Body)"/>
                <w:color w:val="000000"/>
              </w:rPr>
            </w:pPr>
            <w:r w:rsidRPr="00EF6CB7">
              <w:t>0.</w:t>
            </w:r>
            <w:r w:rsidRPr="0018598A">
              <w:t>006</w:t>
            </w:r>
          </w:p>
        </w:tc>
      </w:tr>
      <w:tr w:rsidR="00D076E8" w:rsidRPr="00030C67" w14:paraId="4314B683" w14:textId="77777777" w:rsidTr="00862C91">
        <w:tc>
          <w:tcPr>
            <w:tcW w:w="368" w:type="pct"/>
            <w:shd w:val="clear" w:color="auto" w:fill="FFFFFF" w:themeFill="background1"/>
          </w:tcPr>
          <w:p w14:paraId="033CAE1B" w14:textId="77777777" w:rsidR="00D076E8" w:rsidRPr="00030C67" w:rsidRDefault="00D076E8">
            <w:pPr>
              <w:pStyle w:val="TableHeading"/>
            </w:pPr>
            <w:r w:rsidRPr="006A7FD2">
              <w:t>2018</w:t>
            </w:r>
          </w:p>
        </w:tc>
        <w:tc>
          <w:tcPr>
            <w:tcW w:w="661" w:type="pct"/>
            <w:shd w:val="clear" w:color="auto" w:fill="FFFFFF" w:themeFill="background1"/>
          </w:tcPr>
          <w:p w14:paraId="49EFE9D2" w14:textId="77777777" w:rsidR="00D076E8" w:rsidRDefault="00D076E8">
            <w:pPr>
              <w:pStyle w:val="TableBody"/>
              <w:spacing w:before="45" w:after="45"/>
              <w:ind w:right="57"/>
              <w:jc w:val="right"/>
              <w:rPr>
                <w:rFonts w:ascii="Arial (Body)" w:hAnsi="Arial (Body)"/>
                <w:color w:val="000000"/>
              </w:rPr>
            </w:pPr>
            <w:r w:rsidRPr="00016032">
              <w:t>0.436</w:t>
            </w:r>
          </w:p>
        </w:tc>
        <w:tc>
          <w:tcPr>
            <w:tcW w:w="661" w:type="pct"/>
            <w:shd w:val="clear" w:color="auto" w:fill="FFFFFF" w:themeFill="background1"/>
          </w:tcPr>
          <w:p w14:paraId="13E9F6FC" w14:textId="77777777" w:rsidR="00D076E8" w:rsidRDefault="00D076E8">
            <w:pPr>
              <w:pStyle w:val="TableBody"/>
              <w:spacing w:before="45" w:after="45"/>
              <w:ind w:right="57"/>
              <w:jc w:val="right"/>
              <w:rPr>
                <w:rFonts w:ascii="Arial (Body)" w:hAnsi="Arial (Body)"/>
                <w:color w:val="000000"/>
              </w:rPr>
            </w:pPr>
            <w:r w:rsidRPr="001F600C">
              <w:t>0.467</w:t>
            </w:r>
          </w:p>
        </w:tc>
        <w:tc>
          <w:tcPr>
            <w:tcW w:w="662" w:type="pct"/>
            <w:shd w:val="clear" w:color="auto" w:fill="FFFFFF" w:themeFill="background1"/>
          </w:tcPr>
          <w:p w14:paraId="11B4D5ED" w14:textId="77777777" w:rsidR="00D076E8" w:rsidRDefault="00D076E8">
            <w:pPr>
              <w:pStyle w:val="TableBody"/>
              <w:spacing w:before="45" w:after="45"/>
              <w:ind w:right="57"/>
              <w:jc w:val="right"/>
              <w:rPr>
                <w:rFonts w:ascii="Arial (Body)" w:hAnsi="Arial (Body)"/>
                <w:color w:val="000000"/>
              </w:rPr>
            </w:pPr>
            <w:r w:rsidRPr="001F600C">
              <w:t>0.985</w:t>
            </w:r>
          </w:p>
        </w:tc>
        <w:tc>
          <w:tcPr>
            <w:tcW w:w="661" w:type="pct"/>
            <w:shd w:val="clear" w:color="auto" w:fill="FFFFFF" w:themeFill="background1"/>
          </w:tcPr>
          <w:p w14:paraId="617F974C" w14:textId="77777777" w:rsidR="00D076E8" w:rsidRDefault="00D076E8">
            <w:pPr>
              <w:pStyle w:val="TableBody"/>
              <w:spacing w:before="45" w:after="45"/>
              <w:ind w:right="57"/>
              <w:jc w:val="right"/>
              <w:rPr>
                <w:rFonts w:ascii="Arial (Body)" w:hAnsi="Arial (Body)"/>
                <w:color w:val="000000"/>
              </w:rPr>
            </w:pPr>
            <w:r w:rsidRPr="006C6130">
              <w:t>0.936</w:t>
            </w:r>
          </w:p>
        </w:tc>
        <w:tc>
          <w:tcPr>
            <w:tcW w:w="662" w:type="pct"/>
            <w:shd w:val="clear" w:color="auto" w:fill="FFFFFF" w:themeFill="background1"/>
          </w:tcPr>
          <w:p w14:paraId="76DC3345" w14:textId="77777777" w:rsidR="00D076E8" w:rsidRDefault="00D076E8">
            <w:pPr>
              <w:pStyle w:val="TableBody"/>
              <w:spacing w:before="45" w:after="45"/>
              <w:ind w:right="57"/>
              <w:jc w:val="right"/>
              <w:rPr>
                <w:rFonts w:ascii="Arial (Body)" w:hAnsi="Arial (Body)"/>
                <w:color w:val="000000"/>
              </w:rPr>
            </w:pPr>
            <w:r w:rsidRPr="006C6130">
              <w:t>0.440</w:t>
            </w:r>
          </w:p>
        </w:tc>
        <w:tc>
          <w:tcPr>
            <w:tcW w:w="661" w:type="pct"/>
            <w:shd w:val="clear" w:color="auto" w:fill="FFFFFF" w:themeFill="background1"/>
          </w:tcPr>
          <w:p w14:paraId="78A7D726" w14:textId="77777777" w:rsidR="00D076E8" w:rsidRPr="0018598A" w:rsidRDefault="00D076E8">
            <w:pPr>
              <w:pStyle w:val="TableBody"/>
              <w:spacing w:before="45" w:after="45"/>
              <w:ind w:right="57"/>
              <w:jc w:val="right"/>
            </w:pPr>
            <w:r w:rsidRPr="009C7C4F">
              <w:t>0.103</w:t>
            </w:r>
          </w:p>
        </w:tc>
        <w:tc>
          <w:tcPr>
            <w:tcW w:w="662" w:type="pct"/>
            <w:shd w:val="clear" w:color="auto" w:fill="FFFFFF" w:themeFill="background1"/>
          </w:tcPr>
          <w:p w14:paraId="59F5BB06" w14:textId="77777777" w:rsidR="00D076E8" w:rsidRDefault="00D076E8">
            <w:pPr>
              <w:pStyle w:val="TableBody"/>
              <w:spacing w:before="45" w:after="45"/>
              <w:ind w:right="57"/>
              <w:jc w:val="right"/>
              <w:rPr>
                <w:rFonts w:ascii="Arial (Body)" w:hAnsi="Arial (Body)"/>
                <w:color w:val="000000"/>
              </w:rPr>
            </w:pPr>
            <w:r w:rsidRPr="00EF6CB7">
              <w:t>0.</w:t>
            </w:r>
            <w:r w:rsidRPr="0018598A">
              <w:t>000</w:t>
            </w:r>
          </w:p>
        </w:tc>
      </w:tr>
      <w:tr w:rsidR="00D076E8" w:rsidRPr="00030C67" w14:paraId="1EF5A1A9" w14:textId="77777777" w:rsidTr="00862C91">
        <w:tc>
          <w:tcPr>
            <w:tcW w:w="368" w:type="pct"/>
            <w:shd w:val="clear" w:color="000000" w:fill="F2F2F2"/>
          </w:tcPr>
          <w:p w14:paraId="0CAA978F" w14:textId="77777777" w:rsidR="00D076E8" w:rsidRPr="006A7FD2" w:rsidRDefault="00D076E8">
            <w:pPr>
              <w:pStyle w:val="TableHeading"/>
            </w:pPr>
            <w:r>
              <w:t>2019</w:t>
            </w:r>
          </w:p>
        </w:tc>
        <w:tc>
          <w:tcPr>
            <w:tcW w:w="661" w:type="pct"/>
            <w:shd w:val="clear" w:color="000000" w:fill="F2F2F2"/>
          </w:tcPr>
          <w:p w14:paraId="078505DF" w14:textId="77777777" w:rsidR="00D076E8" w:rsidRDefault="00D076E8">
            <w:pPr>
              <w:pStyle w:val="TableBody"/>
              <w:spacing w:before="45" w:after="45"/>
              <w:ind w:right="57"/>
              <w:jc w:val="right"/>
              <w:rPr>
                <w:rFonts w:ascii="Arial (Body)" w:hAnsi="Arial (Body)"/>
                <w:color w:val="000000"/>
              </w:rPr>
            </w:pPr>
            <w:r w:rsidRPr="00016032">
              <w:t>0.442</w:t>
            </w:r>
          </w:p>
        </w:tc>
        <w:tc>
          <w:tcPr>
            <w:tcW w:w="661" w:type="pct"/>
            <w:shd w:val="clear" w:color="000000" w:fill="F2F2F2"/>
          </w:tcPr>
          <w:p w14:paraId="153EE2FA" w14:textId="77777777" w:rsidR="00D076E8" w:rsidRDefault="00D076E8">
            <w:pPr>
              <w:pStyle w:val="TableBody"/>
              <w:spacing w:before="45" w:after="45"/>
              <w:ind w:right="57"/>
              <w:jc w:val="right"/>
              <w:rPr>
                <w:rFonts w:ascii="Arial (Body)" w:hAnsi="Arial (Body)"/>
                <w:color w:val="000000"/>
              </w:rPr>
            </w:pPr>
            <w:r w:rsidRPr="001F600C">
              <w:t>0.470</w:t>
            </w:r>
          </w:p>
        </w:tc>
        <w:tc>
          <w:tcPr>
            <w:tcW w:w="662" w:type="pct"/>
            <w:shd w:val="clear" w:color="000000" w:fill="F2F2F2"/>
          </w:tcPr>
          <w:p w14:paraId="289655AE" w14:textId="77777777" w:rsidR="00D076E8" w:rsidRDefault="00D076E8">
            <w:pPr>
              <w:pStyle w:val="TableBody"/>
              <w:spacing w:before="45" w:after="45"/>
              <w:ind w:right="57"/>
              <w:jc w:val="right"/>
              <w:rPr>
                <w:rFonts w:ascii="Arial (Body)" w:hAnsi="Arial (Body)"/>
                <w:color w:val="000000"/>
              </w:rPr>
            </w:pPr>
            <w:r w:rsidRPr="001F600C">
              <w:t>0.969</w:t>
            </w:r>
          </w:p>
        </w:tc>
        <w:tc>
          <w:tcPr>
            <w:tcW w:w="661" w:type="pct"/>
            <w:shd w:val="clear" w:color="000000" w:fill="F2F2F2"/>
          </w:tcPr>
          <w:p w14:paraId="2A61CB47" w14:textId="77777777" w:rsidR="00D076E8" w:rsidRDefault="00D076E8">
            <w:pPr>
              <w:pStyle w:val="TableBody"/>
              <w:spacing w:before="45" w:after="45"/>
              <w:ind w:right="57"/>
              <w:jc w:val="right"/>
              <w:rPr>
                <w:rFonts w:ascii="Arial (Body)" w:hAnsi="Arial (Body)"/>
                <w:color w:val="000000"/>
              </w:rPr>
            </w:pPr>
            <w:r w:rsidRPr="006C6130">
              <w:t>0.940</w:t>
            </w:r>
          </w:p>
        </w:tc>
        <w:tc>
          <w:tcPr>
            <w:tcW w:w="662" w:type="pct"/>
            <w:shd w:val="clear" w:color="000000" w:fill="F2F2F2"/>
          </w:tcPr>
          <w:p w14:paraId="04C03F2F" w14:textId="77777777" w:rsidR="00D076E8" w:rsidRDefault="00D076E8">
            <w:pPr>
              <w:pStyle w:val="TableBody"/>
              <w:spacing w:before="45" w:after="45"/>
              <w:ind w:right="57"/>
              <w:jc w:val="right"/>
              <w:rPr>
                <w:rFonts w:ascii="Arial (Body)" w:hAnsi="Arial (Body)"/>
                <w:color w:val="000000"/>
              </w:rPr>
            </w:pPr>
            <w:r w:rsidRPr="006C6130">
              <w:t>0.460</w:t>
            </w:r>
          </w:p>
        </w:tc>
        <w:tc>
          <w:tcPr>
            <w:tcW w:w="661" w:type="pct"/>
            <w:shd w:val="clear" w:color="000000" w:fill="F2F2F2"/>
          </w:tcPr>
          <w:p w14:paraId="5E44A020" w14:textId="77777777" w:rsidR="00D076E8" w:rsidRPr="0018598A" w:rsidRDefault="00D076E8">
            <w:pPr>
              <w:pStyle w:val="TableBody"/>
              <w:spacing w:before="45" w:after="45"/>
              <w:ind w:right="57"/>
              <w:jc w:val="right"/>
            </w:pPr>
            <w:r w:rsidRPr="009C7C4F">
              <w:t>0.104</w:t>
            </w:r>
          </w:p>
        </w:tc>
        <w:tc>
          <w:tcPr>
            <w:tcW w:w="662" w:type="pct"/>
            <w:shd w:val="clear" w:color="000000" w:fill="F2F2F2"/>
          </w:tcPr>
          <w:p w14:paraId="09BFD25B" w14:textId="77777777" w:rsidR="00D076E8" w:rsidRDefault="00D076E8">
            <w:pPr>
              <w:pStyle w:val="TableBody"/>
              <w:spacing w:before="45" w:after="45"/>
              <w:ind w:right="57"/>
              <w:jc w:val="right"/>
              <w:rPr>
                <w:rFonts w:ascii="Arial (Body)" w:hAnsi="Arial (Body)"/>
                <w:color w:val="000000"/>
              </w:rPr>
            </w:pPr>
            <w:r w:rsidRPr="00EF6CB7">
              <w:t>0.</w:t>
            </w:r>
            <w:r w:rsidRPr="0018598A">
              <w:t>000</w:t>
            </w:r>
          </w:p>
        </w:tc>
      </w:tr>
      <w:tr w:rsidR="00D076E8" w:rsidRPr="00030C67" w14:paraId="0AE30AB4" w14:textId="77777777" w:rsidTr="00862C91">
        <w:tc>
          <w:tcPr>
            <w:tcW w:w="368" w:type="pct"/>
            <w:tcBorders>
              <w:bottom w:val="single" w:sz="4" w:space="0" w:color="B3B3B3"/>
            </w:tcBorders>
            <w:shd w:val="clear" w:color="auto" w:fill="FFFFFF" w:themeFill="background1"/>
          </w:tcPr>
          <w:p w14:paraId="50479780" w14:textId="77777777" w:rsidR="00D076E8" w:rsidRPr="006A7FD2" w:rsidRDefault="00D076E8">
            <w:pPr>
              <w:pStyle w:val="TableHeading"/>
            </w:pPr>
            <w:r>
              <w:t>2020</w:t>
            </w:r>
          </w:p>
        </w:tc>
        <w:tc>
          <w:tcPr>
            <w:tcW w:w="661" w:type="pct"/>
            <w:tcBorders>
              <w:bottom w:val="single" w:sz="4" w:space="0" w:color="B3B3B3"/>
            </w:tcBorders>
            <w:shd w:val="clear" w:color="auto" w:fill="FFFFFF" w:themeFill="background1"/>
          </w:tcPr>
          <w:p w14:paraId="658BF1CC" w14:textId="77777777" w:rsidR="00D076E8" w:rsidRDefault="00D076E8">
            <w:pPr>
              <w:pStyle w:val="TableBody"/>
              <w:spacing w:before="45" w:after="45"/>
              <w:ind w:right="57"/>
              <w:jc w:val="right"/>
              <w:rPr>
                <w:rFonts w:ascii="Arial (Body)" w:hAnsi="Arial (Body)"/>
                <w:color w:val="000000"/>
              </w:rPr>
            </w:pPr>
            <w:r w:rsidRPr="00016032">
              <w:t>0.433</w:t>
            </w:r>
          </w:p>
        </w:tc>
        <w:tc>
          <w:tcPr>
            <w:tcW w:w="661" w:type="pct"/>
            <w:tcBorders>
              <w:bottom w:val="single" w:sz="4" w:space="0" w:color="B3B3B3"/>
            </w:tcBorders>
            <w:shd w:val="clear" w:color="auto" w:fill="FFFFFF" w:themeFill="background1"/>
          </w:tcPr>
          <w:p w14:paraId="44C81951" w14:textId="77777777" w:rsidR="00D076E8" w:rsidRDefault="00D076E8">
            <w:pPr>
              <w:pStyle w:val="TableBody"/>
              <w:spacing w:before="45" w:after="45"/>
              <w:ind w:right="57"/>
              <w:jc w:val="right"/>
              <w:rPr>
                <w:rFonts w:ascii="Arial (Body)" w:hAnsi="Arial (Body)"/>
                <w:color w:val="000000"/>
              </w:rPr>
            </w:pPr>
            <w:r w:rsidRPr="001F600C">
              <w:t>0.461</w:t>
            </w:r>
          </w:p>
        </w:tc>
        <w:tc>
          <w:tcPr>
            <w:tcW w:w="662" w:type="pct"/>
            <w:tcBorders>
              <w:bottom w:val="single" w:sz="4" w:space="0" w:color="B3B3B3"/>
            </w:tcBorders>
            <w:shd w:val="clear" w:color="auto" w:fill="FFFFFF" w:themeFill="background1"/>
          </w:tcPr>
          <w:p w14:paraId="4B801C14" w14:textId="77777777" w:rsidR="00D076E8" w:rsidRDefault="00D076E8">
            <w:pPr>
              <w:pStyle w:val="TableBody"/>
              <w:spacing w:before="45" w:after="45"/>
              <w:ind w:right="57"/>
              <w:jc w:val="right"/>
              <w:rPr>
                <w:rFonts w:ascii="Arial (Body)" w:hAnsi="Arial (Body)"/>
                <w:color w:val="000000"/>
              </w:rPr>
            </w:pPr>
            <w:r w:rsidRPr="001F600C">
              <w:t>0.942</w:t>
            </w:r>
          </w:p>
        </w:tc>
        <w:tc>
          <w:tcPr>
            <w:tcW w:w="661" w:type="pct"/>
            <w:tcBorders>
              <w:bottom w:val="single" w:sz="4" w:space="0" w:color="B3B3B3"/>
            </w:tcBorders>
            <w:shd w:val="clear" w:color="auto" w:fill="FFFFFF" w:themeFill="background1"/>
          </w:tcPr>
          <w:p w14:paraId="0CC21B70" w14:textId="77777777" w:rsidR="00D076E8" w:rsidRDefault="00D076E8">
            <w:pPr>
              <w:pStyle w:val="TableBody"/>
              <w:spacing w:before="45" w:after="45"/>
              <w:ind w:right="57"/>
              <w:jc w:val="right"/>
              <w:rPr>
                <w:rFonts w:ascii="Arial (Body)" w:hAnsi="Arial (Body)"/>
                <w:color w:val="000000"/>
              </w:rPr>
            </w:pPr>
            <w:r w:rsidRPr="006C6130">
              <w:t>0.941</w:t>
            </w:r>
          </w:p>
        </w:tc>
        <w:tc>
          <w:tcPr>
            <w:tcW w:w="662" w:type="pct"/>
            <w:tcBorders>
              <w:bottom w:val="single" w:sz="4" w:space="0" w:color="B3B3B3"/>
            </w:tcBorders>
            <w:shd w:val="clear" w:color="auto" w:fill="FFFFFF" w:themeFill="background1"/>
          </w:tcPr>
          <w:p w14:paraId="0DA347F2" w14:textId="77777777" w:rsidR="00D076E8" w:rsidRDefault="00D076E8">
            <w:pPr>
              <w:pStyle w:val="TableBody"/>
              <w:spacing w:before="45" w:after="45"/>
              <w:ind w:right="57"/>
              <w:jc w:val="right"/>
              <w:rPr>
                <w:rFonts w:ascii="Arial (Body)" w:hAnsi="Arial (Body)"/>
                <w:color w:val="000000"/>
              </w:rPr>
            </w:pPr>
            <w:r w:rsidRPr="006C6130">
              <w:t>0.444</w:t>
            </w:r>
          </w:p>
        </w:tc>
        <w:tc>
          <w:tcPr>
            <w:tcW w:w="661" w:type="pct"/>
            <w:tcBorders>
              <w:bottom w:val="single" w:sz="4" w:space="0" w:color="B3B3B3"/>
            </w:tcBorders>
            <w:shd w:val="clear" w:color="auto" w:fill="FFFFFF" w:themeFill="background1"/>
          </w:tcPr>
          <w:p w14:paraId="4C0BC17E" w14:textId="77777777" w:rsidR="00D076E8" w:rsidRPr="0018598A" w:rsidRDefault="00D076E8">
            <w:pPr>
              <w:pStyle w:val="TableBody"/>
              <w:spacing w:before="45" w:after="45"/>
              <w:ind w:right="57"/>
              <w:jc w:val="right"/>
            </w:pPr>
            <w:r w:rsidRPr="009C7C4F">
              <w:t>0.105</w:t>
            </w:r>
          </w:p>
        </w:tc>
        <w:tc>
          <w:tcPr>
            <w:tcW w:w="662" w:type="pct"/>
            <w:tcBorders>
              <w:bottom w:val="single" w:sz="4" w:space="0" w:color="B3B3B3"/>
            </w:tcBorders>
            <w:shd w:val="clear" w:color="auto" w:fill="FFFFFF" w:themeFill="background1"/>
          </w:tcPr>
          <w:p w14:paraId="7A0AC98C" w14:textId="77777777" w:rsidR="00D076E8" w:rsidRDefault="00D076E8">
            <w:pPr>
              <w:pStyle w:val="TableBody"/>
              <w:spacing w:before="45" w:after="45"/>
              <w:ind w:right="57"/>
              <w:jc w:val="right"/>
              <w:rPr>
                <w:rFonts w:ascii="Arial (Body)" w:hAnsi="Arial (Body)"/>
                <w:color w:val="000000"/>
              </w:rPr>
            </w:pPr>
            <w:r w:rsidRPr="00EF6CB7">
              <w:t>-0.</w:t>
            </w:r>
            <w:r w:rsidRPr="0018598A">
              <w:t>002</w:t>
            </w:r>
          </w:p>
        </w:tc>
      </w:tr>
    </w:tbl>
    <w:p w14:paraId="431E6532" w14:textId="576A517C" w:rsidR="00D076E8" w:rsidRPr="000669FB" w:rsidRDefault="00D076E8" w:rsidP="00D076E8">
      <w:pPr>
        <w:pStyle w:val="Note"/>
        <w:rPr>
          <w:spacing w:val="-4"/>
        </w:rPr>
      </w:pPr>
      <w:r w:rsidRPr="000669FB">
        <w:rPr>
          <w:b/>
          <w:bCs/>
          <w:spacing w:val="-4"/>
        </w:rPr>
        <w:t xml:space="preserve">a. </w:t>
      </w:r>
      <w:r w:rsidRPr="000669FB">
        <w:rPr>
          <w:spacing w:val="-4"/>
        </w:rPr>
        <w:t>Unit of analysis is ‘equivalised’ households (rather than individuals) which means the households’ income has been normalised by the size of the household (larger households have lower cost of living per person). Labour income is wages, salaries and unincorporated business income. Capital income is private pensions, incorporated business income and investment income (not including capital gains).</w:t>
      </w:r>
      <w:r w:rsidRPr="000669FB">
        <w:rPr>
          <w:b/>
          <w:bCs/>
          <w:spacing w:val="-4"/>
        </w:rPr>
        <w:t xml:space="preserve"> b.</w:t>
      </w:r>
      <w:r w:rsidRPr="000669FB">
        <w:rPr>
          <w:spacing w:val="-4"/>
        </w:rPr>
        <w:t xml:space="preserve"> Methodology for calculating marginal effect of increase in capital is the marginal effect in the formula above multiple 0.1 (e.g.. to show the approximate marginal effect of a 10 percentage point rise in the capital share of income). </w:t>
      </w:r>
      <w:r w:rsidRPr="000669FB">
        <w:rPr>
          <w:b/>
          <w:bCs/>
          <w:spacing w:val="-4"/>
        </w:rPr>
        <w:t>c.</w:t>
      </w:r>
      <w:r w:rsidRPr="000669FB">
        <w:rPr>
          <w:spacing w:val="-4"/>
        </w:rPr>
        <w:t xml:space="preserve"> Methodology to estimate Gini coefficients and correlation between capital and total income, and labour and total income from </w:t>
      </w:r>
      <w:r w:rsidRPr="000669FB">
        <w:rPr>
          <w:rFonts w:cs="Arial"/>
          <w:spacing w:val="-4"/>
          <w:szCs w:val="24"/>
        </w:rPr>
        <w:t>(Van Kerm 2010)</w:t>
      </w:r>
      <w:r w:rsidRPr="000669FB">
        <w:rPr>
          <w:spacing w:val="-4"/>
        </w:rPr>
        <w:t>.</w:t>
      </w:r>
    </w:p>
    <w:p w14:paraId="001D05C9" w14:textId="77777777" w:rsidR="00D076E8" w:rsidRDefault="00D076E8" w:rsidP="00D076E8">
      <w:pPr>
        <w:pStyle w:val="Source"/>
      </w:pPr>
      <w:r w:rsidRPr="00696447">
        <w:t xml:space="preserve">Source: </w:t>
      </w:r>
      <w:r>
        <w:t>Commission estimates using HILDA unit record data from the 2021 release</w:t>
      </w:r>
      <w:r w:rsidRPr="00696447">
        <w:t>.</w:t>
      </w:r>
    </w:p>
    <w:p w14:paraId="6AD60E34" w14:textId="77777777" w:rsidR="000669FB" w:rsidRDefault="000669FB" w:rsidP="000669FB">
      <w:pPr>
        <w:pStyle w:val="BodyText"/>
      </w:pPr>
      <w:r>
        <w:lastRenderedPageBreak/>
        <w:t xml:space="preserve">A 1 percentage point increase in capital income across the board – all else being equal – has a small and inconsistent (sometimes positive, sometimes negative) marginal effect on the Gini coefficient of all income. That is, in these estimates, an across the board increase in capital income sometimes increased inequality a little and sometimes decreased inequality a little. </w:t>
      </w:r>
    </w:p>
    <w:p w14:paraId="30EBCAD7" w14:textId="77777777" w:rsidR="000669FB" w:rsidRPr="00862C91" w:rsidRDefault="000669FB" w:rsidP="000669FB">
      <w:pPr>
        <w:pStyle w:val="BodyText"/>
        <w:rPr>
          <w:spacing w:val="-2"/>
        </w:rPr>
      </w:pPr>
      <w:r w:rsidRPr="00862C91">
        <w:rPr>
          <w:spacing w:val="-2"/>
        </w:rPr>
        <w:t>These results rest on the proviso ‘all things being equal’. In practice, things are rarely held constant. A change in the capital share of income is likely to coincide with a change in the Gini coefficients of both labour and capital income as well as a change in the correlation between these income sources and overall income. Put differently, this analysis assumed that while there was an increase of capital income, the relative distribution of capital income was unchanged. What the above analysis shows is not the ‘true’ effect of the change in share capital income on overall income inequality but rather demonstrates that the effect is complicated and not always in the expected direction.</w:t>
      </w:r>
    </w:p>
    <w:p w14:paraId="7473A298" w14:textId="3B1DAA4C" w:rsidR="00E248D2" w:rsidRDefault="00E248D2">
      <w:pPr>
        <w:spacing w:before="0" w:after="160" w:line="259" w:lineRule="auto"/>
        <w:rPr>
          <w:sz w:val="18"/>
        </w:rPr>
      </w:pPr>
      <w:r>
        <w:br w:type="page"/>
      </w:r>
    </w:p>
    <w:p w14:paraId="4303C52C" w14:textId="5E69092F" w:rsidR="00D076E8" w:rsidRDefault="00D076E8" w:rsidP="00D076E8">
      <w:pPr>
        <w:pStyle w:val="Heading1-nobackground"/>
      </w:pPr>
      <w:bookmarkStart w:id="14" w:name="_Toc144912358"/>
      <w:r>
        <w:lastRenderedPageBreak/>
        <w:t xml:space="preserve">Appendix </w:t>
      </w:r>
      <w:r w:rsidR="006253BF">
        <w:t>E</w:t>
      </w:r>
      <w:r>
        <w:t xml:space="preserve"> – Estimates of long-run decoupling from 1959</w:t>
      </w:r>
      <w:r w:rsidR="00380FC2" w:rsidRPr="0018046B">
        <w:rPr>
          <w:b/>
          <w:bCs/>
        </w:rPr>
        <w:t>-</w:t>
      </w:r>
      <w:r>
        <w:t>60</w:t>
      </w:r>
      <w:bookmarkEnd w:id="14"/>
    </w:p>
    <w:p w14:paraId="02B0012E" w14:textId="77777777" w:rsidR="00D076E8" w:rsidRDefault="00D076E8" w:rsidP="00D076E8">
      <w:pPr>
        <w:pStyle w:val="BodyText"/>
      </w:pPr>
      <w:r>
        <w:t>While the ABS produces methodologically</w:t>
      </w:r>
      <w:r>
        <w:noBreakHyphen/>
        <w:t>consistent statistics to estimate decoupling from 1985</w:t>
      </w:r>
      <w:r>
        <w:noBreakHyphen/>
        <w:t>86 to 2021</w:t>
      </w:r>
      <w:r>
        <w:noBreakHyphen/>
        <w:t>22, earlier data from 1959</w:t>
      </w:r>
      <w:r>
        <w:noBreakHyphen/>
        <w:t>60 to 1984</w:t>
      </w:r>
      <w:r>
        <w:noBreakHyphen/>
        <w:t>85 (available in hard copy only) do not provide the split</w:t>
      </w:r>
      <w:r w:rsidRPr="001C3FAD">
        <w:t xml:space="preserve"> between </w:t>
      </w:r>
      <w:r>
        <w:t xml:space="preserve">the total hours worked by </w:t>
      </w:r>
      <w:r w:rsidRPr="001C3FAD">
        <w:t>employees and owner</w:t>
      </w:r>
      <w:r>
        <w:noBreakHyphen/>
      </w:r>
      <w:r w:rsidRPr="001C3FAD">
        <w:t>managers</w:t>
      </w:r>
      <w:r>
        <w:t>, with</w:t>
      </w:r>
      <w:r w:rsidRPr="001C3FAD">
        <w:t xml:space="preserve"> data </w:t>
      </w:r>
      <w:r>
        <w:t>only available</w:t>
      </w:r>
      <w:r w:rsidRPr="001C3FAD">
        <w:t xml:space="preserve"> </w:t>
      </w:r>
      <w:r>
        <w:t>for</w:t>
      </w:r>
      <w:r w:rsidRPr="001C3FAD">
        <w:t xml:space="preserve"> the headcount of each type of employed person.</w:t>
      </w:r>
      <w:r>
        <w:t xml:space="preserve"> Consequently, the longer series estimated below are not as reliable as those otherwise shown in this report. </w:t>
      </w:r>
    </w:p>
    <w:p w14:paraId="3529ED2C" w14:textId="48B042B7" w:rsidR="00D076E8" w:rsidRDefault="006253BF" w:rsidP="00D076E8">
      <w:pPr>
        <w:pStyle w:val="Heading2-nonumber"/>
      </w:pPr>
      <w:bookmarkStart w:id="15" w:name="_Toc144912359"/>
      <w:r>
        <w:t>E</w:t>
      </w:r>
      <w:r w:rsidR="00572738">
        <w:t>.1</w:t>
      </w:r>
      <w:r w:rsidR="00572738">
        <w:tab/>
      </w:r>
      <w:r w:rsidR="00D076E8">
        <w:t>Methodology</w:t>
      </w:r>
      <w:bookmarkEnd w:id="15"/>
    </w:p>
    <w:p w14:paraId="247C71F4" w14:textId="77777777" w:rsidR="00D076E8" w:rsidRDefault="00D076E8" w:rsidP="00D076E8">
      <w:pPr>
        <w:pStyle w:val="BodyText"/>
      </w:pPr>
      <w:r>
        <w:t>We considered two methods to estimate the hours worked by employees and the owner</w:t>
      </w:r>
      <w:r>
        <w:noBreakHyphen/>
        <w:t>managers between 1959</w:t>
      </w:r>
      <w:r>
        <w:noBreakHyphen/>
        <w:t>60 and 1984</w:t>
      </w:r>
      <w:r>
        <w:noBreakHyphen/>
        <w:t>85:</w:t>
      </w:r>
    </w:p>
    <w:p w14:paraId="552C5443" w14:textId="77777777" w:rsidR="00D076E8" w:rsidRPr="00351953" w:rsidRDefault="00D076E8" w:rsidP="00C51D94">
      <w:pPr>
        <w:pStyle w:val="ListBullet"/>
        <w:numPr>
          <w:ilvl w:val="0"/>
          <w:numId w:val="22"/>
        </w:numPr>
        <w:rPr>
          <w:spacing w:val="-4"/>
        </w:rPr>
      </w:pPr>
      <w:r w:rsidRPr="00351953">
        <w:rPr>
          <w:spacing w:val="-4"/>
        </w:rPr>
        <w:t>Method 1 – assume that the change in the share of hours worked by employees (of total hours worked) is proportional to the change in the share of employees in the headcount of all employed persons. That is, if the share of employees in the headcount of total employed persons fell by 1%, then the share of employees in total hours worked also fell by 1%. This amounts to assuming that the ratio of hours worked per employed person of owner</w:t>
      </w:r>
      <w:r w:rsidRPr="00351953">
        <w:rPr>
          <w:spacing w:val="-4"/>
        </w:rPr>
        <w:noBreakHyphen/>
        <w:t>managers and employees is constant over time. So, for example, if owner</w:t>
      </w:r>
      <w:r w:rsidRPr="00351953">
        <w:rPr>
          <w:spacing w:val="-4"/>
        </w:rPr>
        <w:noBreakHyphen/>
        <w:t>managers worked 10% more hours than employees in 1985</w:t>
      </w:r>
      <w:r w:rsidRPr="00351953">
        <w:rPr>
          <w:spacing w:val="-4"/>
        </w:rPr>
        <w:noBreakHyphen/>
        <w:t>86, this was held constant for the years before this.</w:t>
      </w:r>
    </w:p>
    <w:p w14:paraId="20A97824" w14:textId="77777777" w:rsidR="00D076E8" w:rsidRPr="00C51D94" w:rsidRDefault="00D076E8" w:rsidP="00C51D94">
      <w:pPr>
        <w:pStyle w:val="ListBullet"/>
      </w:pPr>
      <w:r w:rsidRPr="00C51D94">
        <w:t>Method 2 – assume that the share of hours worked by employees (of total hours worked) is constant from 1959</w:t>
      </w:r>
      <w:r w:rsidRPr="00C51D94">
        <w:noBreakHyphen/>
        <w:t>60 to 1985</w:t>
      </w:r>
      <w:r w:rsidRPr="00C51D94">
        <w:noBreakHyphen/>
        <w:t>86.</w:t>
      </w:r>
    </w:p>
    <w:p w14:paraId="2072C2D7" w14:textId="5D4FED2E" w:rsidR="00D076E8" w:rsidRDefault="00D076E8" w:rsidP="00D076E8">
      <w:pPr>
        <w:pStyle w:val="BodyText"/>
      </w:pPr>
      <w:r>
        <w:t>In practice, these methods produced similar estimates of producer wages between 1959</w:t>
      </w:r>
      <w:r>
        <w:noBreakHyphen/>
        <w:t>60 and 1984</w:t>
      </w:r>
      <w:r>
        <w:noBreakHyphen/>
        <w:t>85 (figure </w:t>
      </w:r>
      <w:r w:rsidR="00F42967">
        <w:t>2</w:t>
      </w:r>
      <w:r w:rsidR="004F604D">
        <w:t>1</w:t>
      </w:r>
      <w:r>
        <w:t>). This reflects the share of employees in the headcount of employed persons was stable over this period. Because of the similarity in results, the Commission used the simpler option (method 2).</w:t>
      </w:r>
    </w:p>
    <w:p w14:paraId="6DA969B3" w14:textId="77777777" w:rsidR="00D076E8" w:rsidRDefault="00D076E8" w:rsidP="00D076E8">
      <w:pPr>
        <w:pStyle w:val="BodyText"/>
      </w:pPr>
      <w:r>
        <w:t>ABS only publishes estimates of total hours worked for all employed persons (owner</w:t>
      </w:r>
      <w:r>
        <w:noBreakHyphen/>
        <w:t>manager and employees) from 1974</w:t>
      </w:r>
      <w:r>
        <w:noBreakHyphen/>
        <w:t xml:space="preserve">75 onwards in the </w:t>
      </w:r>
      <w:r w:rsidRPr="00134AC4">
        <w:rPr>
          <w:i/>
          <w:iCs/>
        </w:rPr>
        <w:t xml:space="preserve">Australian </w:t>
      </w:r>
      <w:r>
        <w:rPr>
          <w:i/>
          <w:iCs/>
        </w:rPr>
        <w:t>S</w:t>
      </w:r>
      <w:r w:rsidRPr="00134AC4">
        <w:rPr>
          <w:i/>
          <w:iCs/>
        </w:rPr>
        <w:t xml:space="preserve">ystem of </w:t>
      </w:r>
      <w:r>
        <w:rPr>
          <w:i/>
          <w:iCs/>
        </w:rPr>
        <w:t>N</w:t>
      </w:r>
      <w:r w:rsidRPr="00134AC4">
        <w:rPr>
          <w:i/>
          <w:iCs/>
        </w:rPr>
        <w:t xml:space="preserve">ational </w:t>
      </w:r>
      <w:r>
        <w:rPr>
          <w:i/>
          <w:iCs/>
        </w:rPr>
        <w:t>A</w:t>
      </w:r>
      <w:r w:rsidRPr="00134AC4">
        <w:rPr>
          <w:i/>
          <w:iCs/>
        </w:rPr>
        <w:t>ccounts</w:t>
      </w:r>
      <w:r>
        <w:t xml:space="preserve">. To obtain a measure of hours worked prior to this date, the Commission used the </w:t>
      </w:r>
      <w:r w:rsidRPr="00E157FF">
        <w:rPr>
          <w:i/>
          <w:iCs/>
        </w:rPr>
        <w:t>Penn World Tables</w:t>
      </w:r>
      <w:r>
        <w:t xml:space="preserve"> (which are themselves based on old </w:t>
      </w:r>
      <w:r w:rsidRPr="00EA6539">
        <w:t>LFS</w:t>
      </w:r>
      <w:r>
        <w:t xml:space="preserve"> estimates) to extrapolate backwards.</w:t>
      </w:r>
      <w:r w:rsidRPr="007C14DC">
        <w:rPr>
          <w:rStyle w:val="FootnoteReference"/>
        </w:rPr>
        <w:footnoteReference w:id="15"/>
      </w:r>
      <w:r>
        <w:t xml:space="preserve"> </w:t>
      </w:r>
    </w:p>
    <w:p w14:paraId="1748EFB1" w14:textId="68E186FC" w:rsidR="00D076E8" w:rsidRPr="00146382" w:rsidRDefault="00406A8E" w:rsidP="00D076E8">
      <w:pPr>
        <w:pStyle w:val="FigureTableHeading"/>
      </w:pPr>
      <w:r>
        <w:lastRenderedPageBreak/>
        <w:t xml:space="preserve">Figure </w:t>
      </w:r>
      <w:r w:rsidR="002B4160">
        <w:rPr>
          <w:noProof/>
        </w:rPr>
        <w:t>21</w:t>
      </w:r>
      <w:r>
        <w:t xml:space="preserve"> </w:t>
      </w:r>
      <w:r w:rsidR="007C22C6">
        <w:t xml:space="preserve">– </w:t>
      </w:r>
      <w:r w:rsidR="00D076E8">
        <w:t>Using data about headcount of owner</w:t>
      </w:r>
      <w:r w:rsidR="00D076E8">
        <w:noBreakHyphen/>
        <w:t>managers and employees does not affect estimates of real wages</w:t>
      </w:r>
      <w:r w:rsidR="00D076E8" w:rsidRPr="00066CF5">
        <w:rPr>
          <w:vertAlign w:val="superscript"/>
        </w:rPr>
        <w:t>a</w:t>
      </w:r>
    </w:p>
    <w:p w14:paraId="64200FEC" w14:textId="77777777" w:rsidR="00D076E8" w:rsidRDefault="00D076E8" w:rsidP="00D076E8">
      <w:pPr>
        <w:pStyle w:val="FigureTableSubheading"/>
        <w:keepLines/>
      </w:pPr>
      <w:r>
        <w:t>Producer wages using two different methods of estimating employee hours between 1959</w:t>
      </w:r>
      <w:r>
        <w:noBreakHyphen/>
        <w:t>60 and 1985</w:t>
      </w:r>
      <w:r>
        <w:noBreakHyphen/>
        <w:t>86</w:t>
      </w:r>
    </w:p>
    <w:p w14:paraId="3D0FBA89" w14:textId="77777777" w:rsidR="00D076E8" w:rsidRDefault="00D076E8" w:rsidP="00D076E8">
      <w:pPr>
        <w:pStyle w:val="Note"/>
        <w:keepLines/>
        <w:rPr>
          <w:noProof/>
        </w:rPr>
      </w:pPr>
      <w:r w:rsidRPr="003C5222">
        <w:rPr>
          <w:noProof/>
        </w:rPr>
        <w:drawing>
          <wp:inline distT="0" distB="0" distL="0" distR="0" wp14:anchorId="0C6308C7" wp14:editId="57B81EB5">
            <wp:extent cx="6028690" cy="2448732"/>
            <wp:effectExtent l="0" t="0" r="0" b="0"/>
            <wp:docPr id="1336863227" name="Picture 1336863227" descr="This figure shows the estimates value of producer wages between 1959 60 and 1985 86 for two different methods of estimating employee hours. Both methods produce very similar estimates of producer wages with the second method producing slightly higher estimates between 1965 66 and 1975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863227" name="Picture 1336863227" descr="This figure shows the estimates value of producer wages between 1959 60 and 1985 86 for two different methods of estimating employee hours. Both methods produce very similar estimates of producer wages with the second method producing slightly higher estimates between 1965 66 and 1975 76."/>
                    <pic:cNvPicPr>
                      <a:picLocks noChangeAspect="1" noChangeArrowheads="1"/>
                    </pic:cNvPicPr>
                  </pic:nvPicPr>
                  <pic:blipFill rotWithShape="1">
                    <a:blip r:embed="rId56" cstate="print">
                      <a:extLst>
                        <a:ext uri="{28A0092B-C50C-407E-A947-70E740481C1C}">
                          <a14:useLocalDpi xmlns:a14="http://schemas.microsoft.com/office/drawing/2010/main" val="0"/>
                        </a:ext>
                      </a:extLst>
                    </a:blip>
                    <a:srcRect b="14134"/>
                    <a:stretch/>
                  </pic:blipFill>
                  <pic:spPr bwMode="auto">
                    <a:xfrm>
                      <a:off x="0" y="0"/>
                      <a:ext cx="6028690" cy="2448732"/>
                    </a:xfrm>
                    <a:prstGeom prst="rect">
                      <a:avLst/>
                    </a:prstGeom>
                    <a:noFill/>
                    <a:ln>
                      <a:noFill/>
                    </a:ln>
                    <a:extLst>
                      <a:ext uri="{53640926-AAD7-44D8-BBD7-CCE9431645EC}">
                        <a14:shadowObscured xmlns:a14="http://schemas.microsoft.com/office/drawing/2010/main"/>
                      </a:ext>
                    </a:extLst>
                  </pic:spPr>
                </pic:pic>
              </a:graphicData>
            </a:graphic>
          </wp:inline>
        </w:drawing>
      </w:r>
    </w:p>
    <w:p w14:paraId="1F73DF88" w14:textId="77777777" w:rsidR="00D076E8" w:rsidRDefault="00D076E8" w:rsidP="00D076E8">
      <w:pPr>
        <w:pStyle w:val="Note"/>
        <w:keepLines/>
      </w:pPr>
      <w:r w:rsidRPr="00180E66">
        <w:rPr>
          <w:b/>
          <w:bCs/>
        </w:rPr>
        <w:t>a.</w:t>
      </w:r>
      <w:r>
        <w:t xml:space="preserve"> Producer wages are deflated by GDP deflator. </w:t>
      </w:r>
      <w:r w:rsidRPr="00180E66">
        <w:rPr>
          <w:b/>
          <w:bCs/>
        </w:rPr>
        <w:t>b.</w:t>
      </w:r>
      <w:r>
        <w:t xml:space="preserve"> Methodology outlined above.</w:t>
      </w:r>
    </w:p>
    <w:p w14:paraId="3B531C01" w14:textId="6B7CD9B6" w:rsidR="00D076E8" w:rsidRDefault="00D076E8" w:rsidP="00D076E8">
      <w:pPr>
        <w:pStyle w:val="Source"/>
      </w:pPr>
      <w:r w:rsidRPr="00696447">
        <w:t xml:space="preserve">Source: </w:t>
      </w:r>
      <w:r>
        <w:t>Commission estimates using ABS (</w:t>
      </w:r>
      <w:r w:rsidRPr="000D28DD">
        <w:rPr>
          <w:i/>
          <w:iCs/>
          <w:szCs w:val="18"/>
        </w:rPr>
        <w:t xml:space="preserve">Australian </w:t>
      </w:r>
      <w:r>
        <w:rPr>
          <w:i/>
          <w:iCs/>
          <w:szCs w:val="18"/>
        </w:rPr>
        <w:t>S</w:t>
      </w:r>
      <w:r w:rsidRPr="000D28DD">
        <w:rPr>
          <w:i/>
          <w:iCs/>
          <w:szCs w:val="18"/>
        </w:rPr>
        <w:t xml:space="preserve">ystem of </w:t>
      </w:r>
      <w:r>
        <w:rPr>
          <w:i/>
          <w:iCs/>
          <w:szCs w:val="18"/>
        </w:rPr>
        <w:t>N</w:t>
      </w:r>
      <w:r w:rsidRPr="000D28DD">
        <w:rPr>
          <w:i/>
          <w:iCs/>
          <w:szCs w:val="18"/>
        </w:rPr>
        <w:t xml:space="preserve">ational </w:t>
      </w:r>
      <w:r>
        <w:rPr>
          <w:i/>
          <w:iCs/>
          <w:szCs w:val="18"/>
        </w:rPr>
        <w:t>A</w:t>
      </w:r>
      <w:r w:rsidRPr="000D28DD">
        <w:rPr>
          <w:i/>
          <w:iCs/>
          <w:szCs w:val="18"/>
        </w:rPr>
        <w:t>ccounts, 2021</w:t>
      </w:r>
      <w:r w:rsidRPr="000D28DD">
        <w:rPr>
          <w:i/>
          <w:iCs/>
          <w:szCs w:val="18"/>
        </w:rPr>
        <w:noBreakHyphen/>
        <w:t>22</w:t>
      </w:r>
      <w:r w:rsidRPr="000D28DD">
        <w:rPr>
          <w:szCs w:val="18"/>
        </w:rPr>
        <w:t>, Cat. no. 5204.0., tables 1</w:t>
      </w:r>
      <w:r>
        <w:rPr>
          <w:szCs w:val="18"/>
        </w:rPr>
        <w:t>,</w:t>
      </w:r>
      <w:r w:rsidRPr="000D28DD">
        <w:rPr>
          <w:szCs w:val="18"/>
        </w:rPr>
        <w:t xml:space="preserve"> 6</w:t>
      </w:r>
      <w:r>
        <w:rPr>
          <w:szCs w:val="18"/>
        </w:rPr>
        <w:t xml:space="preserve"> and 16; </w:t>
      </w:r>
      <w:r w:rsidRPr="000D28DD">
        <w:rPr>
          <w:i/>
          <w:iCs/>
          <w:szCs w:val="18"/>
        </w:rPr>
        <w:t>Labour Account Australia, March 2023</w:t>
      </w:r>
      <w:r w:rsidRPr="000D28DD">
        <w:rPr>
          <w:szCs w:val="18"/>
        </w:rPr>
        <w:t>, Cat. no. 6150.0.55.003., industry summary tables</w:t>
      </w:r>
      <w:r>
        <w:rPr>
          <w:szCs w:val="18"/>
        </w:rPr>
        <w:t xml:space="preserve">; </w:t>
      </w:r>
      <w:r w:rsidRPr="005371C0">
        <w:rPr>
          <w:i/>
          <w:iCs/>
          <w:szCs w:val="18"/>
        </w:rPr>
        <w:t>The Labour Force, 1964 to 1968 (historical supplement)</w:t>
      </w:r>
      <w:r>
        <w:rPr>
          <w:szCs w:val="18"/>
        </w:rPr>
        <w:t xml:space="preserve">, Reference no. 6.20, table 11; </w:t>
      </w:r>
      <w:r w:rsidRPr="0076655D">
        <w:rPr>
          <w:i/>
          <w:iCs/>
          <w:szCs w:val="18"/>
        </w:rPr>
        <w:t>The Labour Force</w:t>
      </w:r>
      <w:r>
        <w:rPr>
          <w:i/>
          <w:iCs/>
          <w:szCs w:val="18"/>
        </w:rPr>
        <w:t>,</w:t>
      </w:r>
      <w:r w:rsidRPr="0076655D">
        <w:rPr>
          <w:i/>
          <w:iCs/>
          <w:szCs w:val="18"/>
        </w:rPr>
        <w:t xml:space="preserve"> Australia, 1978 (including revised estimates from August 1966)</w:t>
      </w:r>
      <w:r>
        <w:rPr>
          <w:szCs w:val="18"/>
        </w:rPr>
        <w:t xml:space="preserve">, Cat. no. 6204.0, table 14); </w:t>
      </w:r>
      <w:r w:rsidRPr="001D560D">
        <w:rPr>
          <w:i/>
          <w:iCs/>
          <w:szCs w:val="18"/>
        </w:rPr>
        <w:t>Labour Force, Australia, 1978</w:t>
      </w:r>
      <w:r>
        <w:rPr>
          <w:i/>
          <w:iCs/>
          <w:szCs w:val="18"/>
        </w:rPr>
        <w:t>–</w:t>
      </w:r>
      <w:r w:rsidRPr="001D560D">
        <w:rPr>
          <w:i/>
          <w:iCs/>
          <w:szCs w:val="18"/>
        </w:rPr>
        <w:t>95</w:t>
      </w:r>
      <w:r>
        <w:rPr>
          <w:szCs w:val="18"/>
        </w:rPr>
        <w:t xml:space="preserve">, Cat. no. 6204.0, table 8); Feenstra, Inklaar and Timmer </w:t>
      </w:r>
      <w:r w:rsidRPr="005B005B">
        <w:rPr>
          <w:rFonts w:ascii="Arial" w:hAnsi="Arial" w:cs="Arial"/>
        </w:rPr>
        <w:t>(2015)</w:t>
      </w:r>
      <w:r w:rsidRPr="00696447">
        <w:t>.</w:t>
      </w:r>
    </w:p>
    <w:p w14:paraId="7E6623A8" w14:textId="0C62B755" w:rsidR="00D076E8" w:rsidRDefault="006253BF" w:rsidP="00D076E8">
      <w:pPr>
        <w:pStyle w:val="Heading2-nonumber"/>
      </w:pPr>
      <w:bookmarkStart w:id="16" w:name="_Toc144912360"/>
      <w:r>
        <w:t>E</w:t>
      </w:r>
      <w:r w:rsidR="00572738">
        <w:t>.2</w:t>
      </w:r>
      <w:r w:rsidR="00572738">
        <w:tab/>
      </w:r>
      <w:r w:rsidR="00D076E8">
        <w:t>Decoupling from 1959-60 to 2021-22</w:t>
      </w:r>
      <w:bookmarkEnd w:id="16"/>
    </w:p>
    <w:p w14:paraId="2F72E74F" w14:textId="7499AC2A" w:rsidR="00D076E8" w:rsidRDefault="00D076E8" w:rsidP="00D076E8">
      <w:pPr>
        <w:pStyle w:val="BodyText"/>
      </w:pPr>
      <w:r>
        <w:t>The longer data series shows periods of both wage overhang and wage decoupling (figure </w:t>
      </w:r>
      <w:r w:rsidR="007751AB">
        <w:t>2</w:t>
      </w:r>
      <w:r w:rsidR="004F604D">
        <w:t>2</w:t>
      </w:r>
      <w:r>
        <w:t xml:space="preserve">). In the 1960s and 1970s, wage growth tended to exceed labour productivity growth (a ‘real wage overhang’), which was seen as one precipitating factor for the high inflation and unemployment rates of that period </w:t>
      </w:r>
      <w:r w:rsidRPr="00CF26E2">
        <w:rPr>
          <w:rFonts w:ascii="Arial" w:hAnsi="Arial" w:cs="Arial"/>
          <w:szCs w:val="24"/>
        </w:rPr>
        <w:t>(Russell and Tease 1988, pp. 5–8)</w:t>
      </w:r>
      <w:r>
        <w:t>. Various reforms and other structural changes in the 1980s and 1990s more closely aligned wage growth wages with productivity growth by the end of the mid</w:t>
      </w:r>
      <w:r>
        <w:noBreakHyphen/>
        <w:t>1990s. Producer and consumer wages then roughly grew in line with productivity between the mid</w:t>
      </w:r>
      <w:r>
        <w:noBreakHyphen/>
        <w:t>1990s and early 2000s before then growing at a slower pace (likely from the nascent mining boom driving up mining profits, as discussed above) until about 2010</w:t>
      </w:r>
      <w:r>
        <w:noBreakHyphen/>
        <w:t>11. Between 2010</w:t>
      </w:r>
      <w:r>
        <w:noBreakHyphen/>
        <w:t>11 and 2015</w:t>
      </w:r>
      <w:r>
        <w:noBreakHyphen/>
        <w:t>16, producer wages roughly grew in line with productivity again, but in the past few years the COVID-19 induced inflation led to wages falling while productivity growth continued. These patterns are mirrored in the labour income share over the same period (figure </w:t>
      </w:r>
      <w:r w:rsidR="007751AB">
        <w:t>2</w:t>
      </w:r>
      <w:r w:rsidR="002F1FDB">
        <w:t>3</w:t>
      </w:r>
      <w:r>
        <w:t>).</w:t>
      </w:r>
    </w:p>
    <w:p w14:paraId="66207E2A" w14:textId="063925B8" w:rsidR="00D076E8" w:rsidRPr="00146382" w:rsidRDefault="007C22C6" w:rsidP="00D076E8">
      <w:pPr>
        <w:pStyle w:val="FigureTableHeading"/>
      </w:pPr>
      <w:r>
        <w:lastRenderedPageBreak/>
        <w:t xml:space="preserve">Figure </w:t>
      </w:r>
      <w:r w:rsidR="002B4160">
        <w:rPr>
          <w:noProof/>
        </w:rPr>
        <w:t>22</w:t>
      </w:r>
      <w:r>
        <w:rPr>
          <w:noProof/>
        </w:rPr>
        <w:t xml:space="preserve"> </w:t>
      </w:r>
      <w:r>
        <w:t xml:space="preserve">– </w:t>
      </w:r>
      <w:r w:rsidR="00D076E8">
        <w:t>In different periods, both wage overhang and decoupling have been evident</w:t>
      </w:r>
    </w:p>
    <w:p w14:paraId="07950181" w14:textId="77777777" w:rsidR="00D076E8" w:rsidRDefault="00D076E8" w:rsidP="00D076E8">
      <w:pPr>
        <w:pStyle w:val="FigureTableSubheading"/>
        <w:keepLines/>
      </w:pPr>
      <w:r>
        <w:t>Producer wages, consumer wages and labour productivity from 1959</w:t>
      </w:r>
      <w:r>
        <w:noBreakHyphen/>
        <w:t>60 to 2021</w:t>
      </w:r>
      <w:r>
        <w:noBreakHyphen/>
        <w:t>22</w:t>
      </w:r>
    </w:p>
    <w:p w14:paraId="7A676915" w14:textId="77777777" w:rsidR="00D076E8" w:rsidRDefault="00D076E8" w:rsidP="00D076E8">
      <w:pPr>
        <w:pStyle w:val="BodyText"/>
        <w:spacing w:before="0" w:after="0"/>
      </w:pPr>
      <w:r w:rsidRPr="00FC4003">
        <w:rPr>
          <w:noProof/>
        </w:rPr>
        <w:drawing>
          <wp:inline distT="0" distB="0" distL="0" distR="0" wp14:anchorId="1A6DF470" wp14:editId="6E1E26D4">
            <wp:extent cx="6120130" cy="2735450"/>
            <wp:effectExtent l="0" t="0" r="0" b="0"/>
            <wp:docPr id="14986364" name="Picture 14986364" descr="This figure shows estimates of the consumer wage, producer wage and labour productivity between 1959 60 and 2021 22. It can be seen that for some periods, wages grew much faster than labour productivity while for other time periods the opposite was true. For example, both consumer wages and producer wages grew faster than labour productivity for most of the 1960s and 1970s (wage overhang) while since about 2000, wages have lagged behind labour productivity (wage decoupl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6364" name="Picture 14986364" descr="This figure shows estimates of the consumer wage, producer wage and labour productivity between 1959 60 and 2021 22. It can be seen that for some periods, wages grew much faster than labour productivity while for other time periods the opposite was true. For example, both consumer wages and producer wages grew faster than labour productivity for most of the 1960s and 1970s (wage overhang) while since about 2000, wages have lagged behind labour productivity (wage decoupling). "/>
                    <pic:cNvPicPr>
                      <a:picLocks noChangeAspect="1" noChangeArrowheads="1"/>
                    </pic:cNvPicPr>
                  </pic:nvPicPr>
                  <pic:blipFill rotWithShape="1">
                    <a:blip r:embed="rId57" cstate="print">
                      <a:extLst>
                        <a:ext uri="{28A0092B-C50C-407E-A947-70E740481C1C}">
                          <a14:useLocalDpi xmlns:a14="http://schemas.microsoft.com/office/drawing/2010/main" val="0"/>
                        </a:ext>
                      </a:extLst>
                    </a:blip>
                    <a:srcRect b="4821"/>
                    <a:stretch/>
                  </pic:blipFill>
                  <pic:spPr bwMode="auto">
                    <a:xfrm>
                      <a:off x="0" y="0"/>
                      <a:ext cx="6120130" cy="2735450"/>
                    </a:xfrm>
                    <a:prstGeom prst="rect">
                      <a:avLst/>
                    </a:prstGeom>
                    <a:noFill/>
                    <a:ln>
                      <a:noFill/>
                    </a:ln>
                    <a:extLst>
                      <a:ext uri="{53640926-AAD7-44D8-BBD7-CCE9431645EC}">
                        <a14:shadowObscured xmlns:a14="http://schemas.microsoft.com/office/drawing/2010/main"/>
                      </a:ext>
                    </a:extLst>
                  </pic:spPr>
                </pic:pic>
              </a:graphicData>
            </a:graphic>
          </wp:inline>
        </w:drawing>
      </w:r>
    </w:p>
    <w:p w14:paraId="6C3745CF" w14:textId="77777777" w:rsidR="00D076E8" w:rsidRDefault="00D076E8" w:rsidP="00D076E8">
      <w:pPr>
        <w:pStyle w:val="Note"/>
        <w:keepLines/>
      </w:pPr>
      <w:r w:rsidRPr="00180E66">
        <w:rPr>
          <w:b/>
          <w:bCs/>
        </w:rPr>
        <w:t>a.</w:t>
      </w:r>
      <w:r>
        <w:t xml:space="preserve"> Producer wages are wages deflated by the implicit GDP deflator and consumer wages are wages deflated by CPI. </w:t>
      </w:r>
      <w:r w:rsidRPr="00180E66">
        <w:rPr>
          <w:b/>
          <w:bCs/>
        </w:rPr>
        <w:t>b.</w:t>
      </w:r>
      <w:r>
        <w:t> Methodology outlined above.</w:t>
      </w:r>
    </w:p>
    <w:p w14:paraId="1F7E07B8" w14:textId="77777777" w:rsidR="00D076E8" w:rsidRDefault="00D076E8" w:rsidP="00D076E8">
      <w:pPr>
        <w:pStyle w:val="Source"/>
      </w:pPr>
      <w:r w:rsidRPr="00696447">
        <w:t xml:space="preserve">Source: </w:t>
      </w:r>
      <w:r>
        <w:t>Commission estimates using ABS (</w:t>
      </w:r>
      <w:r w:rsidRPr="00B131FA">
        <w:rPr>
          <w:i/>
          <w:iCs/>
        </w:rPr>
        <w:t xml:space="preserve">Australian </w:t>
      </w:r>
      <w:r>
        <w:rPr>
          <w:i/>
          <w:iCs/>
        </w:rPr>
        <w:t>S</w:t>
      </w:r>
      <w:r w:rsidRPr="00B131FA">
        <w:rPr>
          <w:i/>
          <w:iCs/>
        </w:rPr>
        <w:t xml:space="preserve">ystem of </w:t>
      </w:r>
      <w:r>
        <w:rPr>
          <w:i/>
          <w:iCs/>
        </w:rPr>
        <w:t>N</w:t>
      </w:r>
      <w:r w:rsidRPr="00B131FA">
        <w:rPr>
          <w:i/>
          <w:iCs/>
        </w:rPr>
        <w:t xml:space="preserve">ational </w:t>
      </w:r>
      <w:r>
        <w:rPr>
          <w:i/>
          <w:iCs/>
        </w:rPr>
        <w:t>A</w:t>
      </w:r>
      <w:r w:rsidRPr="00B131FA">
        <w:rPr>
          <w:i/>
          <w:iCs/>
        </w:rPr>
        <w:t>ccounts, 2021</w:t>
      </w:r>
      <w:r w:rsidRPr="00B131FA">
        <w:rPr>
          <w:i/>
          <w:iCs/>
        </w:rPr>
        <w:noBreakHyphen/>
        <w:t>22</w:t>
      </w:r>
      <w:r>
        <w:t>, Cat. no. </w:t>
      </w:r>
      <w:r w:rsidRPr="00F567CF">
        <w:t>5204</w:t>
      </w:r>
      <w:r>
        <w:t xml:space="preserve">, table 46; </w:t>
      </w:r>
      <w:r w:rsidRPr="00BB0F6B">
        <w:rPr>
          <w:i/>
          <w:iCs/>
        </w:rPr>
        <w:t>Labour Account Australia, March 2023</w:t>
      </w:r>
      <w:r>
        <w:t>, Cat. no. </w:t>
      </w:r>
      <w:r w:rsidRPr="00821D54">
        <w:t>6150.0.55.003</w:t>
      </w:r>
      <w:r>
        <w:t xml:space="preserve">, industry summary tables; </w:t>
      </w:r>
      <w:r w:rsidRPr="00CA6C97">
        <w:rPr>
          <w:i/>
          <w:iCs/>
        </w:rPr>
        <w:t>Labour Force, Australia, Detailed, April 2023</w:t>
      </w:r>
      <w:r>
        <w:t>, Cat. no. </w:t>
      </w:r>
      <w:r w:rsidRPr="009541C2">
        <w:t>6291.0.55.001</w:t>
      </w:r>
      <w:r>
        <w:t xml:space="preserve">, table EQ05; </w:t>
      </w:r>
      <w:r w:rsidRPr="004553E0">
        <w:rPr>
          <w:i/>
          <w:iCs/>
        </w:rPr>
        <w:t>Consumer Price Index, Australia</w:t>
      </w:r>
      <w:r>
        <w:t>, Cat. no. </w:t>
      </w:r>
      <w:r w:rsidRPr="00181E4E">
        <w:t>6401</w:t>
      </w:r>
      <w:r>
        <w:t>, table 1)</w:t>
      </w:r>
      <w:r w:rsidRPr="00696447">
        <w:t>.</w:t>
      </w:r>
    </w:p>
    <w:p w14:paraId="40FAD883" w14:textId="4A564E81" w:rsidR="00D076E8" w:rsidRPr="00146382" w:rsidRDefault="007C22C6" w:rsidP="00D076E8">
      <w:pPr>
        <w:pStyle w:val="FigureTableHeading"/>
      </w:pPr>
      <w:r>
        <w:t xml:space="preserve">Figure </w:t>
      </w:r>
      <w:r w:rsidR="002B4160">
        <w:rPr>
          <w:noProof/>
        </w:rPr>
        <w:t>23</w:t>
      </w:r>
      <w:r>
        <w:rPr>
          <w:noProof/>
        </w:rPr>
        <w:t xml:space="preserve"> </w:t>
      </w:r>
      <w:r>
        <w:t xml:space="preserve">– </w:t>
      </w:r>
      <w:r w:rsidR="00D076E8">
        <w:t>Labour income share of income since 1959</w:t>
      </w:r>
      <w:r w:rsidR="00D076E8">
        <w:noBreakHyphen/>
        <w:t>60</w:t>
      </w:r>
      <w:r w:rsidR="00D076E8" w:rsidRPr="00066CF5">
        <w:rPr>
          <w:vertAlign w:val="superscript"/>
        </w:rPr>
        <w:t>a</w:t>
      </w:r>
    </w:p>
    <w:p w14:paraId="7250FC0B" w14:textId="77777777" w:rsidR="00D076E8" w:rsidRDefault="00D076E8" w:rsidP="00D076E8">
      <w:pPr>
        <w:pStyle w:val="BodyText"/>
        <w:spacing w:before="0" w:after="0"/>
      </w:pPr>
      <w:r w:rsidRPr="007A41DB">
        <w:rPr>
          <w:noProof/>
        </w:rPr>
        <w:drawing>
          <wp:inline distT="0" distB="0" distL="0" distR="0" wp14:anchorId="4E0BA40B" wp14:editId="28D0FB21">
            <wp:extent cx="6120130" cy="2735451"/>
            <wp:effectExtent l="0" t="0" r="0" b="0"/>
            <wp:docPr id="83933937" name="Picture 83933937" descr="This figure shows the labour share of income — total wage as a share of the sum of profits and labour income — between 1959 60 and 2021 22. It can be seen that the labour share of income increased from about 62% to about 76% between 1959 60 and 1975 76. It then fell from 1975 76 to 2021 22 to a low of about 55%.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33937" name="Picture 83933937" descr="This figure shows the labour share of income — total wage as a share of the sum of profits and labour income — between 1959 60 and 2021 22. It can be seen that the labour share of income increased from about 62% to about 76% between 1959 60 and 1975 76. It then fell from 1975 76 to 2021 22 to a low of about 55%. "/>
                    <pic:cNvPicPr>
                      <a:picLocks noChangeAspect="1" noChangeArrowheads="1"/>
                    </pic:cNvPicPr>
                  </pic:nvPicPr>
                  <pic:blipFill rotWithShape="1">
                    <a:blip r:embed="rId58" cstate="print">
                      <a:extLst>
                        <a:ext uri="{28A0092B-C50C-407E-A947-70E740481C1C}">
                          <a14:useLocalDpi xmlns:a14="http://schemas.microsoft.com/office/drawing/2010/main" val="0"/>
                        </a:ext>
                      </a:extLst>
                    </a:blip>
                    <a:srcRect b="4058"/>
                    <a:stretch/>
                  </pic:blipFill>
                  <pic:spPr bwMode="auto">
                    <a:xfrm>
                      <a:off x="0" y="0"/>
                      <a:ext cx="6120130" cy="2735451"/>
                    </a:xfrm>
                    <a:prstGeom prst="rect">
                      <a:avLst/>
                    </a:prstGeom>
                    <a:noFill/>
                    <a:ln>
                      <a:noFill/>
                    </a:ln>
                    <a:extLst>
                      <a:ext uri="{53640926-AAD7-44D8-BBD7-CCE9431645EC}">
                        <a14:shadowObscured xmlns:a14="http://schemas.microsoft.com/office/drawing/2010/main"/>
                      </a:ext>
                    </a:extLst>
                  </pic:spPr>
                </pic:pic>
              </a:graphicData>
            </a:graphic>
          </wp:inline>
        </w:drawing>
      </w:r>
    </w:p>
    <w:p w14:paraId="27E225C3" w14:textId="77777777" w:rsidR="00D076E8" w:rsidRDefault="00D076E8" w:rsidP="00D076E8">
      <w:pPr>
        <w:pStyle w:val="Note"/>
        <w:keepLines/>
      </w:pPr>
      <w:r w:rsidRPr="00180E66">
        <w:rPr>
          <w:b/>
          <w:bCs/>
        </w:rPr>
        <w:t>a.</w:t>
      </w:r>
      <w:r>
        <w:t xml:space="preserve"> Labour share of income is compensation of employees plus imputed owner</w:t>
      </w:r>
      <w:r>
        <w:noBreakHyphen/>
        <w:t xml:space="preserve">manager labour income (appendix B.1) divided by total factor income. Note that the labour share here is slightly different from that implied by the data underpinning the chart above. This is because GDP is the relevant output measure for decoupling, while total factor income is the relevant income measure for the labour income share. The difference between the two is very small (with a correlation of 0.95 for their log difference). </w:t>
      </w:r>
    </w:p>
    <w:p w14:paraId="29CF75BE" w14:textId="1C7DF64B" w:rsidR="00D076E8" w:rsidRDefault="00D076E8" w:rsidP="00D076E8">
      <w:pPr>
        <w:pStyle w:val="Source"/>
      </w:pPr>
      <w:r w:rsidRPr="00696447">
        <w:t xml:space="preserve">Source: </w:t>
      </w:r>
      <w:r w:rsidR="00321BCD">
        <w:t>Commission estimates using ABS (</w:t>
      </w:r>
      <w:r w:rsidR="00321BCD" w:rsidRPr="00B131FA">
        <w:rPr>
          <w:i/>
          <w:iCs/>
        </w:rPr>
        <w:t xml:space="preserve">Australian </w:t>
      </w:r>
      <w:r w:rsidR="00321BCD">
        <w:rPr>
          <w:i/>
          <w:iCs/>
        </w:rPr>
        <w:t>S</w:t>
      </w:r>
      <w:r w:rsidR="00321BCD" w:rsidRPr="00B131FA">
        <w:rPr>
          <w:i/>
          <w:iCs/>
        </w:rPr>
        <w:t xml:space="preserve">ystem of </w:t>
      </w:r>
      <w:r w:rsidR="00321BCD">
        <w:rPr>
          <w:i/>
          <w:iCs/>
        </w:rPr>
        <w:t>N</w:t>
      </w:r>
      <w:r w:rsidR="00321BCD" w:rsidRPr="00B131FA">
        <w:rPr>
          <w:i/>
          <w:iCs/>
        </w:rPr>
        <w:t xml:space="preserve">ational </w:t>
      </w:r>
      <w:r w:rsidR="00321BCD">
        <w:rPr>
          <w:i/>
          <w:iCs/>
        </w:rPr>
        <w:t>A</w:t>
      </w:r>
      <w:r w:rsidR="00321BCD" w:rsidRPr="00B131FA">
        <w:rPr>
          <w:i/>
          <w:iCs/>
        </w:rPr>
        <w:t>ccounts, 2021</w:t>
      </w:r>
      <w:r w:rsidR="00321BCD" w:rsidRPr="00B131FA">
        <w:rPr>
          <w:i/>
          <w:iCs/>
        </w:rPr>
        <w:noBreakHyphen/>
        <w:t>22</w:t>
      </w:r>
      <w:r w:rsidR="00321BCD">
        <w:t>, Cat. no. </w:t>
      </w:r>
      <w:r w:rsidR="00321BCD" w:rsidRPr="00F567CF">
        <w:t>5204</w:t>
      </w:r>
      <w:r w:rsidR="00321BCD">
        <w:t xml:space="preserve">, table 46; </w:t>
      </w:r>
      <w:r w:rsidR="00321BCD" w:rsidRPr="00BB0F6B">
        <w:rPr>
          <w:i/>
          <w:iCs/>
        </w:rPr>
        <w:t>Labour Account Australia, March 2023</w:t>
      </w:r>
      <w:r w:rsidR="00321BCD">
        <w:t>, Cat. no. </w:t>
      </w:r>
      <w:r w:rsidR="00321BCD" w:rsidRPr="00821D54">
        <w:t>6150.0.55.003</w:t>
      </w:r>
      <w:r w:rsidR="00321BCD">
        <w:t xml:space="preserve">, industry summary tables; </w:t>
      </w:r>
      <w:r w:rsidR="00321BCD" w:rsidRPr="00CA6C97">
        <w:rPr>
          <w:i/>
          <w:iCs/>
        </w:rPr>
        <w:t>Labour Force, Australia, Detailed, April 2023</w:t>
      </w:r>
      <w:r w:rsidR="00321BCD">
        <w:t>, Cat. no. </w:t>
      </w:r>
      <w:r w:rsidR="00321BCD" w:rsidRPr="009541C2">
        <w:t>6291.0.55.001</w:t>
      </w:r>
      <w:r w:rsidR="00321BCD">
        <w:t xml:space="preserve">, table EQ05; </w:t>
      </w:r>
      <w:r w:rsidR="00321BCD" w:rsidRPr="004553E0">
        <w:rPr>
          <w:i/>
          <w:iCs/>
        </w:rPr>
        <w:t>Consumer Price Index, Australia</w:t>
      </w:r>
      <w:r w:rsidR="00321BCD">
        <w:t>, Cat. no. </w:t>
      </w:r>
      <w:r w:rsidR="00321BCD" w:rsidRPr="00181E4E">
        <w:t>6401</w:t>
      </w:r>
      <w:r w:rsidR="00321BCD">
        <w:t>, table 1)</w:t>
      </w:r>
      <w:r w:rsidR="002E04C5">
        <w:t>.</w:t>
      </w:r>
    </w:p>
    <w:p w14:paraId="16E4D3F1" w14:textId="16553693" w:rsidR="00D076E8" w:rsidRDefault="006253BF" w:rsidP="00D076E8">
      <w:pPr>
        <w:pStyle w:val="Heading2-nonumber"/>
      </w:pPr>
      <w:bookmarkStart w:id="17" w:name="_Toc144912361"/>
      <w:r>
        <w:lastRenderedPageBreak/>
        <w:t>E</w:t>
      </w:r>
      <w:r w:rsidR="00572738">
        <w:t>.3</w:t>
      </w:r>
      <w:r w:rsidR="00572738">
        <w:tab/>
      </w:r>
      <w:r w:rsidR="00D076E8">
        <w:t>The labour income share from 1860 to 2021</w:t>
      </w:r>
      <w:bookmarkEnd w:id="17"/>
    </w:p>
    <w:p w14:paraId="63A376D3" w14:textId="50E4611B" w:rsidR="00D076E8" w:rsidRPr="00780066" w:rsidRDefault="00D076E8" w:rsidP="00D076E8">
      <w:pPr>
        <w:pStyle w:val="BodyText"/>
      </w:pPr>
      <w:r>
        <w:t>Longer</w:t>
      </w:r>
      <w:r>
        <w:noBreakHyphen/>
        <w:t>run data on the labour income share from 1860 and 2021 suggests that current levels are low compared with historical levels, but are not uniquely so</w:t>
      </w:r>
      <w:r w:rsidR="002F1FDB">
        <w:t xml:space="preserve"> </w:t>
      </w:r>
      <w:r>
        <w:t>(figure </w:t>
      </w:r>
      <w:r w:rsidR="00832B5B">
        <w:t>2</w:t>
      </w:r>
      <w:r w:rsidR="002F1FDB">
        <w:t>4</w:t>
      </w:r>
      <w:r>
        <w:t>).</w:t>
      </w:r>
      <w:r w:rsidRPr="007C14DC">
        <w:rPr>
          <w:rStyle w:val="FootnoteReference"/>
        </w:rPr>
        <w:footnoteReference w:id="16"/>
      </w:r>
      <w:r>
        <w:t xml:space="preserve"> There has been no trend in the long</w:t>
      </w:r>
      <w:r>
        <w:noBreakHyphen/>
        <w:t xml:space="preserve">run share (with reversion of </w:t>
      </w:r>
      <w:r w:rsidRPr="00C215C0">
        <w:rPr>
          <w:i/>
          <w:iCs/>
        </w:rPr>
        <w:t>this</w:t>
      </w:r>
      <w:r>
        <w:t xml:space="preserve"> measure to around 65–85%). However, it should not be inferred that this will persist given there may be fundamental shifts in technologies (like artificial technology) that break the pattern of the past. There is also a strong countercyclical tendency to the labour share income </w:t>
      </w:r>
      <w:r w:rsidR="000039F2">
        <w:t xml:space="preserve">– </w:t>
      </w:r>
      <w:r>
        <w:t xml:space="preserve">during the Great Depression, for example, labour income was greater than 100% of national income (that is, capital income after depreciation was negative). Similar behaviour can be observed around the 1890 Depression. The more stable labour share of income in the post-Second World War period likely indicates the stability of profits and unemployment that was induced by a more interventionist macroeconomic policy framework. </w:t>
      </w:r>
    </w:p>
    <w:p w14:paraId="1112784A" w14:textId="40E6CB49" w:rsidR="00D076E8" w:rsidRPr="00146382" w:rsidRDefault="007C22C6" w:rsidP="00D076E8">
      <w:pPr>
        <w:pStyle w:val="FigureTableHeading"/>
      </w:pPr>
      <w:r>
        <w:t xml:space="preserve">Figure </w:t>
      </w:r>
      <w:r w:rsidR="002B4160">
        <w:rPr>
          <w:noProof/>
        </w:rPr>
        <w:t>24</w:t>
      </w:r>
      <w:r>
        <w:rPr>
          <w:noProof/>
        </w:rPr>
        <w:t xml:space="preserve"> </w:t>
      </w:r>
      <w:r>
        <w:t xml:space="preserve">– </w:t>
      </w:r>
      <w:r w:rsidR="00D076E8">
        <w:t>Labour share of national income between 1860 and 2021</w:t>
      </w:r>
      <w:r w:rsidR="00D076E8" w:rsidRPr="00DD48D8">
        <w:rPr>
          <w:vertAlign w:val="superscript"/>
        </w:rPr>
        <w:t>a</w:t>
      </w:r>
    </w:p>
    <w:p w14:paraId="0C9D571F" w14:textId="77777777" w:rsidR="00D076E8" w:rsidRDefault="00D076E8" w:rsidP="00D076E8">
      <w:pPr>
        <w:pStyle w:val="BodyText"/>
        <w:spacing w:before="0" w:after="0"/>
      </w:pPr>
      <w:r w:rsidRPr="00D13822">
        <w:rPr>
          <w:noProof/>
        </w:rPr>
        <w:drawing>
          <wp:inline distT="0" distB="0" distL="0" distR="0" wp14:anchorId="50EA7145" wp14:editId="28179313">
            <wp:extent cx="6115050" cy="2857500"/>
            <wp:effectExtent l="0" t="0" r="0" b="0"/>
            <wp:docPr id="228475108" name="Picture 228475108" descr="This figure shows the labour share of income — total wage as a share of national income — between 1959 60 and 2021 22. Note that national income, is total factor income minus depreciation, so the results in this figure differ slightly from those in figure 34. It can be seen that there is no long-run trend in this data, with mean reversion to a value of about 80%. There is also a strong countercyclical tendency to the labour share income — during the Great Depreciation, for example, labour income was greater than 100% of national income (that is, capital income after depreciation was negative). Similar behaviour can be observed around the 1890 Depre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475108" name="Picture 228475108" descr="This figure shows the labour share of income — total wage as a share of national income — between 1959 60 and 2021 22. Note that national income, is total factor income minus depreciation, so the results in this figure differ slightly from those in figure 34. It can be seen that there is no long-run trend in this data, with mean reversion to a value of about 80%. There is also a strong countercyclical tendency to the labour share income — during the Great Depreciation, for example, labour income was greater than 100% of national income (that is, capital income after depreciation was negative). Similar behaviour can be observed around the 1890 Depression."/>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115050" cy="2857500"/>
                    </a:xfrm>
                    <a:prstGeom prst="rect">
                      <a:avLst/>
                    </a:prstGeom>
                    <a:noFill/>
                    <a:ln>
                      <a:noFill/>
                    </a:ln>
                  </pic:spPr>
                </pic:pic>
              </a:graphicData>
            </a:graphic>
          </wp:inline>
        </w:drawing>
      </w:r>
    </w:p>
    <w:p w14:paraId="0B24087F" w14:textId="77777777" w:rsidR="00D076E8" w:rsidRDefault="00D076E8" w:rsidP="00365A49">
      <w:pPr>
        <w:pStyle w:val="Note"/>
      </w:pPr>
      <w:r w:rsidRPr="00180E66">
        <w:rPr>
          <w:b/>
          <w:bCs/>
        </w:rPr>
        <w:t>a.</w:t>
      </w:r>
      <w:r>
        <w:t xml:space="preserve"> National income is GDP less net taxes and subsides, and less depreciation.</w:t>
      </w:r>
    </w:p>
    <w:p w14:paraId="0066A783" w14:textId="1BFC1908" w:rsidR="00D076E8" w:rsidRPr="00FD474E" w:rsidRDefault="00D076E8" w:rsidP="001C4E6C">
      <w:pPr>
        <w:pStyle w:val="Source"/>
      </w:pPr>
      <w:r w:rsidRPr="00696447">
        <w:t xml:space="preserve">Source: </w:t>
      </w:r>
      <w:r>
        <w:t xml:space="preserve">Madsen and Robertson </w:t>
      </w:r>
      <w:r w:rsidRPr="0094212E">
        <w:rPr>
          <w:rFonts w:ascii="Arial" w:hAnsi="Arial" w:cs="Arial"/>
        </w:rPr>
        <w:t>(2022)</w:t>
      </w:r>
      <w:r w:rsidRPr="00696447">
        <w:t>.</w:t>
      </w:r>
    </w:p>
    <w:p w14:paraId="77524A48" w14:textId="77777777" w:rsidR="00A91551" w:rsidRDefault="00A91551" w:rsidP="00536740">
      <w:pPr>
        <w:pStyle w:val="BodyText"/>
      </w:pPr>
      <w:r>
        <w:br w:type="page"/>
      </w:r>
    </w:p>
    <w:p w14:paraId="3CC4B0F8" w14:textId="77777777" w:rsidR="00DD158C" w:rsidRDefault="00365A49" w:rsidP="00A91551">
      <w:pPr>
        <w:pStyle w:val="Heading1-nobackground"/>
        <w:sectPr w:rsidR="00DD158C" w:rsidSect="003309A7">
          <w:headerReference w:type="even" r:id="rId60"/>
          <w:headerReference w:type="default" r:id="rId61"/>
          <w:footerReference w:type="even" r:id="rId62"/>
          <w:footerReference w:type="default" r:id="rId63"/>
          <w:pgSz w:w="11906" w:h="16838" w:code="9"/>
          <w:pgMar w:top="1134" w:right="1134" w:bottom="1134" w:left="1134" w:header="794" w:footer="510" w:gutter="0"/>
          <w:pgNumType w:start="1"/>
          <w:cols w:space="708"/>
          <w:docGrid w:linePitch="360"/>
        </w:sectPr>
      </w:pPr>
      <w:bookmarkStart w:id="18" w:name="_Toc144912362"/>
      <w:r>
        <w:lastRenderedPageBreak/>
        <w:t>R</w:t>
      </w:r>
      <w:r w:rsidR="00A91551">
        <w:t>eference</w:t>
      </w:r>
      <w:r>
        <w:t>s</w:t>
      </w:r>
      <w:bookmarkEnd w:id="18"/>
    </w:p>
    <w:p w14:paraId="57C05DB8" w14:textId="2E59E31D" w:rsidR="00EE26AE" w:rsidRPr="00EE26AE" w:rsidRDefault="00EE26AE" w:rsidP="00365A49">
      <w:pPr>
        <w:pStyle w:val="Reference"/>
      </w:pPr>
      <w:r w:rsidRPr="00EE26AE">
        <w:t xml:space="preserve">ABS (Australian Bureau of Statistics) 2021, </w:t>
      </w:r>
      <w:r w:rsidRPr="00EE26AE">
        <w:rPr>
          <w:i/>
          <w:iCs/>
        </w:rPr>
        <w:t>Australian System of National Accounts: Concepts, Sources and Methods, 2020-21</w:t>
      </w:r>
      <w:r w:rsidRPr="00EE26AE">
        <w:t>, Cat. no. 5216.0, Canberra.</w:t>
      </w:r>
    </w:p>
    <w:p w14:paraId="09D83709" w14:textId="0231C9C4" w:rsidR="00EE26AE" w:rsidRPr="00EE26AE" w:rsidRDefault="00EE26AE" w:rsidP="00365A49">
      <w:pPr>
        <w:pStyle w:val="Reference"/>
      </w:pPr>
      <w:r w:rsidRPr="00EE26AE">
        <w:t>——</w:t>
      </w:r>
      <w:r w:rsidR="00DD158C">
        <w:t> </w:t>
      </w:r>
      <w:r w:rsidRPr="00EE26AE">
        <w:t xml:space="preserve">2022a, </w:t>
      </w:r>
      <w:r w:rsidRPr="00EE26AE">
        <w:rPr>
          <w:i/>
          <w:iCs/>
        </w:rPr>
        <w:t>Australian System of National Accounts, 2021-22</w:t>
      </w:r>
      <w:r w:rsidRPr="00EE26AE">
        <w:t>, Cat. no. 5204.0, Canberra.</w:t>
      </w:r>
    </w:p>
    <w:p w14:paraId="46C409EB" w14:textId="2971E191" w:rsidR="00EE26AE" w:rsidRPr="00EE26AE" w:rsidRDefault="00EE26AE" w:rsidP="00365A49">
      <w:pPr>
        <w:pStyle w:val="Reference"/>
      </w:pPr>
      <w:r w:rsidRPr="00EE26AE">
        <w:t>——</w:t>
      </w:r>
      <w:r w:rsidR="00DD158C">
        <w:t> </w:t>
      </w:r>
      <w:r w:rsidRPr="00EE26AE">
        <w:t xml:space="preserve">2022b, </w:t>
      </w:r>
      <w:r w:rsidRPr="00EE26AE">
        <w:rPr>
          <w:i/>
          <w:iCs/>
        </w:rPr>
        <w:t>Business Indicators, Australia, September 2022</w:t>
      </w:r>
      <w:r w:rsidRPr="00EE26AE">
        <w:t>, Cat. no. 5676.0, Canberra.</w:t>
      </w:r>
    </w:p>
    <w:p w14:paraId="69BD584E" w14:textId="151807AA" w:rsidR="00EE26AE" w:rsidRPr="00EE26AE" w:rsidRDefault="00EE26AE" w:rsidP="00365A49">
      <w:pPr>
        <w:pStyle w:val="Reference"/>
      </w:pPr>
      <w:r w:rsidRPr="00EE26AE">
        <w:t>——</w:t>
      </w:r>
      <w:r w:rsidR="00DD158C">
        <w:t> </w:t>
      </w:r>
      <w:r w:rsidRPr="00EE26AE">
        <w:t xml:space="preserve">2022c, </w:t>
      </w:r>
      <w:r w:rsidRPr="00EE26AE">
        <w:rPr>
          <w:i/>
          <w:iCs/>
        </w:rPr>
        <w:t>Employee earnings, August 2022</w:t>
      </w:r>
      <w:r w:rsidRPr="00EE26AE">
        <w:t>, Cat. no. 6337.0, Canberra.</w:t>
      </w:r>
    </w:p>
    <w:p w14:paraId="1FF1A3AC" w14:textId="27CA718F" w:rsidR="00EE26AE" w:rsidRPr="00EE26AE" w:rsidRDefault="00EE26AE" w:rsidP="00365A49">
      <w:pPr>
        <w:pStyle w:val="Reference"/>
      </w:pPr>
      <w:r w:rsidRPr="00EE26AE">
        <w:t>——</w:t>
      </w:r>
      <w:r w:rsidR="00DD158C">
        <w:t> </w:t>
      </w:r>
      <w:r w:rsidRPr="00EE26AE">
        <w:t xml:space="preserve">2022d, </w:t>
      </w:r>
      <w:r w:rsidRPr="00EE26AE">
        <w:rPr>
          <w:i/>
          <w:iCs/>
        </w:rPr>
        <w:t>Estimates of Industry Multifactor Productivity, 2021-22</w:t>
      </w:r>
      <w:r w:rsidRPr="00EE26AE">
        <w:t>, Cat. no. 5260.0.55.002, Canberra.</w:t>
      </w:r>
    </w:p>
    <w:p w14:paraId="1420B037" w14:textId="0BE544F6" w:rsidR="00EE26AE" w:rsidRPr="00EE26AE" w:rsidRDefault="00EE26AE" w:rsidP="00365A49">
      <w:pPr>
        <w:pStyle w:val="Reference"/>
      </w:pPr>
      <w:r w:rsidRPr="00EE26AE">
        <w:t>——</w:t>
      </w:r>
      <w:r w:rsidR="00DD158C">
        <w:t> </w:t>
      </w:r>
      <w:r w:rsidRPr="00EE26AE">
        <w:t xml:space="preserve">2022e, </w:t>
      </w:r>
      <w:r w:rsidRPr="00EE26AE">
        <w:rPr>
          <w:i/>
          <w:iCs/>
        </w:rPr>
        <w:t>Has worker compensation reflected labour productivity growth?</w:t>
      </w:r>
      <w:r w:rsidRPr="00EE26AE">
        <w:t>, 13 December, Canberra.</w:t>
      </w:r>
    </w:p>
    <w:p w14:paraId="4514E055" w14:textId="2C9431DA" w:rsidR="00EE26AE" w:rsidRPr="00EE26AE" w:rsidRDefault="00EE26AE" w:rsidP="00365A49">
      <w:pPr>
        <w:pStyle w:val="Reference"/>
      </w:pPr>
      <w:r w:rsidRPr="00EE26AE">
        <w:t>——</w:t>
      </w:r>
      <w:r w:rsidR="00DD158C">
        <w:t> </w:t>
      </w:r>
      <w:r w:rsidRPr="00EE26AE">
        <w:t xml:space="preserve">2022f, </w:t>
      </w:r>
      <w:r w:rsidRPr="00EE26AE">
        <w:rPr>
          <w:i/>
          <w:iCs/>
        </w:rPr>
        <w:t>Household Income and Wealth, Australia, 2019-20</w:t>
      </w:r>
      <w:r w:rsidRPr="00EE26AE">
        <w:t>, Cat. no. 6523.0, Canberra.</w:t>
      </w:r>
    </w:p>
    <w:p w14:paraId="4CEEF91D" w14:textId="30451E54" w:rsidR="00EE26AE" w:rsidRPr="00EE26AE" w:rsidRDefault="00EE26AE" w:rsidP="00365A49">
      <w:pPr>
        <w:pStyle w:val="Reference"/>
      </w:pPr>
      <w:r w:rsidRPr="00EE26AE">
        <w:t>——</w:t>
      </w:r>
      <w:r w:rsidR="00DD158C">
        <w:t> </w:t>
      </w:r>
      <w:r w:rsidRPr="00EE26AE">
        <w:t xml:space="preserve">2022g, </w:t>
      </w:r>
      <w:r w:rsidRPr="00EE26AE">
        <w:rPr>
          <w:i/>
          <w:iCs/>
        </w:rPr>
        <w:t>Labour statistics: concepts, sources and methods</w:t>
      </w:r>
      <w:r w:rsidRPr="00EE26AE">
        <w:t>, 2021 edition.</w:t>
      </w:r>
    </w:p>
    <w:p w14:paraId="06D7BE62" w14:textId="05B99CE5" w:rsidR="00EE26AE" w:rsidRPr="00EE26AE" w:rsidRDefault="00EE26AE" w:rsidP="00365A49">
      <w:pPr>
        <w:pStyle w:val="Reference"/>
      </w:pPr>
      <w:r w:rsidRPr="00EE26AE">
        <w:t>——</w:t>
      </w:r>
      <w:r w:rsidR="00DD158C">
        <w:t> </w:t>
      </w:r>
      <w:r w:rsidRPr="00EE26AE">
        <w:t xml:space="preserve">2023, </w:t>
      </w:r>
      <w:r w:rsidRPr="00EE26AE">
        <w:rPr>
          <w:i/>
          <w:iCs/>
        </w:rPr>
        <w:t>Labour Account Australia, December 2022</w:t>
      </w:r>
      <w:r w:rsidRPr="00EE26AE">
        <w:t>, Cat. no. 6150.0.55.003., Canberra.</w:t>
      </w:r>
    </w:p>
    <w:p w14:paraId="1DAF57D9" w14:textId="77777777" w:rsidR="00EE26AE" w:rsidRPr="00EE26AE" w:rsidRDefault="00EE26AE" w:rsidP="00365A49">
      <w:pPr>
        <w:pStyle w:val="Reference"/>
      </w:pPr>
      <w:r w:rsidRPr="00EE26AE">
        <w:t xml:space="preserve">Bajard, F., Chancel, L., Moshrif, R. and Piketty, T. 2022, </w:t>
      </w:r>
      <w:r w:rsidRPr="00EE26AE">
        <w:rPr>
          <w:i/>
          <w:iCs/>
        </w:rPr>
        <w:t>Global wealth inequality on WID.world: estimates and imputations</w:t>
      </w:r>
      <w:r w:rsidRPr="00EE26AE">
        <w:t>, Technical note, 2021/16, World Inequality Lab.</w:t>
      </w:r>
    </w:p>
    <w:p w14:paraId="6AC9D3AE" w14:textId="77777777" w:rsidR="00EE26AE" w:rsidRPr="00EE26AE" w:rsidRDefault="00EE26AE" w:rsidP="00365A49">
      <w:pPr>
        <w:pStyle w:val="Reference"/>
      </w:pPr>
      <w:r w:rsidRPr="00EE26AE">
        <w:t xml:space="preserve">Barnes, P. 2011, </w:t>
      </w:r>
      <w:r w:rsidRPr="00EE26AE">
        <w:rPr>
          <w:i/>
          <w:iCs/>
        </w:rPr>
        <w:t>Multifactor Productivity Growth Cycles At the Industry Level</w:t>
      </w:r>
      <w:r w:rsidRPr="00EE26AE">
        <w:t>, Productivity Commission Staff Working Paper, Canberra.</w:t>
      </w:r>
    </w:p>
    <w:p w14:paraId="5BCAAEB9" w14:textId="77777777" w:rsidR="00EE26AE" w:rsidRPr="00EE26AE" w:rsidRDefault="00EE26AE" w:rsidP="00365A49">
      <w:pPr>
        <w:pStyle w:val="Reference"/>
      </w:pPr>
      <w:r w:rsidRPr="00EE26AE">
        <w:t xml:space="preserve">De Vries, K. and Erumban, A.A. 2022, </w:t>
      </w:r>
      <w:r w:rsidRPr="00EE26AE">
        <w:rPr>
          <w:i/>
          <w:iCs/>
        </w:rPr>
        <w:t>Total Economy Database: A detailed guide to its sources and methods</w:t>
      </w:r>
      <w:r w:rsidRPr="00EE26AE">
        <w:t>, The Conference Board.</w:t>
      </w:r>
    </w:p>
    <w:p w14:paraId="099DDA6F" w14:textId="77777777" w:rsidR="00EE26AE" w:rsidRPr="00EE26AE" w:rsidRDefault="00EE26AE" w:rsidP="00365A49">
      <w:pPr>
        <w:pStyle w:val="Reference"/>
      </w:pPr>
      <w:r w:rsidRPr="00EE26AE">
        <w:t xml:space="preserve">Feenstra, R., Inklaar, R. and Timmer, M. 2015, ‘The next generation of the Penn World Table’, </w:t>
      </w:r>
      <w:r w:rsidRPr="00EE26AE">
        <w:rPr>
          <w:i/>
          <w:iCs/>
        </w:rPr>
        <w:t>American Economic Review</w:t>
      </w:r>
      <w:r w:rsidRPr="00EE26AE">
        <w:t>, vol. 105, no. 10, pp. 3150–3182.</w:t>
      </w:r>
    </w:p>
    <w:p w14:paraId="07D18508" w14:textId="77777777" w:rsidR="00EE26AE" w:rsidRPr="00EE26AE" w:rsidRDefault="00EE26AE" w:rsidP="00365A49">
      <w:pPr>
        <w:pStyle w:val="Reference"/>
      </w:pPr>
      <w:r w:rsidRPr="00EE26AE">
        <w:t xml:space="preserve">Fisher, L.A. and Kingston, G. 2022, ‘Medium-run determinants of real wages in Australia’, </w:t>
      </w:r>
      <w:r w:rsidRPr="00EE26AE">
        <w:rPr>
          <w:i/>
          <w:iCs/>
        </w:rPr>
        <w:t>Economic Analysis and Policy</w:t>
      </w:r>
      <w:r w:rsidRPr="00EE26AE">
        <w:t>, vol. 76, pp. 1098–1107.</w:t>
      </w:r>
    </w:p>
    <w:p w14:paraId="0BE939EF" w14:textId="77777777" w:rsidR="00EE26AE" w:rsidRPr="00EE26AE" w:rsidRDefault="00EE26AE" w:rsidP="00365A49">
      <w:pPr>
        <w:pStyle w:val="Reference"/>
      </w:pPr>
      <w:r w:rsidRPr="00EE26AE">
        <w:t xml:space="preserve">Fisher-Post, M., Hérault, Ni. and Wilkins, R. 2022, </w:t>
      </w:r>
      <w:r w:rsidRPr="00EE26AE">
        <w:rPr>
          <w:i/>
          <w:iCs/>
        </w:rPr>
        <w:t>Distributional National Accounts for Australia, 1991-2018</w:t>
      </w:r>
      <w:r w:rsidRPr="00EE26AE">
        <w:t>, Working Paper, 17/22, Melbourne Institute: Applied Economic &amp; Social Research.</w:t>
      </w:r>
    </w:p>
    <w:p w14:paraId="0D6037E1" w14:textId="77777777" w:rsidR="00EE26AE" w:rsidRPr="00EE26AE" w:rsidRDefault="00EE26AE" w:rsidP="00365A49">
      <w:pPr>
        <w:pStyle w:val="Reference"/>
      </w:pPr>
      <w:r w:rsidRPr="00EE26AE">
        <w:t xml:space="preserve">Inklaar, R. and Timmer, M.P. 2013, </w:t>
      </w:r>
      <w:r w:rsidRPr="00EE26AE">
        <w:rPr>
          <w:i/>
          <w:iCs/>
        </w:rPr>
        <w:t>Capital, labor and TFP in PWT8.0</w:t>
      </w:r>
      <w:r w:rsidRPr="00EE26AE">
        <w:t>, Groningen Growth and Development Centre, University of Groningen.</w:t>
      </w:r>
    </w:p>
    <w:p w14:paraId="3F4C731A" w14:textId="77777777" w:rsidR="00EE26AE" w:rsidRPr="00EE26AE" w:rsidRDefault="00EE26AE" w:rsidP="00365A49">
      <w:pPr>
        <w:pStyle w:val="Reference"/>
      </w:pPr>
      <w:r w:rsidRPr="00EE26AE">
        <w:t xml:space="preserve">Leigh, A. 2013, </w:t>
      </w:r>
      <w:r w:rsidRPr="00EE26AE">
        <w:rPr>
          <w:i/>
          <w:iCs/>
        </w:rPr>
        <w:t>Battlers and Billionaires: The Story of Inequality in Australia</w:t>
      </w:r>
      <w:r w:rsidRPr="00EE26AE">
        <w:t>, Black Inc. Publishing, Melbourne.</w:t>
      </w:r>
    </w:p>
    <w:p w14:paraId="72E88768" w14:textId="77777777" w:rsidR="00EE26AE" w:rsidRPr="00EE26AE" w:rsidRDefault="00EE26AE" w:rsidP="00365A49">
      <w:pPr>
        <w:pStyle w:val="Reference"/>
      </w:pPr>
      <w:r w:rsidRPr="00EE26AE">
        <w:t xml:space="preserve">Lerman, R.I. and Yitzhaki, S. 1985, ‘Income inequality effects by income source: a new approach and application to the United States’, </w:t>
      </w:r>
      <w:r w:rsidRPr="00EE26AE">
        <w:rPr>
          <w:i/>
          <w:iCs/>
        </w:rPr>
        <w:t>The Review of Economics and Statistics</w:t>
      </w:r>
      <w:r w:rsidRPr="00EE26AE">
        <w:t>, vol. 67, no. 1, pp. 151–156.</w:t>
      </w:r>
    </w:p>
    <w:p w14:paraId="5D9F8E40" w14:textId="77777777" w:rsidR="00EE26AE" w:rsidRPr="00EE26AE" w:rsidRDefault="00EE26AE" w:rsidP="00365A49">
      <w:pPr>
        <w:pStyle w:val="Reference"/>
      </w:pPr>
      <w:r w:rsidRPr="00EE26AE">
        <w:t xml:space="preserve">Madsen, J. and Robertson, P. 2022, </w:t>
      </w:r>
      <w:r w:rsidRPr="00EE26AE">
        <w:rPr>
          <w:i/>
          <w:iCs/>
        </w:rPr>
        <w:t>Labour’s share of national income has been remarkably consistent since the 1860s</w:t>
      </w:r>
      <w:r w:rsidRPr="00EE26AE">
        <w:t>, The Conversation, https://theconversation.com/labours-share-of-national-income-has-been-remarkably-consistent-since-the-1860s-195436 (accessed 29 June 2023).</w:t>
      </w:r>
    </w:p>
    <w:p w14:paraId="4D2115A0" w14:textId="77777777" w:rsidR="00EE26AE" w:rsidRPr="00EE26AE" w:rsidRDefault="00EE26AE" w:rsidP="00365A49">
      <w:pPr>
        <w:pStyle w:val="Reference"/>
      </w:pPr>
      <w:r w:rsidRPr="00EE26AE">
        <w:t xml:space="preserve">OECD (Organisation for Economic Co-operation and Development) 2023, </w:t>
      </w:r>
      <w:r w:rsidRPr="00EE26AE">
        <w:rPr>
          <w:i/>
          <w:iCs/>
        </w:rPr>
        <w:t>OECD Compendium of Productivity Indicators 2023</w:t>
      </w:r>
      <w:r w:rsidRPr="00EE26AE">
        <w:t>, Paris.</w:t>
      </w:r>
    </w:p>
    <w:p w14:paraId="094775F1" w14:textId="77777777" w:rsidR="00EE26AE" w:rsidRPr="00EE26AE" w:rsidRDefault="00EE26AE" w:rsidP="00365A49">
      <w:pPr>
        <w:pStyle w:val="Reference"/>
      </w:pPr>
      <w:r w:rsidRPr="00EE26AE">
        <w:t xml:space="preserve">RBA (Reserve Bank of Australia) 2011, </w:t>
      </w:r>
      <w:r w:rsidRPr="00EE26AE">
        <w:rPr>
          <w:i/>
          <w:iCs/>
        </w:rPr>
        <w:t>Statement on Monetary Policy, November 2011</w:t>
      </w:r>
      <w:r w:rsidRPr="00EE26AE">
        <w:t>.</w:t>
      </w:r>
    </w:p>
    <w:p w14:paraId="158457B9" w14:textId="77777777" w:rsidR="00EE26AE" w:rsidRPr="00EE26AE" w:rsidRDefault="00EE26AE" w:rsidP="00365A49">
      <w:pPr>
        <w:pStyle w:val="Reference"/>
      </w:pPr>
      <w:r w:rsidRPr="00EE26AE">
        <w:t xml:space="preserve">Richardson, D. 2022, </w:t>
      </w:r>
      <w:r w:rsidRPr="00EE26AE">
        <w:rPr>
          <w:i/>
          <w:iCs/>
        </w:rPr>
        <w:t>Foreign investment in Australia: Australian big business is not Australian at all</w:t>
      </w:r>
      <w:r w:rsidRPr="00EE26AE">
        <w:t>, Discussion paper, The Australia Institute.</w:t>
      </w:r>
    </w:p>
    <w:p w14:paraId="11261E64" w14:textId="77777777" w:rsidR="00EE26AE" w:rsidRPr="00EE26AE" w:rsidRDefault="00EE26AE" w:rsidP="00365A49">
      <w:pPr>
        <w:pStyle w:val="Reference"/>
      </w:pPr>
      <w:r w:rsidRPr="00EE26AE">
        <w:t xml:space="preserve">Russell, B. and Tease, W.J. 1988, </w:t>
      </w:r>
      <w:r w:rsidRPr="00EE26AE">
        <w:rPr>
          <w:i/>
          <w:iCs/>
        </w:rPr>
        <w:t>Employment, output and real wages</w:t>
      </w:r>
      <w:r w:rsidRPr="00EE26AE">
        <w:t>, Research Discussion Paper, 8806, Reserve Bank of Australia.</w:t>
      </w:r>
    </w:p>
    <w:p w14:paraId="7E688F0F" w14:textId="77777777" w:rsidR="00EE26AE" w:rsidRPr="00EE26AE" w:rsidRDefault="00EE26AE" w:rsidP="00365A49">
      <w:pPr>
        <w:pStyle w:val="Reference"/>
      </w:pPr>
      <w:r w:rsidRPr="00EE26AE">
        <w:t xml:space="preserve">Van Kerm, P. 2010, </w:t>
      </w:r>
      <w:r w:rsidRPr="00EE26AE">
        <w:rPr>
          <w:i/>
          <w:iCs/>
        </w:rPr>
        <w:t>sgini - Generalized Gini and Concentration coefficients (with factor decomposition) in Stata</w:t>
      </w:r>
      <w:r w:rsidRPr="00EE26AE">
        <w:t>, Luxembourg.</w:t>
      </w:r>
    </w:p>
    <w:p w14:paraId="0C451D27" w14:textId="77777777" w:rsidR="00EE26AE" w:rsidRPr="00EE26AE" w:rsidRDefault="00EE26AE" w:rsidP="00365A49">
      <w:pPr>
        <w:pStyle w:val="Reference"/>
      </w:pPr>
      <w:r w:rsidRPr="00EE26AE">
        <w:t xml:space="preserve">Wilkins, R. 2014, ‘Evaluating the Evidence on Income Inequality in Australia in the 2000s’, </w:t>
      </w:r>
      <w:r w:rsidRPr="00EE26AE">
        <w:rPr>
          <w:i/>
          <w:iCs/>
        </w:rPr>
        <w:t>The Economic Record</w:t>
      </w:r>
      <w:r w:rsidRPr="00EE26AE">
        <w:t>, vol. 90, no. 288, pp. 63–89.</w:t>
      </w:r>
    </w:p>
    <w:p w14:paraId="527C0775" w14:textId="77777777" w:rsidR="00EE26AE" w:rsidRPr="000E5DEE" w:rsidRDefault="00EE26AE" w:rsidP="00365A49">
      <w:pPr>
        <w:pStyle w:val="Reference"/>
        <w:rPr>
          <w:spacing w:val="-4"/>
        </w:rPr>
      </w:pPr>
      <w:r w:rsidRPr="000E5DEE">
        <w:rPr>
          <w:spacing w:val="-4"/>
        </w:rPr>
        <w:t xml:space="preserve">——, Vera-Toscano, E., Botha, F., Wooden, M. and Trinh, T. 2022, </w:t>
      </w:r>
      <w:r w:rsidRPr="000E5DEE">
        <w:rPr>
          <w:i/>
          <w:iCs/>
          <w:spacing w:val="-4"/>
        </w:rPr>
        <w:t>The Household, Income and Labour Dynamics in Australia Survey: Selected Findings from Waves 1 to 20</w:t>
      </w:r>
      <w:r w:rsidRPr="000E5DEE">
        <w:rPr>
          <w:spacing w:val="-4"/>
        </w:rPr>
        <w:t>, 17, Melbourne Institute of Applied Economic &amp; Social Research, Melbourne.</w:t>
      </w:r>
    </w:p>
    <w:p w14:paraId="5E2C87C0" w14:textId="77777777" w:rsidR="00DD158C" w:rsidRDefault="00EE26AE" w:rsidP="00365A49">
      <w:pPr>
        <w:pStyle w:val="Reference"/>
        <w:sectPr w:rsidR="00DD158C" w:rsidSect="00DD158C">
          <w:type w:val="continuous"/>
          <w:pgSz w:w="11906" w:h="16838" w:code="9"/>
          <w:pgMar w:top="1134" w:right="1134" w:bottom="1134" w:left="1134" w:header="794" w:footer="510" w:gutter="0"/>
          <w:pgNumType w:fmt="lowerRoman"/>
          <w:cols w:num="2" w:space="708"/>
          <w:docGrid w:linePitch="360"/>
        </w:sectPr>
      </w:pPr>
      <w:r w:rsidRPr="00EE26AE">
        <w:t xml:space="preserve">World Inequality Lab 2023, </w:t>
      </w:r>
      <w:r w:rsidRPr="00EE26AE">
        <w:rPr>
          <w:i/>
          <w:iCs/>
        </w:rPr>
        <w:t>World Inequality Database</w:t>
      </w:r>
      <w:r w:rsidRPr="00EE26AE">
        <w:t>, https://wid.world/ (accessed 1 July 2023).</w:t>
      </w:r>
    </w:p>
    <w:p w14:paraId="206F1D61" w14:textId="57C4A77A" w:rsidR="00A91551" w:rsidRPr="00A91551" w:rsidRDefault="00A91551" w:rsidP="00365A49">
      <w:pPr>
        <w:pStyle w:val="Reference"/>
      </w:pPr>
    </w:p>
    <w:sectPr w:rsidR="00A91551" w:rsidRPr="00A91551" w:rsidSect="00DD158C">
      <w:type w:val="continuous"/>
      <w:pgSz w:w="11906" w:h="16838" w:code="9"/>
      <w:pgMar w:top="1134" w:right="1134" w:bottom="1134" w:left="1134" w:header="794" w:footer="510" w:gutter="0"/>
      <w:pgNumType w:fmt="lowerRoman"/>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EF3CC" w14:textId="77777777" w:rsidR="009371D0" w:rsidRDefault="009371D0" w:rsidP="008017BC">
      <w:r>
        <w:separator/>
      </w:r>
    </w:p>
    <w:p w14:paraId="3DCBCD2C" w14:textId="77777777" w:rsidR="009371D0" w:rsidRDefault="009371D0"/>
  </w:endnote>
  <w:endnote w:type="continuationSeparator" w:id="0">
    <w:p w14:paraId="44733A66" w14:textId="77777777" w:rsidR="009371D0" w:rsidRDefault="009371D0" w:rsidP="008017BC">
      <w:r>
        <w:continuationSeparator/>
      </w:r>
    </w:p>
    <w:p w14:paraId="13943951" w14:textId="77777777" w:rsidR="009371D0" w:rsidRDefault="009371D0"/>
  </w:endnote>
  <w:endnote w:type="continuationNotice" w:id="1">
    <w:p w14:paraId="7A548D38" w14:textId="77777777" w:rsidR="009371D0" w:rsidRDefault="009371D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ody)">
    <w:altName w:val="Arial"/>
    <w:panose1 w:val="00000000000000000000"/>
    <w:charset w:val="00"/>
    <w:family w:val="roman"/>
    <w:notTrueType/>
    <w:pitch w:val="default"/>
  </w:font>
  <w:font w:name="Open Sans">
    <w:panose1 w:val="020B0606030504020204"/>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42E09" w14:textId="77777777" w:rsidR="0068696F" w:rsidRPr="00187F05" w:rsidRDefault="0068696F" w:rsidP="00A471AE">
    <w:pPr>
      <w:pStyle w:val="Footer"/>
      <w:jc w:val="right"/>
    </w:pPr>
    <w:r w:rsidRPr="00187F05">
      <w:fldChar w:fldCharType="begin"/>
    </w:r>
    <w:r w:rsidRPr="00187F05">
      <w:instrText xml:space="preserve"> PAGE   \* MERGEFORMAT </w:instrText>
    </w:r>
    <w:r w:rsidRPr="00187F05">
      <w:fldChar w:fldCharType="separate"/>
    </w:r>
    <w:r w:rsidRPr="00187F05">
      <w:t>1</w:t>
    </w:r>
    <w:r w:rsidRPr="00187F0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51386" w14:textId="77777777" w:rsidR="0068696F" w:rsidRDefault="0068696F">
    <w:pPr>
      <w:pStyle w:val="Footer"/>
    </w:pP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2D903" w14:textId="77777777" w:rsidR="0068696F" w:rsidRDefault="0068696F">
    <w:pPr>
      <w:pStyle w:val="Footer"/>
    </w:pPr>
    <w:r>
      <w:fldChar w:fldCharType="begin"/>
    </w:r>
    <w:r>
      <w:instrText xml:space="preserve"> PAGE   \* MERGEFORMAT </w:instrText>
    </w:r>
    <w:r>
      <w:fldChar w:fldCharType="separate"/>
    </w:r>
    <w:r>
      <w:rPr>
        <w:noProof/>
      </w:rPr>
      <w:t>1</w:t>
    </w:r>
    <w:r>
      <w:rPr>
        <w:noProof/>
      </w:rPr>
      <w:fldChar w:fldCharType="end"/>
    </w:r>
    <w:r>
      <w:rPr>
        <w:noProof/>
      </w:rPr>
      <mc:AlternateContent>
        <mc:Choice Requires="wps">
          <w:drawing>
            <wp:anchor distT="0" distB="0" distL="114300" distR="114300" simplePos="0" relativeHeight="251660288" behindDoc="0" locked="1" layoutInCell="1" allowOverlap="1" wp14:anchorId="19A6E9A9" wp14:editId="335ECAAB">
              <wp:simplePos x="0" y="0"/>
              <wp:positionH relativeFrom="page">
                <wp:align>left</wp:align>
              </wp:positionH>
              <wp:positionV relativeFrom="page">
                <wp:align>bottom</wp:align>
              </wp:positionV>
              <wp:extent cx="7560000" cy="7200000"/>
              <wp:effectExtent l="0" t="0" r="3175" b="1270"/>
              <wp:wrapNone/>
              <wp:docPr id="11"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7200000"/>
                      </a:xfrm>
                      <a:prstGeom prst="rect">
                        <a:avLst/>
                      </a:prstGeom>
                      <a:solidFill>
                        <a:srgbClr val="2C9BC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EED800" id="Rectangle 11" o:spid="_x0000_s1026" alt="&quot;&quot;" style="position:absolute;margin-left:0;margin-top:0;width:595.3pt;height:566.95pt;z-index:251660288;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" fillcolor="#2c9bc2" stroked="f" strokeweight="1pt">
              <w10:wrap anchorx="page" anchory="page"/>
              <w10:anchorlock/>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24BE5" w14:textId="77777777" w:rsidR="0068696F" w:rsidRDefault="0068696F" w:rsidP="002E3F19">
    <w:pPr>
      <w:pStyle w:val="Footer"/>
    </w:pPr>
    <w:r w:rsidRPr="00187F05">
      <w:fldChar w:fldCharType="begin"/>
    </w:r>
    <w:r w:rsidRPr="00187F05">
      <w:instrText xml:space="preserve"> PAGE   \* MERGEFORMAT </w:instrText>
    </w:r>
    <w:r w:rsidRPr="00187F05">
      <w:fldChar w:fldCharType="separate"/>
    </w:r>
    <w:r w:rsidRPr="00187F05">
      <w:t>1</w:t>
    </w:r>
    <w:r w:rsidRPr="00187F05">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030665"/>
      <w:docPartObj>
        <w:docPartGallery w:val="Page Numbers (Bottom of Page)"/>
        <w:docPartUnique/>
      </w:docPartObj>
    </w:sdtPr>
    <w:sdtContent>
      <w:sdt>
        <w:sdtPr>
          <w:id w:val="89893696"/>
          <w:docPartObj>
            <w:docPartGallery w:val="Page Numbers (Top of Page)"/>
            <w:docPartUnique/>
          </w:docPartObj>
        </w:sdtPr>
        <w:sdtContent>
          <w:p w14:paraId="3CE40A68" w14:textId="77777777" w:rsidR="0068696F" w:rsidRDefault="0068696F" w:rsidP="002E3F19">
            <w:pPr>
              <w:pStyle w:val="Footer-right"/>
            </w:pPr>
            <w:r w:rsidRPr="0042508F">
              <w:rPr>
                <w:sz w:val="24"/>
              </w:rPr>
              <w:fldChar w:fldCharType="begin"/>
            </w:r>
            <w:r w:rsidRPr="0042508F">
              <w:instrText xml:space="preserve"> PAGE </w:instrText>
            </w:r>
            <w:r w:rsidRPr="0042508F">
              <w:rPr>
                <w:sz w:val="24"/>
              </w:rPr>
              <w:fldChar w:fldCharType="separate"/>
            </w:r>
            <w:r>
              <w:rPr>
                <w:noProof/>
              </w:rPr>
              <w:t>1</w:t>
            </w:r>
            <w:r w:rsidRPr="0042508F">
              <w:rPr>
                <w:sz w:val="24"/>
              </w:rPr>
              <w:fldChar w:fldCharType="end"/>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702AF" w14:textId="77777777" w:rsidR="00D15113" w:rsidRDefault="00F04EA7" w:rsidP="002E3F19">
    <w:pPr>
      <w:pStyle w:val="Footer"/>
    </w:pPr>
    <w:r w:rsidRPr="00187F05">
      <w:fldChar w:fldCharType="begin"/>
    </w:r>
    <w:r w:rsidRPr="00187F05">
      <w:instrText xml:space="preserve"> PAGE   \* MERGEFORMAT </w:instrText>
    </w:r>
    <w:r w:rsidRPr="00187F05">
      <w:fldChar w:fldCharType="separate"/>
    </w:r>
    <w:r w:rsidRPr="00187F05">
      <w:t>1</w:t>
    </w:r>
    <w:r w:rsidRPr="00187F05">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0765408"/>
      <w:docPartObj>
        <w:docPartGallery w:val="Page Numbers (Bottom of Page)"/>
        <w:docPartUnique/>
      </w:docPartObj>
    </w:sdtPr>
    <w:sdtContent>
      <w:sdt>
        <w:sdtPr>
          <w:id w:val="783309045"/>
          <w:docPartObj>
            <w:docPartGallery w:val="Page Numbers (Top of Page)"/>
            <w:docPartUnique/>
          </w:docPartObj>
        </w:sdtPr>
        <w:sdtContent>
          <w:p w14:paraId="5CE558A2" w14:textId="2C34C041" w:rsidR="00D15113" w:rsidRDefault="00F04EA7" w:rsidP="002E3F19">
            <w:pPr>
              <w:pStyle w:val="Footer-right"/>
            </w:pPr>
            <w:r w:rsidRPr="0042508F">
              <w:rPr>
                <w:sz w:val="24"/>
              </w:rPr>
              <w:fldChar w:fldCharType="begin"/>
            </w:r>
            <w:r w:rsidRPr="0042508F">
              <w:instrText xml:space="preserve"> PAGE </w:instrText>
            </w:r>
            <w:r w:rsidRPr="0042508F">
              <w:rPr>
                <w:sz w:val="24"/>
              </w:rPr>
              <w:fldChar w:fldCharType="separate"/>
            </w:r>
            <w:r>
              <w:rPr>
                <w:noProof/>
              </w:rPr>
              <w:t>1</w:t>
            </w:r>
            <w:r w:rsidRPr="0042508F">
              <w:rPr>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45F9F" w14:textId="77777777" w:rsidR="009371D0" w:rsidRPr="00C238D1" w:rsidRDefault="009371D0" w:rsidP="00273E86">
      <w:pPr>
        <w:spacing w:after="0" w:line="240" w:lineRule="auto"/>
        <w:rPr>
          <w:rStyle w:val="ColourDarkBlue"/>
        </w:rPr>
      </w:pPr>
      <w:r w:rsidRPr="00C238D1">
        <w:rPr>
          <w:rStyle w:val="ColourDarkBlue"/>
        </w:rPr>
        <w:continuationSeparator/>
      </w:r>
    </w:p>
  </w:footnote>
  <w:footnote w:type="continuationSeparator" w:id="0">
    <w:p w14:paraId="32EFF877" w14:textId="77777777" w:rsidR="009371D0" w:rsidRPr="001D7D9B" w:rsidRDefault="009371D0" w:rsidP="001D7D9B">
      <w:pPr>
        <w:spacing w:after="0" w:line="240" w:lineRule="auto"/>
        <w:rPr>
          <w:color w:val="265A9A" w:themeColor="background2"/>
        </w:rPr>
      </w:pPr>
      <w:r w:rsidRPr="00C238D1">
        <w:rPr>
          <w:rStyle w:val="ColourDarkBlue"/>
        </w:rPr>
        <w:continuationSeparator/>
      </w:r>
    </w:p>
  </w:footnote>
  <w:footnote w:type="continuationNotice" w:id="1">
    <w:p w14:paraId="3312B653" w14:textId="77777777" w:rsidR="009371D0" w:rsidRDefault="009371D0"/>
  </w:footnote>
  <w:footnote w:id="2">
    <w:p w14:paraId="2E3EB523" w14:textId="77777777" w:rsidR="00E21DC1" w:rsidRDefault="00E21DC1" w:rsidP="00E21DC1">
      <w:pPr>
        <w:pStyle w:val="FootnoteText"/>
      </w:pPr>
      <w:r w:rsidRPr="007C14DC">
        <w:rPr>
          <w:rStyle w:val="FootnoteReference"/>
        </w:rPr>
        <w:footnoteRef/>
      </w:r>
      <w:r>
        <w:t xml:space="preserve"> Data from the CoE is now reported in a separate publication called Employee Earnings.</w:t>
      </w:r>
    </w:p>
  </w:footnote>
  <w:footnote w:id="3">
    <w:p w14:paraId="36B7D2E3" w14:textId="77777777" w:rsidR="00E21DC1" w:rsidRPr="00F21F94" w:rsidRDefault="00E21DC1" w:rsidP="00E21DC1">
      <w:pPr>
        <w:pStyle w:val="FootnoteText"/>
        <w:rPr>
          <w:spacing w:val="-4"/>
        </w:rPr>
      </w:pPr>
      <w:r w:rsidRPr="007C14DC">
        <w:rPr>
          <w:rStyle w:val="FootnoteReference"/>
        </w:rPr>
        <w:footnoteRef/>
      </w:r>
      <w:r w:rsidRPr="00F21F94">
        <w:rPr>
          <w:spacing w:val="-4"/>
        </w:rPr>
        <w:t xml:space="preserve"> The WPI has a number of other important uses. It is a good measure of the effect of wages on inflation because it excludes compositional changes. For example, there is no inflationary pressure if someone gets a higher wage because they move from a low to high skill job, so it is important to remove such compositional changes to assess the impacts of wage pressures. </w:t>
      </w:r>
    </w:p>
  </w:footnote>
  <w:footnote w:id="4">
    <w:p w14:paraId="452219C5" w14:textId="77777777" w:rsidR="00E21DC1" w:rsidRDefault="00E21DC1" w:rsidP="00E21DC1">
      <w:pPr>
        <w:pStyle w:val="FootnoteText"/>
      </w:pPr>
      <w:r w:rsidRPr="007C14DC">
        <w:rPr>
          <w:rStyle w:val="FootnoteReference"/>
        </w:rPr>
        <w:footnoteRef/>
      </w:r>
      <w:r>
        <w:t xml:space="preserve"> GDP is measure of production but the income accruing from production (less direct taxes minus subsidies) should add to give the same amount. That is, GDP can be measured from three equivalent perspectives: adding up production (value added approach), adding up final expenditure (expenditure approach) or adding up the income accruing from production (income approach). </w:t>
      </w:r>
    </w:p>
  </w:footnote>
  <w:footnote w:id="5">
    <w:p w14:paraId="48436319" w14:textId="2F2270D3" w:rsidR="00E21DC1" w:rsidRDefault="00E21DC1" w:rsidP="00E21DC1">
      <w:pPr>
        <w:pStyle w:val="FootnoteText"/>
      </w:pPr>
      <w:r w:rsidRPr="007C14DC">
        <w:rPr>
          <w:rStyle w:val="FootnoteReference"/>
        </w:rPr>
        <w:footnoteRef/>
      </w:r>
      <w:r>
        <w:t xml:space="preserve"> The total wage measure implied by the ABS splitting of GMI (inclusive of both owner</w:t>
      </w:r>
      <w:r>
        <w:noBreakHyphen/>
        <w:t xml:space="preserve">managers and employers) also grew about 0.4 percentage points more annually than employee wages over the same period, leading to substantially lower wage decoupling if the ABS method of splitting GMI is used to construct wages is used rather than the </w:t>
      </w:r>
      <w:r w:rsidR="003D4752">
        <w:t>Commission’s</w:t>
      </w:r>
      <w:r>
        <w:t xml:space="preserve"> preferred wage measure.</w:t>
      </w:r>
    </w:p>
  </w:footnote>
  <w:footnote w:id="6">
    <w:p w14:paraId="5C3D8953" w14:textId="77777777" w:rsidR="00E21DC1" w:rsidRDefault="00E21DC1" w:rsidP="00E21DC1">
      <w:pPr>
        <w:pStyle w:val="FootnoteText"/>
      </w:pPr>
      <w:r w:rsidRPr="007C14DC">
        <w:rPr>
          <w:rStyle w:val="FootnoteReference"/>
        </w:rPr>
        <w:footnoteRef/>
      </w:r>
      <w:r>
        <w:t xml:space="preserve"> A significant proportion of a business’s sales will be to other businesses. So, if a price index reflected the prices of all goods and services provided by business without incorporating input costs or focusing only on final goods and services, then it would be double counting many products. </w:t>
      </w:r>
    </w:p>
  </w:footnote>
  <w:footnote w:id="7">
    <w:p w14:paraId="3FCA2DCA" w14:textId="77777777" w:rsidR="00E21DC1" w:rsidRDefault="00E21DC1" w:rsidP="00E21DC1">
      <w:pPr>
        <w:pStyle w:val="FootnoteText"/>
      </w:pPr>
      <w:r w:rsidRPr="007C14DC">
        <w:rPr>
          <w:rStyle w:val="FootnoteReference"/>
        </w:rPr>
        <w:footnoteRef/>
      </w:r>
      <w:r>
        <w:t xml:space="preserve"> As noted above, producer wages are the preferred measure of real wages. It is notable that the relationship between the growth rates in labour productivity and real producer wages across the growth cycles are much more correlated with each other than the growth rates in labour productivity and real consumer wages (with correlation coefficients of 0.91 and 0.73 respectively).</w:t>
      </w:r>
    </w:p>
  </w:footnote>
  <w:footnote w:id="8">
    <w:p w14:paraId="77F68BA4" w14:textId="77777777" w:rsidR="00696D3E" w:rsidRDefault="00696D3E" w:rsidP="00696D3E">
      <w:pPr>
        <w:pStyle w:val="FootnoteText"/>
      </w:pPr>
      <w:r w:rsidRPr="007C14DC">
        <w:rPr>
          <w:rStyle w:val="FootnoteReference"/>
        </w:rPr>
        <w:footnoteRef/>
      </w:r>
      <w:r>
        <w:t xml:space="preserve"> In the LFS, the hours worked by owner</w:t>
      </w:r>
      <w:r>
        <w:noBreakHyphen/>
        <w:t>managers of incorporated enterprises are added to the hours of employees, so all estimates of ‘employee hours’ presented in this report are the sum of employee and owner</w:t>
      </w:r>
      <w:r>
        <w:noBreakHyphen/>
        <w:t xml:space="preserve">manager of incorporated enterprises hours worked. </w:t>
      </w:r>
    </w:p>
  </w:footnote>
  <w:footnote w:id="9">
    <w:p w14:paraId="48581DA5" w14:textId="77777777" w:rsidR="00696D3E" w:rsidRPr="00A8019D" w:rsidRDefault="00696D3E" w:rsidP="00696D3E">
      <w:pPr>
        <w:pStyle w:val="FootnoteText"/>
        <w:rPr>
          <w:spacing w:val="-6"/>
        </w:rPr>
      </w:pPr>
      <w:r w:rsidRPr="00A8019D">
        <w:rPr>
          <w:rStyle w:val="FootnoteReference"/>
          <w:spacing w:val="-6"/>
        </w:rPr>
        <w:footnoteRef/>
      </w:r>
      <w:r w:rsidRPr="00A8019D">
        <w:rPr>
          <w:spacing w:val="-6"/>
        </w:rPr>
        <w:t xml:space="preserve"> There is a fourth non-market industry – </w:t>
      </w:r>
      <w:r w:rsidRPr="00A8019D">
        <w:rPr>
          <w:i/>
          <w:iCs/>
          <w:spacing w:val="-6"/>
        </w:rPr>
        <w:t>Ownership of dwellings</w:t>
      </w:r>
      <w:r w:rsidRPr="00A8019D">
        <w:rPr>
          <w:spacing w:val="-6"/>
        </w:rPr>
        <w:t xml:space="preserve"> – which represents the explicit rents of landlords and implicit rents of owner-occupiers in national income. This industry is assumed to use no labour input and so has no labour productivity. </w:t>
      </w:r>
    </w:p>
  </w:footnote>
  <w:footnote w:id="10">
    <w:p w14:paraId="53325CC5" w14:textId="68982DAB" w:rsidR="00703C4F" w:rsidRDefault="00703C4F" w:rsidP="00703C4F">
      <w:pPr>
        <w:pStyle w:val="FootnoteText"/>
      </w:pPr>
      <w:r w:rsidRPr="007C14DC">
        <w:rPr>
          <w:rStyle w:val="FootnoteReference"/>
        </w:rPr>
        <w:footnoteRef/>
      </w:r>
      <w:r>
        <w:t xml:space="preserve"> Nominal </w:t>
      </w:r>
      <w:r w:rsidRPr="00982467">
        <w:t xml:space="preserve">gross value added </w:t>
      </w:r>
      <w:r>
        <w:t>(GVA) per hour worked in the mining industry in 2021</w:t>
      </w:r>
      <w:r>
        <w:noBreakHyphen/>
        <w:t xml:space="preserve">22 was $777 while for the whole economy it was $87 </w:t>
      </w:r>
      <w:r w:rsidR="00EE26AE" w:rsidRPr="00EE26AE">
        <w:rPr>
          <w:rFonts w:ascii="Arial" w:hAnsi="Arial" w:cs="Arial"/>
          <w:szCs w:val="24"/>
        </w:rPr>
        <w:t>(ABS 2022a, 2023, table 46)</w:t>
      </w:r>
      <w:r>
        <w:t xml:space="preserve">. </w:t>
      </w:r>
    </w:p>
  </w:footnote>
  <w:footnote w:id="11">
    <w:p w14:paraId="1E070B0A" w14:textId="4D9FDA9A" w:rsidR="00D076E8" w:rsidRPr="00341116" w:rsidRDefault="00D076E8" w:rsidP="00D076E8">
      <w:pPr>
        <w:pStyle w:val="FootnoteText"/>
        <w:rPr>
          <w:spacing w:val="-4"/>
        </w:rPr>
      </w:pPr>
      <w:r w:rsidRPr="00341116">
        <w:rPr>
          <w:rStyle w:val="FootnoteReference"/>
          <w:spacing w:val="-4"/>
        </w:rPr>
        <w:footnoteRef/>
      </w:r>
      <w:r w:rsidRPr="00341116">
        <w:rPr>
          <w:spacing w:val="-4"/>
        </w:rPr>
        <w:t xml:space="preserve"> Some of the difference between the HES/SIH (figure 1</w:t>
      </w:r>
      <w:r w:rsidR="00750405" w:rsidRPr="00341116">
        <w:rPr>
          <w:spacing w:val="-4"/>
        </w:rPr>
        <w:t>5</w:t>
      </w:r>
      <w:r w:rsidRPr="00341116">
        <w:rPr>
          <w:spacing w:val="-4"/>
        </w:rPr>
        <w:t xml:space="preserve">), which showed a small increase in post-tax and transfer income inequality, and HILDA, which showed no increase in post-tax and transfer income inequality, may be due in part to changes to the methodology in HES/SIH which tended to increase the measured incomes of higher income households </w:t>
      </w:r>
      <w:r w:rsidRPr="00341116">
        <w:rPr>
          <w:rFonts w:cs="Arial"/>
          <w:spacing w:val="-4"/>
          <w:szCs w:val="24"/>
        </w:rPr>
        <w:t>(Wilkins 2014)</w:t>
      </w:r>
      <w:r w:rsidRPr="00341116">
        <w:rPr>
          <w:spacing w:val="-4"/>
        </w:rPr>
        <w:t>.</w:t>
      </w:r>
    </w:p>
  </w:footnote>
  <w:footnote w:id="12">
    <w:p w14:paraId="0F3F3ABB" w14:textId="77777777" w:rsidR="00D076E8" w:rsidRDefault="00D076E8" w:rsidP="00D076E8">
      <w:pPr>
        <w:pStyle w:val="FootnoteText"/>
      </w:pPr>
      <w:r w:rsidRPr="002E6CB2">
        <w:rPr>
          <w:rStyle w:val="FootnoteReference"/>
        </w:rPr>
        <w:footnoteRef/>
      </w:r>
      <w:r>
        <w:t xml:space="preserve"> These data are from different sources (survey data in the first instance and administrative data in the second). </w:t>
      </w:r>
    </w:p>
  </w:footnote>
  <w:footnote w:id="13">
    <w:p w14:paraId="6EF72248" w14:textId="77777777" w:rsidR="00D076E8" w:rsidRDefault="00D076E8" w:rsidP="00D076E8">
      <w:pPr>
        <w:pStyle w:val="FootnoteText"/>
      </w:pPr>
      <w:r w:rsidRPr="002E6CB2">
        <w:rPr>
          <w:rStyle w:val="FootnoteReference"/>
        </w:rPr>
        <w:footnoteRef/>
      </w:r>
      <w:r>
        <w:t xml:space="preserve"> It should be emphasised that this is not longitudinal data. Many people in lower percentiles when young (for example, those employed in unskilled jobs before they engage in further education) shift to higher percentiles as they age. Nonetheless, the data suggests that the returns to those factors that particularly improve earnings (such as sought</w:t>
      </w:r>
      <w:r>
        <w:noBreakHyphen/>
        <w:t>after occupations) have risen over time.</w:t>
      </w:r>
    </w:p>
  </w:footnote>
  <w:footnote w:id="14">
    <w:p w14:paraId="19EB1D78" w14:textId="6308B0B3" w:rsidR="00D076E8" w:rsidRDefault="00D076E8" w:rsidP="00D076E8">
      <w:pPr>
        <w:pStyle w:val="FootnoteText"/>
      </w:pPr>
      <w:r w:rsidRPr="007C14DC">
        <w:rPr>
          <w:rStyle w:val="FootnoteReference"/>
        </w:rPr>
        <w:footnoteRef/>
      </w:r>
      <w:r>
        <w:t xml:space="preserve"> By the Commission’s preferred method of splitting GMI, the labour portion of GMI averaged about 39% between 1994</w:t>
      </w:r>
      <w:r>
        <w:noBreakHyphen/>
        <w:t>95 and 2021</w:t>
      </w:r>
      <w:r>
        <w:noBreakHyphen/>
        <w:t xml:space="preserve">22. </w:t>
      </w:r>
    </w:p>
  </w:footnote>
  <w:footnote w:id="15">
    <w:p w14:paraId="6B9B306B" w14:textId="75CE34F1" w:rsidR="00D076E8" w:rsidRPr="000C7231" w:rsidRDefault="00D076E8" w:rsidP="00D076E8">
      <w:pPr>
        <w:pStyle w:val="FootnoteText"/>
        <w:rPr>
          <w:spacing w:val="-4"/>
        </w:rPr>
      </w:pPr>
      <w:r w:rsidRPr="007C14DC">
        <w:rPr>
          <w:rStyle w:val="FootnoteReference"/>
        </w:rPr>
        <w:footnoteRef/>
      </w:r>
      <w:r w:rsidRPr="000C7231">
        <w:rPr>
          <w:spacing w:val="-4"/>
        </w:rPr>
        <w:t xml:space="preserve"> Strictly speaking, the </w:t>
      </w:r>
      <w:r w:rsidRPr="000C7231">
        <w:rPr>
          <w:i/>
          <w:spacing w:val="-4"/>
        </w:rPr>
        <w:t>Penn World Tables</w:t>
      </w:r>
      <w:r w:rsidRPr="000C7231">
        <w:rPr>
          <w:spacing w:val="-4"/>
        </w:rPr>
        <w:t xml:space="preserve"> use the estimates of employment and hours from the </w:t>
      </w:r>
      <w:r w:rsidRPr="000C7231">
        <w:rPr>
          <w:i/>
          <w:spacing w:val="-4"/>
        </w:rPr>
        <w:t>Total Economy Database</w:t>
      </w:r>
      <w:r w:rsidRPr="000C7231">
        <w:rPr>
          <w:spacing w:val="-4"/>
        </w:rPr>
        <w:t xml:space="preserve"> which in turn make use of old </w:t>
      </w:r>
      <w:r w:rsidRPr="008C2032">
        <w:rPr>
          <w:iCs/>
          <w:spacing w:val="-4"/>
        </w:rPr>
        <w:t>LFS</w:t>
      </w:r>
      <w:r w:rsidRPr="000C7231">
        <w:rPr>
          <w:i/>
          <w:spacing w:val="-4"/>
        </w:rPr>
        <w:t xml:space="preserve"> </w:t>
      </w:r>
      <w:r w:rsidRPr="000C7231">
        <w:rPr>
          <w:spacing w:val="-4"/>
        </w:rPr>
        <w:t xml:space="preserve">data </w:t>
      </w:r>
      <w:r w:rsidRPr="000C7231">
        <w:rPr>
          <w:rFonts w:cs="Arial"/>
          <w:spacing w:val="-4"/>
          <w:szCs w:val="24"/>
        </w:rPr>
        <w:t>(De Vries and Erumban 2022; Inklaar and Timmer 2013)</w:t>
      </w:r>
      <w:r w:rsidRPr="000C7231">
        <w:rPr>
          <w:spacing w:val="-4"/>
        </w:rPr>
        <w:t xml:space="preserve">. </w:t>
      </w:r>
    </w:p>
  </w:footnote>
  <w:footnote w:id="16">
    <w:p w14:paraId="3B9D6CB6" w14:textId="77777777" w:rsidR="00D076E8" w:rsidRDefault="00D076E8" w:rsidP="00D076E8">
      <w:pPr>
        <w:pStyle w:val="FootnoteText"/>
      </w:pPr>
      <w:r w:rsidRPr="007C14DC">
        <w:rPr>
          <w:rStyle w:val="FootnoteReference"/>
        </w:rPr>
        <w:footnoteRef/>
      </w:r>
      <w:r>
        <w:t xml:space="preserve"> Based on pre-publication data generously provided by Jakob Madsen and Peter Robertson from the University of Western Australia.</w:t>
      </w:r>
      <w:r w:rsidRPr="001E5216">
        <w:t xml:space="preserve"> </w:t>
      </w:r>
      <w:r>
        <w:t xml:space="preserve">The estimates are based on a different measure of labour income than those shown in this report for the last 60 years, but nonetheless shows similar patterns for overlapping periods. The authors define </w:t>
      </w:r>
      <w:r w:rsidRPr="001D68E1">
        <w:t xml:space="preserve">labour income as </w:t>
      </w:r>
      <w:r>
        <w:t>the</w:t>
      </w:r>
      <w:r w:rsidRPr="001D68E1">
        <w:t xml:space="preserve"> share of GDP less taxes</w:t>
      </w:r>
      <w:r>
        <w:t xml:space="preserve">, </w:t>
      </w:r>
      <w:r w:rsidRPr="001D68E1">
        <w:t>subsidies</w:t>
      </w:r>
      <w:r>
        <w:t xml:space="preserve"> and </w:t>
      </w:r>
      <w:r w:rsidRPr="001D68E1">
        <w:t xml:space="preserve">capital depreciation. </w:t>
      </w:r>
      <w:r>
        <w:t>T</w:t>
      </w:r>
      <w:r w:rsidRPr="001D68E1">
        <w:t xml:space="preserve">his </w:t>
      </w:r>
      <w:r>
        <w:t>is</w:t>
      </w:r>
      <w:r w:rsidRPr="001D68E1">
        <w:t xml:space="preserve"> the labour share of ‘net’ (after depreciation) national income as opposed to the usual presentation of the labour share of ‘gross’ (before depreciation) income.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C84F8" w14:textId="77777777" w:rsidR="0068696F" w:rsidRDefault="0068696F" w:rsidP="00946C03">
    <w:pPr>
      <w:pStyle w:val="Header-Keyline"/>
    </w:pPr>
    <w:r>
      <w:rPr>
        <w:rStyle w:val="Strong"/>
      </w:rPr>
      <w:t>PC productivity insights</w:t>
    </w:r>
    <w:r>
      <w:t xml:space="preserve"> Annual report series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1448D" w14:textId="5B212BD0" w:rsidR="0068696F" w:rsidRDefault="0068696F" w:rsidP="006D4212">
    <w:pPr>
      <w:pStyle w:val="Header-KeylineRight"/>
    </w:pPr>
    <w:r>
      <w:fldChar w:fldCharType="begin"/>
    </w:r>
    <w:r>
      <w:instrText xml:space="preserve"> STYLEREF  "Heading 1"  \* MERGEFORMAT </w:instrText>
    </w:r>
    <w:r>
      <w:fldChar w:fldCharType="separate"/>
    </w:r>
    <w:r w:rsidR="0058314A">
      <w:rPr>
        <w:b/>
        <w:bCs/>
        <w:noProof/>
        <w:lang w:val="en-US"/>
      </w:rPr>
      <w:t>Error! No text of specified style in document.</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2463C" w14:textId="77777777" w:rsidR="0068696F" w:rsidRPr="007215EF" w:rsidRDefault="0068696F" w:rsidP="007215EF">
    <w:r w:rsidRPr="007215EF">
      <w:rPr>
        <w:noProof/>
      </w:rPr>
      <w:drawing>
        <wp:anchor distT="0" distB="0" distL="114300" distR="114300" simplePos="0" relativeHeight="251659264" behindDoc="0" locked="1" layoutInCell="1" allowOverlap="1" wp14:anchorId="4C60FDF1" wp14:editId="3FFAF572">
          <wp:simplePos x="0" y="0"/>
          <wp:positionH relativeFrom="margin">
            <wp:align>left</wp:align>
          </wp:positionH>
          <wp:positionV relativeFrom="page">
            <wp:align>top</wp:align>
          </wp:positionV>
          <wp:extent cx="2235600" cy="1058400"/>
          <wp:effectExtent l="0" t="0" r="0" b="8890"/>
          <wp:wrapNone/>
          <wp:docPr id="1810442504" name="Graphic 1810442504" descr="Productivity Commission | Australian Government logo">
            <a:extLst xmlns:a="http://schemas.openxmlformats.org/drawingml/2006/main">
              <a:ext uri="{FF2B5EF4-FFF2-40B4-BE49-F238E27FC236}">
                <a16:creationId xmlns:a16="http://schemas.microsoft.com/office/drawing/2014/main" id="{540D5EEA-84FD-4794-A974-3D74A07F2D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descr="Productivity Commission | Australian Government logo">
                    <a:extLst>
                      <a:ext uri="{FF2B5EF4-FFF2-40B4-BE49-F238E27FC236}">
                        <a16:creationId xmlns:a16="http://schemas.microsoft.com/office/drawing/2014/main" id="{540D5EEA-84FD-4794-A974-3D74A07F2D82}"/>
                      </a:ext>
                    </a:extLst>
                  </pic:cNvPr>
                  <pic:cNvPicPr>
                    <a:picLocks noChangeAspect="1"/>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t="-95925"/>
                  <a:stretch/>
                </pic:blipFill>
                <pic:spPr bwMode="auto">
                  <a:xfrm>
                    <a:off x="0" y="0"/>
                    <a:ext cx="2235600" cy="1058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BED42CB" w14:textId="77777777" w:rsidR="0068696F" w:rsidRPr="005965BC" w:rsidRDefault="0068696F" w:rsidP="005965B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EC5C1" w14:textId="77777777" w:rsidR="0068696F" w:rsidRDefault="0068696F" w:rsidP="005C5B19">
    <w:pPr>
      <w:pStyle w:val="Header-Keyline"/>
    </w:pPr>
    <w:r>
      <w:rPr>
        <w:rStyle w:val="Strong"/>
      </w:rPr>
      <w:t>PC productivity Insights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09F2A" w14:textId="77777777" w:rsidR="0068696F" w:rsidRDefault="0068696F" w:rsidP="005C5B19">
    <w:pPr>
      <w:pStyle w:val="Header-KeylineRight"/>
    </w:pPr>
    <w:r w:rsidRPr="00F024C6">
      <w:t xml:space="preserve">Productivity </w:t>
    </w:r>
    <w:r>
      <w:t>g</w:t>
    </w:r>
    <w:r w:rsidRPr="00F024C6">
      <w:t>rowth and wages – a forensic look</w:t>
    </w:r>
    <w:r>
      <w:t>: Appendices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DB179" w14:textId="1F1483C4" w:rsidR="00F173EF" w:rsidRDefault="00863552" w:rsidP="00F173EF">
    <w:pPr>
      <w:pStyle w:val="Header-Keyline"/>
    </w:pPr>
    <w:r>
      <w:rPr>
        <w:rStyle w:val="Strong"/>
      </w:rPr>
      <w:t>PC p</w:t>
    </w:r>
    <w:r w:rsidR="00F024C6">
      <w:rPr>
        <w:rStyle w:val="Strong"/>
      </w:rPr>
      <w:t xml:space="preserve">roductivity </w:t>
    </w:r>
    <w:r>
      <w:rPr>
        <w:rStyle w:val="Strong"/>
      </w:rPr>
      <w:t>i</w:t>
    </w:r>
    <w:r w:rsidR="00F024C6">
      <w:rPr>
        <w:rStyle w:val="Strong"/>
      </w:rPr>
      <w:t>nsights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06352" w14:textId="3934A03B" w:rsidR="00F173EF" w:rsidRDefault="00F024C6" w:rsidP="00F173EF">
    <w:pPr>
      <w:pStyle w:val="Header-KeylineRight"/>
    </w:pPr>
    <w:r w:rsidRPr="00F024C6">
      <w:t xml:space="preserve">Productivity </w:t>
    </w:r>
    <w:r w:rsidR="001705C2">
      <w:t>g</w:t>
    </w:r>
    <w:r w:rsidRPr="00F024C6">
      <w:t>rowth and wages – a forensic look</w:t>
    </w:r>
    <w:r w:rsidR="009534B9">
      <w:t>: Appendices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F5454E4"/>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6C78CA6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8"/>
    <w:multiLevelType w:val="singleLevel"/>
    <w:tmpl w:val="F104F0F2"/>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92F066C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74A6380"/>
    <w:multiLevelType w:val="multilevel"/>
    <w:tmpl w:val="C47EA3E6"/>
    <w:styleLink w:val="TableList"/>
    <w:lvl w:ilvl="0">
      <w:start w:val="1"/>
      <w:numFmt w:val="decimal"/>
      <w:pStyle w:val="TableHeading-numbered"/>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9C1734A"/>
    <w:multiLevelType w:val="multilevel"/>
    <w:tmpl w:val="72768BCE"/>
    <w:styleLink w:val="AppendixHeadingList"/>
    <w:lvl w:ilvl="0">
      <w:start w:val="1"/>
      <w:numFmt w:val="upperLetter"/>
      <w:pStyle w:val="Heading-Appendix"/>
      <w:lvlText w:val="%1."/>
      <w:lvlJc w:val="left"/>
      <w:pPr>
        <w:ind w:left="1418" w:hanging="851"/>
      </w:pPr>
      <w:rPr>
        <w:rFonts w:hint="default"/>
      </w:rPr>
    </w:lvl>
    <w:lvl w:ilvl="1">
      <w:start w:val="1"/>
      <w:numFmt w:val="decimal"/>
      <w:pStyle w:val="Heading2-Appendix"/>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AC2735F"/>
    <w:multiLevelType w:val="multilevel"/>
    <w:tmpl w:val="EE6A07A2"/>
    <w:styleLink w:val="ListHeadings"/>
    <w:lvl w:ilvl="0">
      <w:start w:val="1"/>
      <w:numFmt w:val="decimal"/>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F3E6C9D"/>
    <w:multiLevelType w:val="multilevel"/>
    <w:tmpl w:val="FF8069A4"/>
    <w:numStyleLink w:val="Bullets"/>
  </w:abstractNum>
  <w:abstractNum w:abstractNumId="8" w15:restartNumberingAfterBreak="0">
    <w:nsid w:val="0F6F37EA"/>
    <w:multiLevelType w:val="multilevel"/>
    <w:tmpl w:val="1FA8DC2A"/>
    <w:styleLink w:val="Numbering"/>
    <w:lvl w:ilvl="0">
      <w:start w:val="1"/>
      <w:numFmt w:val="decimal"/>
      <w:pStyle w:val="ListNumber"/>
      <w:lvlText w:val="%1."/>
      <w:lvlJc w:val="left"/>
      <w:pPr>
        <w:ind w:left="454" w:hanging="454"/>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ind w:left="907" w:hanging="907"/>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361" w:hanging="136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9" w15:restartNumberingAfterBreak="0">
    <w:nsid w:val="10897E53"/>
    <w:multiLevelType w:val="hybridMultilevel"/>
    <w:tmpl w:val="31C24B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2377B66"/>
    <w:multiLevelType w:val="multilevel"/>
    <w:tmpl w:val="4F48000A"/>
    <w:styleLink w:val="Alphalist"/>
    <w:lvl w:ilvl="0">
      <w:start w:val="1"/>
      <w:numFmt w:val="lowerLetter"/>
      <w:pStyle w:val="ListAlpha1"/>
      <w:lvlText w:val="%1."/>
      <w:lvlJc w:val="left"/>
      <w:pPr>
        <w:ind w:left="227" w:hanging="227"/>
      </w:pPr>
      <w:rPr>
        <w:rFonts w:hint="default"/>
      </w:rPr>
    </w:lvl>
    <w:lvl w:ilvl="1">
      <w:start w:val="1"/>
      <w:numFmt w:val="lowerLetter"/>
      <w:pStyle w:val="ListAlpha2"/>
      <w:lvlText w:val="%2."/>
      <w:lvlJc w:val="left"/>
      <w:pPr>
        <w:ind w:left="454" w:hanging="227"/>
      </w:pPr>
      <w:rPr>
        <w:rFonts w:hint="default"/>
      </w:rPr>
    </w:lvl>
    <w:lvl w:ilvl="2">
      <w:start w:val="1"/>
      <w:numFmt w:val="lowerRoman"/>
      <w:pStyle w:val="ListAlpha3"/>
      <w:lvlText w:val="%3."/>
      <w:lvlJc w:val="left"/>
      <w:pPr>
        <w:ind w:left="454" w:hanging="227"/>
      </w:pPr>
      <w:rPr>
        <w:rFonts w:hint="default"/>
      </w:rPr>
    </w:lvl>
    <w:lvl w:ilvl="3">
      <w:start w:val="1"/>
      <w:numFmt w:val="lowerRoman"/>
      <w:pStyle w:val="ListAlpha4"/>
      <w:lvlText w:val="%4."/>
      <w:lvlJc w:val="left"/>
      <w:pPr>
        <w:ind w:left="680" w:hanging="226"/>
      </w:pPr>
      <w:rPr>
        <w:rFonts w:hint="default"/>
      </w:rPr>
    </w:lvl>
    <w:lvl w:ilvl="4">
      <w:start w:val="1"/>
      <w:numFmt w:val="lowerLetter"/>
      <w:lvlText w:val="(%5)"/>
      <w:lvlJc w:val="left"/>
      <w:pPr>
        <w:ind w:left="907" w:hanging="227"/>
      </w:pPr>
      <w:rPr>
        <w:rFonts w:hint="default"/>
      </w:rPr>
    </w:lvl>
    <w:lvl w:ilvl="5">
      <w:start w:val="1"/>
      <w:numFmt w:val="lowerRoman"/>
      <w:lvlText w:val="(%6)"/>
      <w:lvlJc w:val="left"/>
      <w:pPr>
        <w:ind w:left="1134" w:hanging="227"/>
      </w:pPr>
      <w:rPr>
        <w:rFonts w:hint="default"/>
      </w:rPr>
    </w:lvl>
    <w:lvl w:ilvl="6">
      <w:start w:val="1"/>
      <w:numFmt w:val="decimal"/>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Roman"/>
      <w:lvlText w:val="%9."/>
      <w:lvlJc w:val="left"/>
      <w:pPr>
        <w:ind w:left="1814" w:hanging="226"/>
      </w:pPr>
      <w:rPr>
        <w:rFonts w:hint="default"/>
      </w:rPr>
    </w:lvl>
  </w:abstractNum>
  <w:abstractNum w:abstractNumId="11" w15:restartNumberingAfterBreak="0">
    <w:nsid w:val="16155739"/>
    <w:multiLevelType w:val="multilevel"/>
    <w:tmpl w:val="55366B42"/>
    <w:styleLink w:val="LetteredList"/>
    <w:lvl w:ilvl="0">
      <w:start w:val="1"/>
      <w:numFmt w:val="lowerLetter"/>
      <w:pStyle w:val="List"/>
      <w:lvlText w:val="%1."/>
      <w:lvlJc w:val="left"/>
      <w:pPr>
        <w:ind w:left="227" w:hanging="227"/>
      </w:pPr>
      <w:rPr>
        <w:rFonts w:hint="default"/>
      </w:rPr>
    </w:lvl>
    <w:lvl w:ilvl="1">
      <w:start w:val="1"/>
      <w:numFmt w:val="lowerLetter"/>
      <w:pStyle w:val="List2"/>
      <w:lvlText w:val="%2."/>
      <w:lvlJc w:val="left"/>
      <w:pPr>
        <w:ind w:left="454" w:hanging="227"/>
      </w:pPr>
      <w:rPr>
        <w:rFonts w:hint="default"/>
      </w:rPr>
    </w:lvl>
    <w:lvl w:ilvl="2">
      <w:start w:val="1"/>
      <w:numFmt w:val="lowerRoman"/>
      <w:pStyle w:val="List3"/>
      <w:lvlText w:val="%3."/>
      <w:lvlJc w:val="left"/>
      <w:pPr>
        <w:ind w:left="454" w:hanging="227"/>
      </w:pPr>
      <w:rPr>
        <w:rFonts w:hint="default"/>
      </w:rPr>
    </w:lvl>
    <w:lvl w:ilvl="3">
      <w:start w:val="1"/>
      <w:numFmt w:val="lowerRoman"/>
      <w:pStyle w:val="List4"/>
      <w:lvlText w:val="%4."/>
      <w:lvlJc w:val="left"/>
      <w:pPr>
        <w:ind w:left="680" w:hanging="226"/>
      </w:pPr>
      <w:rPr>
        <w:rFonts w:hint="default"/>
      </w:rPr>
    </w:lvl>
    <w:lvl w:ilvl="4">
      <w:start w:val="1"/>
      <w:numFmt w:val="lowerRoman"/>
      <w:lvlText w:val="%5."/>
      <w:lvlJc w:val="left"/>
      <w:pPr>
        <w:ind w:left="907" w:hanging="227"/>
      </w:pPr>
      <w:rPr>
        <w:rFonts w:hint="default"/>
      </w:rPr>
    </w:lvl>
    <w:lvl w:ilvl="5">
      <w:start w:val="1"/>
      <w:numFmt w:val="lowerRoman"/>
      <w:lvlText w:val="%6."/>
      <w:lvlJc w:val="left"/>
      <w:pPr>
        <w:tabs>
          <w:tab w:val="num" w:pos="1644"/>
        </w:tabs>
        <w:ind w:left="1134" w:hanging="227"/>
      </w:pPr>
      <w:rPr>
        <w:rFonts w:hint="default"/>
      </w:rPr>
    </w:lvl>
    <w:lvl w:ilvl="6">
      <w:start w:val="1"/>
      <w:numFmt w:val="lowerLetter"/>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Letter"/>
      <w:lvlText w:val="%9."/>
      <w:lvlJc w:val="left"/>
      <w:pPr>
        <w:ind w:left="1814" w:hanging="226"/>
      </w:pPr>
      <w:rPr>
        <w:rFonts w:hint="default"/>
      </w:rPr>
    </w:lvl>
  </w:abstractNum>
  <w:abstractNum w:abstractNumId="12" w15:restartNumberingAfterBreak="0">
    <w:nsid w:val="19A3256E"/>
    <w:multiLevelType w:val="hybridMultilevel"/>
    <w:tmpl w:val="59905934"/>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13" w15:restartNumberingAfterBreak="0">
    <w:nsid w:val="1A1A0E47"/>
    <w:multiLevelType w:val="multilevel"/>
    <w:tmpl w:val="BCC2EEC0"/>
    <w:lvl w:ilvl="0">
      <w:start w:val="1"/>
      <w:numFmt w:val="decimal"/>
      <w:pStyle w:val="Heading1"/>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pStyle w:val="Heading2"/>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BA70AB2"/>
    <w:multiLevelType w:val="hybridMultilevel"/>
    <w:tmpl w:val="E6E69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15905EC"/>
    <w:multiLevelType w:val="multilevel"/>
    <w:tmpl w:val="14F2CE60"/>
    <w:styleLink w:val="AppendixHeading"/>
    <w:lvl w:ilvl="0">
      <w:start w:val="1"/>
      <w:numFmt w:val="upperLetter"/>
      <w:lvlText w:val="%1."/>
      <w:lvlJc w:val="left"/>
      <w:pPr>
        <w:ind w:left="1418"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4312507"/>
    <w:multiLevelType w:val="hybridMultilevel"/>
    <w:tmpl w:val="86F257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7CA2C15"/>
    <w:multiLevelType w:val="hybridMultilevel"/>
    <w:tmpl w:val="CE7CF3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D665246"/>
    <w:multiLevelType w:val="multilevel"/>
    <w:tmpl w:val="55366B42"/>
    <w:numStyleLink w:val="LetteredList"/>
  </w:abstractNum>
  <w:abstractNum w:abstractNumId="19" w15:restartNumberingAfterBreak="0">
    <w:nsid w:val="2DFE29AF"/>
    <w:multiLevelType w:val="multilevel"/>
    <w:tmpl w:val="72768BCE"/>
    <w:numStyleLink w:val="AppendixHeadingList"/>
  </w:abstractNum>
  <w:abstractNum w:abstractNumId="20" w15:restartNumberingAfterBreak="0">
    <w:nsid w:val="30653DE4"/>
    <w:multiLevelType w:val="hybridMultilevel"/>
    <w:tmpl w:val="2F620C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4945759"/>
    <w:multiLevelType w:val="multilevel"/>
    <w:tmpl w:val="EDDA6002"/>
    <w:styleLink w:val="TOCList"/>
    <w:lvl w:ilvl="0">
      <w:start w:val="1"/>
      <w:numFmt w:val="decimal"/>
      <w:lvlText w:val="%1"/>
      <w:lvlJc w:val="left"/>
      <w:pPr>
        <w:ind w:left="567" w:hanging="567"/>
      </w:pPr>
      <w:rPr>
        <w:rFonts w:hint="default"/>
        <w:b/>
        <w:i w:val="0"/>
        <w:color w:val="265A9A" w:themeColor="background2"/>
      </w:rPr>
    </w:lvl>
    <w:lvl w:ilvl="1">
      <w:start w:val="1"/>
      <w:numFmt w:val="decimal"/>
      <w:lvlText w:val="%1.%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8B714FF"/>
    <w:multiLevelType w:val="hybridMultilevel"/>
    <w:tmpl w:val="7F5A11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67F3571"/>
    <w:multiLevelType w:val="multilevel"/>
    <w:tmpl w:val="DE7E2246"/>
    <w:styleLink w:val="Figure"/>
    <w:lvl w:ilvl="0">
      <w:start w:val="1"/>
      <w:numFmt w:val="lowerLetter"/>
      <w:suff w:val="space"/>
      <w:lvlText w:val="%1."/>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B687294"/>
    <w:multiLevelType w:val="multilevel"/>
    <w:tmpl w:val="BC6CEC38"/>
    <w:styleLink w:val="BoxList"/>
    <w:lvl w:ilvl="0">
      <w:start w:val="1"/>
      <w:numFmt w:val="decimal"/>
      <w:suff w:val="space"/>
      <w:lvlText w:val="Box %1 —"/>
      <w:lvlJc w:val="left"/>
      <w:pPr>
        <w:ind w:left="360" w:hanging="360"/>
      </w:pPr>
      <w:rPr>
        <w:rFonts w:hint="default"/>
      </w:rPr>
    </w:lvl>
    <w:lvl w:ilvl="1">
      <w:start w:val="1"/>
      <w:numFmt w:val="decimal"/>
      <w:suff w:val="space"/>
      <w:lvlText w:val="Box %1.%2 —"/>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0E1502C"/>
    <w:multiLevelType w:val="multilevel"/>
    <w:tmpl w:val="FF8069A4"/>
    <w:styleLink w:val="Bullets"/>
    <w:lvl w:ilvl="0">
      <w:start w:val="1"/>
      <w:numFmt w:val="bullet"/>
      <w:pStyle w:val="ListBullet"/>
      <w:lvlText w:val="•"/>
      <w:lvlJc w:val="left"/>
      <w:pPr>
        <w:ind w:left="227" w:hanging="227"/>
      </w:pPr>
      <w:rPr>
        <w:rFonts w:ascii="Times New Roman" w:hAnsi="Times New Roman" w:cs="Times New Roman" w:hint="default"/>
        <w:color w:val="auto"/>
      </w:rPr>
    </w:lvl>
    <w:lvl w:ilvl="1">
      <w:start w:val="1"/>
      <w:numFmt w:val="bullet"/>
      <w:pStyle w:val="ListBullet2"/>
      <w:lvlText w:val="–"/>
      <w:lvlJc w:val="left"/>
      <w:pPr>
        <w:ind w:left="454" w:hanging="227"/>
      </w:pPr>
      <w:rPr>
        <w:rFonts w:ascii="Arial" w:hAnsi="Arial" w:hint="default"/>
        <w:color w:val="auto"/>
      </w:rPr>
    </w:lvl>
    <w:lvl w:ilvl="2">
      <w:start w:val="1"/>
      <w:numFmt w:val="bullet"/>
      <w:pStyle w:val="ListBullet3"/>
      <w:lvlText w:val="»"/>
      <w:lvlJc w:val="left"/>
      <w:pPr>
        <w:ind w:left="907" w:hanging="227"/>
      </w:pPr>
      <w:rPr>
        <w:rFonts w:ascii="Arial" w:hAnsi="Arial" w:hint="default"/>
        <w:color w:val="auto"/>
      </w:rPr>
    </w:lvl>
    <w:lvl w:ilvl="3">
      <w:start w:val="1"/>
      <w:numFmt w:val="bullet"/>
      <w:lvlText w:val="–"/>
      <w:lvlJc w:val="left"/>
      <w:pPr>
        <w:tabs>
          <w:tab w:val="num" w:pos="851"/>
        </w:tabs>
        <w:ind w:left="907" w:hanging="227"/>
      </w:pPr>
      <w:rPr>
        <w:rFonts w:ascii="Arial" w:hAnsi="Arial" w:hint="default"/>
        <w:color w:val="auto"/>
      </w:rPr>
    </w:lvl>
    <w:lvl w:ilvl="4">
      <w:start w:val="1"/>
      <w:numFmt w:val="bullet"/>
      <w:lvlText w:val="–"/>
      <w:lvlJc w:val="left"/>
      <w:pPr>
        <w:ind w:left="1134" w:hanging="227"/>
      </w:pPr>
      <w:rPr>
        <w:rFonts w:ascii="Arial" w:hAnsi="Arial" w:hint="default"/>
        <w:color w:val="auto"/>
      </w:rPr>
    </w:lvl>
    <w:lvl w:ilvl="5">
      <w:start w:val="1"/>
      <w:numFmt w:val="bullet"/>
      <w:lvlText w:val="–"/>
      <w:lvlJc w:val="left"/>
      <w:pPr>
        <w:ind w:left="1361" w:hanging="227"/>
      </w:pPr>
      <w:rPr>
        <w:rFonts w:ascii="Arial" w:hAnsi="Arial" w:hint="default"/>
      </w:rPr>
    </w:lvl>
    <w:lvl w:ilvl="6">
      <w:start w:val="1"/>
      <w:numFmt w:val="bullet"/>
      <w:lvlText w:val="–"/>
      <w:lvlJc w:val="left"/>
      <w:pPr>
        <w:ind w:left="1588" w:hanging="227"/>
      </w:pPr>
      <w:rPr>
        <w:rFonts w:ascii="Arial" w:hAnsi="Arial" w:hint="default"/>
      </w:rPr>
    </w:lvl>
    <w:lvl w:ilvl="7">
      <w:start w:val="1"/>
      <w:numFmt w:val="bullet"/>
      <w:lvlText w:val="–"/>
      <w:lvlJc w:val="left"/>
      <w:pPr>
        <w:ind w:left="1814" w:hanging="226"/>
      </w:pPr>
      <w:rPr>
        <w:rFonts w:ascii="Arial" w:hAnsi="Arial" w:hint="default"/>
      </w:rPr>
    </w:lvl>
    <w:lvl w:ilvl="8">
      <w:start w:val="1"/>
      <w:numFmt w:val="bullet"/>
      <w:lvlText w:val="–"/>
      <w:lvlJc w:val="left"/>
      <w:pPr>
        <w:tabs>
          <w:tab w:val="num" w:pos="2211"/>
        </w:tabs>
        <w:ind w:left="2041" w:hanging="227"/>
      </w:pPr>
      <w:rPr>
        <w:rFonts w:ascii="Arial" w:hAnsi="Arial" w:hint="default"/>
      </w:rPr>
    </w:lvl>
  </w:abstractNum>
  <w:abstractNum w:abstractNumId="26" w15:restartNumberingAfterBreak="0">
    <w:nsid w:val="6F21218F"/>
    <w:multiLevelType w:val="hybridMultilevel"/>
    <w:tmpl w:val="246238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61B4A1B"/>
    <w:multiLevelType w:val="multilevel"/>
    <w:tmpl w:val="4F48000A"/>
    <w:numStyleLink w:val="Alphalist"/>
  </w:abstractNum>
  <w:abstractNum w:abstractNumId="28" w15:restartNumberingAfterBreak="0">
    <w:nsid w:val="7B7A3A06"/>
    <w:multiLevelType w:val="multilevel"/>
    <w:tmpl w:val="3744A268"/>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lowerLetter"/>
      <w:lvlText w:val="%3."/>
      <w:lvlJc w:val="left"/>
      <w:pPr>
        <w:ind w:left="1224" w:hanging="515"/>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35417846">
    <w:abstractNumId w:val="10"/>
  </w:num>
  <w:num w:numId="2" w16cid:durableId="1519077027">
    <w:abstractNumId w:val="5"/>
  </w:num>
  <w:num w:numId="3" w16cid:durableId="1468549479">
    <w:abstractNumId w:val="15"/>
  </w:num>
  <w:num w:numId="4" w16cid:durableId="915166386">
    <w:abstractNumId w:val="24"/>
  </w:num>
  <w:num w:numId="5" w16cid:durableId="1510681289">
    <w:abstractNumId w:val="25"/>
  </w:num>
  <w:num w:numId="6" w16cid:durableId="912081833">
    <w:abstractNumId w:val="23"/>
  </w:num>
  <w:num w:numId="7" w16cid:durableId="2023432934">
    <w:abstractNumId w:val="19"/>
  </w:num>
  <w:num w:numId="8" w16cid:durableId="192770611">
    <w:abstractNumId w:val="11"/>
  </w:num>
  <w:num w:numId="9" w16cid:durableId="485167421">
    <w:abstractNumId w:val="18"/>
  </w:num>
  <w:num w:numId="10" w16cid:durableId="775756382">
    <w:abstractNumId w:val="27"/>
  </w:num>
  <w:num w:numId="11" w16cid:durableId="1975406722">
    <w:abstractNumId w:val="0"/>
  </w:num>
  <w:num w:numId="12" w16cid:durableId="2055227720">
    <w:abstractNumId w:val="6"/>
  </w:num>
  <w:num w:numId="13" w16cid:durableId="432627348">
    <w:abstractNumId w:val="13"/>
  </w:num>
  <w:num w:numId="14" w16cid:durableId="1889947188">
    <w:abstractNumId w:val="8"/>
  </w:num>
  <w:num w:numId="15" w16cid:durableId="818545292">
    <w:abstractNumId w:val="4"/>
  </w:num>
  <w:num w:numId="16" w16cid:durableId="561333589">
    <w:abstractNumId w:val="21"/>
  </w:num>
  <w:num w:numId="17" w16cid:durableId="267082509">
    <w:abstractNumId w:val="7"/>
  </w:num>
  <w:num w:numId="18" w16cid:durableId="1860701576">
    <w:abstractNumId w:val="2"/>
  </w:num>
  <w:num w:numId="19" w16cid:durableId="1026904540">
    <w:abstractNumId w:val="28"/>
  </w:num>
  <w:num w:numId="20" w16cid:durableId="934827795">
    <w:abstractNumId w:val="3"/>
  </w:num>
  <w:num w:numId="21" w16cid:durableId="8530392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47986672">
    <w:abstractNumId w:val="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534145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78024908">
    <w:abstractNumId w:val="9"/>
  </w:num>
  <w:num w:numId="25" w16cid:durableId="682782803">
    <w:abstractNumId w:val="20"/>
  </w:num>
  <w:num w:numId="26" w16cid:durableId="1909684334">
    <w:abstractNumId w:val="14"/>
  </w:num>
  <w:num w:numId="27" w16cid:durableId="1533957074">
    <w:abstractNumId w:val="12"/>
  </w:num>
  <w:num w:numId="28" w16cid:durableId="1789199547">
    <w:abstractNumId w:val="17"/>
  </w:num>
  <w:num w:numId="29" w16cid:durableId="1009648189">
    <w:abstractNumId w:val="22"/>
  </w:num>
  <w:num w:numId="30" w16cid:durableId="143469475">
    <w:abstractNumId w:val="26"/>
  </w:num>
  <w:num w:numId="31" w16cid:durableId="1252666094">
    <w:abstractNumId w:val="16"/>
  </w:num>
  <w:num w:numId="32" w16cid:durableId="730270744">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6E8"/>
    <w:rsid w:val="00000075"/>
    <w:rsid w:val="00000F3C"/>
    <w:rsid w:val="000021AB"/>
    <w:rsid w:val="000039F2"/>
    <w:rsid w:val="00004489"/>
    <w:rsid w:val="000053A7"/>
    <w:rsid w:val="000058F6"/>
    <w:rsid w:val="00005C79"/>
    <w:rsid w:val="00013897"/>
    <w:rsid w:val="0001779A"/>
    <w:rsid w:val="00026C04"/>
    <w:rsid w:val="000300AF"/>
    <w:rsid w:val="000331E4"/>
    <w:rsid w:val="0003338D"/>
    <w:rsid w:val="00033619"/>
    <w:rsid w:val="00042C91"/>
    <w:rsid w:val="00047894"/>
    <w:rsid w:val="0005151B"/>
    <w:rsid w:val="000528B0"/>
    <w:rsid w:val="00053B20"/>
    <w:rsid w:val="00054C95"/>
    <w:rsid w:val="00055C09"/>
    <w:rsid w:val="000561CF"/>
    <w:rsid w:val="0005774F"/>
    <w:rsid w:val="00062A44"/>
    <w:rsid w:val="000669FB"/>
    <w:rsid w:val="000724AE"/>
    <w:rsid w:val="000771B3"/>
    <w:rsid w:val="0007776A"/>
    <w:rsid w:val="00077A76"/>
    <w:rsid w:val="0008037D"/>
    <w:rsid w:val="00081595"/>
    <w:rsid w:val="000839AB"/>
    <w:rsid w:val="00084660"/>
    <w:rsid w:val="00085FB9"/>
    <w:rsid w:val="00087F9B"/>
    <w:rsid w:val="00091286"/>
    <w:rsid w:val="000925DB"/>
    <w:rsid w:val="000A0F08"/>
    <w:rsid w:val="000A303D"/>
    <w:rsid w:val="000A38AA"/>
    <w:rsid w:val="000A4E34"/>
    <w:rsid w:val="000B497F"/>
    <w:rsid w:val="000B4A72"/>
    <w:rsid w:val="000B5105"/>
    <w:rsid w:val="000C46CE"/>
    <w:rsid w:val="000C6B77"/>
    <w:rsid w:val="000E2025"/>
    <w:rsid w:val="000E34BE"/>
    <w:rsid w:val="000E43B0"/>
    <w:rsid w:val="000E5DEE"/>
    <w:rsid w:val="000F14D8"/>
    <w:rsid w:val="000F4488"/>
    <w:rsid w:val="00100FAB"/>
    <w:rsid w:val="0010234A"/>
    <w:rsid w:val="00103EDE"/>
    <w:rsid w:val="0011217E"/>
    <w:rsid w:val="00112E8F"/>
    <w:rsid w:val="00120792"/>
    <w:rsid w:val="001268BC"/>
    <w:rsid w:val="0013722E"/>
    <w:rsid w:val="00137FAB"/>
    <w:rsid w:val="00146BC4"/>
    <w:rsid w:val="00154E0D"/>
    <w:rsid w:val="00156521"/>
    <w:rsid w:val="00157B74"/>
    <w:rsid w:val="001600E9"/>
    <w:rsid w:val="00160FEC"/>
    <w:rsid w:val="001610E5"/>
    <w:rsid w:val="00161BC8"/>
    <w:rsid w:val="00164DF7"/>
    <w:rsid w:val="001705C2"/>
    <w:rsid w:val="001714F3"/>
    <w:rsid w:val="0017521D"/>
    <w:rsid w:val="0018046B"/>
    <w:rsid w:val="00182A32"/>
    <w:rsid w:val="00185D60"/>
    <w:rsid w:val="00187F05"/>
    <w:rsid w:val="001957BF"/>
    <w:rsid w:val="001A0D77"/>
    <w:rsid w:val="001A196A"/>
    <w:rsid w:val="001A1D95"/>
    <w:rsid w:val="001A2565"/>
    <w:rsid w:val="001A37A2"/>
    <w:rsid w:val="001A7CE7"/>
    <w:rsid w:val="001B1762"/>
    <w:rsid w:val="001B17AC"/>
    <w:rsid w:val="001B588D"/>
    <w:rsid w:val="001B5FE3"/>
    <w:rsid w:val="001C4E65"/>
    <w:rsid w:val="001C4E6C"/>
    <w:rsid w:val="001C7835"/>
    <w:rsid w:val="001D02B1"/>
    <w:rsid w:val="001D4050"/>
    <w:rsid w:val="001D756B"/>
    <w:rsid w:val="001D7D9B"/>
    <w:rsid w:val="001E7E67"/>
    <w:rsid w:val="001F13C1"/>
    <w:rsid w:val="001F15E0"/>
    <w:rsid w:val="001F1E9A"/>
    <w:rsid w:val="001F446D"/>
    <w:rsid w:val="001F5B26"/>
    <w:rsid w:val="001F6B0A"/>
    <w:rsid w:val="002007A2"/>
    <w:rsid w:val="00201320"/>
    <w:rsid w:val="0020204A"/>
    <w:rsid w:val="002112EC"/>
    <w:rsid w:val="0021728F"/>
    <w:rsid w:val="00221800"/>
    <w:rsid w:val="00221AB7"/>
    <w:rsid w:val="00223EBF"/>
    <w:rsid w:val="00227712"/>
    <w:rsid w:val="00227D3B"/>
    <w:rsid w:val="002457DE"/>
    <w:rsid w:val="00246435"/>
    <w:rsid w:val="00246BCF"/>
    <w:rsid w:val="00246E21"/>
    <w:rsid w:val="0025052C"/>
    <w:rsid w:val="00251245"/>
    <w:rsid w:val="00251CA2"/>
    <w:rsid w:val="002601BB"/>
    <w:rsid w:val="00265918"/>
    <w:rsid w:val="00270834"/>
    <w:rsid w:val="00270989"/>
    <w:rsid w:val="00273E86"/>
    <w:rsid w:val="002814E6"/>
    <w:rsid w:val="00281A54"/>
    <w:rsid w:val="00282AE5"/>
    <w:rsid w:val="00287114"/>
    <w:rsid w:val="002936B4"/>
    <w:rsid w:val="002951E6"/>
    <w:rsid w:val="00295330"/>
    <w:rsid w:val="002A6FEC"/>
    <w:rsid w:val="002A7696"/>
    <w:rsid w:val="002B0577"/>
    <w:rsid w:val="002B0DB8"/>
    <w:rsid w:val="002B33AB"/>
    <w:rsid w:val="002B4160"/>
    <w:rsid w:val="002B47E4"/>
    <w:rsid w:val="002C1F50"/>
    <w:rsid w:val="002C797E"/>
    <w:rsid w:val="002D50CB"/>
    <w:rsid w:val="002E04C5"/>
    <w:rsid w:val="002E3F19"/>
    <w:rsid w:val="002E5059"/>
    <w:rsid w:val="002E51D2"/>
    <w:rsid w:val="002E7A0E"/>
    <w:rsid w:val="002E7EFA"/>
    <w:rsid w:val="002F1FDB"/>
    <w:rsid w:val="002F4E6D"/>
    <w:rsid w:val="002F6386"/>
    <w:rsid w:val="002F7FDB"/>
    <w:rsid w:val="00303704"/>
    <w:rsid w:val="00305171"/>
    <w:rsid w:val="00310791"/>
    <w:rsid w:val="00321BCD"/>
    <w:rsid w:val="00323400"/>
    <w:rsid w:val="0032540A"/>
    <w:rsid w:val="00326A36"/>
    <w:rsid w:val="003306D0"/>
    <w:rsid w:val="003309A7"/>
    <w:rsid w:val="00332BD7"/>
    <w:rsid w:val="00334FE6"/>
    <w:rsid w:val="00336ECB"/>
    <w:rsid w:val="00341116"/>
    <w:rsid w:val="00343228"/>
    <w:rsid w:val="003447AE"/>
    <w:rsid w:val="0034680A"/>
    <w:rsid w:val="00351953"/>
    <w:rsid w:val="00354696"/>
    <w:rsid w:val="0035519A"/>
    <w:rsid w:val="0036059A"/>
    <w:rsid w:val="00363FF8"/>
    <w:rsid w:val="003640E1"/>
    <w:rsid w:val="00365A49"/>
    <w:rsid w:val="0037579C"/>
    <w:rsid w:val="00376491"/>
    <w:rsid w:val="0037721D"/>
    <w:rsid w:val="00380FC2"/>
    <w:rsid w:val="0038102A"/>
    <w:rsid w:val="003833B4"/>
    <w:rsid w:val="003A260F"/>
    <w:rsid w:val="003A743E"/>
    <w:rsid w:val="003A7ADE"/>
    <w:rsid w:val="003B226A"/>
    <w:rsid w:val="003B29FC"/>
    <w:rsid w:val="003B2A34"/>
    <w:rsid w:val="003B6E2C"/>
    <w:rsid w:val="003B7DB1"/>
    <w:rsid w:val="003C01D4"/>
    <w:rsid w:val="003C2CC3"/>
    <w:rsid w:val="003C6317"/>
    <w:rsid w:val="003C69BF"/>
    <w:rsid w:val="003D09EE"/>
    <w:rsid w:val="003D23A3"/>
    <w:rsid w:val="003D4752"/>
    <w:rsid w:val="003D5427"/>
    <w:rsid w:val="003D5856"/>
    <w:rsid w:val="003D7A06"/>
    <w:rsid w:val="003E250B"/>
    <w:rsid w:val="003E54ED"/>
    <w:rsid w:val="003E6055"/>
    <w:rsid w:val="003F6F1A"/>
    <w:rsid w:val="0040060F"/>
    <w:rsid w:val="004016FE"/>
    <w:rsid w:val="00404E4F"/>
    <w:rsid w:val="004064F7"/>
    <w:rsid w:val="00406A8E"/>
    <w:rsid w:val="00415A0E"/>
    <w:rsid w:val="00420C95"/>
    <w:rsid w:val="00420CD1"/>
    <w:rsid w:val="00420F0E"/>
    <w:rsid w:val="0042339A"/>
    <w:rsid w:val="00423B15"/>
    <w:rsid w:val="00424B41"/>
    <w:rsid w:val="00424CB8"/>
    <w:rsid w:val="0042508F"/>
    <w:rsid w:val="0043326D"/>
    <w:rsid w:val="004379C2"/>
    <w:rsid w:val="004400E8"/>
    <w:rsid w:val="00450C80"/>
    <w:rsid w:val="004544D6"/>
    <w:rsid w:val="00461CE9"/>
    <w:rsid w:val="00462407"/>
    <w:rsid w:val="004631DD"/>
    <w:rsid w:val="004635FD"/>
    <w:rsid w:val="00465267"/>
    <w:rsid w:val="00470129"/>
    <w:rsid w:val="004728A0"/>
    <w:rsid w:val="004738B0"/>
    <w:rsid w:val="004742DD"/>
    <w:rsid w:val="00475231"/>
    <w:rsid w:val="00484E96"/>
    <w:rsid w:val="00491AD8"/>
    <w:rsid w:val="004948CD"/>
    <w:rsid w:val="00496700"/>
    <w:rsid w:val="004A2FB8"/>
    <w:rsid w:val="004A5586"/>
    <w:rsid w:val="004B1531"/>
    <w:rsid w:val="004B5F9D"/>
    <w:rsid w:val="004B609E"/>
    <w:rsid w:val="004C34D2"/>
    <w:rsid w:val="004C4823"/>
    <w:rsid w:val="004D2371"/>
    <w:rsid w:val="004D545E"/>
    <w:rsid w:val="004D7E80"/>
    <w:rsid w:val="004E0585"/>
    <w:rsid w:val="004E1233"/>
    <w:rsid w:val="004E28C6"/>
    <w:rsid w:val="004E441C"/>
    <w:rsid w:val="004E6DE1"/>
    <w:rsid w:val="004F10E0"/>
    <w:rsid w:val="004F138F"/>
    <w:rsid w:val="004F2D0A"/>
    <w:rsid w:val="004F420C"/>
    <w:rsid w:val="004F604D"/>
    <w:rsid w:val="00500123"/>
    <w:rsid w:val="0050670B"/>
    <w:rsid w:val="00511B29"/>
    <w:rsid w:val="005124ED"/>
    <w:rsid w:val="005141E8"/>
    <w:rsid w:val="00516A89"/>
    <w:rsid w:val="00517257"/>
    <w:rsid w:val="00527A18"/>
    <w:rsid w:val="005351DD"/>
    <w:rsid w:val="00536740"/>
    <w:rsid w:val="00540B70"/>
    <w:rsid w:val="00546BA3"/>
    <w:rsid w:val="00550AF7"/>
    <w:rsid w:val="00550C99"/>
    <w:rsid w:val="00553413"/>
    <w:rsid w:val="00555AB2"/>
    <w:rsid w:val="00561129"/>
    <w:rsid w:val="00562410"/>
    <w:rsid w:val="005674D9"/>
    <w:rsid w:val="00570BFD"/>
    <w:rsid w:val="00571371"/>
    <w:rsid w:val="00571C54"/>
    <w:rsid w:val="00572738"/>
    <w:rsid w:val="005754AB"/>
    <w:rsid w:val="00580FDC"/>
    <w:rsid w:val="005826F4"/>
    <w:rsid w:val="0058314A"/>
    <w:rsid w:val="0058369E"/>
    <w:rsid w:val="00584CCB"/>
    <w:rsid w:val="00585395"/>
    <w:rsid w:val="00587CDA"/>
    <w:rsid w:val="00590D09"/>
    <w:rsid w:val="0059156A"/>
    <w:rsid w:val="00593314"/>
    <w:rsid w:val="0059368E"/>
    <w:rsid w:val="00593BF5"/>
    <w:rsid w:val="00594496"/>
    <w:rsid w:val="005956D3"/>
    <w:rsid w:val="00596365"/>
    <w:rsid w:val="005965BC"/>
    <w:rsid w:val="005A35F6"/>
    <w:rsid w:val="005A3631"/>
    <w:rsid w:val="005A7E78"/>
    <w:rsid w:val="005B03ED"/>
    <w:rsid w:val="005B07B4"/>
    <w:rsid w:val="005B1776"/>
    <w:rsid w:val="005B1BA3"/>
    <w:rsid w:val="005B32FB"/>
    <w:rsid w:val="005B470D"/>
    <w:rsid w:val="005B65F7"/>
    <w:rsid w:val="005B7FE4"/>
    <w:rsid w:val="005C05E0"/>
    <w:rsid w:val="005C37E0"/>
    <w:rsid w:val="005C54B9"/>
    <w:rsid w:val="005C5A1C"/>
    <w:rsid w:val="005C6618"/>
    <w:rsid w:val="005D0189"/>
    <w:rsid w:val="005D6B66"/>
    <w:rsid w:val="005E1FC2"/>
    <w:rsid w:val="005E4470"/>
    <w:rsid w:val="005E5794"/>
    <w:rsid w:val="00602FA3"/>
    <w:rsid w:val="00603DD4"/>
    <w:rsid w:val="00603FD5"/>
    <w:rsid w:val="0060792B"/>
    <w:rsid w:val="00607F03"/>
    <w:rsid w:val="00610627"/>
    <w:rsid w:val="00610F6C"/>
    <w:rsid w:val="00616DC8"/>
    <w:rsid w:val="00620548"/>
    <w:rsid w:val="00624B90"/>
    <w:rsid w:val="006253BF"/>
    <w:rsid w:val="00630F02"/>
    <w:rsid w:val="00631231"/>
    <w:rsid w:val="0064034F"/>
    <w:rsid w:val="006475BD"/>
    <w:rsid w:val="006527FF"/>
    <w:rsid w:val="00655585"/>
    <w:rsid w:val="00656A8A"/>
    <w:rsid w:val="00661445"/>
    <w:rsid w:val="00662209"/>
    <w:rsid w:val="00666C39"/>
    <w:rsid w:val="0068070B"/>
    <w:rsid w:val="00681434"/>
    <w:rsid w:val="0068696F"/>
    <w:rsid w:val="0068724F"/>
    <w:rsid w:val="0068736B"/>
    <w:rsid w:val="006953B4"/>
    <w:rsid w:val="00696D3E"/>
    <w:rsid w:val="00696E46"/>
    <w:rsid w:val="006A1DEF"/>
    <w:rsid w:val="006A3D34"/>
    <w:rsid w:val="006A7069"/>
    <w:rsid w:val="006B38C9"/>
    <w:rsid w:val="006C36D5"/>
    <w:rsid w:val="006C4AF4"/>
    <w:rsid w:val="006C4B34"/>
    <w:rsid w:val="006C4C82"/>
    <w:rsid w:val="006C56B7"/>
    <w:rsid w:val="006C5EFA"/>
    <w:rsid w:val="006D095B"/>
    <w:rsid w:val="006D3591"/>
    <w:rsid w:val="006D3F2F"/>
    <w:rsid w:val="006D4F09"/>
    <w:rsid w:val="006D557D"/>
    <w:rsid w:val="006D5F4F"/>
    <w:rsid w:val="006E3536"/>
    <w:rsid w:val="006E5EE5"/>
    <w:rsid w:val="006E6E82"/>
    <w:rsid w:val="006F7DBB"/>
    <w:rsid w:val="00701100"/>
    <w:rsid w:val="0070304D"/>
    <w:rsid w:val="00703C4F"/>
    <w:rsid w:val="007110DC"/>
    <w:rsid w:val="00714488"/>
    <w:rsid w:val="007158C6"/>
    <w:rsid w:val="00716CA0"/>
    <w:rsid w:val="00720507"/>
    <w:rsid w:val="007215EF"/>
    <w:rsid w:val="00721EB2"/>
    <w:rsid w:val="007301C9"/>
    <w:rsid w:val="00731890"/>
    <w:rsid w:val="007373F6"/>
    <w:rsid w:val="00740804"/>
    <w:rsid w:val="00742F0D"/>
    <w:rsid w:val="00743548"/>
    <w:rsid w:val="00744120"/>
    <w:rsid w:val="00745423"/>
    <w:rsid w:val="00746974"/>
    <w:rsid w:val="00750405"/>
    <w:rsid w:val="0075386F"/>
    <w:rsid w:val="00754050"/>
    <w:rsid w:val="00754883"/>
    <w:rsid w:val="00760005"/>
    <w:rsid w:val="00760304"/>
    <w:rsid w:val="00760E1B"/>
    <w:rsid w:val="00762F69"/>
    <w:rsid w:val="00764FE1"/>
    <w:rsid w:val="007653CB"/>
    <w:rsid w:val="007669DE"/>
    <w:rsid w:val="00767EAE"/>
    <w:rsid w:val="00770DB0"/>
    <w:rsid w:val="00775165"/>
    <w:rsid w:val="007751AB"/>
    <w:rsid w:val="00775F15"/>
    <w:rsid w:val="00776C15"/>
    <w:rsid w:val="00783706"/>
    <w:rsid w:val="0078533C"/>
    <w:rsid w:val="00787BE4"/>
    <w:rsid w:val="007A0363"/>
    <w:rsid w:val="007B09C5"/>
    <w:rsid w:val="007C0436"/>
    <w:rsid w:val="007C22C6"/>
    <w:rsid w:val="007C3475"/>
    <w:rsid w:val="007C475F"/>
    <w:rsid w:val="007D1569"/>
    <w:rsid w:val="007D25EB"/>
    <w:rsid w:val="007E1A38"/>
    <w:rsid w:val="008017BC"/>
    <w:rsid w:val="0080322B"/>
    <w:rsid w:val="008035C3"/>
    <w:rsid w:val="00803F26"/>
    <w:rsid w:val="00804B8B"/>
    <w:rsid w:val="00806F63"/>
    <w:rsid w:val="00807F06"/>
    <w:rsid w:val="008101AA"/>
    <w:rsid w:val="00811196"/>
    <w:rsid w:val="00813B4E"/>
    <w:rsid w:val="0081533C"/>
    <w:rsid w:val="008161D7"/>
    <w:rsid w:val="00820661"/>
    <w:rsid w:val="0082437F"/>
    <w:rsid w:val="00832B5B"/>
    <w:rsid w:val="0083428E"/>
    <w:rsid w:val="00834DCD"/>
    <w:rsid w:val="00836262"/>
    <w:rsid w:val="00836E3A"/>
    <w:rsid w:val="00837210"/>
    <w:rsid w:val="0084238D"/>
    <w:rsid w:val="008423EB"/>
    <w:rsid w:val="0084716C"/>
    <w:rsid w:val="008472B8"/>
    <w:rsid w:val="00850DE8"/>
    <w:rsid w:val="0085221D"/>
    <w:rsid w:val="008529A2"/>
    <w:rsid w:val="0085439B"/>
    <w:rsid w:val="008579B4"/>
    <w:rsid w:val="00861838"/>
    <w:rsid w:val="00862C91"/>
    <w:rsid w:val="00863552"/>
    <w:rsid w:val="00871A6C"/>
    <w:rsid w:val="00872A6F"/>
    <w:rsid w:val="00875CCB"/>
    <w:rsid w:val="008833F3"/>
    <w:rsid w:val="008901E1"/>
    <w:rsid w:val="00890C87"/>
    <w:rsid w:val="00897793"/>
    <w:rsid w:val="008A1632"/>
    <w:rsid w:val="008A6F83"/>
    <w:rsid w:val="008B05C3"/>
    <w:rsid w:val="008B0BE7"/>
    <w:rsid w:val="008B385D"/>
    <w:rsid w:val="008B3A03"/>
    <w:rsid w:val="008B4965"/>
    <w:rsid w:val="008B6124"/>
    <w:rsid w:val="008B78B1"/>
    <w:rsid w:val="008C1CCF"/>
    <w:rsid w:val="008C31FD"/>
    <w:rsid w:val="008C4A39"/>
    <w:rsid w:val="008D0500"/>
    <w:rsid w:val="008D19FD"/>
    <w:rsid w:val="008D1ABD"/>
    <w:rsid w:val="008D3A0D"/>
    <w:rsid w:val="008D7D89"/>
    <w:rsid w:val="008E25D6"/>
    <w:rsid w:val="008E2D2E"/>
    <w:rsid w:val="008E7BD4"/>
    <w:rsid w:val="008F0A95"/>
    <w:rsid w:val="008F567D"/>
    <w:rsid w:val="008F6884"/>
    <w:rsid w:val="008F6F1A"/>
    <w:rsid w:val="008F7897"/>
    <w:rsid w:val="0090137A"/>
    <w:rsid w:val="00903370"/>
    <w:rsid w:val="00906F5D"/>
    <w:rsid w:val="0090740E"/>
    <w:rsid w:val="0091349A"/>
    <w:rsid w:val="00914399"/>
    <w:rsid w:val="0091530C"/>
    <w:rsid w:val="009158BF"/>
    <w:rsid w:val="009168EC"/>
    <w:rsid w:val="00933E08"/>
    <w:rsid w:val="009342FC"/>
    <w:rsid w:val="00936068"/>
    <w:rsid w:val="009371D0"/>
    <w:rsid w:val="00943806"/>
    <w:rsid w:val="00946351"/>
    <w:rsid w:val="009517CC"/>
    <w:rsid w:val="009534B9"/>
    <w:rsid w:val="009538B2"/>
    <w:rsid w:val="009559E8"/>
    <w:rsid w:val="009615D4"/>
    <w:rsid w:val="00962386"/>
    <w:rsid w:val="00962905"/>
    <w:rsid w:val="00962FE3"/>
    <w:rsid w:val="00966261"/>
    <w:rsid w:val="00970A20"/>
    <w:rsid w:val="0097163D"/>
    <w:rsid w:val="009721F8"/>
    <w:rsid w:val="00974677"/>
    <w:rsid w:val="00976023"/>
    <w:rsid w:val="00980461"/>
    <w:rsid w:val="009864AF"/>
    <w:rsid w:val="009901F4"/>
    <w:rsid w:val="0099172E"/>
    <w:rsid w:val="009969C3"/>
    <w:rsid w:val="009978F0"/>
    <w:rsid w:val="009A2F17"/>
    <w:rsid w:val="009A3C2B"/>
    <w:rsid w:val="009C6075"/>
    <w:rsid w:val="009D24F5"/>
    <w:rsid w:val="009E19A3"/>
    <w:rsid w:val="009E2BF5"/>
    <w:rsid w:val="009E3F69"/>
    <w:rsid w:val="009E4DC0"/>
    <w:rsid w:val="009E61A8"/>
    <w:rsid w:val="009E77DF"/>
    <w:rsid w:val="00A017BA"/>
    <w:rsid w:val="00A06CCC"/>
    <w:rsid w:val="00A0757A"/>
    <w:rsid w:val="00A128B7"/>
    <w:rsid w:val="00A13664"/>
    <w:rsid w:val="00A2484C"/>
    <w:rsid w:val="00A33035"/>
    <w:rsid w:val="00A34DC9"/>
    <w:rsid w:val="00A416AD"/>
    <w:rsid w:val="00A471AE"/>
    <w:rsid w:val="00A50CD9"/>
    <w:rsid w:val="00A51374"/>
    <w:rsid w:val="00A5462B"/>
    <w:rsid w:val="00A5529A"/>
    <w:rsid w:val="00A55A3E"/>
    <w:rsid w:val="00A5703F"/>
    <w:rsid w:val="00A65DCB"/>
    <w:rsid w:val="00A6648C"/>
    <w:rsid w:val="00A66808"/>
    <w:rsid w:val="00A668D5"/>
    <w:rsid w:val="00A75DCB"/>
    <w:rsid w:val="00A776C2"/>
    <w:rsid w:val="00A8019D"/>
    <w:rsid w:val="00A8183A"/>
    <w:rsid w:val="00A8388B"/>
    <w:rsid w:val="00A86051"/>
    <w:rsid w:val="00A8625F"/>
    <w:rsid w:val="00A87AB4"/>
    <w:rsid w:val="00A90151"/>
    <w:rsid w:val="00A90256"/>
    <w:rsid w:val="00A91551"/>
    <w:rsid w:val="00A9359B"/>
    <w:rsid w:val="00A9545C"/>
    <w:rsid w:val="00A970A6"/>
    <w:rsid w:val="00AA0AF4"/>
    <w:rsid w:val="00AA163B"/>
    <w:rsid w:val="00AA1BE2"/>
    <w:rsid w:val="00AA3569"/>
    <w:rsid w:val="00AA7342"/>
    <w:rsid w:val="00AB10F4"/>
    <w:rsid w:val="00AB2D17"/>
    <w:rsid w:val="00AB34AD"/>
    <w:rsid w:val="00AB46E2"/>
    <w:rsid w:val="00AC1F34"/>
    <w:rsid w:val="00AC4F7C"/>
    <w:rsid w:val="00AC587D"/>
    <w:rsid w:val="00AC75FC"/>
    <w:rsid w:val="00AD1AA2"/>
    <w:rsid w:val="00AD7A30"/>
    <w:rsid w:val="00AE528A"/>
    <w:rsid w:val="00AE62E2"/>
    <w:rsid w:val="00AF28A2"/>
    <w:rsid w:val="00AF3BD9"/>
    <w:rsid w:val="00AF479F"/>
    <w:rsid w:val="00AF5989"/>
    <w:rsid w:val="00B044BC"/>
    <w:rsid w:val="00B11F80"/>
    <w:rsid w:val="00B23258"/>
    <w:rsid w:val="00B23603"/>
    <w:rsid w:val="00B302FA"/>
    <w:rsid w:val="00B32D6C"/>
    <w:rsid w:val="00B34048"/>
    <w:rsid w:val="00B34683"/>
    <w:rsid w:val="00B3749D"/>
    <w:rsid w:val="00B41C3E"/>
    <w:rsid w:val="00B443CC"/>
    <w:rsid w:val="00B44960"/>
    <w:rsid w:val="00B65DAA"/>
    <w:rsid w:val="00B66AF3"/>
    <w:rsid w:val="00B66B2F"/>
    <w:rsid w:val="00B720EC"/>
    <w:rsid w:val="00B74F7F"/>
    <w:rsid w:val="00B75B08"/>
    <w:rsid w:val="00B7663C"/>
    <w:rsid w:val="00B84869"/>
    <w:rsid w:val="00B86607"/>
    <w:rsid w:val="00B87859"/>
    <w:rsid w:val="00B91D47"/>
    <w:rsid w:val="00B93D97"/>
    <w:rsid w:val="00B953E2"/>
    <w:rsid w:val="00B96573"/>
    <w:rsid w:val="00B9738F"/>
    <w:rsid w:val="00BA3CB8"/>
    <w:rsid w:val="00BA7623"/>
    <w:rsid w:val="00BB7119"/>
    <w:rsid w:val="00BC0DCE"/>
    <w:rsid w:val="00BC127C"/>
    <w:rsid w:val="00BC1F7F"/>
    <w:rsid w:val="00BC207F"/>
    <w:rsid w:val="00BC219C"/>
    <w:rsid w:val="00BC6606"/>
    <w:rsid w:val="00BC7C1B"/>
    <w:rsid w:val="00BD190D"/>
    <w:rsid w:val="00BD479B"/>
    <w:rsid w:val="00BE1EF1"/>
    <w:rsid w:val="00BF0EF2"/>
    <w:rsid w:val="00BF11A0"/>
    <w:rsid w:val="00BF68C8"/>
    <w:rsid w:val="00C016A3"/>
    <w:rsid w:val="00C01E68"/>
    <w:rsid w:val="00C047D1"/>
    <w:rsid w:val="00C11924"/>
    <w:rsid w:val="00C14016"/>
    <w:rsid w:val="00C17B40"/>
    <w:rsid w:val="00C221A0"/>
    <w:rsid w:val="00C238D1"/>
    <w:rsid w:val="00C247AF"/>
    <w:rsid w:val="00C25C46"/>
    <w:rsid w:val="00C26E28"/>
    <w:rsid w:val="00C31E23"/>
    <w:rsid w:val="00C326F9"/>
    <w:rsid w:val="00C36FFC"/>
    <w:rsid w:val="00C37A29"/>
    <w:rsid w:val="00C51D94"/>
    <w:rsid w:val="00C66075"/>
    <w:rsid w:val="00C6686E"/>
    <w:rsid w:val="00C70D80"/>
    <w:rsid w:val="00C70EFC"/>
    <w:rsid w:val="00C71688"/>
    <w:rsid w:val="00C74DA0"/>
    <w:rsid w:val="00C75C56"/>
    <w:rsid w:val="00C76DAF"/>
    <w:rsid w:val="00C8402D"/>
    <w:rsid w:val="00C853CF"/>
    <w:rsid w:val="00C856F5"/>
    <w:rsid w:val="00C932F3"/>
    <w:rsid w:val="00C97978"/>
    <w:rsid w:val="00CA0B3F"/>
    <w:rsid w:val="00CA134D"/>
    <w:rsid w:val="00CC271A"/>
    <w:rsid w:val="00CC3DE4"/>
    <w:rsid w:val="00CC459B"/>
    <w:rsid w:val="00CC5F5B"/>
    <w:rsid w:val="00CD0ECA"/>
    <w:rsid w:val="00CD1507"/>
    <w:rsid w:val="00CD1D4D"/>
    <w:rsid w:val="00CD215E"/>
    <w:rsid w:val="00CD61EB"/>
    <w:rsid w:val="00CD7F44"/>
    <w:rsid w:val="00CE43AF"/>
    <w:rsid w:val="00CE4D3A"/>
    <w:rsid w:val="00CE64FD"/>
    <w:rsid w:val="00CE7236"/>
    <w:rsid w:val="00CE7CE2"/>
    <w:rsid w:val="00CF02F0"/>
    <w:rsid w:val="00CF4BC6"/>
    <w:rsid w:val="00CF7F06"/>
    <w:rsid w:val="00D000A6"/>
    <w:rsid w:val="00D01615"/>
    <w:rsid w:val="00D02433"/>
    <w:rsid w:val="00D0352E"/>
    <w:rsid w:val="00D076E8"/>
    <w:rsid w:val="00D10F14"/>
    <w:rsid w:val="00D15113"/>
    <w:rsid w:val="00D15B7C"/>
    <w:rsid w:val="00D15B7D"/>
    <w:rsid w:val="00D16F74"/>
    <w:rsid w:val="00D21552"/>
    <w:rsid w:val="00D23225"/>
    <w:rsid w:val="00D23E87"/>
    <w:rsid w:val="00D30791"/>
    <w:rsid w:val="00D31E3E"/>
    <w:rsid w:val="00D330CA"/>
    <w:rsid w:val="00D3316D"/>
    <w:rsid w:val="00D3503E"/>
    <w:rsid w:val="00D37882"/>
    <w:rsid w:val="00D41DDC"/>
    <w:rsid w:val="00D44AE5"/>
    <w:rsid w:val="00D468AC"/>
    <w:rsid w:val="00D46FD9"/>
    <w:rsid w:val="00D50724"/>
    <w:rsid w:val="00D521AF"/>
    <w:rsid w:val="00D60649"/>
    <w:rsid w:val="00D61E88"/>
    <w:rsid w:val="00D62B78"/>
    <w:rsid w:val="00D6650A"/>
    <w:rsid w:val="00D67F84"/>
    <w:rsid w:val="00D74B1C"/>
    <w:rsid w:val="00D83923"/>
    <w:rsid w:val="00D86708"/>
    <w:rsid w:val="00D93926"/>
    <w:rsid w:val="00D9419D"/>
    <w:rsid w:val="00D945F7"/>
    <w:rsid w:val="00D95C69"/>
    <w:rsid w:val="00D96F65"/>
    <w:rsid w:val="00DA136C"/>
    <w:rsid w:val="00DA3017"/>
    <w:rsid w:val="00DA5484"/>
    <w:rsid w:val="00DB0CD7"/>
    <w:rsid w:val="00DB5D31"/>
    <w:rsid w:val="00DB798B"/>
    <w:rsid w:val="00DB7E8D"/>
    <w:rsid w:val="00DC1012"/>
    <w:rsid w:val="00DC18D8"/>
    <w:rsid w:val="00DC1B37"/>
    <w:rsid w:val="00DC25B8"/>
    <w:rsid w:val="00DC5DFF"/>
    <w:rsid w:val="00DC74CB"/>
    <w:rsid w:val="00DD0C2A"/>
    <w:rsid w:val="00DD134A"/>
    <w:rsid w:val="00DD158C"/>
    <w:rsid w:val="00DD47D4"/>
    <w:rsid w:val="00DD6473"/>
    <w:rsid w:val="00DF129B"/>
    <w:rsid w:val="00DF38CA"/>
    <w:rsid w:val="00DF4421"/>
    <w:rsid w:val="00DF4E3E"/>
    <w:rsid w:val="00DF57D9"/>
    <w:rsid w:val="00DF60B9"/>
    <w:rsid w:val="00DF63B7"/>
    <w:rsid w:val="00DF7137"/>
    <w:rsid w:val="00DF7242"/>
    <w:rsid w:val="00E010CD"/>
    <w:rsid w:val="00E03777"/>
    <w:rsid w:val="00E0453D"/>
    <w:rsid w:val="00E05E63"/>
    <w:rsid w:val="00E05FA6"/>
    <w:rsid w:val="00E122AD"/>
    <w:rsid w:val="00E15A2F"/>
    <w:rsid w:val="00E16B81"/>
    <w:rsid w:val="00E17B7C"/>
    <w:rsid w:val="00E207B7"/>
    <w:rsid w:val="00E20FF0"/>
    <w:rsid w:val="00E21DC1"/>
    <w:rsid w:val="00E248D2"/>
    <w:rsid w:val="00E25474"/>
    <w:rsid w:val="00E32EE5"/>
    <w:rsid w:val="00E32F93"/>
    <w:rsid w:val="00E379F7"/>
    <w:rsid w:val="00E47107"/>
    <w:rsid w:val="00E52DE3"/>
    <w:rsid w:val="00E54ACD"/>
    <w:rsid w:val="00E54B2B"/>
    <w:rsid w:val="00E55E37"/>
    <w:rsid w:val="00E560E5"/>
    <w:rsid w:val="00E61632"/>
    <w:rsid w:val="00E642E7"/>
    <w:rsid w:val="00E70DD7"/>
    <w:rsid w:val="00E72EE0"/>
    <w:rsid w:val="00E741FB"/>
    <w:rsid w:val="00E7478D"/>
    <w:rsid w:val="00E8192F"/>
    <w:rsid w:val="00E83330"/>
    <w:rsid w:val="00E86F28"/>
    <w:rsid w:val="00E91A7E"/>
    <w:rsid w:val="00E91FED"/>
    <w:rsid w:val="00E92C8B"/>
    <w:rsid w:val="00E97AAF"/>
    <w:rsid w:val="00EA0B68"/>
    <w:rsid w:val="00EA1943"/>
    <w:rsid w:val="00EA4F57"/>
    <w:rsid w:val="00EA5CDC"/>
    <w:rsid w:val="00EB3F9D"/>
    <w:rsid w:val="00EB5DC6"/>
    <w:rsid w:val="00EB5EFA"/>
    <w:rsid w:val="00EC06D4"/>
    <w:rsid w:val="00EC1170"/>
    <w:rsid w:val="00ED1824"/>
    <w:rsid w:val="00ED4983"/>
    <w:rsid w:val="00ED4D59"/>
    <w:rsid w:val="00EE26AE"/>
    <w:rsid w:val="00EE3F20"/>
    <w:rsid w:val="00EE6F14"/>
    <w:rsid w:val="00EF038B"/>
    <w:rsid w:val="00EF3B5E"/>
    <w:rsid w:val="00EF3F23"/>
    <w:rsid w:val="00EF6C20"/>
    <w:rsid w:val="00F024C6"/>
    <w:rsid w:val="00F04EA7"/>
    <w:rsid w:val="00F13CDD"/>
    <w:rsid w:val="00F162D4"/>
    <w:rsid w:val="00F173EF"/>
    <w:rsid w:val="00F2058B"/>
    <w:rsid w:val="00F25AE6"/>
    <w:rsid w:val="00F3209B"/>
    <w:rsid w:val="00F3214C"/>
    <w:rsid w:val="00F33F8D"/>
    <w:rsid w:val="00F351AC"/>
    <w:rsid w:val="00F37CB6"/>
    <w:rsid w:val="00F37F65"/>
    <w:rsid w:val="00F4010B"/>
    <w:rsid w:val="00F40268"/>
    <w:rsid w:val="00F42967"/>
    <w:rsid w:val="00F46E42"/>
    <w:rsid w:val="00F4702C"/>
    <w:rsid w:val="00F505B8"/>
    <w:rsid w:val="00F52819"/>
    <w:rsid w:val="00F53EFE"/>
    <w:rsid w:val="00F60BA2"/>
    <w:rsid w:val="00F634F6"/>
    <w:rsid w:val="00F77B4D"/>
    <w:rsid w:val="00F80278"/>
    <w:rsid w:val="00F83C5C"/>
    <w:rsid w:val="00F87B07"/>
    <w:rsid w:val="00F92656"/>
    <w:rsid w:val="00F94880"/>
    <w:rsid w:val="00FA33D2"/>
    <w:rsid w:val="00FB016C"/>
    <w:rsid w:val="00FB4E93"/>
    <w:rsid w:val="00FC2D8B"/>
    <w:rsid w:val="00FD2FFA"/>
    <w:rsid w:val="00FD3009"/>
    <w:rsid w:val="00FD3306"/>
    <w:rsid w:val="00FD36B1"/>
    <w:rsid w:val="00FD3FE4"/>
    <w:rsid w:val="00FE59FD"/>
    <w:rsid w:val="00FE7F98"/>
    <w:rsid w:val="00FF2E7F"/>
    <w:rsid w:val="00FF306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E2793"/>
  <w15:chartTrackingRefBased/>
  <w15:docId w15:val="{0C0B4FC4-E287-4457-BAB5-3EC95B81D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lsdException w:name="List Bullet 2" w:semiHidden="1" w:unhideWhenUsed="1" w:qFormat="1"/>
    <w:lsdException w:name="List Bullet 3" w:semiHidden="1" w:unhideWhenUsed="1" w:qFormat="1"/>
    <w:lsdException w:name="List Bullet 4" w:semiHidden="1" w:uiPriority="13"/>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2"/>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unhideWhenUsed/>
    <w:qFormat/>
    <w:rsid w:val="00F83C5C"/>
    <w:pPr>
      <w:spacing w:before="120" w:after="120" w:line="280" w:lineRule="atLeast"/>
    </w:pPr>
    <w:rPr>
      <w:sz w:val="20"/>
      <w:szCs w:val="20"/>
    </w:rPr>
  </w:style>
  <w:style w:type="paragraph" w:styleId="Heading1">
    <w:name w:val="heading 1"/>
    <w:basedOn w:val="Normal"/>
    <w:next w:val="BodyText"/>
    <w:link w:val="Heading1Char"/>
    <w:uiPriority w:val="9"/>
    <w:qFormat/>
    <w:rsid w:val="00F83C5C"/>
    <w:pPr>
      <w:numPr>
        <w:numId w:val="13"/>
      </w:numPr>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240" w:after="480" w:line="504" w:lineRule="atLeast"/>
      <w:ind w:right="567"/>
      <w:outlineLvl w:val="0"/>
    </w:pPr>
    <w:rPr>
      <w:rFonts w:asciiTheme="majorHAnsi" w:hAnsiTheme="majorHAnsi"/>
      <w:color w:val="FFFFFF" w:themeColor="background1"/>
      <w:sz w:val="42"/>
    </w:rPr>
  </w:style>
  <w:style w:type="paragraph" w:styleId="Heading2">
    <w:name w:val="heading 2"/>
    <w:basedOn w:val="Normal"/>
    <w:next w:val="BodyText"/>
    <w:link w:val="Heading2Char"/>
    <w:uiPriority w:val="9"/>
    <w:qFormat/>
    <w:rsid w:val="00F83C5C"/>
    <w:pPr>
      <w:keepNext/>
      <w:keepLines/>
      <w:numPr>
        <w:ilvl w:val="2"/>
        <w:numId w:val="13"/>
      </w:numPr>
      <w:spacing w:before="480" w:line="340" w:lineRule="atLeast"/>
      <w:outlineLvl w:val="1"/>
    </w:pPr>
    <w:rPr>
      <w:rFonts w:asciiTheme="majorHAnsi" w:eastAsiaTheme="majorEastAsia" w:hAnsiTheme="majorHAnsi" w:cstheme="majorBidi"/>
      <w:sz w:val="30"/>
      <w:szCs w:val="60"/>
    </w:rPr>
  </w:style>
  <w:style w:type="paragraph" w:styleId="Heading3">
    <w:name w:val="heading 3"/>
    <w:basedOn w:val="Normal"/>
    <w:next w:val="BodyText"/>
    <w:link w:val="Heading3Char"/>
    <w:uiPriority w:val="9"/>
    <w:qFormat/>
    <w:rsid w:val="00F83C5C"/>
    <w:pPr>
      <w:keepNext/>
      <w:keepLines/>
      <w:spacing w:before="240" w:line="300" w:lineRule="atLeast"/>
      <w:outlineLvl w:val="2"/>
    </w:pPr>
    <w:rPr>
      <w:rFonts w:asciiTheme="majorHAnsi" w:eastAsiaTheme="majorEastAsia" w:hAnsiTheme="majorHAnsi" w:cstheme="majorBidi"/>
      <w:color w:val="2D9AC2" w:themeColor="text2" w:themeShade="BF"/>
      <w:sz w:val="26"/>
      <w:szCs w:val="37"/>
    </w:rPr>
  </w:style>
  <w:style w:type="paragraph" w:styleId="Heading4">
    <w:name w:val="heading 4"/>
    <w:basedOn w:val="Normal"/>
    <w:next w:val="BodyText"/>
    <w:link w:val="Heading4Char"/>
    <w:uiPriority w:val="9"/>
    <w:qFormat/>
    <w:rsid w:val="00F83C5C"/>
    <w:pPr>
      <w:keepNext/>
      <w:keepLines/>
      <w:spacing w:before="240" w:line="264" w:lineRule="atLeast"/>
      <w:outlineLvl w:val="3"/>
    </w:pPr>
    <w:rPr>
      <w:rFonts w:asciiTheme="majorHAnsi" w:eastAsiaTheme="majorEastAsia" w:hAnsiTheme="majorHAnsi" w:cstheme="majorBidi"/>
      <w:iCs/>
      <w:color w:val="265A9A" w:themeColor="background2"/>
      <w:sz w:val="22"/>
      <w:szCs w:val="33"/>
    </w:rPr>
  </w:style>
  <w:style w:type="paragraph" w:styleId="Heading5">
    <w:name w:val="heading 5"/>
    <w:basedOn w:val="Normal"/>
    <w:next w:val="BodyText"/>
    <w:link w:val="Heading5Char"/>
    <w:uiPriority w:val="9"/>
    <w:qFormat/>
    <w:rsid w:val="00F83C5C"/>
    <w:pPr>
      <w:keepNext/>
      <w:keepLines/>
      <w:spacing w:line="264" w:lineRule="atLeast"/>
      <w:outlineLvl w:val="4"/>
    </w:pPr>
    <w:rPr>
      <w:rFonts w:eastAsiaTheme="majorEastAsia" w:cstheme="majorBidi"/>
      <w:b/>
      <w:color w:val="265A9A" w:themeColor="background2"/>
      <w:sz w:val="22"/>
      <w:szCs w:val="29"/>
    </w:rPr>
  </w:style>
  <w:style w:type="paragraph" w:styleId="Heading6">
    <w:name w:val="heading 6"/>
    <w:basedOn w:val="Normal"/>
    <w:next w:val="BodyText"/>
    <w:link w:val="Heading6Char"/>
    <w:uiPriority w:val="9"/>
    <w:rsid w:val="00F83C5C"/>
    <w:pPr>
      <w:keepNext/>
      <w:keepLines/>
      <w:spacing w:line="240" w:lineRule="atLeast"/>
      <w:outlineLvl w:val="5"/>
    </w:pPr>
    <w:rPr>
      <w:rFonts w:eastAsiaTheme="majorEastAsia" w:cstheme="minorHAnsi"/>
      <w:b/>
      <w:bCs/>
      <w:i/>
      <w:color w:val="265A9A" w:themeColor="background2"/>
      <w:szCs w:val="24"/>
    </w:rPr>
  </w:style>
  <w:style w:type="paragraph" w:styleId="Heading7">
    <w:name w:val="heading 7"/>
    <w:basedOn w:val="Normal"/>
    <w:next w:val="Normal"/>
    <w:link w:val="Heading7Char"/>
    <w:uiPriority w:val="9"/>
    <w:semiHidden/>
    <w:qFormat/>
    <w:rsid w:val="00F83C5C"/>
    <w:pPr>
      <w:keepNext/>
      <w:keepLines/>
      <w:spacing w:line="240" w:lineRule="atLeast"/>
      <w:outlineLvl w:val="6"/>
    </w:pPr>
    <w:rPr>
      <w:rFonts w:eastAsiaTheme="majorEastAsia" w:cstheme="minorHAnsi"/>
      <w:b/>
      <w:bCs/>
      <w:i/>
      <w:iCs/>
      <w:color w:val="265A9A" w:themeColor="background2"/>
      <w:szCs w:val="22"/>
    </w:rPr>
  </w:style>
  <w:style w:type="paragraph" w:styleId="Heading8">
    <w:name w:val="heading 8"/>
    <w:basedOn w:val="Normal"/>
    <w:next w:val="Normal"/>
    <w:link w:val="Heading8Char"/>
    <w:uiPriority w:val="9"/>
    <w:semiHidden/>
    <w:qFormat/>
    <w:rsid w:val="00F83C5C"/>
    <w:pPr>
      <w:keepNext/>
      <w:keepLines/>
      <w:spacing w:after="0" w:line="293" w:lineRule="auto"/>
      <w:outlineLvl w:val="7"/>
    </w:pPr>
    <w:rPr>
      <w:rFonts w:eastAsiaTheme="majorEastAsia" w:cstheme="majorBidi"/>
      <w:b/>
      <w:sz w:val="18"/>
      <w:szCs w:val="21"/>
    </w:rPr>
  </w:style>
  <w:style w:type="paragraph" w:styleId="Heading9">
    <w:name w:val="heading 9"/>
    <w:basedOn w:val="Normal"/>
    <w:next w:val="Normal"/>
    <w:link w:val="Heading9Char"/>
    <w:uiPriority w:val="9"/>
    <w:semiHidden/>
    <w:rsid w:val="00F83C5C"/>
    <w:pPr>
      <w:spacing w:line="240" w:lineRule="auto"/>
      <w:outlineLvl w:val="8"/>
    </w:pPr>
    <w:rPr>
      <w:rFonts w:asciiTheme="majorHAnsi" w:hAnsiTheme="majorHAnsi"/>
      <w:color w:val="4D7028" w:themeColor="accent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3C5C"/>
    <w:rPr>
      <w:color w:val="808080"/>
    </w:rPr>
  </w:style>
  <w:style w:type="paragraph" w:styleId="Date">
    <w:name w:val="Date"/>
    <w:basedOn w:val="Normal"/>
    <w:next w:val="Normal"/>
    <w:link w:val="DateChar"/>
    <w:uiPriority w:val="99"/>
    <w:unhideWhenUsed/>
    <w:rsid w:val="00F83C5C"/>
    <w:pPr>
      <w:spacing w:after="360" w:line="293" w:lineRule="auto"/>
    </w:pPr>
  </w:style>
  <w:style w:type="character" w:customStyle="1" w:styleId="DateChar">
    <w:name w:val="Date Char"/>
    <w:basedOn w:val="DefaultParagraphFont"/>
    <w:link w:val="Date"/>
    <w:uiPriority w:val="99"/>
    <w:rsid w:val="00F83C5C"/>
    <w:rPr>
      <w:sz w:val="20"/>
      <w:szCs w:val="20"/>
    </w:rPr>
  </w:style>
  <w:style w:type="paragraph" w:styleId="NoSpacing">
    <w:name w:val="No Spacing"/>
    <w:basedOn w:val="Normal"/>
    <w:link w:val="NoSpacingChar"/>
    <w:uiPriority w:val="10"/>
    <w:qFormat/>
    <w:rsid w:val="00F83C5C"/>
    <w:pPr>
      <w:spacing w:before="0" w:after="0"/>
    </w:pPr>
  </w:style>
  <w:style w:type="paragraph" w:styleId="ListBullet">
    <w:name w:val="List Bullet"/>
    <w:basedOn w:val="Normal"/>
    <w:link w:val="ListBulletChar"/>
    <w:uiPriority w:val="1"/>
    <w:qFormat/>
    <w:rsid w:val="00415A0E"/>
    <w:pPr>
      <w:numPr>
        <w:numId w:val="17"/>
      </w:numPr>
      <w:contextualSpacing/>
    </w:pPr>
  </w:style>
  <w:style w:type="paragraph" w:styleId="ListBullet2">
    <w:name w:val="List Bullet 2"/>
    <w:basedOn w:val="Normal"/>
    <w:uiPriority w:val="1"/>
    <w:qFormat/>
    <w:rsid w:val="00415A0E"/>
    <w:pPr>
      <w:numPr>
        <w:ilvl w:val="1"/>
        <w:numId w:val="17"/>
      </w:numPr>
      <w:contextualSpacing/>
    </w:pPr>
  </w:style>
  <w:style w:type="paragraph" w:styleId="ListNumber">
    <w:name w:val="List Number"/>
    <w:basedOn w:val="Normal"/>
    <w:uiPriority w:val="2"/>
    <w:qFormat/>
    <w:rsid w:val="00F83C5C"/>
    <w:pPr>
      <w:numPr>
        <w:numId w:val="14"/>
      </w:numPr>
      <w:spacing w:before="60"/>
      <w:contextualSpacing/>
    </w:pPr>
  </w:style>
  <w:style w:type="numbering" w:customStyle="1" w:styleId="Bullets">
    <w:name w:val="Bullets"/>
    <w:uiPriority w:val="99"/>
    <w:rsid w:val="00F83C5C"/>
    <w:pPr>
      <w:numPr>
        <w:numId w:val="5"/>
      </w:numPr>
    </w:pPr>
  </w:style>
  <w:style w:type="character" w:customStyle="1" w:styleId="Heading1Char">
    <w:name w:val="Heading 1 Char"/>
    <w:basedOn w:val="DefaultParagraphFont"/>
    <w:link w:val="Heading1"/>
    <w:uiPriority w:val="9"/>
    <w:rsid w:val="00F83C5C"/>
    <w:rPr>
      <w:rFonts w:asciiTheme="majorHAnsi" w:hAnsiTheme="majorHAnsi"/>
      <w:color w:val="FFFFFF" w:themeColor="background1"/>
      <w:sz w:val="42"/>
      <w:szCs w:val="20"/>
      <w:shd w:val="clear" w:color="auto" w:fill="265A9A" w:themeFill="background2"/>
    </w:rPr>
  </w:style>
  <w:style w:type="paragraph" w:styleId="ListNumber2">
    <w:name w:val="List Number 2"/>
    <w:basedOn w:val="Normal"/>
    <w:uiPriority w:val="13"/>
    <w:semiHidden/>
    <w:qFormat/>
    <w:rsid w:val="00F83C5C"/>
    <w:pPr>
      <w:numPr>
        <w:ilvl w:val="1"/>
        <w:numId w:val="14"/>
      </w:numPr>
      <w:spacing w:before="60"/>
      <w:contextualSpacing/>
    </w:pPr>
  </w:style>
  <w:style w:type="character" w:customStyle="1" w:styleId="Heading2Char">
    <w:name w:val="Heading 2 Char"/>
    <w:basedOn w:val="DefaultParagraphFont"/>
    <w:link w:val="Heading2"/>
    <w:uiPriority w:val="9"/>
    <w:rsid w:val="00F83C5C"/>
    <w:rPr>
      <w:rFonts w:asciiTheme="majorHAnsi" w:eastAsiaTheme="majorEastAsia" w:hAnsiTheme="majorHAnsi" w:cstheme="majorBidi"/>
      <w:sz w:val="30"/>
      <w:szCs w:val="60"/>
    </w:rPr>
  </w:style>
  <w:style w:type="paragraph" w:styleId="ListParagraph">
    <w:name w:val="List Paragraph"/>
    <w:basedOn w:val="Normal"/>
    <w:uiPriority w:val="34"/>
    <w:rsid w:val="00F83C5C"/>
    <w:pPr>
      <w:spacing w:line="293" w:lineRule="auto"/>
      <w:ind w:left="284"/>
      <w:contextualSpacing/>
    </w:pPr>
  </w:style>
  <w:style w:type="paragraph" w:styleId="Header">
    <w:name w:val="header"/>
    <w:basedOn w:val="Normal"/>
    <w:link w:val="HeaderChar"/>
    <w:uiPriority w:val="99"/>
    <w:unhideWhenUsed/>
    <w:rsid w:val="00F83C5C"/>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99"/>
    <w:rsid w:val="00F83C5C"/>
    <w:rPr>
      <w:sz w:val="16"/>
      <w:szCs w:val="20"/>
    </w:rPr>
  </w:style>
  <w:style w:type="paragraph" w:styleId="Footer">
    <w:name w:val="footer"/>
    <w:basedOn w:val="Normal"/>
    <w:link w:val="FooterChar"/>
    <w:uiPriority w:val="11"/>
    <w:rsid w:val="00F83C5C"/>
    <w:pPr>
      <w:tabs>
        <w:tab w:val="center" w:pos="4513"/>
        <w:tab w:val="right" w:pos="9026"/>
      </w:tabs>
      <w:spacing w:after="0" w:line="240" w:lineRule="auto"/>
      <w:contextualSpacing/>
    </w:pPr>
    <w:rPr>
      <w:rFonts w:asciiTheme="majorHAnsi" w:hAnsiTheme="majorHAnsi"/>
      <w:sz w:val="17"/>
      <w:szCs w:val="22"/>
    </w:rPr>
  </w:style>
  <w:style w:type="character" w:customStyle="1" w:styleId="FooterChar">
    <w:name w:val="Footer Char"/>
    <w:basedOn w:val="DefaultParagraphFont"/>
    <w:link w:val="Footer"/>
    <w:uiPriority w:val="11"/>
    <w:rsid w:val="00F83C5C"/>
    <w:rPr>
      <w:rFonts w:asciiTheme="majorHAnsi" w:hAnsiTheme="majorHAnsi"/>
      <w:sz w:val="17"/>
    </w:rPr>
  </w:style>
  <w:style w:type="numbering" w:customStyle="1" w:styleId="Numbering">
    <w:name w:val="Numbering"/>
    <w:uiPriority w:val="99"/>
    <w:rsid w:val="00F83C5C"/>
    <w:pPr>
      <w:numPr>
        <w:numId w:val="14"/>
      </w:numPr>
    </w:pPr>
  </w:style>
  <w:style w:type="paragraph" w:styleId="ListBullet3">
    <w:name w:val="List Bullet 3"/>
    <w:basedOn w:val="Normal"/>
    <w:uiPriority w:val="1"/>
    <w:qFormat/>
    <w:rsid w:val="00AE528A"/>
    <w:pPr>
      <w:numPr>
        <w:ilvl w:val="2"/>
        <w:numId w:val="17"/>
      </w:numPr>
      <w:ind w:left="681"/>
      <w:contextualSpacing/>
    </w:pPr>
  </w:style>
  <w:style w:type="paragraph" w:styleId="ListContinue2">
    <w:name w:val="List Continue 2"/>
    <w:basedOn w:val="Normal"/>
    <w:uiPriority w:val="3"/>
    <w:unhideWhenUsed/>
    <w:qFormat/>
    <w:rsid w:val="00F83C5C"/>
    <w:pPr>
      <w:spacing w:before="60"/>
      <w:ind w:left="454"/>
    </w:pPr>
  </w:style>
  <w:style w:type="paragraph" w:styleId="ListNumber3">
    <w:name w:val="List Number 3"/>
    <w:basedOn w:val="Normal"/>
    <w:uiPriority w:val="13"/>
    <w:semiHidden/>
    <w:qFormat/>
    <w:rsid w:val="00F83C5C"/>
    <w:pPr>
      <w:numPr>
        <w:ilvl w:val="2"/>
        <w:numId w:val="14"/>
      </w:numPr>
      <w:spacing w:before="60"/>
      <w:contextualSpacing/>
    </w:pPr>
  </w:style>
  <w:style w:type="paragraph" w:styleId="ListNumber4">
    <w:name w:val="List Number 4"/>
    <w:basedOn w:val="Normal"/>
    <w:uiPriority w:val="13"/>
    <w:semiHidden/>
    <w:qFormat/>
    <w:rsid w:val="00F83C5C"/>
    <w:pPr>
      <w:numPr>
        <w:ilvl w:val="3"/>
        <w:numId w:val="14"/>
      </w:numPr>
      <w:spacing w:after="200" w:line="293" w:lineRule="auto"/>
      <w:contextualSpacing/>
    </w:pPr>
  </w:style>
  <w:style w:type="paragraph" w:styleId="ListNumber5">
    <w:name w:val="List Number 5"/>
    <w:basedOn w:val="Normal"/>
    <w:uiPriority w:val="13"/>
    <w:semiHidden/>
    <w:rsid w:val="00F83C5C"/>
    <w:pPr>
      <w:numPr>
        <w:ilvl w:val="4"/>
        <w:numId w:val="14"/>
      </w:numPr>
      <w:spacing w:after="200" w:line="293" w:lineRule="auto"/>
      <w:contextualSpacing/>
    </w:pPr>
  </w:style>
  <w:style w:type="paragraph" w:styleId="ListContinue">
    <w:name w:val="List Continue"/>
    <w:basedOn w:val="Normal"/>
    <w:uiPriority w:val="3"/>
    <w:unhideWhenUsed/>
    <w:qFormat/>
    <w:rsid w:val="00F83C5C"/>
    <w:pPr>
      <w:spacing w:before="60"/>
      <w:ind w:left="227"/>
    </w:pPr>
  </w:style>
  <w:style w:type="paragraph" w:styleId="ListContinue3">
    <w:name w:val="List Continue 3"/>
    <w:basedOn w:val="Normal"/>
    <w:uiPriority w:val="3"/>
    <w:unhideWhenUsed/>
    <w:qFormat/>
    <w:rsid w:val="00F83C5C"/>
    <w:pPr>
      <w:spacing w:before="60"/>
      <w:ind w:left="907"/>
    </w:pPr>
  </w:style>
  <w:style w:type="paragraph" w:styleId="ListContinue4">
    <w:name w:val="List Continue 4"/>
    <w:basedOn w:val="Normal"/>
    <w:uiPriority w:val="3"/>
    <w:unhideWhenUsed/>
    <w:qFormat/>
    <w:rsid w:val="00F83C5C"/>
    <w:pPr>
      <w:spacing w:line="293" w:lineRule="auto"/>
      <w:ind w:left="907"/>
      <w:contextualSpacing/>
    </w:pPr>
  </w:style>
  <w:style w:type="character" w:customStyle="1" w:styleId="Heading3Char">
    <w:name w:val="Heading 3 Char"/>
    <w:basedOn w:val="DefaultParagraphFont"/>
    <w:link w:val="Heading3"/>
    <w:uiPriority w:val="9"/>
    <w:rsid w:val="00F83C5C"/>
    <w:rPr>
      <w:rFonts w:asciiTheme="majorHAnsi" w:eastAsiaTheme="majorEastAsia" w:hAnsiTheme="majorHAnsi" w:cstheme="majorBidi"/>
      <w:color w:val="2D9AC2" w:themeColor="text2" w:themeShade="BF"/>
      <w:sz w:val="26"/>
      <w:szCs w:val="37"/>
    </w:rPr>
  </w:style>
  <w:style w:type="character" w:customStyle="1" w:styleId="Heading4Char">
    <w:name w:val="Heading 4 Char"/>
    <w:basedOn w:val="DefaultParagraphFont"/>
    <w:link w:val="Heading4"/>
    <w:uiPriority w:val="9"/>
    <w:rsid w:val="00F83C5C"/>
    <w:rPr>
      <w:rFonts w:asciiTheme="majorHAnsi" w:eastAsiaTheme="majorEastAsia" w:hAnsiTheme="majorHAnsi" w:cstheme="majorBidi"/>
      <w:iCs/>
      <w:color w:val="265A9A" w:themeColor="background2"/>
      <w:szCs w:val="33"/>
    </w:rPr>
  </w:style>
  <w:style w:type="character" w:customStyle="1" w:styleId="Heading5Char">
    <w:name w:val="Heading 5 Char"/>
    <w:basedOn w:val="DefaultParagraphFont"/>
    <w:link w:val="Heading5"/>
    <w:uiPriority w:val="9"/>
    <w:rsid w:val="00F83C5C"/>
    <w:rPr>
      <w:rFonts w:eastAsiaTheme="majorEastAsia" w:cstheme="majorBidi"/>
      <w:b/>
      <w:color w:val="265A9A" w:themeColor="background2"/>
      <w:szCs w:val="29"/>
    </w:rPr>
  </w:style>
  <w:style w:type="numbering" w:customStyle="1" w:styleId="ListHeadings">
    <w:name w:val="List Headings"/>
    <w:uiPriority w:val="99"/>
    <w:rsid w:val="00F83C5C"/>
    <w:pPr>
      <w:numPr>
        <w:numId w:val="12"/>
      </w:numPr>
    </w:pPr>
  </w:style>
  <w:style w:type="paragraph" w:styleId="Title">
    <w:name w:val="Title"/>
    <w:basedOn w:val="Heading1"/>
    <w:next w:val="Normal"/>
    <w:link w:val="TitleChar"/>
    <w:uiPriority w:val="39"/>
    <w:rsid w:val="00F83C5C"/>
    <w:pPr>
      <w:numPr>
        <w:numId w:val="0"/>
      </w:numPr>
      <w:pBdr>
        <w:top w:val="none" w:sz="0" w:space="0" w:color="auto"/>
        <w:left w:val="none" w:sz="0" w:space="0" w:color="auto"/>
        <w:bottom w:val="none" w:sz="0" w:space="0" w:color="auto"/>
        <w:right w:val="none" w:sz="0" w:space="0" w:color="auto"/>
      </w:pBdr>
      <w:shd w:val="clear" w:color="auto" w:fill="auto"/>
      <w:spacing w:before="560" w:line="204" w:lineRule="auto"/>
      <w:ind w:right="2268"/>
      <w:contextualSpacing/>
    </w:pPr>
    <w:rPr>
      <w:rFonts w:eastAsiaTheme="majorEastAsia" w:cstheme="majorBidi"/>
      <w:kern w:val="28"/>
      <w:sz w:val="52"/>
      <w:szCs w:val="56"/>
    </w:rPr>
  </w:style>
  <w:style w:type="character" w:customStyle="1" w:styleId="TitleChar">
    <w:name w:val="Title Char"/>
    <w:basedOn w:val="DefaultParagraphFont"/>
    <w:link w:val="Title"/>
    <w:uiPriority w:val="39"/>
    <w:rsid w:val="00F83C5C"/>
    <w:rPr>
      <w:rFonts w:asciiTheme="majorHAnsi" w:eastAsiaTheme="majorEastAsia" w:hAnsiTheme="majorHAnsi" w:cstheme="majorBidi"/>
      <w:color w:val="FFFFFF" w:themeColor="background1"/>
      <w:kern w:val="28"/>
      <w:sz w:val="52"/>
      <w:szCs w:val="56"/>
    </w:rPr>
  </w:style>
  <w:style w:type="paragraph" w:customStyle="1" w:styleId="Pull-outQuote">
    <w:name w:val="Pull-out Quote"/>
    <w:basedOn w:val="Normal"/>
    <w:link w:val="Pull-outQuoteChar"/>
    <w:uiPriority w:val="99"/>
    <w:semiHidden/>
    <w:rsid w:val="00F83C5C"/>
    <w:pPr>
      <w:pBdr>
        <w:top w:val="single" w:sz="4" w:space="4" w:color="66BCDB" w:themeColor="text2"/>
        <w:left w:val="single" w:sz="4" w:space="4" w:color="66BCDB" w:themeColor="text2"/>
        <w:bottom w:val="single" w:sz="4" w:space="4" w:color="66BCDB" w:themeColor="text2"/>
        <w:right w:val="single" w:sz="4" w:space="4" w:color="66BCDB" w:themeColor="text2"/>
      </w:pBdr>
      <w:shd w:val="clear" w:color="auto" w:fill="66BCDB" w:themeFill="text2"/>
      <w:spacing w:line="293" w:lineRule="auto"/>
      <w:ind w:left="113" w:right="113"/>
    </w:pPr>
    <w:rPr>
      <w:color w:val="FFFFFF" w:themeColor="background1"/>
    </w:rPr>
  </w:style>
  <w:style w:type="paragraph" w:customStyle="1" w:styleId="Pull-outQuoteHeading">
    <w:name w:val="Pull-out Quote Heading"/>
    <w:basedOn w:val="Pull-outQuote"/>
    <w:next w:val="Pull-outQuote"/>
    <w:link w:val="Pull-outQuoteHeadingChar"/>
    <w:uiPriority w:val="99"/>
    <w:semiHidden/>
    <w:rsid w:val="00F83C5C"/>
    <w:rPr>
      <w:b/>
    </w:rPr>
  </w:style>
  <w:style w:type="character" w:customStyle="1" w:styleId="Pull-outQuoteChar">
    <w:name w:val="Pull-out Quote Char"/>
    <w:basedOn w:val="DefaultParagraphFont"/>
    <w:link w:val="Pull-outQuote"/>
    <w:uiPriority w:val="99"/>
    <w:semiHidden/>
    <w:rsid w:val="00F83C5C"/>
    <w:rPr>
      <w:color w:val="FFFFFF" w:themeColor="background1"/>
      <w:sz w:val="20"/>
      <w:szCs w:val="20"/>
      <w:shd w:val="clear" w:color="auto" w:fill="66BCDB" w:themeFill="text2"/>
    </w:rPr>
  </w:style>
  <w:style w:type="character" w:customStyle="1" w:styleId="Pull-outQuoteHeadingChar">
    <w:name w:val="Pull-out Quote Heading Char"/>
    <w:basedOn w:val="Pull-outQuoteChar"/>
    <w:link w:val="Pull-outQuoteHeading"/>
    <w:uiPriority w:val="99"/>
    <w:semiHidden/>
    <w:rsid w:val="00F83C5C"/>
    <w:rPr>
      <w:b/>
      <w:color w:val="FFFFFF" w:themeColor="background1"/>
      <w:sz w:val="20"/>
      <w:szCs w:val="20"/>
      <w:shd w:val="clear" w:color="auto" w:fill="66BCDB" w:themeFill="text2"/>
    </w:rPr>
  </w:style>
  <w:style w:type="paragraph" w:customStyle="1" w:styleId="NumberedHeading1">
    <w:name w:val="Numbered Heading 1"/>
    <w:basedOn w:val="Heading1"/>
    <w:next w:val="Normal"/>
    <w:link w:val="NumberedHeading1Char"/>
    <w:uiPriority w:val="9"/>
    <w:semiHidden/>
    <w:rsid w:val="00F83C5C"/>
  </w:style>
  <w:style w:type="paragraph" w:customStyle="1" w:styleId="NumberedHeading2">
    <w:name w:val="Numbered Heading 2"/>
    <w:basedOn w:val="Heading2"/>
    <w:next w:val="Normal"/>
    <w:link w:val="NumberedHeading2Char"/>
    <w:uiPriority w:val="9"/>
    <w:semiHidden/>
    <w:rsid w:val="00F83C5C"/>
  </w:style>
  <w:style w:type="character" w:customStyle="1" w:styleId="NumberedHeading1Char">
    <w:name w:val="Numbered Heading 1 Char"/>
    <w:basedOn w:val="Heading1Char"/>
    <w:link w:val="NumberedHeading1"/>
    <w:uiPriority w:val="9"/>
    <w:semiHidden/>
    <w:rsid w:val="00F83C5C"/>
    <w:rPr>
      <w:rFonts w:asciiTheme="majorHAnsi" w:hAnsiTheme="majorHAnsi"/>
      <w:color w:val="FFFFFF" w:themeColor="background1"/>
      <w:sz w:val="42"/>
      <w:szCs w:val="20"/>
      <w:shd w:val="clear" w:color="auto" w:fill="265A9A" w:themeFill="background2"/>
    </w:rPr>
  </w:style>
  <w:style w:type="character" w:customStyle="1" w:styleId="NumberedHeading2Char">
    <w:name w:val="Numbered Heading 2 Char"/>
    <w:basedOn w:val="Heading2Char"/>
    <w:link w:val="NumberedHeading2"/>
    <w:uiPriority w:val="9"/>
    <w:semiHidden/>
    <w:rsid w:val="00F83C5C"/>
    <w:rPr>
      <w:rFonts w:asciiTheme="majorHAnsi" w:eastAsiaTheme="majorEastAsia" w:hAnsiTheme="majorHAnsi" w:cstheme="majorBidi"/>
      <w:sz w:val="30"/>
      <w:szCs w:val="60"/>
    </w:rPr>
  </w:style>
  <w:style w:type="paragraph" w:styleId="ListContinue5">
    <w:name w:val="List Continue 5"/>
    <w:basedOn w:val="Normal"/>
    <w:uiPriority w:val="3"/>
    <w:unhideWhenUsed/>
    <w:qFormat/>
    <w:rsid w:val="00F83C5C"/>
    <w:pPr>
      <w:ind w:left="1134"/>
      <w:contextualSpacing/>
    </w:pPr>
  </w:style>
  <w:style w:type="table" w:styleId="TableGrid">
    <w:name w:val="Table Grid"/>
    <w:basedOn w:val="TableNormal"/>
    <w:uiPriority w:val="39"/>
    <w:rsid w:val="00F83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4"/>
    <w:qFormat/>
    <w:rsid w:val="00F83C5C"/>
    <w:pPr>
      <w:spacing w:before="0" w:after="40"/>
    </w:pPr>
    <w:rPr>
      <w:rFonts w:asciiTheme="majorHAnsi" w:hAnsiTheme="majorHAnsi"/>
      <w:iCs/>
      <w:color w:val="000000" w:themeColor="text1"/>
      <w:szCs w:val="18"/>
    </w:rPr>
  </w:style>
  <w:style w:type="paragraph" w:styleId="List">
    <w:name w:val="List"/>
    <w:basedOn w:val="Normal"/>
    <w:uiPriority w:val="99"/>
    <w:semiHidden/>
    <w:qFormat/>
    <w:rsid w:val="00F83C5C"/>
    <w:pPr>
      <w:numPr>
        <w:numId w:val="9"/>
      </w:numPr>
      <w:spacing w:before="60"/>
    </w:pPr>
  </w:style>
  <w:style w:type="paragraph" w:styleId="List2">
    <w:name w:val="List 2"/>
    <w:basedOn w:val="Normal"/>
    <w:uiPriority w:val="99"/>
    <w:semiHidden/>
    <w:qFormat/>
    <w:rsid w:val="00F83C5C"/>
    <w:pPr>
      <w:numPr>
        <w:ilvl w:val="1"/>
        <w:numId w:val="9"/>
      </w:numPr>
      <w:spacing w:before="60"/>
    </w:pPr>
  </w:style>
  <w:style w:type="numbering" w:customStyle="1" w:styleId="LetteredList">
    <w:name w:val="Lettered List"/>
    <w:uiPriority w:val="99"/>
    <w:rsid w:val="00F83C5C"/>
    <w:pPr>
      <w:numPr>
        <w:numId w:val="8"/>
      </w:numPr>
    </w:pPr>
  </w:style>
  <w:style w:type="paragraph" w:styleId="Subtitle">
    <w:name w:val="Subtitle"/>
    <w:basedOn w:val="Normal"/>
    <w:next w:val="Normal"/>
    <w:link w:val="SubtitleChar"/>
    <w:uiPriority w:val="39"/>
    <w:rsid w:val="00F83C5C"/>
    <w:pPr>
      <w:numPr>
        <w:ilvl w:val="1"/>
      </w:numPr>
      <w:spacing w:before="240" w:after="240" w:line="240" w:lineRule="auto"/>
    </w:pPr>
    <w:rPr>
      <w:rFonts w:eastAsiaTheme="minorEastAsia"/>
      <w:color w:val="FFFFFF" w:themeColor="background1"/>
      <w:sz w:val="52"/>
    </w:rPr>
  </w:style>
  <w:style w:type="character" w:customStyle="1" w:styleId="SubtitleChar">
    <w:name w:val="Subtitle Char"/>
    <w:basedOn w:val="DefaultParagraphFont"/>
    <w:link w:val="Subtitle"/>
    <w:uiPriority w:val="39"/>
    <w:rsid w:val="00F83C5C"/>
    <w:rPr>
      <w:rFonts w:eastAsiaTheme="minorEastAsia"/>
      <w:color w:val="FFFFFF" w:themeColor="background1"/>
      <w:sz w:val="52"/>
      <w:szCs w:val="20"/>
    </w:rPr>
  </w:style>
  <w:style w:type="character" w:styleId="Strong">
    <w:name w:val="Strong"/>
    <w:basedOn w:val="DefaultParagraphFont"/>
    <w:uiPriority w:val="22"/>
    <w:qFormat/>
    <w:rsid w:val="00F83C5C"/>
    <w:rPr>
      <w:rFonts w:asciiTheme="minorHAnsi" w:hAnsiTheme="minorHAnsi"/>
      <w:b/>
      <w:bCs/>
    </w:rPr>
  </w:style>
  <w:style w:type="paragraph" w:customStyle="1" w:styleId="Header-Keyline">
    <w:name w:val="Header - Keyline"/>
    <w:basedOn w:val="Header"/>
    <w:link w:val="Header-KeylineChar"/>
    <w:uiPriority w:val="99"/>
    <w:rsid w:val="00F83C5C"/>
    <w:pPr>
      <w:pBdr>
        <w:bottom w:val="single" w:sz="4" w:space="31" w:color="66BCDB" w:themeColor="text2"/>
      </w:pBdr>
      <w:spacing w:after="600"/>
    </w:pPr>
  </w:style>
  <w:style w:type="character" w:customStyle="1" w:styleId="Heading6Char">
    <w:name w:val="Heading 6 Char"/>
    <w:basedOn w:val="DefaultParagraphFont"/>
    <w:link w:val="Heading6"/>
    <w:uiPriority w:val="9"/>
    <w:rsid w:val="00F83C5C"/>
    <w:rPr>
      <w:rFonts w:eastAsiaTheme="majorEastAsia" w:cstheme="minorHAnsi"/>
      <w:b/>
      <w:bCs/>
      <w:i/>
      <w:color w:val="265A9A" w:themeColor="background2"/>
      <w:sz w:val="20"/>
      <w:szCs w:val="24"/>
    </w:rPr>
  </w:style>
  <w:style w:type="character" w:customStyle="1" w:styleId="Header-KeylineChar">
    <w:name w:val="Header - Keyline Char"/>
    <w:basedOn w:val="HeaderChar"/>
    <w:link w:val="Header-Keyline"/>
    <w:uiPriority w:val="99"/>
    <w:rsid w:val="00F83C5C"/>
    <w:rPr>
      <w:sz w:val="16"/>
      <w:szCs w:val="20"/>
    </w:rPr>
  </w:style>
  <w:style w:type="character" w:customStyle="1" w:styleId="Heading7Char">
    <w:name w:val="Heading 7 Char"/>
    <w:basedOn w:val="DefaultParagraphFont"/>
    <w:link w:val="Heading7"/>
    <w:uiPriority w:val="9"/>
    <w:semiHidden/>
    <w:rsid w:val="00F83C5C"/>
    <w:rPr>
      <w:rFonts w:eastAsiaTheme="majorEastAsia" w:cstheme="minorHAnsi"/>
      <w:b/>
      <w:bCs/>
      <w:i/>
      <w:iCs/>
      <w:color w:val="265A9A" w:themeColor="background2"/>
      <w:sz w:val="20"/>
    </w:rPr>
  </w:style>
  <w:style w:type="character" w:customStyle="1" w:styleId="Heading8Char">
    <w:name w:val="Heading 8 Char"/>
    <w:basedOn w:val="DefaultParagraphFont"/>
    <w:link w:val="Heading8"/>
    <w:uiPriority w:val="9"/>
    <w:semiHidden/>
    <w:rsid w:val="00F83C5C"/>
    <w:rPr>
      <w:rFonts w:eastAsiaTheme="majorEastAsia" w:cstheme="majorBidi"/>
      <w:b/>
      <w:sz w:val="18"/>
      <w:szCs w:val="21"/>
    </w:rPr>
  </w:style>
  <w:style w:type="table" w:customStyle="1" w:styleId="ProductivityCommissionTable1">
    <w:name w:val="Productivity Commission Table 1"/>
    <w:basedOn w:val="TableNormal"/>
    <w:uiPriority w:val="99"/>
    <w:rsid w:val="00F83C5C"/>
    <w:pPr>
      <w:spacing w:after="0" w:line="240" w:lineRule="auto"/>
    </w:pPr>
    <w:tblPr>
      <w:tblStyleRowBandSize w:val="1"/>
      <w:tblBorders>
        <w:top w:val="single" w:sz="4" w:space="0" w:color="BFBFBF"/>
        <w:bottom w:val="single" w:sz="4" w:space="0" w:color="B3B3B3"/>
        <w:insideH w:val="single" w:sz="4" w:space="0" w:color="B3B3B3"/>
      </w:tblBorders>
      <w:tblCellMar>
        <w:top w:w="45" w:type="dxa"/>
        <w:left w:w="0" w:type="dxa"/>
        <w:bottom w:w="4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Heading9Char">
    <w:name w:val="Heading 9 Char"/>
    <w:basedOn w:val="DefaultParagraphFont"/>
    <w:link w:val="Heading9"/>
    <w:uiPriority w:val="9"/>
    <w:semiHidden/>
    <w:rsid w:val="00F83C5C"/>
    <w:rPr>
      <w:rFonts w:asciiTheme="majorHAnsi" w:hAnsiTheme="majorHAnsi"/>
      <w:color w:val="4D7028" w:themeColor="accent2"/>
      <w:sz w:val="18"/>
      <w:szCs w:val="18"/>
    </w:rPr>
  </w:style>
  <w:style w:type="table" w:customStyle="1" w:styleId="ProductivityCommissionTable3">
    <w:name w:val="Productivity Commission Table 3"/>
    <w:basedOn w:val="TableNormal"/>
    <w:uiPriority w:val="99"/>
    <w:rsid w:val="00F83C5C"/>
    <w:pPr>
      <w:spacing w:after="0" w:line="240" w:lineRule="auto"/>
      <w:jc w:val="right"/>
    </w:pPr>
    <w:tblPr>
      <w:tblCellMar>
        <w:top w:w="45" w:type="dxa"/>
        <w:left w:w="0" w:type="dxa"/>
        <w:bottom w:w="45" w:type="dxa"/>
        <w:right w:w="28" w:type="dxa"/>
      </w:tblCellMar>
    </w:tblPr>
    <w:tblStylePr w:type="firstRow">
      <w:rPr>
        <w:b/>
        <w:color w:val="66BCDB" w:themeColor="text2"/>
      </w:rPr>
      <w:tblPr/>
      <w:tcPr>
        <w:tcBorders>
          <w:top w:val="nil"/>
          <w:left w:val="nil"/>
          <w:bottom w:val="single" w:sz="4" w:space="0" w:color="F4B123" w:themeColor="accent3"/>
          <w:right w:val="nil"/>
          <w:insideH w:val="nil"/>
          <w:insideV w:val="nil"/>
          <w:tl2br w:val="nil"/>
          <w:tr2bl w:val="nil"/>
        </w:tcBorders>
      </w:tcPr>
    </w:tblStylePr>
    <w:tblStylePr w:type="lastRow">
      <w:rPr>
        <w:b/>
      </w:rPr>
      <w:tblPr/>
      <w:tcPr>
        <w:tcBorders>
          <w:top w:val="single" w:sz="4" w:space="0" w:color="F4B123" w:themeColor="accent3"/>
          <w:left w:val="nil"/>
          <w:bottom w:val="single" w:sz="4" w:space="0" w:color="F4B123" w:themeColor="accent3"/>
          <w:right w:val="nil"/>
          <w:insideH w:val="nil"/>
          <w:insideV w:val="nil"/>
          <w:tl2br w:val="nil"/>
          <w:tr2bl w:val="nil"/>
        </w:tcBorders>
      </w:tcPr>
    </w:tblStylePr>
    <w:tblStylePr w:type="firstCol">
      <w:pPr>
        <w:jc w:val="left"/>
      </w:pPr>
    </w:tblStylePr>
  </w:style>
  <w:style w:type="paragraph" w:styleId="TOCHeading">
    <w:name w:val="TOC Heading"/>
    <w:next w:val="Normal"/>
    <w:uiPriority w:val="39"/>
    <w:unhideWhenUsed/>
    <w:rsid w:val="00F83C5C"/>
    <w:pPr>
      <w:spacing w:before="240" w:after="240" w:line="500" w:lineRule="atLeast"/>
      <w:outlineLvl w:val="0"/>
    </w:pPr>
    <w:rPr>
      <w:rFonts w:asciiTheme="majorHAnsi" w:hAnsiTheme="majorHAnsi"/>
      <w:color w:val="265A9A" w:themeColor="background2"/>
      <w:sz w:val="42"/>
      <w:szCs w:val="20"/>
    </w:rPr>
  </w:style>
  <w:style w:type="paragraph" w:styleId="FootnoteText">
    <w:name w:val="footnote text"/>
    <w:basedOn w:val="Normal"/>
    <w:link w:val="FootnoteTextChar"/>
    <w:uiPriority w:val="99"/>
    <w:rsid w:val="00F83C5C"/>
    <w:pPr>
      <w:spacing w:before="60" w:after="60" w:line="293" w:lineRule="auto"/>
      <w:contextualSpacing/>
    </w:pPr>
    <w:rPr>
      <w:sz w:val="18"/>
    </w:rPr>
  </w:style>
  <w:style w:type="paragraph" w:styleId="TOC1">
    <w:name w:val="toc 1"/>
    <w:basedOn w:val="Normal"/>
    <w:next w:val="BodyText"/>
    <w:autoRedefine/>
    <w:uiPriority w:val="39"/>
    <w:unhideWhenUsed/>
    <w:rsid w:val="00F83C5C"/>
    <w:pPr>
      <w:tabs>
        <w:tab w:val="left" w:pos="567"/>
        <w:tab w:val="right" w:pos="7938"/>
      </w:tabs>
      <w:spacing w:after="100" w:line="293" w:lineRule="auto"/>
      <w:ind w:left="567" w:right="1701" w:hanging="567"/>
    </w:pPr>
    <w:rPr>
      <w:rFonts w:asciiTheme="majorHAnsi" w:hAnsiTheme="majorHAnsi"/>
      <w:color w:val="265A9A" w:themeColor="background2"/>
    </w:rPr>
  </w:style>
  <w:style w:type="character" w:customStyle="1" w:styleId="FootnoteTextChar">
    <w:name w:val="Footnote Text Char"/>
    <w:basedOn w:val="DefaultParagraphFont"/>
    <w:link w:val="FootnoteText"/>
    <w:uiPriority w:val="99"/>
    <w:rsid w:val="00F83C5C"/>
    <w:rPr>
      <w:sz w:val="18"/>
      <w:szCs w:val="20"/>
    </w:rPr>
  </w:style>
  <w:style w:type="character" w:styleId="FootnoteReference">
    <w:name w:val="footnote reference"/>
    <w:basedOn w:val="DefaultParagraphFont"/>
    <w:uiPriority w:val="99"/>
    <w:semiHidden/>
    <w:unhideWhenUsed/>
    <w:rsid w:val="00F83C5C"/>
    <w:rPr>
      <w:vertAlign w:val="superscript"/>
    </w:rPr>
  </w:style>
  <w:style w:type="character" w:styleId="Hyperlink">
    <w:name w:val="Hyperlink"/>
    <w:basedOn w:val="DefaultParagraphFont"/>
    <w:uiPriority w:val="99"/>
    <w:unhideWhenUsed/>
    <w:rsid w:val="00F83C5C"/>
    <w:rPr>
      <w:color w:val="000000" w:themeColor="hyperlink"/>
      <w:u w:val="single"/>
    </w:rPr>
  </w:style>
  <w:style w:type="character" w:styleId="HTMLVariable">
    <w:name w:val="HTML Variable"/>
    <w:basedOn w:val="DefaultParagraphFont"/>
    <w:uiPriority w:val="99"/>
    <w:unhideWhenUsed/>
    <w:rsid w:val="00F83C5C"/>
    <w:rPr>
      <w:i/>
      <w:iCs/>
    </w:rPr>
  </w:style>
  <w:style w:type="paragraph" w:styleId="TOC2">
    <w:name w:val="toc 2"/>
    <w:basedOn w:val="Normal"/>
    <w:next w:val="Normal"/>
    <w:autoRedefine/>
    <w:uiPriority w:val="39"/>
    <w:unhideWhenUsed/>
    <w:rsid w:val="00F83C5C"/>
    <w:pPr>
      <w:tabs>
        <w:tab w:val="left" w:pos="567"/>
        <w:tab w:val="left" w:pos="1134"/>
        <w:tab w:val="right" w:pos="7938"/>
      </w:tabs>
      <w:spacing w:after="100" w:line="293" w:lineRule="auto"/>
      <w:ind w:left="567" w:right="1701"/>
    </w:pPr>
    <w:rPr>
      <w:noProof/>
    </w:rPr>
  </w:style>
  <w:style w:type="paragraph" w:styleId="TOC3">
    <w:name w:val="toc 3"/>
    <w:basedOn w:val="Normal"/>
    <w:next w:val="Normal"/>
    <w:autoRedefine/>
    <w:uiPriority w:val="39"/>
    <w:unhideWhenUsed/>
    <w:rsid w:val="00F83C5C"/>
    <w:pPr>
      <w:tabs>
        <w:tab w:val="right" w:pos="7938"/>
      </w:tabs>
      <w:spacing w:after="100" w:line="293" w:lineRule="auto"/>
      <w:ind w:right="1701"/>
    </w:pPr>
    <w:rPr>
      <w:rFonts w:asciiTheme="majorHAnsi" w:hAnsiTheme="majorHAnsi"/>
      <w:color w:val="265A9A" w:themeColor="background2"/>
    </w:rPr>
  </w:style>
  <w:style w:type="paragraph" w:customStyle="1" w:styleId="Subtitle2">
    <w:name w:val="Subtitle 2"/>
    <w:basedOn w:val="Normal"/>
    <w:link w:val="Subtitle2Char"/>
    <w:uiPriority w:val="39"/>
    <w:rsid w:val="00F83C5C"/>
    <w:pPr>
      <w:spacing w:before="180" w:line="293" w:lineRule="auto"/>
    </w:pPr>
    <w:rPr>
      <w:rFonts w:asciiTheme="majorHAnsi" w:hAnsiTheme="majorHAnsi"/>
      <w:color w:val="FFFFFF" w:themeColor="background1"/>
      <w:spacing w:val="6"/>
      <w:sz w:val="28"/>
    </w:rPr>
  </w:style>
  <w:style w:type="paragraph" w:customStyle="1" w:styleId="Copyrightpage-Heading2">
    <w:name w:val="Copyright page-Heading 2"/>
    <w:basedOn w:val="NoSpacing"/>
    <w:link w:val="Copyrightpage-Heading2Char"/>
    <w:uiPriority w:val="19"/>
    <w:rsid w:val="00F83C5C"/>
    <w:pPr>
      <w:spacing w:before="240" w:after="60"/>
    </w:pPr>
    <w:rPr>
      <w:b/>
      <w:color w:val="FFFFFF" w:themeColor="background1"/>
      <w:sz w:val="16"/>
      <w:szCs w:val="16"/>
    </w:rPr>
  </w:style>
  <w:style w:type="character" w:customStyle="1" w:styleId="Subtitle2Char">
    <w:name w:val="Subtitle 2 Char"/>
    <w:basedOn w:val="DefaultParagraphFont"/>
    <w:link w:val="Subtitle2"/>
    <w:uiPriority w:val="39"/>
    <w:rsid w:val="00F83C5C"/>
    <w:rPr>
      <w:rFonts w:asciiTheme="majorHAnsi" w:hAnsiTheme="majorHAnsi"/>
      <w:color w:val="FFFFFF" w:themeColor="background1"/>
      <w:spacing w:val="6"/>
      <w:sz w:val="28"/>
      <w:szCs w:val="20"/>
    </w:rPr>
  </w:style>
  <w:style w:type="paragraph" w:customStyle="1" w:styleId="Copyrightpage-BodyText">
    <w:name w:val="Copyright page-Body Text"/>
    <w:basedOn w:val="Normal"/>
    <w:link w:val="Copyrightpage-BodyTextChar"/>
    <w:uiPriority w:val="19"/>
    <w:rsid w:val="00F83C5C"/>
    <w:pPr>
      <w:spacing w:before="80" w:line="250" w:lineRule="atLeast"/>
    </w:pPr>
    <w:rPr>
      <w:color w:val="FFFFFF" w:themeColor="background1"/>
      <w:sz w:val="16"/>
    </w:rPr>
  </w:style>
  <w:style w:type="character" w:customStyle="1" w:styleId="NoSpacingChar">
    <w:name w:val="No Spacing Char"/>
    <w:basedOn w:val="DefaultParagraphFont"/>
    <w:link w:val="NoSpacing"/>
    <w:uiPriority w:val="10"/>
    <w:rsid w:val="00F83C5C"/>
    <w:rPr>
      <w:sz w:val="20"/>
      <w:szCs w:val="20"/>
    </w:rPr>
  </w:style>
  <w:style w:type="character" w:customStyle="1" w:styleId="Copyrightpage-Heading2Char">
    <w:name w:val="Copyright page-Heading 2 Char"/>
    <w:basedOn w:val="NoSpacingChar"/>
    <w:link w:val="Copyrightpage-Heading2"/>
    <w:uiPriority w:val="19"/>
    <w:rsid w:val="00F83C5C"/>
    <w:rPr>
      <w:b/>
      <w:color w:val="FFFFFF" w:themeColor="background1"/>
      <w:sz w:val="16"/>
      <w:szCs w:val="16"/>
    </w:rPr>
  </w:style>
  <w:style w:type="paragraph" w:customStyle="1" w:styleId="Copyrightpage-Heading">
    <w:name w:val="Copyright page-Heading"/>
    <w:basedOn w:val="Subtitle2"/>
    <w:link w:val="Copyrightpage-HeadingChar"/>
    <w:uiPriority w:val="19"/>
    <w:rsid w:val="00F83C5C"/>
    <w:pPr>
      <w:spacing w:before="0" w:line="240" w:lineRule="auto"/>
    </w:pPr>
    <w:rPr>
      <w:spacing w:val="4"/>
      <w:sz w:val="19"/>
      <w:szCs w:val="18"/>
    </w:rPr>
  </w:style>
  <w:style w:type="character" w:customStyle="1" w:styleId="Copyrightpage-BodyTextChar">
    <w:name w:val="Copyright page-Body Text Char"/>
    <w:basedOn w:val="DefaultParagraphFont"/>
    <w:link w:val="Copyrightpage-BodyText"/>
    <w:uiPriority w:val="19"/>
    <w:rsid w:val="00F83C5C"/>
    <w:rPr>
      <w:color w:val="FFFFFF" w:themeColor="background1"/>
      <w:sz w:val="16"/>
      <w:szCs w:val="20"/>
    </w:rPr>
  </w:style>
  <w:style w:type="paragraph" w:customStyle="1" w:styleId="Subtitle4">
    <w:name w:val="Subtitle 4"/>
    <w:basedOn w:val="Copyrightpage-Heading"/>
    <w:link w:val="Subtitle4Char"/>
    <w:uiPriority w:val="39"/>
    <w:rsid w:val="00F83C5C"/>
    <w:pPr>
      <w:spacing w:after="40"/>
    </w:pPr>
    <w:rPr>
      <w:b/>
      <w:sz w:val="16"/>
    </w:rPr>
  </w:style>
  <w:style w:type="character" w:customStyle="1" w:styleId="Copyrightpage-HeadingChar">
    <w:name w:val="Copyright page-Heading Char"/>
    <w:basedOn w:val="Subtitle2Char"/>
    <w:link w:val="Copyrightpage-Heading"/>
    <w:uiPriority w:val="19"/>
    <w:rsid w:val="00F83C5C"/>
    <w:rPr>
      <w:rFonts w:asciiTheme="majorHAnsi" w:hAnsiTheme="majorHAnsi"/>
      <w:color w:val="FFFFFF" w:themeColor="background1"/>
      <w:spacing w:val="4"/>
      <w:sz w:val="19"/>
      <w:szCs w:val="18"/>
    </w:rPr>
  </w:style>
  <w:style w:type="paragraph" w:customStyle="1" w:styleId="Heading1-noTOC">
    <w:name w:val="Heading 1-no TOC"/>
    <w:next w:val="BodyText"/>
    <w:uiPriority w:val="9"/>
    <w:qFormat/>
    <w:rsid w:val="00F83C5C"/>
    <w:pPr>
      <w:spacing w:before="600" w:after="480" w:line="504" w:lineRule="atLeast"/>
    </w:pPr>
    <w:rPr>
      <w:rFonts w:asciiTheme="majorHAnsi" w:eastAsiaTheme="majorEastAsia" w:hAnsiTheme="majorHAnsi" w:cstheme="majorBidi"/>
      <w:b/>
      <w:color w:val="265A9A" w:themeColor="background2"/>
      <w:sz w:val="42"/>
      <w:szCs w:val="68"/>
    </w:rPr>
  </w:style>
  <w:style w:type="character" w:customStyle="1" w:styleId="Subtitle4Char">
    <w:name w:val="Subtitle 4 Char"/>
    <w:basedOn w:val="Copyrightpage-HeadingChar"/>
    <w:link w:val="Subtitle4"/>
    <w:uiPriority w:val="39"/>
    <w:rsid w:val="00F83C5C"/>
    <w:rPr>
      <w:rFonts w:asciiTheme="majorHAnsi" w:hAnsiTheme="majorHAnsi"/>
      <w:b/>
      <w:color w:val="FFFFFF" w:themeColor="background1"/>
      <w:spacing w:val="4"/>
      <w:sz w:val="16"/>
      <w:szCs w:val="18"/>
    </w:rPr>
  </w:style>
  <w:style w:type="paragraph" w:customStyle="1" w:styleId="Heading2-noTOC">
    <w:name w:val="Heading 2-no TOC"/>
    <w:next w:val="BodyText"/>
    <w:uiPriority w:val="9"/>
    <w:unhideWhenUsed/>
    <w:qFormat/>
    <w:rsid w:val="00F83C5C"/>
    <w:pPr>
      <w:spacing w:before="240" w:after="120" w:line="360" w:lineRule="atLeast"/>
    </w:pPr>
    <w:rPr>
      <w:rFonts w:asciiTheme="majorHAnsi" w:eastAsiaTheme="majorEastAsia" w:hAnsiTheme="majorHAnsi" w:cstheme="majorBidi"/>
      <w:sz w:val="30"/>
      <w:szCs w:val="60"/>
    </w:rPr>
  </w:style>
  <w:style w:type="paragraph" w:styleId="TOC4">
    <w:name w:val="toc 4"/>
    <w:basedOn w:val="Normal"/>
    <w:next w:val="Normal"/>
    <w:autoRedefine/>
    <w:uiPriority w:val="39"/>
    <w:unhideWhenUsed/>
    <w:rsid w:val="00F83C5C"/>
    <w:pPr>
      <w:tabs>
        <w:tab w:val="right" w:pos="7938"/>
        <w:tab w:val="right" w:pos="9628"/>
      </w:tabs>
      <w:spacing w:after="100" w:line="293" w:lineRule="auto"/>
      <w:ind w:left="567" w:right="1701"/>
    </w:pPr>
  </w:style>
  <w:style w:type="paragraph" w:customStyle="1" w:styleId="LetterRight">
    <w:name w:val="Letter Right"/>
    <w:basedOn w:val="Normal"/>
    <w:link w:val="LetterRightChar"/>
    <w:uiPriority w:val="99"/>
    <w:rsid w:val="00F83C5C"/>
    <w:pPr>
      <w:spacing w:line="360" w:lineRule="auto"/>
      <w:jc w:val="right"/>
    </w:pPr>
    <w:rPr>
      <w:sz w:val="16"/>
    </w:rPr>
  </w:style>
  <w:style w:type="paragraph" w:customStyle="1" w:styleId="Letterlogo">
    <w:name w:val="Letter logo"/>
    <w:basedOn w:val="LetterRight"/>
    <w:uiPriority w:val="99"/>
    <w:rsid w:val="00F83C5C"/>
    <w:pPr>
      <w:spacing w:after="320"/>
    </w:pPr>
  </w:style>
  <w:style w:type="character" w:customStyle="1" w:styleId="LetterRightChar">
    <w:name w:val="Letter Right Char"/>
    <w:basedOn w:val="DefaultParagraphFont"/>
    <w:link w:val="LetterRight"/>
    <w:uiPriority w:val="99"/>
    <w:rsid w:val="00F83C5C"/>
    <w:rPr>
      <w:sz w:val="16"/>
      <w:szCs w:val="20"/>
    </w:rPr>
  </w:style>
  <w:style w:type="character" w:styleId="UnresolvedMention">
    <w:name w:val="Unresolved Mention"/>
    <w:basedOn w:val="DefaultParagraphFont"/>
    <w:uiPriority w:val="99"/>
    <w:semiHidden/>
    <w:unhideWhenUsed/>
    <w:rsid w:val="00F83C5C"/>
    <w:rPr>
      <w:color w:val="605E5C"/>
      <w:shd w:val="clear" w:color="auto" w:fill="E1DFDD"/>
    </w:rPr>
  </w:style>
  <w:style w:type="paragraph" w:customStyle="1" w:styleId="LetterRight-NoSpace">
    <w:name w:val="Letter Right-No Space"/>
    <w:basedOn w:val="LetterRight"/>
    <w:uiPriority w:val="99"/>
    <w:rsid w:val="00F83C5C"/>
    <w:pPr>
      <w:spacing w:after="0"/>
    </w:pPr>
  </w:style>
  <w:style w:type="table" w:customStyle="1" w:styleId="Blank">
    <w:name w:val="Blank"/>
    <w:basedOn w:val="TableNormal"/>
    <w:uiPriority w:val="99"/>
    <w:rsid w:val="00F83C5C"/>
    <w:pPr>
      <w:spacing w:after="0" w:line="240" w:lineRule="auto"/>
    </w:pPr>
    <w:tblPr>
      <w:tblCellMar>
        <w:top w:w="57" w:type="dxa"/>
        <w:left w:w="0" w:type="dxa"/>
        <w:bottom w:w="57" w:type="dxa"/>
        <w:right w:w="0" w:type="dxa"/>
      </w:tblCellMar>
    </w:tblPr>
  </w:style>
  <w:style w:type="paragraph" w:styleId="ListBullet5">
    <w:name w:val="List Bullet 5"/>
    <w:basedOn w:val="Normal"/>
    <w:uiPriority w:val="13"/>
    <w:semiHidden/>
    <w:rsid w:val="00F83C5C"/>
    <w:pPr>
      <w:numPr>
        <w:numId w:val="11"/>
      </w:numPr>
      <w:contextualSpacing/>
    </w:pPr>
  </w:style>
  <w:style w:type="paragraph" w:customStyle="1" w:styleId="Coverdate">
    <w:name w:val="Cover date"/>
    <w:basedOn w:val="Normal"/>
    <w:uiPriority w:val="29"/>
    <w:rsid w:val="00F83C5C"/>
    <w:pPr>
      <w:framePr w:wrap="around" w:vAnchor="page" w:hAnchor="margin" w:xAlign="right" w:y="1135" w:anchorLock="1"/>
    </w:pPr>
  </w:style>
  <w:style w:type="table" w:customStyle="1" w:styleId="ProductivityCommissionTable2">
    <w:name w:val="Productivity Commission Table 2"/>
    <w:basedOn w:val="ProductivityCommissionTable1"/>
    <w:uiPriority w:val="99"/>
    <w:rsid w:val="00F83C5C"/>
    <w:tblPr>
      <w:tblBorders>
        <w:top w:val="single" w:sz="4" w:space="0" w:color="B3B3B3"/>
        <w:bottom w:val="none" w:sz="0" w:space="0" w:color="auto"/>
        <w:insideH w:val="none" w:sz="0" w:space="0" w:color="auto"/>
      </w:tblBorders>
      <w:tblCellMar>
        <w:top w:w="57" w:type="dxa"/>
        <w:left w:w="57" w:type="dxa"/>
        <w:bottom w:w="57" w:type="dxa"/>
        <w:right w:w="8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White">
    <w:name w:val="White"/>
    <w:basedOn w:val="DefaultParagraphFont"/>
    <w:uiPriority w:val="10"/>
    <w:rsid w:val="00F83C5C"/>
    <w:rPr>
      <w:color w:val="FFFFFF" w:themeColor="background1"/>
    </w:rPr>
  </w:style>
  <w:style w:type="paragraph" w:customStyle="1" w:styleId="Copyrightpage-Keylinenotext">
    <w:name w:val="Copyright page-Keyline (no text)"/>
    <w:basedOn w:val="Copyrightpage-Heading2"/>
    <w:uiPriority w:val="19"/>
    <w:rsid w:val="00F83C5C"/>
    <w:pPr>
      <w:pBdr>
        <w:top w:val="single" w:sz="4" w:space="8" w:color="66BCDB" w:themeColor="text2"/>
      </w:pBdr>
      <w:spacing w:after="0" w:line="168" w:lineRule="auto"/>
    </w:pPr>
    <w:rPr>
      <w:b w:val="0"/>
      <w:color w:val="265A9A" w:themeColor="background2"/>
    </w:rPr>
  </w:style>
  <w:style w:type="table" w:customStyle="1" w:styleId="ProductivityCommissionTable4">
    <w:name w:val="Productivity Commission Table 4"/>
    <w:basedOn w:val="ProductivityCommissionTable3"/>
    <w:uiPriority w:val="99"/>
    <w:rsid w:val="00F83C5C"/>
    <w:pPr>
      <w:jc w:val="left"/>
    </w:pPr>
    <w:tblPr/>
    <w:tblStylePr w:type="firstRow">
      <w:rPr>
        <w:b/>
        <w:color w:val="265A9A" w:themeColor="background2"/>
      </w:rPr>
      <w:tblPr/>
      <w:tcPr>
        <w:tcBorders>
          <w:top w:val="nil"/>
          <w:left w:val="nil"/>
          <w:bottom w:val="single" w:sz="4" w:space="0" w:color="B3B3B3"/>
          <w:right w:val="nil"/>
          <w:insideH w:val="nil"/>
          <w:insideV w:val="nil"/>
          <w:tl2br w:val="nil"/>
          <w:tr2bl w:val="nil"/>
        </w:tcBorders>
      </w:tcPr>
    </w:tblStylePr>
    <w:tblStylePr w:type="lastRow">
      <w:rPr>
        <w:b/>
      </w:rPr>
      <w:tblPr/>
      <w:tcPr>
        <w:tcBorders>
          <w:top w:val="single" w:sz="4" w:space="0" w:color="B3B3B3"/>
          <w:left w:val="nil"/>
          <w:bottom w:val="single" w:sz="4" w:space="0" w:color="B3B3B3"/>
          <w:right w:val="nil"/>
          <w:insideH w:val="nil"/>
          <w:insideV w:val="nil"/>
          <w:tl2br w:val="nil"/>
          <w:tr2bl w:val="nil"/>
        </w:tcBorders>
      </w:tcPr>
    </w:tblStylePr>
    <w:tblStylePr w:type="firstCol">
      <w:pPr>
        <w:jc w:val="left"/>
      </w:pPr>
    </w:tblStylePr>
    <w:tblStylePr w:type="lastCol">
      <w:pPr>
        <w:jc w:val="right"/>
      </w:pPr>
    </w:tblStylePr>
  </w:style>
  <w:style w:type="paragraph" w:customStyle="1" w:styleId="TableHeading-Subheading">
    <w:name w:val="Table Heading - Subheading"/>
    <w:basedOn w:val="NoSpacing"/>
    <w:uiPriority w:val="40"/>
    <w:rsid w:val="00F83C5C"/>
    <w:rPr>
      <w:b/>
    </w:rPr>
  </w:style>
  <w:style w:type="paragraph" w:customStyle="1" w:styleId="CoverImage">
    <w:name w:val="Cover Image"/>
    <w:basedOn w:val="Normal"/>
    <w:uiPriority w:val="29"/>
    <w:rsid w:val="00F83C5C"/>
    <w:pPr>
      <w:framePr w:w="11913" w:h="4536" w:hRule="exact" w:wrap="around" w:vAnchor="page" w:hAnchor="page" w:y="2269" w:anchorLock="1"/>
      <w:spacing w:before="0" w:after="0" w:line="240" w:lineRule="auto"/>
    </w:pPr>
  </w:style>
  <w:style w:type="table" w:customStyle="1" w:styleId="NoBorderwithPadding">
    <w:name w:val="No Border with Padding"/>
    <w:basedOn w:val="TableNormal"/>
    <w:uiPriority w:val="99"/>
    <w:rsid w:val="00F83C5C"/>
    <w:pPr>
      <w:spacing w:after="0" w:line="240" w:lineRule="auto"/>
    </w:pPr>
    <w:tblPr>
      <w:tblCellMar>
        <w:top w:w="284" w:type="dxa"/>
        <w:left w:w="284" w:type="dxa"/>
        <w:bottom w:w="284" w:type="dxa"/>
        <w:right w:w="284" w:type="dxa"/>
      </w:tblCellMar>
    </w:tblPr>
  </w:style>
  <w:style w:type="table" w:customStyle="1" w:styleId="OverviewPageBannerTableStyle">
    <w:name w:val="Overview/Page Banner Table Style"/>
    <w:basedOn w:val="TableNormal"/>
    <w:uiPriority w:val="99"/>
    <w:rsid w:val="00F83C5C"/>
    <w:pPr>
      <w:spacing w:after="0" w:line="240" w:lineRule="auto"/>
    </w:pPr>
    <w:tblPr>
      <w:tblCellMar>
        <w:top w:w="567" w:type="dxa"/>
        <w:left w:w="567" w:type="dxa"/>
        <w:bottom w:w="680" w:type="dxa"/>
        <w:right w:w="1134" w:type="dxa"/>
      </w:tblCellMar>
    </w:tblPr>
    <w:tcPr>
      <w:shd w:val="clear" w:color="auto" w:fill="265A9A" w:themeFill="background2"/>
      <w:vAlign w:val="bottom"/>
    </w:tcPr>
  </w:style>
  <w:style w:type="paragraph" w:styleId="Quote">
    <w:name w:val="Quote"/>
    <w:basedOn w:val="BodyText"/>
    <w:next w:val="BodyText"/>
    <w:link w:val="QuoteChar"/>
    <w:uiPriority w:val="1"/>
    <w:qFormat/>
    <w:rsid w:val="00F83C5C"/>
    <w:pPr>
      <w:spacing w:before="60"/>
      <w:ind w:left="113" w:right="851"/>
    </w:pPr>
    <w:rPr>
      <w:color w:val="58585B"/>
    </w:rPr>
  </w:style>
  <w:style w:type="numbering" w:customStyle="1" w:styleId="TOCList">
    <w:name w:val="TOC List"/>
    <w:uiPriority w:val="99"/>
    <w:rsid w:val="00F83C5C"/>
    <w:pPr>
      <w:numPr>
        <w:numId w:val="16"/>
      </w:numPr>
    </w:pPr>
  </w:style>
  <w:style w:type="paragraph" w:customStyle="1" w:styleId="Heading1-Section-fullpage">
    <w:name w:val="Heading 1-Section-full page"/>
    <w:basedOn w:val="Heading1-nobackground"/>
    <w:uiPriority w:val="9"/>
    <w:qFormat/>
    <w:rsid w:val="00F83C5C"/>
    <w:pPr>
      <w:framePr w:w="9639" w:h="13041" w:hRule="exact" w:wrap="around" w:vAnchor="text" w:hAnchor="text" w:y="1" w:anchorLock="1"/>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0"/>
      <w:ind w:left="567" w:right="567"/>
    </w:pPr>
    <w:rPr>
      <w:color w:val="66BCDB" w:themeColor="text2"/>
    </w:rPr>
  </w:style>
  <w:style w:type="table" w:customStyle="1" w:styleId="Texttable-Paleblue">
    <w:name w:val="Text table-Pale blue"/>
    <w:basedOn w:val="TableNormal"/>
    <w:uiPriority w:val="99"/>
    <w:rsid w:val="00F83C5C"/>
    <w:pPr>
      <w:spacing w:after="0" w:line="240" w:lineRule="auto"/>
    </w:pPr>
    <w:tblPr>
      <w:tblCellMar>
        <w:top w:w="113" w:type="dxa"/>
        <w:left w:w="113" w:type="dxa"/>
        <w:bottom w:w="113" w:type="dxa"/>
        <w:right w:w="113" w:type="dxa"/>
      </w:tblCellMar>
    </w:tblPr>
    <w:tcPr>
      <w:shd w:val="clear" w:color="auto" w:fill="EFF9FE"/>
    </w:tcPr>
  </w:style>
  <w:style w:type="paragraph" w:customStyle="1" w:styleId="FigureTableHeading">
    <w:name w:val="Figure/Table Heading"/>
    <w:basedOn w:val="Caption"/>
    <w:uiPriority w:val="4"/>
    <w:qFormat/>
    <w:rsid w:val="00F83C5C"/>
    <w:pPr>
      <w:keepNext/>
      <w:spacing w:before="240"/>
    </w:pPr>
  </w:style>
  <w:style w:type="paragraph" w:customStyle="1" w:styleId="Source">
    <w:name w:val="Source"/>
    <w:basedOn w:val="Normal"/>
    <w:uiPriority w:val="9"/>
    <w:qFormat/>
    <w:rsid w:val="00F83C5C"/>
    <w:pPr>
      <w:spacing w:before="80" w:after="240" w:line="216" w:lineRule="atLeast"/>
    </w:pPr>
    <w:rPr>
      <w:sz w:val="18"/>
    </w:rPr>
  </w:style>
  <w:style w:type="paragraph" w:customStyle="1" w:styleId="Note">
    <w:name w:val="Note"/>
    <w:basedOn w:val="Source"/>
    <w:uiPriority w:val="9"/>
    <w:qFormat/>
    <w:rsid w:val="00F83C5C"/>
    <w:pPr>
      <w:spacing w:after="20"/>
    </w:pPr>
  </w:style>
  <w:style w:type="numbering" w:customStyle="1" w:styleId="Figure">
    <w:name w:val="Figure"/>
    <w:uiPriority w:val="99"/>
    <w:rsid w:val="00F83C5C"/>
    <w:pPr>
      <w:numPr>
        <w:numId w:val="6"/>
      </w:numPr>
    </w:pPr>
  </w:style>
  <w:style w:type="table" w:customStyle="1" w:styleId="Boxtable">
    <w:name w:val="Box table"/>
    <w:basedOn w:val="Texttable-Paleblue"/>
    <w:uiPriority w:val="99"/>
    <w:rsid w:val="00F83C5C"/>
    <w:tblPr>
      <w:tblCellMar>
        <w:top w:w="170" w:type="dxa"/>
        <w:left w:w="170" w:type="dxa"/>
        <w:bottom w:w="170" w:type="dxa"/>
        <w:right w:w="170" w:type="dxa"/>
      </w:tblCellMar>
    </w:tblPr>
    <w:tcPr>
      <w:shd w:val="clear" w:color="auto" w:fill="F4F5F6"/>
    </w:tcPr>
  </w:style>
  <w:style w:type="numbering" w:customStyle="1" w:styleId="BoxList">
    <w:name w:val="Box List"/>
    <w:uiPriority w:val="99"/>
    <w:rsid w:val="00F83C5C"/>
    <w:pPr>
      <w:numPr>
        <w:numId w:val="4"/>
      </w:numPr>
    </w:pPr>
  </w:style>
  <w:style w:type="paragraph" w:customStyle="1" w:styleId="BoxHeading2">
    <w:name w:val="Box Heading 2"/>
    <w:basedOn w:val="Normal"/>
    <w:next w:val="BodyText"/>
    <w:uiPriority w:val="4"/>
    <w:qFormat/>
    <w:rsid w:val="00F83C5C"/>
    <w:rPr>
      <w:b/>
    </w:rPr>
  </w:style>
  <w:style w:type="table" w:customStyle="1" w:styleId="ProductivityCommissionTable2-Dark">
    <w:name w:val="Productivity Commission Table 2 - Dark"/>
    <w:basedOn w:val="ProductivityCommissionTable2"/>
    <w:uiPriority w:val="99"/>
    <w:rsid w:val="00F83C5C"/>
    <w:tblPr>
      <w:tblBorders>
        <w:top w:val="none" w:sz="0" w:space="0" w:color="auto"/>
        <w:bottom w:val="single" w:sz="4" w:space="0" w:color="B3B3B3"/>
        <w:insideH w:val="single" w:sz="4" w:space="0" w:color="B3B3B3"/>
      </w:tblBorders>
    </w:tblPr>
    <w:tblStylePr w:type="firstRow">
      <w:rPr>
        <w:b/>
        <w:color w:val="265A9A" w:themeColor="background2"/>
      </w:rPr>
    </w:tblStylePr>
    <w:tblStylePr w:type="firstCol">
      <w:rPr>
        <w:b/>
        <w:color w:val="265A9A" w:themeColor="background2"/>
      </w:rPr>
    </w:tblStylePr>
    <w:tblStylePr w:type="band1Horz">
      <w:tblPr/>
      <w:tcPr>
        <w:shd w:val="clear" w:color="auto" w:fill="DCDDDE"/>
      </w:tcPr>
    </w:tblStylePr>
  </w:style>
  <w:style w:type="paragraph" w:customStyle="1" w:styleId="BoxHeading3">
    <w:name w:val="Box Heading 3"/>
    <w:basedOn w:val="BoxHeading2"/>
    <w:uiPriority w:val="4"/>
    <w:qFormat/>
    <w:rsid w:val="00F83C5C"/>
    <w:rPr>
      <w:i/>
    </w:rPr>
  </w:style>
  <w:style w:type="paragraph" w:customStyle="1" w:styleId="TableHeading">
    <w:name w:val="Table Heading"/>
    <w:basedOn w:val="NoSpacing"/>
    <w:uiPriority w:val="4"/>
    <w:qFormat/>
    <w:rsid w:val="00F83C5C"/>
    <w:pPr>
      <w:spacing w:after="20"/>
      <w:ind w:left="57"/>
    </w:pPr>
    <w:rPr>
      <w:b/>
      <w:color w:val="265A9A" w:themeColor="background2"/>
      <w:sz w:val="18"/>
    </w:rPr>
  </w:style>
  <w:style w:type="paragraph" w:customStyle="1" w:styleId="BodyText-Blue">
    <w:name w:val="Body Text-Blue"/>
    <w:basedOn w:val="BodyText"/>
    <w:link w:val="BodyText-BlueChar"/>
    <w:semiHidden/>
    <w:qFormat/>
    <w:rsid w:val="00F83C5C"/>
    <w:rPr>
      <w:color w:val="265A9A" w:themeColor="background2"/>
    </w:rPr>
  </w:style>
  <w:style w:type="table" w:customStyle="1" w:styleId="Texttable-Keyline">
    <w:name w:val="Text table-Keyline"/>
    <w:basedOn w:val="Texttable-Paleblue"/>
    <w:uiPriority w:val="99"/>
    <w:rsid w:val="00F83C5C"/>
    <w:tblPr>
      <w:tblBorders>
        <w:top w:val="single" w:sz="4" w:space="0" w:color="66BCDB" w:themeColor="text2"/>
        <w:left w:val="single" w:sz="4" w:space="0" w:color="66BCDB" w:themeColor="text2"/>
        <w:bottom w:val="single" w:sz="4" w:space="0" w:color="66BCDB" w:themeColor="text2"/>
        <w:right w:val="single" w:sz="4" w:space="0" w:color="66BCDB" w:themeColor="text2"/>
      </w:tblBorders>
    </w:tblPr>
    <w:tcPr>
      <w:shd w:val="clear" w:color="auto" w:fill="auto"/>
    </w:tcPr>
  </w:style>
  <w:style w:type="paragraph" w:customStyle="1" w:styleId="Header-KeylineRight">
    <w:name w:val="Header - Keyline Right"/>
    <w:basedOn w:val="Header-Keyline"/>
    <w:uiPriority w:val="99"/>
    <w:rsid w:val="00F83C5C"/>
    <w:pPr>
      <w:jc w:val="right"/>
    </w:pPr>
  </w:style>
  <w:style w:type="table" w:customStyle="1" w:styleId="CopyrightPage">
    <w:name w:val="Copyright Page"/>
    <w:basedOn w:val="OverviewPageBannerTableStyle"/>
    <w:uiPriority w:val="99"/>
    <w:rsid w:val="00F83C5C"/>
    <w:rPr>
      <w:color w:val="FFFFFF" w:themeColor="background1"/>
    </w:rPr>
    <w:tblPr>
      <w:tblCellMar>
        <w:top w:w="284" w:type="dxa"/>
        <w:left w:w="284" w:type="dxa"/>
        <w:bottom w:w="284" w:type="dxa"/>
        <w:right w:w="3119" w:type="dxa"/>
      </w:tblCellMar>
    </w:tblPr>
    <w:tcPr>
      <w:shd w:val="clear" w:color="auto" w:fill="265A9A" w:themeFill="background2"/>
    </w:tcPr>
  </w:style>
  <w:style w:type="paragraph" w:customStyle="1" w:styleId="Heading3-noTOC">
    <w:name w:val="Heading 3-no TOC"/>
    <w:basedOn w:val="Heading3"/>
    <w:uiPriority w:val="9"/>
    <w:qFormat/>
    <w:rsid w:val="00F83C5C"/>
    <w:pPr>
      <w:spacing w:line="312" w:lineRule="atLeast"/>
    </w:pPr>
    <w:rPr>
      <w:color w:val="2C9BC2"/>
    </w:rPr>
  </w:style>
  <w:style w:type="paragraph" w:styleId="BodyText">
    <w:name w:val="Body Text"/>
    <w:basedOn w:val="Normal"/>
    <w:link w:val="BodyTextChar"/>
    <w:qFormat/>
    <w:rsid w:val="00F83C5C"/>
  </w:style>
  <w:style w:type="character" w:customStyle="1" w:styleId="BodyTextChar">
    <w:name w:val="Body Text Char"/>
    <w:basedOn w:val="DefaultParagraphFont"/>
    <w:link w:val="BodyText"/>
    <w:rsid w:val="00F83C5C"/>
    <w:rPr>
      <w:sz w:val="20"/>
      <w:szCs w:val="20"/>
    </w:rPr>
  </w:style>
  <w:style w:type="paragraph" w:styleId="List4">
    <w:name w:val="List 4"/>
    <w:basedOn w:val="Normal"/>
    <w:uiPriority w:val="99"/>
    <w:semiHidden/>
    <w:rsid w:val="00F83C5C"/>
    <w:pPr>
      <w:numPr>
        <w:ilvl w:val="3"/>
        <w:numId w:val="9"/>
      </w:numPr>
      <w:contextualSpacing/>
    </w:pPr>
  </w:style>
  <w:style w:type="paragraph" w:styleId="List3">
    <w:name w:val="List 3"/>
    <w:basedOn w:val="Normal"/>
    <w:uiPriority w:val="99"/>
    <w:semiHidden/>
    <w:rsid w:val="00F83C5C"/>
    <w:pPr>
      <w:numPr>
        <w:ilvl w:val="2"/>
        <w:numId w:val="9"/>
      </w:numPr>
      <w:contextualSpacing/>
    </w:pPr>
  </w:style>
  <w:style w:type="paragraph" w:customStyle="1" w:styleId="Heading1-nonumber">
    <w:name w:val="Heading 1-no number"/>
    <w:basedOn w:val="Heading1"/>
    <w:next w:val="BodyText"/>
    <w:uiPriority w:val="9"/>
    <w:qFormat/>
    <w:rsid w:val="00F83C5C"/>
    <w:pPr>
      <w:numPr>
        <w:numId w:val="0"/>
      </w:numPr>
      <w:ind w:left="567"/>
    </w:pPr>
  </w:style>
  <w:style w:type="paragraph" w:customStyle="1" w:styleId="ListAlpha1">
    <w:name w:val="List Alpha 1"/>
    <w:basedOn w:val="Normal"/>
    <w:uiPriority w:val="3"/>
    <w:qFormat/>
    <w:rsid w:val="00F83C5C"/>
    <w:pPr>
      <w:numPr>
        <w:numId w:val="10"/>
      </w:numPr>
      <w:spacing w:before="60"/>
      <w:contextualSpacing/>
    </w:pPr>
  </w:style>
  <w:style w:type="paragraph" w:customStyle="1" w:styleId="ListAlpha2">
    <w:name w:val="List Alpha 2"/>
    <w:basedOn w:val="ListAlpha1"/>
    <w:uiPriority w:val="3"/>
    <w:qFormat/>
    <w:rsid w:val="00F83C5C"/>
    <w:pPr>
      <w:numPr>
        <w:ilvl w:val="1"/>
      </w:numPr>
    </w:pPr>
  </w:style>
  <w:style w:type="paragraph" w:customStyle="1" w:styleId="ListAlpha3">
    <w:name w:val="List Alpha 3"/>
    <w:basedOn w:val="ListAlpha2"/>
    <w:uiPriority w:val="3"/>
    <w:qFormat/>
    <w:rsid w:val="00F83C5C"/>
    <w:pPr>
      <w:numPr>
        <w:ilvl w:val="2"/>
      </w:numPr>
    </w:pPr>
  </w:style>
  <w:style w:type="paragraph" w:customStyle="1" w:styleId="ListAlpha4">
    <w:name w:val="List Alpha 4"/>
    <w:basedOn w:val="ListAlpha3"/>
    <w:uiPriority w:val="3"/>
    <w:semiHidden/>
    <w:qFormat/>
    <w:rsid w:val="00F83C5C"/>
    <w:pPr>
      <w:numPr>
        <w:ilvl w:val="3"/>
      </w:numPr>
    </w:pPr>
  </w:style>
  <w:style w:type="numbering" w:customStyle="1" w:styleId="Alphalist">
    <w:name w:val="Alpha list"/>
    <w:uiPriority w:val="99"/>
    <w:rsid w:val="00F83C5C"/>
    <w:pPr>
      <w:numPr>
        <w:numId w:val="1"/>
      </w:numPr>
    </w:pPr>
  </w:style>
  <w:style w:type="paragraph" w:customStyle="1" w:styleId="KeyPoints-Bold">
    <w:name w:val="Key Points-Bold"/>
    <w:basedOn w:val="Normal"/>
    <w:uiPriority w:val="10"/>
    <w:qFormat/>
    <w:rsid w:val="00F83C5C"/>
    <w:pPr>
      <w:spacing w:before="40" w:after="60" w:line="274" w:lineRule="atLeast"/>
    </w:pPr>
    <w:rPr>
      <w:b/>
      <w:sz w:val="18"/>
    </w:rPr>
  </w:style>
  <w:style w:type="paragraph" w:customStyle="1" w:styleId="Copyrightpage-BodyBold">
    <w:name w:val="Copyright page-Body Bold"/>
    <w:basedOn w:val="Copyrightpage-BodyText"/>
    <w:uiPriority w:val="19"/>
    <w:rsid w:val="00F83C5C"/>
    <w:rPr>
      <w:b/>
    </w:rPr>
  </w:style>
  <w:style w:type="paragraph" w:customStyle="1" w:styleId="KeyPoints-Bullet">
    <w:name w:val="Key Points-Bullet"/>
    <w:basedOn w:val="ListBullet"/>
    <w:uiPriority w:val="10"/>
    <w:qFormat/>
    <w:rsid w:val="00F83C5C"/>
    <w:pPr>
      <w:spacing w:after="60" w:line="274" w:lineRule="atLeast"/>
    </w:pPr>
    <w:rPr>
      <w:sz w:val="18"/>
    </w:rPr>
  </w:style>
  <w:style w:type="paragraph" w:customStyle="1" w:styleId="BodyText-Grey">
    <w:name w:val="Body Text-Grey"/>
    <w:basedOn w:val="BodyText"/>
    <w:link w:val="BodyText-GreyChar"/>
    <w:semiHidden/>
    <w:qFormat/>
    <w:rsid w:val="00F83C5C"/>
    <w:rPr>
      <w:color w:val="58585B"/>
    </w:rPr>
  </w:style>
  <w:style w:type="character" w:customStyle="1" w:styleId="BodyText-GreyChar">
    <w:name w:val="Body Text-Grey Char"/>
    <w:basedOn w:val="BodyTextChar"/>
    <w:link w:val="BodyText-Grey"/>
    <w:semiHidden/>
    <w:rsid w:val="00F83C5C"/>
    <w:rPr>
      <w:color w:val="58585B"/>
      <w:sz w:val="20"/>
      <w:szCs w:val="20"/>
    </w:rPr>
  </w:style>
  <w:style w:type="paragraph" w:styleId="BalloonText">
    <w:name w:val="Balloon Text"/>
    <w:basedOn w:val="Normal"/>
    <w:link w:val="BalloonTextChar"/>
    <w:uiPriority w:val="99"/>
    <w:semiHidden/>
    <w:unhideWhenUsed/>
    <w:rsid w:val="00F83C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C5C"/>
    <w:rPr>
      <w:rFonts w:ascii="Segoe UI" w:hAnsi="Segoe UI" w:cs="Segoe UI"/>
      <w:sz w:val="18"/>
      <w:szCs w:val="18"/>
    </w:rPr>
  </w:style>
  <w:style w:type="character" w:styleId="CommentReference">
    <w:name w:val="annotation reference"/>
    <w:basedOn w:val="DefaultParagraphFont"/>
    <w:uiPriority w:val="99"/>
    <w:semiHidden/>
    <w:unhideWhenUsed/>
    <w:rsid w:val="00F83C5C"/>
    <w:rPr>
      <w:sz w:val="16"/>
      <w:szCs w:val="16"/>
    </w:rPr>
  </w:style>
  <w:style w:type="paragraph" w:styleId="CommentText">
    <w:name w:val="annotation text"/>
    <w:basedOn w:val="Normal"/>
    <w:link w:val="CommentTextChar"/>
    <w:uiPriority w:val="99"/>
    <w:unhideWhenUsed/>
    <w:rsid w:val="00F83C5C"/>
    <w:pPr>
      <w:spacing w:line="240" w:lineRule="auto"/>
    </w:pPr>
  </w:style>
  <w:style w:type="character" w:customStyle="1" w:styleId="CommentTextChar">
    <w:name w:val="Comment Text Char"/>
    <w:basedOn w:val="DefaultParagraphFont"/>
    <w:link w:val="CommentText"/>
    <w:uiPriority w:val="99"/>
    <w:rsid w:val="00F83C5C"/>
    <w:rPr>
      <w:sz w:val="20"/>
      <w:szCs w:val="20"/>
    </w:rPr>
  </w:style>
  <w:style w:type="paragraph" w:styleId="CommentSubject">
    <w:name w:val="annotation subject"/>
    <w:basedOn w:val="CommentText"/>
    <w:next w:val="CommentText"/>
    <w:link w:val="CommentSubjectChar"/>
    <w:uiPriority w:val="99"/>
    <w:semiHidden/>
    <w:unhideWhenUsed/>
    <w:rsid w:val="00F83C5C"/>
    <w:rPr>
      <w:b/>
      <w:bCs/>
    </w:rPr>
  </w:style>
  <w:style w:type="character" w:customStyle="1" w:styleId="CommentSubjectChar">
    <w:name w:val="Comment Subject Char"/>
    <w:basedOn w:val="CommentTextChar"/>
    <w:link w:val="CommentSubject"/>
    <w:uiPriority w:val="99"/>
    <w:semiHidden/>
    <w:rsid w:val="00F83C5C"/>
    <w:rPr>
      <w:b/>
      <w:bCs/>
      <w:sz w:val="20"/>
      <w:szCs w:val="20"/>
    </w:rPr>
  </w:style>
  <w:style w:type="character" w:customStyle="1" w:styleId="ColourBlue">
    <w:name w:val="Colour Blue"/>
    <w:basedOn w:val="DefaultParagraphFont"/>
    <w:uiPriority w:val="22"/>
    <w:qFormat/>
    <w:rsid w:val="00F83C5C"/>
    <w:rPr>
      <w:color w:val="66BCDB" w:themeColor="text2"/>
    </w:rPr>
  </w:style>
  <w:style w:type="character" w:customStyle="1" w:styleId="ColourDarkBlue">
    <w:name w:val="Colour Dark Blue"/>
    <w:basedOn w:val="ColourBlue"/>
    <w:uiPriority w:val="22"/>
    <w:qFormat/>
    <w:rsid w:val="00F83C5C"/>
    <w:rPr>
      <w:color w:val="265A9A" w:themeColor="background2"/>
    </w:rPr>
  </w:style>
  <w:style w:type="paragraph" w:customStyle="1" w:styleId="BodyText-Beforebullet">
    <w:name w:val="Body Text-Before bullet"/>
    <w:basedOn w:val="BodyText"/>
    <w:link w:val="BodyText-BeforebulletChar"/>
    <w:semiHidden/>
    <w:unhideWhenUsed/>
    <w:rsid w:val="00F83C5C"/>
    <w:pPr>
      <w:spacing w:after="20"/>
    </w:pPr>
  </w:style>
  <w:style w:type="paragraph" w:customStyle="1" w:styleId="PullQuote">
    <w:name w:val="Pull Quote"/>
    <w:basedOn w:val="BodyText"/>
    <w:next w:val="BodyText"/>
    <w:uiPriority w:val="10"/>
    <w:qFormat/>
    <w:rsid w:val="00F83C5C"/>
    <w:pPr>
      <w:spacing w:before="60"/>
      <w:ind w:left="113" w:right="1134"/>
    </w:pPr>
    <w:rPr>
      <w:rFonts w:ascii="Arial Black" w:hAnsi="Arial Black"/>
      <w:color w:val="2C9BC2"/>
      <w:sz w:val="24"/>
    </w:rPr>
  </w:style>
  <w:style w:type="character" w:customStyle="1" w:styleId="BodyText-BeforebulletChar">
    <w:name w:val="Body Text-Before bullet Char"/>
    <w:basedOn w:val="BodyTextChar"/>
    <w:link w:val="BodyText-Beforebullet"/>
    <w:semiHidden/>
    <w:rsid w:val="00F83C5C"/>
    <w:rPr>
      <w:sz w:val="20"/>
      <w:szCs w:val="20"/>
    </w:rPr>
  </w:style>
  <w:style w:type="paragraph" w:customStyle="1" w:styleId="TableBody">
    <w:name w:val="Table Body"/>
    <w:basedOn w:val="NoSpacing"/>
    <w:uiPriority w:val="4"/>
    <w:qFormat/>
    <w:rsid w:val="00F83C5C"/>
    <w:pPr>
      <w:spacing w:after="20"/>
      <w:ind w:left="57"/>
    </w:pPr>
    <w:rPr>
      <w:sz w:val="18"/>
    </w:rPr>
  </w:style>
  <w:style w:type="paragraph" w:styleId="Revision">
    <w:name w:val="Revision"/>
    <w:hidden/>
    <w:uiPriority w:val="99"/>
    <w:semiHidden/>
    <w:rsid w:val="008D19FD"/>
    <w:pPr>
      <w:spacing w:after="0" w:line="240" w:lineRule="auto"/>
    </w:pPr>
    <w:rPr>
      <w:sz w:val="20"/>
      <w:szCs w:val="20"/>
    </w:rPr>
  </w:style>
  <w:style w:type="paragraph" w:customStyle="1" w:styleId="KeyPointsicon">
    <w:name w:val="Key Points icon"/>
    <w:basedOn w:val="Normal"/>
    <w:uiPriority w:val="10"/>
    <w:qFormat/>
    <w:rsid w:val="00F83C5C"/>
    <w:pPr>
      <w:spacing w:before="60"/>
      <w:jc w:val="right"/>
    </w:pPr>
  </w:style>
  <w:style w:type="paragraph" w:customStyle="1" w:styleId="FigureTableSubheading">
    <w:name w:val="Figure/Table Subheading"/>
    <w:basedOn w:val="FigureTableHeading"/>
    <w:uiPriority w:val="4"/>
    <w:qFormat/>
    <w:rsid w:val="00F83C5C"/>
    <w:pPr>
      <w:spacing w:before="40"/>
    </w:pPr>
    <w:rPr>
      <w:color w:val="58585B"/>
    </w:rPr>
  </w:style>
  <w:style w:type="table" w:customStyle="1" w:styleId="TextTable-Grey">
    <w:name w:val="Text Table-Grey"/>
    <w:basedOn w:val="Texttable-Paleblue"/>
    <w:uiPriority w:val="99"/>
    <w:rsid w:val="00F83C5C"/>
    <w:rPr>
      <w:color w:val="265A9A" w:themeColor="background2"/>
    </w:rPr>
    <w:tblPr/>
    <w:tcPr>
      <w:shd w:val="clear" w:color="auto" w:fill="F2F2F2"/>
    </w:tcPr>
  </w:style>
  <w:style w:type="character" w:customStyle="1" w:styleId="BodyText-BlueChar">
    <w:name w:val="Body Text-Blue Char"/>
    <w:basedOn w:val="BodyTextChar"/>
    <w:link w:val="BodyText-Blue"/>
    <w:semiHidden/>
    <w:rsid w:val="00F83C5C"/>
    <w:rPr>
      <w:color w:val="265A9A" w:themeColor="background2"/>
      <w:sz w:val="20"/>
      <w:szCs w:val="20"/>
    </w:rPr>
  </w:style>
  <w:style w:type="paragraph" w:customStyle="1" w:styleId="Heading3-nonumber">
    <w:name w:val="Heading 3-no number"/>
    <w:basedOn w:val="Heading3"/>
    <w:uiPriority w:val="9"/>
    <w:semiHidden/>
    <w:qFormat/>
    <w:rsid w:val="00F83C5C"/>
  </w:style>
  <w:style w:type="paragraph" w:customStyle="1" w:styleId="Heading1-nobackground">
    <w:name w:val="Heading 1-no background"/>
    <w:basedOn w:val="Heading1"/>
    <w:next w:val="BodyText"/>
    <w:uiPriority w:val="9"/>
    <w:qFormat/>
    <w:rsid w:val="00F83C5C"/>
    <w:pPr>
      <w:numPr>
        <w:numId w:val="0"/>
      </w:numPr>
      <w:pBdr>
        <w:top w:val="none" w:sz="0" w:space="0" w:color="auto"/>
        <w:left w:val="none" w:sz="0" w:space="0" w:color="auto"/>
        <w:bottom w:val="none" w:sz="0" w:space="0" w:color="auto"/>
        <w:right w:val="none" w:sz="0" w:space="0" w:color="auto"/>
      </w:pBdr>
      <w:shd w:val="clear" w:color="auto" w:fill="auto"/>
      <w:spacing w:before="600"/>
      <w:ind w:right="0"/>
    </w:pPr>
    <w:rPr>
      <w:color w:val="265A9A" w:themeColor="background2"/>
    </w:rPr>
  </w:style>
  <w:style w:type="character" w:customStyle="1" w:styleId="QuoteChar">
    <w:name w:val="Quote Char"/>
    <w:basedOn w:val="DefaultParagraphFont"/>
    <w:link w:val="Quote"/>
    <w:uiPriority w:val="1"/>
    <w:rsid w:val="00F83C5C"/>
    <w:rPr>
      <w:color w:val="58585B"/>
      <w:sz w:val="20"/>
      <w:szCs w:val="20"/>
    </w:rPr>
  </w:style>
  <w:style w:type="paragraph" w:customStyle="1" w:styleId="TableHeading-numbered">
    <w:name w:val="Table Heading-numbered"/>
    <w:basedOn w:val="Normal"/>
    <w:semiHidden/>
    <w:qFormat/>
    <w:rsid w:val="00F83C5C"/>
    <w:pPr>
      <w:numPr>
        <w:numId w:val="15"/>
      </w:numPr>
      <w:spacing w:before="60"/>
      <w:contextualSpacing/>
    </w:pPr>
    <w:rPr>
      <w:b/>
      <w:color w:val="265A9A" w:themeColor="background2"/>
    </w:rPr>
  </w:style>
  <w:style w:type="numbering" w:customStyle="1" w:styleId="TableList">
    <w:name w:val="TableList"/>
    <w:uiPriority w:val="99"/>
    <w:rsid w:val="00F83C5C"/>
    <w:pPr>
      <w:numPr>
        <w:numId w:val="15"/>
      </w:numPr>
    </w:pPr>
  </w:style>
  <w:style w:type="paragraph" w:customStyle="1" w:styleId="Footer-right">
    <w:name w:val="Footer-right"/>
    <w:basedOn w:val="Footer"/>
    <w:uiPriority w:val="11"/>
    <w:rsid w:val="00F83C5C"/>
    <w:pPr>
      <w:jc w:val="right"/>
    </w:pPr>
    <w:rPr>
      <w:szCs w:val="24"/>
    </w:rPr>
  </w:style>
  <w:style w:type="paragraph" w:customStyle="1" w:styleId="Heading2-nonumber">
    <w:name w:val="Heading 2-no number"/>
    <w:basedOn w:val="Heading2"/>
    <w:uiPriority w:val="9"/>
    <w:qFormat/>
    <w:rsid w:val="00F83C5C"/>
    <w:pPr>
      <w:numPr>
        <w:ilvl w:val="0"/>
        <w:numId w:val="0"/>
      </w:numPr>
    </w:pPr>
  </w:style>
  <w:style w:type="paragraph" w:customStyle="1" w:styleId="Heading-Appendix">
    <w:name w:val="Heading-Appendix"/>
    <w:basedOn w:val="Heading1-nonumber"/>
    <w:next w:val="BodyText"/>
    <w:uiPriority w:val="9"/>
    <w:qFormat/>
    <w:rsid w:val="00F83C5C"/>
    <w:pPr>
      <w:numPr>
        <w:numId w:val="7"/>
      </w:numPr>
    </w:pPr>
  </w:style>
  <w:style w:type="numbering" w:customStyle="1" w:styleId="AppendixHeading">
    <w:name w:val="AppendixHeading"/>
    <w:uiPriority w:val="99"/>
    <w:rsid w:val="00F83C5C"/>
    <w:pPr>
      <w:numPr>
        <w:numId w:val="3"/>
      </w:numPr>
    </w:pPr>
  </w:style>
  <w:style w:type="paragraph" w:customStyle="1" w:styleId="DraftingNote">
    <w:name w:val="Drafting Note"/>
    <w:basedOn w:val="BodyText"/>
    <w:link w:val="DraftingNoteChar"/>
    <w:qFormat/>
    <w:rsid w:val="00F83C5C"/>
    <w:pPr>
      <w:contextualSpacing/>
    </w:pPr>
    <w:rPr>
      <w:color w:val="A22D2B"/>
      <w:sz w:val="24"/>
      <w:u w:val="dotted"/>
    </w:rPr>
  </w:style>
  <w:style w:type="character" w:customStyle="1" w:styleId="DraftingNoteChar">
    <w:name w:val="Drafting Note Char"/>
    <w:basedOn w:val="BodyTextChar"/>
    <w:link w:val="DraftingNote"/>
    <w:rsid w:val="00F83C5C"/>
    <w:rPr>
      <w:color w:val="A22D2B"/>
      <w:sz w:val="24"/>
      <w:szCs w:val="20"/>
      <w:u w:val="dotted"/>
    </w:rPr>
  </w:style>
  <w:style w:type="paragraph" w:customStyle="1" w:styleId="BoxHeading1">
    <w:name w:val="Box Heading 1"/>
    <w:basedOn w:val="FigureTableHeading"/>
    <w:next w:val="BodyText"/>
    <w:uiPriority w:val="4"/>
    <w:qFormat/>
    <w:rsid w:val="00F83C5C"/>
    <w:pPr>
      <w:spacing w:after="0"/>
    </w:pPr>
  </w:style>
  <w:style w:type="character" w:styleId="Emphasis">
    <w:name w:val="Emphasis"/>
    <w:basedOn w:val="DefaultParagraphFont"/>
    <w:uiPriority w:val="22"/>
    <w:qFormat/>
    <w:rsid w:val="00F83C5C"/>
    <w:rPr>
      <w:i/>
      <w:iCs/>
    </w:rPr>
  </w:style>
  <w:style w:type="paragraph" w:customStyle="1" w:styleId="Reference">
    <w:name w:val="Reference"/>
    <w:basedOn w:val="BodyText"/>
    <w:qFormat/>
    <w:rsid w:val="00F83C5C"/>
    <w:pPr>
      <w:spacing w:before="0" w:after="60" w:line="200" w:lineRule="exact"/>
    </w:pPr>
    <w:rPr>
      <w:sz w:val="16"/>
    </w:rPr>
  </w:style>
  <w:style w:type="paragraph" w:customStyle="1" w:styleId="Keypoints-heading">
    <w:name w:val="Key points-heading"/>
    <w:basedOn w:val="Heading3"/>
    <w:uiPriority w:val="10"/>
    <w:qFormat/>
    <w:rsid w:val="00F83C5C"/>
    <w:rPr>
      <w:color w:val="auto"/>
    </w:rPr>
  </w:style>
  <w:style w:type="paragraph" w:customStyle="1" w:styleId="Heading2-Appendix">
    <w:name w:val="Heading 2-Appendix"/>
    <w:basedOn w:val="Heading2-nonumber"/>
    <w:next w:val="Normal"/>
    <w:uiPriority w:val="10"/>
    <w:qFormat/>
    <w:rsid w:val="00F83C5C"/>
    <w:pPr>
      <w:numPr>
        <w:ilvl w:val="1"/>
        <w:numId w:val="7"/>
      </w:numPr>
    </w:pPr>
  </w:style>
  <w:style w:type="numbering" w:customStyle="1" w:styleId="AppendixHeadingList">
    <w:name w:val="Appendix Heading List"/>
    <w:uiPriority w:val="99"/>
    <w:rsid w:val="00F83C5C"/>
    <w:pPr>
      <w:numPr>
        <w:numId w:val="2"/>
      </w:numPr>
    </w:pPr>
  </w:style>
  <w:style w:type="paragraph" w:customStyle="1" w:styleId="Space">
    <w:name w:val="Space"/>
    <w:basedOn w:val="BodyText"/>
    <w:uiPriority w:val="1"/>
    <w:rsid w:val="00F83C5C"/>
    <w:pPr>
      <w:spacing w:before="0" w:after="0"/>
    </w:pPr>
  </w:style>
  <w:style w:type="paragraph" w:customStyle="1" w:styleId="QuoteBullet">
    <w:name w:val="Quote Bullet"/>
    <w:basedOn w:val="ListBullet"/>
    <w:link w:val="QuoteBulletChar"/>
    <w:uiPriority w:val="1"/>
    <w:qFormat/>
    <w:rsid w:val="00F83C5C"/>
    <w:pPr>
      <w:spacing w:before="60"/>
      <w:ind w:left="340" w:right="851"/>
    </w:pPr>
    <w:rPr>
      <w:color w:val="58585B"/>
    </w:rPr>
  </w:style>
  <w:style w:type="character" w:customStyle="1" w:styleId="ListBulletChar">
    <w:name w:val="List Bullet Char"/>
    <w:basedOn w:val="DefaultParagraphFont"/>
    <w:link w:val="ListBullet"/>
    <w:uiPriority w:val="1"/>
    <w:rsid w:val="00415A0E"/>
    <w:rPr>
      <w:sz w:val="20"/>
      <w:szCs w:val="20"/>
    </w:rPr>
  </w:style>
  <w:style w:type="character" w:customStyle="1" w:styleId="QuoteBulletChar">
    <w:name w:val="Quote Bullet Char"/>
    <w:basedOn w:val="ListBulletChar"/>
    <w:link w:val="QuoteBullet"/>
    <w:uiPriority w:val="1"/>
    <w:rsid w:val="00F83C5C"/>
    <w:rPr>
      <w:color w:val="58585B"/>
      <w:sz w:val="20"/>
      <w:szCs w:val="20"/>
    </w:rPr>
  </w:style>
  <w:style w:type="paragraph" w:customStyle="1" w:styleId="Figurecharttitle">
    <w:name w:val="Figure chart title"/>
    <w:basedOn w:val="BodyText"/>
    <w:uiPriority w:val="10"/>
    <w:qFormat/>
    <w:rsid w:val="00F83C5C"/>
    <w:pPr>
      <w:spacing w:before="0" w:after="0"/>
      <w:ind w:left="284" w:hanging="284"/>
    </w:pPr>
    <w:rPr>
      <w:sz w:val="18"/>
      <w:szCs w:val="18"/>
    </w:rPr>
  </w:style>
  <w:style w:type="paragraph" w:customStyle="1" w:styleId="TableListBullet">
    <w:name w:val="Table List Bullet"/>
    <w:basedOn w:val="ListBullet"/>
    <w:uiPriority w:val="10"/>
    <w:qFormat/>
    <w:rsid w:val="00F83C5C"/>
    <w:pPr>
      <w:spacing w:before="0" w:after="20"/>
      <w:ind w:left="170" w:hanging="113"/>
    </w:pPr>
  </w:style>
  <w:style w:type="character" w:styleId="EndnoteReference">
    <w:name w:val="endnote reference"/>
    <w:basedOn w:val="DefaultParagraphFont"/>
    <w:uiPriority w:val="99"/>
    <w:semiHidden/>
    <w:unhideWhenUsed/>
    <w:rsid w:val="00D076E8"/>
    <w:rPr>
      <w:vertAlign w:val="superscript"/>
    </w:rPr>
  </w:style>
  <w:style w:type="paragraph" w:customStyle="1" w:styleId="PullQuoteNoSpacing">
    <w:name w:val="Pull Quote No Spacing"/>
    <w:basedOn w:val="NoSpacing"/>
    <w:link w:val="PullQuoteNoSpacingChar"/>
    <w:uiPriority w:val="10"/>
    <w:qFormat/>
    <w:rsid w:val="00D076E8"/>
    <w:pPr>
      <w:spacing w:line="160" w:lineRule="exact"/>
    </w:pPr>
  </w:style>
  <w:style w:type="character" w:customStyle="1" w:styleId="PullQuoteNoSpacingChar">
    <w:name w:val="Pull Quote No Spacing Char"/>
    <w:basedOn w:val="NoSpacingChar"/>
    <w:link w:val="PullQuoteNoSpacing"/>
    <w:uiPriority w:val="10"/>
    <w:rsid w:val="00D076E8"/>
    <w:rPr>
      <w:sz w:val="20"/>
      <w:szCs w:val="20"/>
    </w:rPr>
  </w:style>
  <w:style w:type="paragraph" w:customStyle="1" w:styleId="PullQuote-Indigenous">
    <w:name w:val="Pull Quote-Indigenous"/>
    <w:basedOn w:val="PullQuote"/>
    <w:uiPriority w:val="10"/>
    <w:qFormat/>
    <w:rsid w:val="00D076E8"/>
    <w:pPr>
      <w:ind w:right="680"/>
    </w:pPr>
    <w:rPr>
      <w:rFonts w:ascii="Arial" w:hAnsi="Arial" w:cs="Arial"/>
      <w:color w:val="auto"/>
      <w:spacing w:val="6"/>
      <w:sz w:val="22"/>
      <w:szCs w:val="22"/>
    </w:rPr>
  </w:style>
  <w:style w:type="paragraph" w:styleId="Bibliography">
    <w:name w:val="Bibliography"/>
    <w:basedOn w:val="Normal"/>
    <w:next w:val="Normal"/>
    <w:uiPriority w:val="37"/>
    <w:unhideWhenUsed/>
    <w:rsid w:val="00D076E8"/>
    <w:pPr>
      <w:spacing w:after="240" w:line="240" w:lineRule="atLeast"/>
      <w:ind w:left="720" w:hanging="720"/>
    </w:pPr>
  </w:style>
  <w:style w:type="character" w:customStyle="1" w:styleId="ui-provider">
    <w:name w:val="ui-provider"/>
    <w:basedOn w:val="DefaultParagraphFont"/>
    <w:rsid w:val="00D076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5.xml"/><Relationship Id="rId21" Type="http://schemas.openxmlformats.org/officeDocument/2006/relationships/image" Target="media/image4.png"/><Relationship Id="rId34" Type="http://schemas.openxmlformats.org/officeDocument/2006/relationships/image" Target="media/image13.emf"/><Relationship Id="rId42" Type="http://schemas.openxmlformats.org/officeDocument/2006/relationships/image" Target="media/image21.emf"/><Relationship Id="rId47" Type="http://schemas.openxmlformats.org/officeDocument/2006/relationships/image" Target="media/image26.emf"/><Relationship Id="rId50" Type="http://schemas.openxmlformats.org/officeDocument/2006/relationships/image" Target="media/image29.emf"/><Relationship Id="rId55" Type="http://schemas.openxmlformats.org/officeDocument/2006/relationships/image" Target="media/image34.emf"/><Relationship Id="rId63" Type="http://schemas.openxmlformats.org/officeDocument/2006/relationships/footer" Target="footer7.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image" Target="media/image8.emf"/><Relationship Id="rId11" Type="http://schemas.openxmlformats.org/officeDocument/2006/relationships/webSettings" Target="webSettings.xml"/><Relationship Id="rId24" Type="http://schemas.openxmlformats.org/officeDocument/2006/relationships/header" Target="header5.xml"/><Relationship Id="rId32" Type="http://schemas.openxmlformats.org/officeDocument/2006/relationships/image" Target="media/image11.emf"/><Relationship Id="rId37" Type="http://schemas.openxmlformats.org/officeDocument/2006/relationships/image" Target="media/image16.emf"/><Relationship Id="rId40" Type="http://schemas.openxmlformats.org/officeDocument/2006/relationships/image" Target="media/image19.emf"/><Relationship Id="rId45" Type="http://schemas.openxmlformats.org/officeDocument/2006/relationships/image" Target="media/image24.emf"/><Relationship Id="rId53" Type="http://schemas.openxmlformats.org/officeDocument/2006/relationships/image" Target="media/image32.emf"/><Relationship Id="rId58" Type="http://schemas.openxmlformats.org/officeDocument/2006/relationships/image" Target="media/image37.emf"/><Relationship Id="rId5" Type="http://schemas.openxmlformats.org/officeDocument/2006/relationships/customXml" Target="../customXml/item5.xml"/><Relationship Id="rId61" Type="http://schemas.openxmlformats.org/officeDocument/2006/relationships/header" Target="header7.xml"/><Relationship Id="rId19" Type="http://schemas.openxmlformats.org/officeDocument/2006/relationships/header" Target="header3.xml"/><Relationship Id="rId14" Type="http://schemas.openxmlformats.org/officeDocument/2006/relationships/image" Target="media/image1.jpeg"/><Relationship Id="rId22" Type="http://schemas.openxmlformats.org/officeDocument/2006/relationships/image" Target="media/image5.svg"/><Relationship Id="rId27" Type="http://schemas.openxmlformats.org/officeDocument/2006/relationships/image" Target="media/image6.emf"/><Relationship Id="rId30" Type="http://schemas.openxmlformats.org/officeDocument/2006/relationships/image" Target="media/image9.emf"/><Relationship Id="rId35" Type="http://schemas.openxmlformats.org/officeDocument/2006/relationships/image" Target="media/image14.emf"/><Relationship Id="rId43" Type="http://schemas.openxmlformats.org/officeDocument/2006/relationships/image" Target="media/image22.emf"/><Relationship Id="rId48" Type="http://schemas.openxmlformats.org/officeDocument/2006/relationships/image" Target="media/image27.emf"/><Relationship Id="rId56" Type="http://schemas.openxmlformats.org/officeDocument/2006/relationships/image" Target="media/image35.emf"/><Relationship Id="rId64"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image" Target="media/image30.emf"/><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footer" Target="footer4.xml"/><Relationship Id="rId33" Type="http://schemas.openxmlformats.org/officeDocument/2006/relationships/image" Target="media/image12.emf"/><Relationship Id="rId38" Type="http://schemas.openxmlformats.org/officeDocument/2006/relationships/image" Target="media/image17.emf"/><Relationship Id="rId46" Type="http://schemas.openxmlformats.org/officeDocument/2006/relationships/image" Target="media/image25.emf"/><Relationship Id="rId59" Type="http://schemas.openxmlformats.org/officeDocument/2006/relationships/image" Target="media/image38.emf"/><Relationship Id="rId20" Type="http://schemas.openxmlformats.org/officeDocument/2006/relationships/footer" Target="footer3.xml"/><Relationship Id="rId41" Type="http://schemas.openxmlformats.org/officeDocument/2006/relationships/image" Target="media/image20.emf"/><Relationship Id="rId54" Type="http://schemas.openxmlformats.org/officeDocument/2006/relationships/image" Target="media/image33.emf"/><Relationship Id="rId62"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image" Target="media/image7.png"/><Relationship Id="rId36" Type="http://schemas.openxmlformats.org/officeDocument/2006/relationships/image" Target="media/image15.emf"/><Relationship Id="rId49" Type="http://schemas.openxmlformats.org/officeDocument/2006/relationships/image" Target="media/image28.emf"/><Relationship Id="rId57" Type="http://schemas.openxmlformats.org/officeDocument/2006/relationships/image" Target="media/image36.emf"/><Relationship Id="rId10" Type="http://schemas.openxmlformats.org/officeDocument/2006/relationships/settings" Target="settings.xml"/><Relationship Id="rId31" Type="http://schemas.openxmlformats.org/officeDocument/2006/relationships/image" Target="media/image10.emf"/><Relationship Id="rId44" Type="http://schemas.openxmlformats.org/officeDocument/2006/relationships/image" Target="media/image23.emf"/><Relationship Id="rId52" Type="http://schemas.openxmlformats.org/officeDocument/2006/relationships/image" Target="media/image31.emf"/><Relationship Id="rId60" Type="http://schemas.openxmlformats.org/officeDocument/2006/relationships/header" Target="header6.xm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39" Type="http://schemas.openxmlformats.org/officeDocument/2006/relationships/image" Target="media/image18.emf"/></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kamil\AppData\Local\Temp\Templafy\WordVsto\chapter1.dotx" TargetMode="External"/></Relationships>
</file>

<file path=word/theme/theme1.xml><?xml version="1.0" encoding="utf-8"?>
<a:theme xmlns:a="http://schemas.openxmlformats.org/drawingml/2006/main" name="Office 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ACDC">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C Dark Blue">
      <a:srgbClr val="265999"/>
    </a:custClr>
    <a:custClr name="PC Mid Blue">
      <a:srgbClr val="2C9BC2"/>
    </a:custClr>
    <a:custClr name="PC Blue">
      <a:srgbClr val="66B9DA"/>
    </a:custClr>
    <a:custClr name="PC Light Blue">
      <a:srgbClr val="EEF8FD"/>
    </a:custClr>
    <a:custClr name="PC Light Grey">
      <a:srgbClr val="F2F2F2"/>
    </a:custClr>
    <a:custClr name="PC Grey">
      <a:srgbClr val="DBDCDE"/>
    </a:custClr>
    <a:custClr name="PC Dark Grey">
      <a:srgbClr val="58585B"/>
    </a:custClr>
    <a:custClr name="PC Green">
      <a:srgbClr val="7AA644"/>
    </a:custClr>
    <a:custClr name="PC Dark green">
      <a:srgbClr val="3A703A"/>
    </a:custClr>
    <a:custClr name="PC Yellow">
      <a:srgbClr val="FCB221"/>
    </a:custClr>
    <a:custClr name="PC Orange">
      <a:srgbClr val="F15A2B"/>
    </a:custClr>
    <a:custClr name="PC Dark Red">
      <a:srgbClr val="A22D2B"/>
    </a:custClr>
    <a:custClr name="PC Purple">
      <a:srgbClr val="8857A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8" ma:contentTypeDescription="" ma:contentTypeScope="" ma:versionID="ab4be7f245d4f5148a66fc2147af54a0">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67139fbb9f34113454c2b56f5d4e9347"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TemplafyFormConfiguration><![CDATA[{"formFields":[],"formDataEntries":[]}]]></TemplafyFormConfigura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TemplafyTemplateConfiguration><![CDATA[{"elementsMetadata":[],"transformationConfigurations":[],"templateName":"chapter","templateDescription":"","enableDocumentContentUpdater":false,"version":"2.0"}]]></TemplafyTemplateConfiguration>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axCatchAll xmlns="20393cdf-440a-4521-8f19-00ba43423d00">
      <Value>1</Value>
    </TaxCatchAll>
    <thumbnail xmlns="3d385984-9344-419b-a80b-49c06a2bdab8" xsi:nil="true"/>
    <_Flow_SignoffStatus xmlns="3d385984-9344-419b-a80b-49c06a2bdab8" xsi:nil="true"/>
    <_dlc_DocId xmlns="20393cdf-440a-4521-8f19-00ba43423d00">MPWT-2140667901-25517</_dlc_DocId>
    <_dlc_DocIdUrl xmlns="20393cdf-440a-4521-8f19-00ba43423d00">
      <Url>https://pcgov.sharepoint.com/sites/sceteam/_layouts/15/DocIdRedir.aspx?ID=MPWT-2140667901-25517</Url>
      <Description>MPWT-2140667901-25517</Description>
    </_dlc_DocIdUrl>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A27D129-7196-4CF0-916F-43E56255CB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97F752-2238-441E-ABA5-DB8C10DEA577}">
  <ds:schemaRefs/>
</ds:datastoreItem>
</file>

<file path=customXml/itemProps3.xml><?xml version="1.0" encoding="utf-8"?>
<ds:datastoreItem xmlns:ds="http://schemas.openxmlformats.org/officeDocument/2006/customXml" ds:itemID="{0B887B41-48BC-4FD8-B063-6ABD4E5393F7}">
  <ds:schemaRefs>
    <ds:schemaRef ds:uri="http://schemas.microsoft.com/sharepoint/v3/contenttype/forms"/>
  </ds:schemaRefs>
</ds:datastoreItem>
</file>

<file path=customXml/itemProps4.xml><?xml version="1.0" encoding="utf-8"?>
<ds:datastoreItem xmlns:ds="http://schemas.openxmlformats.org/officeDocument/2006/customXml" ds:itemID="{5CCDCE8C-2FF2-479D-91C1-79A7A7683D3C}">
  <ds:schemaRefs/>
</ds:datastoreItem>
</file>

<file path=customXml/itemProps5.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customXml/itemProps6.xml><?xml version="1.0" encoding="utf-8"?>
<ds:datastoreItem xmlns:ds="http://schemas.openxmlformats.org/officeDocument/2006/customXml" ds:itemID="{E419104E-2E54-4FA6-9206-24BA83B67A0C}">
  <ds:schemaRefs>
    <ds:schemaRef ds:uri="http://schemas.microsoft.com/office/2006/metadata/properties"/>
    <ds:schemaRef ds:uri="http://schemas.microsoft.com/office/infopath/2007/PartnerControls"/>
    <ds:schemaRef ds:uri="20393cdf-440a-4521-8f19-00ba43423d00"/>
    <ds:schemaRef ds:uri="3d385984-9344-419b-a80b-49c06a2bdab8"/>
  </ds:schemaRefs>
</ds:datastoreItem>
</file>

<file path=customXml/itemProps7.xml><?xml version="1.0" encoding="utf-8"?>
<ds:datastoreItem xmlns:ds="http://schemas.openxmlformats.org/officeDocument/2006/customXml" ds:itemID="{9066EF06-17F6-4FEF-B127-756BDB52428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chapter1.dotx</Template>
  <TotalTime>949</TotalTime>
  <Pages>42</Pages>
  <Words>12976</Words>
  <Characters>73968</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Appendices - Productivity growth and wages – a forensic look - PC Productivity insights</vt:lpstr>
    </vt:vector>
  </TitlesOfParts>
  <Company>Productivity Commission</Company>
  <LinksUpToDate>false</LinksUpToDate>
  <CharactersWithSpaces>86771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Appendices - Productivity growth and wages – a forensic look - PC Productivity insights</dc:title>
  <dc:subject/>
  <dc:creator>Productivity Commission</dc:creator>
  <cp:keywords/>
  <dc:description/>
  <cp:lastModifiedBy>Bianca Dobson</cp:lastModifiedBy>
  <cp:revision>71</cp:revision>
  <cp:lastPrinted>2023-09-12T03:00:00Z</cp:lastPrinted>
  <dcterms:created xsi:type="dcterms:W3CDTF">2023-09-06T06:43:00Z</dcterms:created>
  <dcterms:modified xsi:type="dcterms:W3CDTF">2023-09-12T05:14:00Z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id="cPoHlSH7"/&gt;&lt;style id="http://www.zotero.org/styles/Productivity-Commission" hasBibliography="1" bibliographyStyleHasBeenSet="1"/&gt;&lt;prefs&gt;&lt;pref name="fieldType" value="Field"/&gt;&lt;pref name="automatic</vt:lpwstr>
  </property>
  <property fmtid="{D5CDD505-2E9C-101B-9397-08002B2CF9AE}" pid="3" name="ZOTERO_PREF_2">
    <vt:lpwstr>JournalAbbreviations" value="true"/&gt;&lt;/prefs&gt;&lt;/data&gt;</vt:lpwstr>
  </property>
  <property fmtid="{D5CDD505-2E9C-101B-9397-08002B2CF9AE}" pid="4" name="TemplafyTenantId">
    <vt:lpwstr>productivitycommission</vt:lpwstr>
  </property>
  <property fmtid="{D5CDD505-2E9C-101B-9397-08002B2CF9AE}" pid="5" name="TemplafyTemplateId">
    <vt:lpwstr>637629323564275408</vt:lpwstr>
  </property>
  <property fmtid="{D5CDD505-2E9C-101B-9397-08002B2CF9AE}" pid="6" name="TemplafyUserProfileId">
    <vt:lpwstr>637803902465008559</vt:lpwstr>
  </property>
  <property fmtid="{D5CDD505-2E9C-101B-9397-08002B2CF9AE}" pid="7" name="TemplafyFromBlank">
    <vt:bool>false</vt:bool>
  </property>
  <property fmtid="{D5CDD505-2E9C-101B-9397-08002B2CF9AE}" pid="8" name="ContentTypeId">
    <vt:lpwstr>0x0101006C0B5E815648EF46B6FA6D42F17E5E9F000C963E276195B04F83BC027CFDC94A8D</vt:lpwstr>
  </property>
  <property fmtid="{D5CDD505-2E9C-101B-9397-08002B2CF9AE}" pid="9" name="MediaServiceImageTags">
    <vt:lpwstr/>
  </property>
  <property fmtid="{D5CDD505-2E9C-101B-9397-08002B2CF9AE}" pid="10" name="RevIMBCS">
    <vt:lpwstr>1;#Unclassified|3955eeb1-2d18-4582-aeb2-00144ec3aaf5</vt:lpwstr>
  </property>
  <property fmtid="{D5CDD505-2E9C-101B-9397-08002B2CF9AE}" pid="11" name="_dlc_DocIdItemGuid">
    <vt:lpwstr>1a72ef78-715b-41a8-8b85-a6e372fdc8d7</vt:lpwstr>
  </property>
</Properties>
</file>