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2771" w14:textId="77777777" w:rsidR="0077480E" w:rsidRPr="00DC5DFF" w:rsidRDefault="0077480E" w:rsidP="0077480E">
      <w:pPr>
        <w:pStyle w:val="Coverdate"/>
        <w:framePr w:wrap="around"/>
      </w:pPr>
      <w:r>
        <w:t>September</w:t>
      </w:r>
      <w:r w:rsidRPr="00FC2DE0">
        <w:t xml:space="preserve"> </w:t>
      </w:r>
      <w:r>
        <w:t>2023</w:t>
      </w:r>
      <w:r w:rsidRPr="00FC2DE0">
        <w:t xml:space="preserve">   </w:t>
      </w:r>
    </w:p>
    <w:p w14:paraId="171F129D" w14:textId="77777777" w:rsidR="0077480E" w:rsidRDefault="0077480E" w:rsidP="0077480E">
      <w:pPr>
        <w:pStyle w:val="CoverImage"/>
        <w:framePr w:wrap="around"/>
      </w:pPr>
      <w:r w:rsidRPr="00F33F8D">
        <w:rPr>
          <w:noProof/>
        </w:rPr>
        <w:drawing>
          <wp:inline distT="0" distB="0" distL="0" distR="0" wp14:anchorId="7B91AC52" wp14:editId="1E8CD0C9">
            <wp:extent cx="7650866" cy="2896841"/>
            <wp:effectExtent l="0" t="0" r="762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62460" cy="2901231"/>
                    </a:xfrm>
                    <a:prstGeom prst="rect">
                      <a:avLst/>
                    </a:prstGeom>
                  </pic:spPr>
                </pic:pic>
              </a:graphicData>
            </a:graphic>
          </wp:inline>
        </w:drawing>
      </w:r>
    </w:p>
    <w:p w14:paraId="1E19CE8E" w14:textId="77777777" w:rsidR="0077480E" w:rsidRPr="00295330" w:rsidRDefault="0077480E" w:rsidP="0077480E">
      <w:pPr>
        <w:pStyle w:val="Title"/>
        <w:ind w:right="140"/>
      </w:pPr>
      <w:r>
        <w:t>PC productivity insights</w:t>
      </w:r>
    </w:p>
    <w:p w14:paraId="5F15D5EE" w14:textId="77777777" w:rsidR="0077480E" w:rsidRDefault="0077480E" w:rsidP="0077480E">
      <w:pPr>
        <w:pStyle w:val="Subtitle"/>
      </w:pPr>
      <w:r>
        <w:t>Productivity growth and wages – a forensic look</w:t>
      </w:r>
    </w:p>
    <w:p w14:paraId="63BCFC14" w14:textId="77777777" w:rsidR="0077480E" w:rsidRDefault="0077480E" w:rsidP="0077480E"/>
    <w:p w14:paraId="641F6554" w14:textId="77777777" w:rsidR="0077480E" w:rsidRPr="008D1389" w:rsidRDefault="0077480E" w:rsidP="0077480E">
      <w:pPr>
        <w:sectPr w:rsidR="0077480E" w:rsidRPr="008D1389" w:rsidSect="002E3F19">
          <w:headerReference w:type="even" r:id="rId15"/>
          <w:headerReference w:type="default" r:id="rId16"/>
          <w:footerReference w:type="even" r:id="rId17"/>
          <w:footerReference w:type="default" r:id="rId18"/>
          <w:headerReference w:type="first" r:id="rId19"/>
          <w:footerReference w:type="first" r:id="rId20"/>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77480E" w14:paraId="1D584D5D" w14:textId="77777777" w:rsidTr="00F84945">
        <w:trPr>
          <w:trHeight w:hRule="exact" w:val="12586"/>
        </w:trPr>
        <w:tc>
          <w:tcPr>
            <w:tcW w:w="9638" w:type="dxa"/>
            <w:tcMar>
              <w:top w:w="113" w:type="dxa"/>
            </w:tcMar>
          </w:tcPr>
          <w:p w14:paraId="237F2E18" w14:textId="77777777" w:rsidR="0077480E" w:rsidRPr="000F4488" w:rsidRDefault="0077480E" w:rsidP="00F84945">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61181BBE" w14:textId="77777777" w:rsidR="0077480E" w:rsidRPr="00F37CB6" w:rsidRDefault="0077480E" w:rsidP="00F84945">
            <w:pPr>
              <w:pStyle w:val="Copyrightpage-Keylinenotext"/>
              <w:ind w:right="-284"/>
            </w:pPr>
          </w:p>
          <w:p w14:paraId="74ED3DBC" w14:textId="77777777" w:rsidR="0077480E" w:rsidRPr="00D96F65" w:rsidRDefault="0077480E" w:rsidP="00F84945">
            <w:pPr>
              <w:pStyle w:val="Copyrightpage-Heading"/>
              <w:ind w:right="-284"/>
            </w:pPr>
            <w:r w:rsidRPr="00D96F65">
              <w:t>The Productivity Commission</w:t>
            </w:r>
          </w:p>
          <w:p w14:paraId="4C663CD9" w14:textId="77777777" w:rsidR="0077480E" w:rsidRPr="00A57443" w:rsidRDefault="0077480E" w:rsidP="00F84945">
            <w:pPr>
              <w:pStyle w:val="Copyrightpage-BodyBold"/>
              <w:rPr>
                <w:spacing w:val="-4"/>
              </w:rPr>
            </w:pPr>
            <w:r w:rsidRPr="00A57443">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9392BE0" w14:textId="77777777" w:rsidR="0077480E" w:rsidRPr="000F4488" w:rsidRDefault="0077480E" w:rsidP="00F84945">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7154D816" w14:textId="77777777" w:rsidR="0077480E" w:rsidRPr="000F4488" w:rsidRDefault="0077480E" w:rsidP="00F84945">
            <w:pPr>
              <w:pStyle w:val="Copyrightpage-BodyBold"/>
            </w:pPr>
            <w:r w:rsidRPr="000561CF">
              <w:t>Further information on the Productivity Commission can be obtained from the Commission’s website (www.pc.gov.au).</w:t>
            </w:r>
          </w:p>
          <w:p w14:paraId="5EF2A82B" w14:textId="77777777" w:rsidR="0077480E" w:rsidRPr="000F4488" w:rsidRDefault="0077480E" w:rsidP="00F84945">
            <w:pPr>
              <w:pStyle w:val="Copyrightpage-Keylinenotext"/>
              <w:ind w:right="-284"/>
              <w:rPr>
                <w:b/>
                <w:bCs/>
              </w:rPr>
            </w:pPr>
          </w:p>
          <w:p w14:paraId="1E2A7448" w14:textId="77777777" w:rsidR="0077480E" w:rsidRPr="000561CF" w:rsidRDefault="0077480E" w:rsidP="00F84945">
            <w:pPr>
              <w:pStyle w:val="Copyrightpage-BodyBold"/>
            </w:pPr>
            <w:r w:rsidRPr="00E72EE0">
              <w:t>©</w:t>
            </w:r>
            <w:r w:rsidRPr="00137FAB">
              <w:t xml:space="preserve"> Commonwealth of Australia 202</w:t>
            </w:r>
            <w:r>
              <w:t>3</w:t>
            </w:r>
          </w:p>
          <w:p w14:paraId="5DBBAEE5" w14:textId="77777777" w:rsidR="0077480E" w:rsidRPr="00E72EE0" w:rsidRDefault="0077480E" w:rsidP="00F84945">
            <w:pPr>
              <w:pStyle w:val="Copyrightpage-Heading2"/>
              <w:spacing w:before="0"/>
              <w:ind w:right="-284"/>
              <w:rPr>
                <w:bCs/>
              </w:rPr>
            </w:pPr>
            <w:r w:rsidRPr="00E72EE0">
              <w:rPr>
                <w:bCs/>
                <w:noProof/>
              </w:rPr>
              <w:drawing>
                <wp:inline distT="0" distB="0" distL="0" distR="0" wp14:anchorId="1B326066" wp14:editId="76A8F76D">
                  <wp:extent cx="774000" cy="270000"/>
                  <wp:effectExtent l="0" t="0" r="7620" b="0"/>
                  <wp:docPr id="6" name="Graphic 6"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04315EA3" w14:textId="77777777" w:rsidR="0077480E" w:rsidRPr="000F4488" w:rsidRDefault="0077480E" w:rsidP="00F84945">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ternational licence. In essence, you are free to copy, communicate and adapt the work, as long as you attribute the work to the Productivity Commission (but not in any way that suggests the Commission endorses you or your use) and abide b</w:t>
            </w:r>
            <w:r w:rsidRPr="000561CF">
              <w:t>y the other licence terms. The licence can be viewed at: https://creativecommons.org/licenses/by/4.0.</w:t>
            </w:r>
          </w:p>
          <w:p w14:paraId="750845B7" w14:textId="77777777" w:rsidR="0077480E" w:rsidRPr="000F4488" w:rsidRDefault="0077480E" w:rsidP="00F84945">
            <w:pPr>
              <w:pStyle w:val="Copyrightpage-BodyBold"/>
            </w:pPr>
            <w:r w:rsidRPr="000561CF">
              <w:t>The terms under which the Coat of Arms can be used are detailed at: www.pmc.gov.au/government/commonwealth-coat-arms.</w:t>
            </w:r>
          </w:p>
          <w:p w14:paraId="596767A7" w14:textId="77777777" w:rsidR="0077480E" w:rsidRPr="000561CF" w:rsidRDefault="0077480E" w:rsidP="00F84945">
            <w:pPr>
              <w:pStyle w:val="Copyrightpage-BodyBold"/>
            </w:pPr>
            <w:r w:rsidRPr="000561CF">
              <w:t>Wherever a third party holds copyright in this material the copyright remains with that party. Their permission may be required to use the material, please contact them directly.</w:t>
            </w:r>
          </w:p>
          <w:p w14:paraId="6F005A57" w14:textId="77777777" w:rsidR="0077480E" w:rsidRDefault="0077480E" w:rsidP="00F84945">
            <w:pPr>
              <w:pStyle w:val="Copyrightpage-BodyBold"/>
            </w:pPr>
            <w:r w:rsidRPr="000F4488">
              <w:t>An appropriate reference for this publication is:</w:t>
            </w:r>
            <w:r>
              <w:br/>
              <w:t xml:space="preserve">Productivity Commission 2023, </w:t>
            </w:r>
            <w:r>
              <w:rPr>
                <w:i/>
                <w:iCs/>
              </w:rPr>
              <w:t>Productivity growth and wages – a forensic look,</w:t>
            </w:r>
            <w:r>
              <w:t xml:space="preserve"> </w:t>
            </w:r>
            <w:r w:rsidRPr="004A5356">
              <w:t>PC Productivity insights</w:t>
            </w:r>
            <w:r>
              <w:t>, Canberra, September</w:t>
            </w:r>
          </w:p>
          <w:p w14:paraId="2B6D41E2" w14:textId="77777777" w:rsidR="00811131" w:rsidRPr="00CD2022" w:rsidRDefault="00811131" w:rsidP="00CD2022">
            <w:pPr>
              <w:rPr>
                <w:b/>
                <w:i/>
                <w:iCs/>
                <w:sz w:val="16"/>
              </w:rPr>
            </w:pPr>
          </w:p>
          <w:p w14:paraId="5F42B64B" w14:textId="77777777" w:rsidR="0077480E" w:rsidRDefault="0077480E" w:rsidP="00F84945">
            <w:pPr>
              <w:pStyle w:val="Copyrightpage-BodyBold"/>
              <w:ind w:right="-284"/>
            </w:pPr>
            <w:r w:rsidRPr="00E72EE0">
              <w:t xml:space="preserve">Publication enquiries: </w:t>
            </w:r>
            <w:r>
              <w:br/>
              <w:t>P</w:t>
            </w:r>
            <w:r w:rsidRPr="00137FAB">
              <w:t xml:space="preserve">hone 03 9653 2244 | </w:t>
            </w:r>
            <w:r>
              <w:t>E</w:t>
            </w:r>
            <w:r w:rsidRPr="00137FAB">
              <w:t xml:space="preserve">mail </w:t>
            </w:r>
            <w:r w:rsidRPr="00AC587D">
              <w:t>publications@pc.gov.au</w:t>
            </w:r>
          </w:p>
        </w:tc>
      </w:tr>
    </w:tbl>
    <w:p w14:paraId="5F9CB4C3" w14:textId="77777777" w:rsidR="0077480E" w:rsidRDefault="0077480E" w:rsidP="0077480E">
      <w:pPr>
        <w:spacing w:before="0" w:after="160" w:line="259" w:lineRule="auto"/>
        <w:rPr>
          <w:rStyle w:val="White"/>
          <w:b/>
        </w:rPr>
      </w:pPr>
      <w:r>
        <w:rPr>
          <w:rStyle w:val="White"/>
          <w:b/>
        </w:rPr>
        <w:t xml:space="preserve"> </w:t>
      </w:r>
    </w:p>
    <w:p w14:paraId="19CF7DBA" w14:textId="77777777" w:rsidR="0077480E" w:rsidRDefault="0077480E" w:rsidP="0077480E">
      <w:pPr>
        <w:pStyle w:val="TOCHeading"/>
        <w:rPr>
          <w:noProof/>
        </w:rPr>
      </w:pPr>
      <w:r>
        <w:lastRenderedPageBreak/>
        <w:t>Contents</w:t>
      </w:r>
    </w:p>
    <w:p w14:paraId="4816F6BA" w14:textId="7DA1653F" w:rsidR="0077480E" w:rsidRDefault="0077480E" w:rsidP="0077480E">
      <w:pPr>
        <w:pStyle w:val="TOC1"/>
        <w:rPr>
          <w:noProof/>
        </w:rPr>
      </w:pPr>
      <w:r>
        <w:rPr>
          <w:noProof/>
        </w:rPr>
        <w:t>Key points</w:t>
      </w:r>
      <w:r>
        <w:rPr>
          <w:noProof/>
        </w:rPr>
        <w:tab/>
      </w:r>
      <w:r w:rsidR="000A6E8F">
        <w:rPr>
          <w:noProof/>
        </w:rPr>
        <w:t>1</w:t>
      </w:r>
    </w:p>
    <w:p w14:paraId="38012B7D" w14:textId="1C8FE9F3" w:rsidR="0077480E" w:rsidRPr="0077480E" w:rsidRDefault="0077480E" w:rsidP="0077480E">
      <w:pPr>
        <w:pStyle w:val="TOC1"/>
        <w:rPr>
          <w:noProof/>
        </w:rPr>
      </w:pPr>
      <w:r>
        <w:rPr>
          <w:noProof/>
        </w:rPr>
        <w:fldChar w:fldCharType="begin"/>
      </w:r>
      <w:r>
        <w:instrText xml:space="preserve"> TOC \\h \z \t "Heading 1,1,</w:instrText>
      </w:r>
      <w:r w:rsidRPr="00484E96">
        <w:instrText>Heading-Appendix</w:instrText>
      </w:r>
      <w:r>
        <w:instrText>,1,</w:instrText>
      </w:r>
      <w:r w:rsidRPr="00F37F65">
        <w:instrText xml:space="preserve"> Heading 1</w:instrText>
      </w:r>
      <w:r>
        <w:instrText>-no number</w:instrText>
      </w:r>
      <w:r w:rsidRPr="00F37F65">
        <w:instrText>,1</w:instrText>
      </w:r>
      <w:r>
        <w:instrText>, Heading 1-no background,1,</w:instrText>
      </w:r>
      <w:r w:rsidRPr="00F37F65">
        <w:instrText xml:space="preserve"> Heading 1-Section blue background</w:instrText>
      </w:r>
      <w:r>
        <w:instrText>,3,</w:instrText>
      </w:r>
      <w:r w:rsidRPr="00F37F65">
        <w:instrText xml:space="preserve"> Heading 1-Section-full page</w:instrText>
      </w:r>
      <w:r>
        <w:instrText xml:space="preserve">,3,Heading 2,2,Heading 2-no number,2,Heading 2-Appendix,2,Heading 1 - Intro,3,Heading 1-numbered,3,Section Heading-pale blue,3" </w:instrText>
      </w:r>
      <w:r>
        <w:rPr>
          <w:noProof/>
        </w:rPr>
        <w:fldChar w:fldCharType="separate"/>
      </w:r>
      <w:r>
        <w:rPr>
          <w:noProof/>
        </w:rPr>
        <w:t>Introduction</w:t>
      </w:r>
      <w:r>
        <w:rPr>
          <w:noProof/>
          <w:webHidden/>
        </w:rPr>
        <w:tab/>
      </w:r>
      <w:r>
        <w:rPr>
          <w:noProof/>
          <w:webHidden/>
        </w:rPr>
        <w:fldChar w:fldCharType="begin"/>
      </w:r>
      <w:r>
        <w:rPr>
          <w:noProof/>
          <w:webHidden/>
        </w:rPr>
        <w:instrText xml:space="preserve"> PAGEREF _Toc144908620 \h </w:instrText>
      </w:r>
      <w:r>
        <w:rPr>
          <w:noProof/>
          <w:webHidden/>
        </w:rPr>
      </w:r>
      <w:r>
        <w:rPr>
          <w:noProof/>
          <w:webHidden/>
        </w:rPr>
        <w:fldChar w:fldCharType="separate"/>
      </w:r>
      <w:r w:rsidR="008F7903">
        <w:rPr>
          <w:noProof/>
          <w:webHidden/>
        </w:rPr>
        <w:t>1</w:t>
      </w:r>
      <w:r>
        <w:rPr>
          <w:noProof/>
          <w:webHidden/>
        </w:rPr>
        <w:fldChar w:fldCharType="end"/>
      </w:r>
    </w:p>
    <w:p w14:paraId="1FEE2950" w14:textId="4A690B3D" w:rsidR="0077480E" w:rsidRPr="0077480E" w:rsidRDefault="0077480E" w:rsidP="0077480E">
      <w:pPr>
        <w:pStyle w:val="TOC1"/>
        <w:rPr>
          <w:noProof/>
        </w:rPr>
      </w:pPr>
      <w:r>
        <w:rPr>
          <w:noProof/>
        </w:rPr>
        <w:t>The link between wages and productivity weakens in the mining and agriculture sectors</w:t>
      </w:r>
      <w:r>
        <w:rPr>
          <w:noProof/>
          <w:webHidden/>
        </w:rPr>
        <w:tab/>
      </w:r>
      <w:r>
        <w:rPr>
          <w:noProof/>
          <w:webHidden/>
        </w:rPr>
        <w:fldChar w:fldCharType="begin"/>
      </w:r>
      <w:r>
        <w:rPr>
          <w:noProof/>
          <w:webHidden/>
        </w:rPr>
        <w:instrText xml:space="preserve"> PAGEREF _Toc144908621 \h </w:instrText>
      </w:r>
      <w:r>
        <w:rPr>
          <w:noProof/>
          <w:webHidden/>
        </w:rPr>
      </w:r>
      <w:r>
        <w:rPr>
          <w:noProof/>
          <w:webHidden/>
        </w:rPr>
        <w:fldChar w:fldCharType="separate"/>
      </w:r>
      <w:r w:rsidR="008F7903">
        <w:rPr>
          <w:noProof/>
          <w:webHidden/>
        </w:rPr>
        <w:t>2</w:t>
      </w:r>
      <w:r>
        <w:rPr>
          <w:noProof/>
          <w:webHidden/>
        </w:rPr>
        <w:fldChar w:fldCharType="end"/>
      </w:r>
    </w:p>
    <w:p w14:paraId="0EB39FCF" w14:textId="679B3509" w:rsidR="0077480E" w:rsidRPr="0077480E" w:rsidRDefault="0077480E" w:rsidP="0077480E">
      <w:pPr>
        <w:pStyle w:val="TOC1"/>
        <w:rPr>
          <w:noProof/>
        </w:rPr>
      </w:pPr>
      <w:r>
        <w:rPr>
          <w:noProof/>
        </w:rPr>
        <w:t>Understanding decoupling for the 95%</w:t>
      </w:r>
      <w:r>
        <w:rPr>
          <w:noProof/>
          <w:webHidden/>
        </w:rPr>
        <w:tab/>
      </w:r>
      <w:r>
        <w:rPr>
          <w:noProof/>
          <w:webHidden/>
        </w:rPr>
        <w:fldChar w:fldCharType="begin"/>
      </w:r>
      <w:r>
        <w:rPr>
          <w:noProof/>
          <w:webHidden/>
        </w:rPr>
        <w:instrText xml:space="preserve"> PAGEREF _Toc144908622 \h </w:instrText>
      </w:r>
      <w:r>
        <w:rPr>
          <w:noProof/>
          <w:webHidden/>
        </w:rPr>
      </w:r>
      <w:r>
        <w:rPr>
          <w:noProof/>
          <w:webHidden/>
        </w:rPr>
        <w:fldChar w:fldCharType="separate"/>
      </w:r>
      <w:r w:rsidR="008F7903">
        <w:rPr>
          <w:noProof/>
          <w:webHidden/>
        </w:rPr>
        <w:t>4</w:t>
      </w:r>
      <w:r>
        <w:rPr>
          <w:noProof/>
          <w:webHidden/>
        </w:rPr>
        <w:fldChar w:fldCharType="end"/>
      </w:r>
    </w:p>
    <w:p w14:paraId="1C066F17" w14:textId="0D2AA664" w:rsidR="0077480E" w:rsidRPr="0077480E" w:rsidRDefault="0077480E" w:rsidP="0077480E">
      <w:pPr>
        <w:pStyle w:val="TOC1"/>
        <w:rPr>
          <w:noProof/>
        </w:rPr>
      </w:pPr>
      <w:r>
        <w:rPr>
          <w:noProof/>
        </w:rPr>
        <w:t>Decoupling has limited impact on Australians</w:t>
      </w:r>
      <w:r w:rsidR="00AA0BDC">
        <w:rPr>
          <w:noProof/>
        </w:rPr>
        <w:t>’</w:t>
      </w:r>
      <w:r>
        <w:rPr>
          <w:noProof/>
        </w:rPr>
        <w:t xml:space="preserve"> income</w:t>
      </w:r>
      <w:r>
        <w:rPr>
          <w:noProof/>
          <w:webHidden/>
        </w:rPr>
        <w:tab/>
      </w:r>
      <w:r>
        <w:rPr>
          <w:noProof/>
          <w:webHidden/>
        </w:rPr>
        <w:fldChar w:fldCharType="begin"/>
      </w:r>
      <w:r>
        <w:rPr>
          <w:noProof/>
          <w:webHidden/>
        </w:rPr>
        <w:instrText xml:space="preserve"> PAGEREF _Toc144908623 \h </w:instrText>
      </w:r>
      <w:r>
        <w:rPr>
          <w:noProof/>
          <w:webHidden/>
        </w:rPr>
      </w:r>
      <w:r>
        <w:rPr>
          <w:noProof/>
          <w:webHidden/>
        </w:rPr>
        <w:fldChar w:fldCharType="separate"/>
      </w:r>
      <w:r w:rsidR="008F7903">
        <w:rPr>
          <w:noProof/>
          <w:webHidden/>
        </w:rPr>
        <w:t>6</w:t>
      </w:r>
      <w:r>
        <w:rPr>
          <w:noProof/>
          <w:webHidden/>
        </w:rPr>
        <w:fldChar w:fldCharType="end"/>
      </w:r>
    </w:p>
    <w:p w14:paraId="3DE0833F" w14:textId="5BB03BC7" w:rsidR="0077480E" w:rsidRPr="0077480E" w:rsidRDefault="0077480E" w:rsidP="0077480E">
      <w:pPr>
        <w:pStyle w:val="TOC1"/>
        <w:rPr>
          <w:noProof/>
        </w:rPr>
      </w:pPr>
      <w:r>
        <w:rPr>
          <w:noProof/>
        </w:rPr>
        <w:t>The aggregate and the sectoral – a conclusion</w:t>
      </w:r>
      <w:r>
        <w:rPr>
          <w:noProof/>
          <w:webHidden/>
        </w:rPr>
        <w:tab/>
      </w:r>
      <w:r>
        <w:rPr>
          <w:noProof/>
          <w:webHidden/>
        </w:rPr>
        <w:fldChar w:fldCharType="begin"/>
      </w:r>
      <w:r>
        <w:rPr>
          <w:noProof/>
          <w:webHidden/>
        </w:rPr>
        <w:instrText xml:space="preserve"> PAGEREF _Toc144908624 \h </w:instrText>
      </w:r>
      <w:r>
        <w:rPr>
          <w:noProof/>
          <w:webHidden/>
        </w:rPr>
      </w:r>
      <w:r>
        <w:rPr>
          <w:noProof/>
          <w:webHidden/>
        </w:rPr>
        <w:fldChar w:fldCharType="separate"/>
      </w:r>
      <w:r w:rsidR="008F7903">
        <w:rPr>
          <w:noProof/>
          <w:webHidden/>
        </w:rPr>
        <w:t>7</w:t>
      </w:r>
      <w:r>
        <w:rPr>
          <w:noProof/>
          <w:webHidden/>
        </w:rPr>
        <w:fldChar w:fldCharType="end"/>
      </w:r>
    </w:p>
    <w:p w14:paraId="090E3E24" w14:textId="6F497F07" w:rsidR="007C08B5" w:rsidRDefault="0077480E" w:rsidP="007C08B5">
      <w:pPr>
        <w:pStyle w:val="TOC1"/>
        <w:rPr>
          <w:noProof/>
          <w:webHidden/>
        </w:rPr>
      </w:pPr>
      <w:r>
        <w:rPr>
          <w:noProof/>
        </w:rPr>
        <w:t>References</w:t>
      </w:r>
      <w:r>
        <w:rPr>
          <w:noProof/>
          <w:webHidden/>
        </w:rPr>
        <w:tab/>
      </w:r>
      <w:r>
        <w:rPr>
          <w:noProof/>
          <w:webHidden/>
        </w:rPr>
        <w:fldChar w:fldCharType="begin"/>
      </w:r>
      <w:r>
        <w:rPr>
          <w:noProof/>
          <w:webHidden/>
        </w:rPr>
        <w:instrText xml:space="preserve"> PAGEREF _Toc144908625 \h </w:instrText>
      </w:r>
      <w:r>
        <w:rPr>
          <w:noProof/>
          <w:webHidden/>
        </w:rPr>
      </w:r>
      <w:r>
        <w:rPr>
          <w:noProof/>
          <w:webHidden/>
        </w:rPr>
        <w:fldChar w:fldCharType="separate"/>
      </w:r>
      <w:r w:rsidR="008F7903">
        <w:rPr>
          <w:noProof/>
          <w:webHidden/>
        </w:rPr>
        <w:t>8</w:t>
      </w:r>
      <w:r>
        <w:rPr>
          <w:noProof/>
          <w:webHidden/>
        </w:rPr>
        <w:fldChar w:fldCharType="end"/>
      </w:r>
    </w:p>
    <w:p w14:paraId="0B1B42A4" w14:textId="77777777" w:rsidR="00BE3EE3" w:rsidRDefault="00BE3EE3" w:rsidP="00BE3EE3">
      <w:pPr>
        <w:pStyle w:val="BodyText"/>
        <w:rPr>
          <w:noProof/>
        </w:rPr>
      </w:pPr>
    </w:p>
    <w:p w14:paraId="2FD83FEE" w14:textId="77777777" w:rsidR="00BE3EE3" w:rsidRPr="007759BA" w:rsidRDefault="00BE3EE3" w:rsidP="00BE3EE3">
      <w:pPr>
        <w:pStyle w:val="BodyText"/>
        <w:rPr>
          <w:noProof/>
        </w:rPr>
        <w:sectPr w:rsidR="00BE3EE3" w:rsidRPr="007759BA" w:rsidSect="00ED58B8">
          <w:footerReference w:type="even" r:id="rId23"/>
          <w:footerReference w:type="default" r:id="rId24"/>
          <w:pgSz w:w="11906" w:h="16838" w:code="9"/>
          <w:pgMar w:top="1134" w:right="1134" w:bottom="1134" w:left="1134" w:header="794" w:footer="510" w:gutter="0"/>
          <w:pgNumType w:fmt="lowerRoman"/>
          <w:cols w:space="708"/>
          <w:docGrid w:linePitch="360"/>
        </w:sectPr>
      </w:pPr>
    </w:p>
    <w:p w14:paraId="3F83F9C7" w14:textId="0D50986F" w:rsidR="00ED58B8" w:rsidRPr="00B24DA5" w:rsidRDefault="0077480E" w:rsidP="00B24DA5">
      <w:pPr>
        <w:pStyle w:val="Heading1-noTOC"/>
      </w:pPr>
      <w:r>
        <w:lastRenderedPageBreak/>
        <w:fldChar w:fldCharType="end"/>
      </w:r>
      <w:r w:rsidR="00FB1ADB" w:rsidRPr="00B24DA5">
        <w:t>Acknowledgements</w:t>
      </w:r>
    </w:p>
    <w:p w14:paraId="4C308CC0" w14:textId="7FB02322" w:rsidR="00FB1ADB" w:rsidRDefault="00FB1ADB" w:rsidP="00ED58B8">
      <w:pPr>
        <w:pStyle w:val="BodyText"/>
        <w:rPr>
          <w:sz w:val="18"/>
        </w:rPr>
      </w:pPr>
      <w:r w:rsidRPr="007759BA">
        <w:t>The Commission acknowledges and thanks the staff who worked on this paper, including Colin Burns, Ralph Lattimore, Jared Dent, Benjamin Mitra-Kahn and Jeremy Kamil. The Commission also acknowledges and thanks Commissioner and Deputy Chair Alex Robson for his assistance with the paper.</w:t>
      </w:r>
    </w:p>
    <w:p w14:paraId="7C4198D9" w14:textId="6FAA15F1" w:rsidR="00FB1ADB" w:rsidRPr="00ED58B8" w:rsidRDefault="00FB1ADB" w:rsidP="00ED58B8">
      <w:pPr>
        <w:pStyle w:val="BodyText"/>
        <w:sectPr w:rsidR="00FB1ADB" w:rsidRPr="00ED58B8" w:rsidSect="00B24DA5">
          <w:headerReference w:type="even" r:id="rId25"/>
          <w:headerReference w:type="default" r:id="rId26"/>
          <w:footerReference w:type="even" r:id="rId27"/>
          <w:footerReference w:type="default" r:id="rId28"/>
          <w:pgSz w:w="11906" w:h="16838" w:code="9"/>
          <w:pgMar w:top="1134" w:right="1134" w:bottom="1134" w:left="1134" w:header="794" w:footer="510" w:gutter="0"/>
          <w:pgNumType w:fmt="lowerRoman"/>
          <w:cols w:space="708"/>
          <w:docGrid w:linePitch="360"/>
        </w:sectPr>
      </w:pPr>
    </w:p>
    <w:tbl>
      <w:tblPr>
        <w:tblStyle w:val="Texttable-Paleblue"/>
        <w:tblW w:w="5000" w:type="pct"/>
        <w:shd w:val="clear" w:color="auto" w:fill="E7F6FD"/>
        <w:tblLook w:val="04A0" w:firstRow="1" w:lastRow="0" w:firstColumn="1" w:lastColumn="0" w:noHBand="0" w:noVBand="1"/>
      </w:tblPr>
      <w:tblGrid>
        <w:gridCol w:w="577"/>
        <w:gridCol w:w="9061"/>
      </w:tblGrid>
      <w:tr w:rsidR="00E642E7" w:rsidRPr="002F759A" w14:paraId="2FBDEAF6" w14:textId="77777777">
        <w:tc>
          <w:tcPr>
            <w:tcW w:w="9638" w:type="dxa"/>
            <w:gridSpan w:val="2"/>
            <w:shd w:val="clear" w:color="auto" w:fill="E7F6FD"/>
            <w:tcMar>
              <w:left w:w="170" w:type="dxa"/>
            </w:tcMar>
          </w:tcPr>
          <w:p w14:paraId="251B9F60" w14:textId="77777777" w:rsidR="00E642E7" w:rsidRPr="002F759A" w:rsidRDefault="00E642E7">
            <w:pPr>
              <w:pStyle w:val="Keypoints-heading"/>
            </w:pPr>
            <w:r w:rsidRPr="002F759A">
              <w:lastRenderedPageBreak/>
              <w:t>Key points</w:t>
            </w:r>
          </w:p>
        </w:tc>
      </w:tr>
      <w:tr w:rsidR="00E642E7" w14:paraId="06C7B07E" w14:textId="77777777">
        <w:tc>
          <w:tcPr>
            <w:tcW w:w="577" w:type="dxa"/>
            <w:shd w:val="clear" w:color="auto" w:fill="E7F6FD"/>
            <w:tcMar>
              <w:top w:w="0" w:type="dxa"/>
              <w:bottom w:w="0" w:type="dxa"/>
              <w:right w:w="113" w:type="dxa"/>
            </w:tcMar>
          </w:tcPr>
          <w:p w14:paraId="23EBA4FA" w14:textId="77777777" w:rsidR="00E642E7" w:rsidRDefault="00E642E7" w:rsidP="000C6B77">
            <w:pPr>
              <w:pStyle w:val="KeyPointsicon"/>
            </w:pPr>
            <w:r w:rsidRPr="00A51374">
              <w:rPr>
                <w:noProof/>
              </w:rPr>
              <w:drawing>
                <wp:inline distT="0" distB="0" distL="0" distR="0" wp14:anchorId="4D784166" wp14:editId="1971C810">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29">
                            <a:extLst>
                              <a:ext uri="{96DAC541-7B7A-43D3-8B79-37D633B846F1}">
                                <asvg:svgBlip xmlns:asvg="http://schemas.microsoft.com/office/drawing/2016/SVG/main" r:embed="rId30"/>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5AABAAE3" w14:textId="32933115" w:rsidR="00E642E7" w:rsidRPr="009E38F8" w:rsidRDefault="00982727" w:rsidP="001858B0">
            <w:pPr>
              <w:pStyle w:val="KeyPoints-Bold"/>
              <w:rPr>
                <w:rStyle w:val="ui-provider"/>
                <w:spacing w:val="-4"/>
              </w:rPr>
            </w:pPr>
            <w:r w:rsidRPr="009E38F8">
              <w:rPr>
                <w:rStyle w:val="ui-provider"/>
                <w:spacing w:val="-4"/>
              </w:rPr>
              <w:t xml:space="preserve">Over the long term, for most workers, productivity growth and </w:t>
            </w:r>
            <w:r w:rsidR="004D1919" w:rsidRPr="009E38F8">
              <w:rPr>
                <w:rStyle w:val="ui-provider"/>
                <w:spacing w:val="-4"/>
              </w:rPr>
              <w:t>real</w:t>
            </w:r>
            <w:r w:rsidRPr="009E38F8">
              <w:rPr>
                <w:rStyle w:val="ui-provider"/>
                <w:spacing w:val="-4"/>
              </w:rPr>
              <w:t xml:space="preserve"> wages have grown together in Australia.</w:t>
            </w:r>
            <w:r w:rsidR="209D8656" w:rsidRPr="009E38F8">
              <w:rPr>
                <w:rStyle w:val="ui-provider"/>
                <w:spacing w:val="-4"/>
              </w:rPr>
              <w:t xml:space="preserve"> If productivity growth exceeds wage growth over the long term, this is </w:t>
            </w:r>
            <w:r w:rsidR="009F1D82">
              <w:rPr>
                <w:rStyle w:val="ui-provider"/>
                <w:spacing w:val="-4"/>
              </w:rPr>
              <w:t xml:space="preserve">referred to as </w:t>
            </w:r>
            <w:r w:rsidR="209D8656" w:rsidRPr="009E38F8">
              <w:rPr>
                <w:rStyle w:val="ui-provider"/>
                <w:spacing w:val="-4"/>
              </w:rPr>
              <w:t>wage-decoupling.</w:t>
            </w:r>
          </w:p>
        </w:tc>
      </w:tr>
      <w:tr w:rsidR="00E642E7" w14:paraId="7DFDF8EB" w14:textId="77777777">
        <w:tc>
          <w:tcPr>
            <w:tcW w:w="577" w:type="dxa"/>
            <w:shd w:val="clear" w:color="auto" w:fill="E7F6FD"/>
            <w:tcMar>
              <w:top w:w="0" w:type="dxa"/>
              <w:bottom w:w="0" w:type="dxa"/>
              <w:right w:w="113" w:type="dxa"/>
            </w:tcMar>
          </w:tcPr>
          <w:p w14:paraId="35CA8613" w14:textId="77777777" w:rsidR="00E642E7" w:rsidRPr="00A51374" w:rsidRDefault="00E642E7" w:rsidP="000C6B77">
            <w:pPr>
              <w:pStyle w:val="KeyPointsicon"/>
            </w:pPr>
            <w:r w:rsidRPr="00F31E73">
              <w:rPr>
                <w:noProof/>
              </w:rPr>
              <w:drawing>
                <wp:inline distT="0" distB="0" distL="0" distR="0" wp14:anchorId="3D14D7C4" wp14:editId="63A65EC1">
                  <wp:extent cx="180000" cy="180000"/>
                  <wp:effectExtent l="0" t="0" r="0" b="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29">
                            <a:extLst>
                              <a:ext uri="{96DAC541-7B7A-43D3-8B79-37D633B846F1}">
                                <asvg:svgBlip xmlns:asvg="http://schemas.microsoft.com/office/drawing/2016/SVG/main" r:embed="rId30"/>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35865880" w14:textId="0FE83871" w:rsidR="00E642E7" w:rsidRPr="00610627" w:rsidRDefault="000468A5" w:rsidP="00610627">
            <w:pPr>
              <w:pStyle w:val="KeyPoints-Bold"/>
            </w:pPr>
            <w:r>
              <w:rPr>
                <w:rStyle w:val="ui-provider"/>
              </w:rPr>
              <w:t>Mining and agriculture</w:t>
            </w:r>
            <w:r w:rsidR="26B730A1" w:rsidRPr="3E71E6FA">
              <w:rPr>
                <w:rStyle w:val="ui-provider"/>
              </w:rPr>
              <w:t xml:space="preserve"> </w:t>
            </w:r>
            <w:r w:rsidR="0049265E" w:rsidRPr="3E71E6FA">
              <w:rPr>
                <w:rStyle w:val="ui-provider"/>
              </w:rPr>
              <w:t>–</w:t>
            </w:r>
            <w:r>
              <w:rPr>
                <w:rStyle w:val="ui-provider"/>
              </w:rPr>
              <w:t xml:space="preserve"> </w:t>
            </w:r>
            <w:r w:rsidR="00BD2312">
              <w:rPr>
                <w:rStyle w:val="ui-provider"/>
              </w:rPr>
              <w:t>which account for about</w:t>
            </w:r>
            <w:r>
              <w:rPr>
                <w:rStyle w:val="ui-provider"/>
              </w:rPr>
              <w:t xml:space="preserve"> 5% of total </w:t>
            </w:r>
            <w:r w:rsidR="00BD2312">
              <w:rPr>
                <w:rStyle w:val="ui-provider"/>
              </w:rPr>
              <w:t>people employed</w:t>
            </w:r>
            <w:r>
              <w:rPr>
                <w:rStyle w:val="ui-provider"/>
              </w:rPr>
              <w:t xml:space="preserve"> across the economy</w:t>
            </w:r>
            <w:r w:rsidR="5D1EF32C" w:rsidRPr="3E71E6FA">
              <w:rPr>
                <w:rStyle w:val="ui-provider"/>
              </w:rPr>
              <w:t xml:space="preserve"> – have </w:t>
            </w:r>
            <w:r w:rsidRPr="3E71E6FA">
              <w:rPr>
                <w:rStyle w:val="ui-provider"/>
              </w:rPr>
              <w:t>exhibit</w:t>
            </w:r>
            <w:r w:rsidR="44E4F893" w:rsidRPr="3E71E6FA">
              <w:rPr>
                <w:rStyle w:val="ui-provider"/>
              </w:rPr>
              <w:t>ed</w:t>
            </w:r>
            <w:r>
              <w:rPr>
                <w:rStyle w:val="ui-provider"/>
              </w:rPr>
              <w:t xml:space="preserve"> wage decoupling and skew the national average significantly.</w:t>
            </w:r>
          </w:p>
        </w:tc>
      </w:tr>
      <w:tr w:rsidR="00E642E7" w14:paraId="519C1118" w14:textId="77777777">
        <w:tc>
          <w:tcPr>
            <w:tcW w:w="577" w:type="dxa"/>
            <w:shd w:val="clear" w:color="auto" w:fill="E7F6FD"/>
            <w:tcMar>
              <w:top w:w="0" w:type="dxa"/>
              <w:bottom w:w="0" w:type="dxa"/>
              <w:right w:w="113" w:type="dxa"/>
            </w:tcMar>
          </w:tcPr>
          <w:p w14:paraId="13434815" w14:textId="77777777" w:rsidR="00E642E7" w:rsidRPr="00A51374" w:rsidRDefault="00E642E7" w:rsidP="000C6B77">
            <w:pPr>
              <w:pStyle w:val="KeyPointsicon"/>
            </w:pPr>
            <w:r w:rsidRPr="00F31E73">
              <w:rPr>
                <w:noProof/>
              </w:rPr>
              <w:drawing>
                <wp:inline distT="0" distB="0" distL="0" distR="0" wp14:anchorId="008E092E" wp14:editId="6402CEE0">
                  <wp:extent cx="180000" cy="180000"/>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29">
                            <a:extLst>
                              <a:ext uri="{96DAC541-7B7A-43D3-8B79-37D633B846F1}">
                                <asvg:svgBlip xmlns:asvg="http://schemas.microsoft.com/office/drawing/2016/SVG/main" r:embed="rId30"/>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17311916" w14:textId="07E5D067" w:rsidR="00E642E7" w:rsidRPr="00010149" w:rsidRDefault="000468A5" w:rsidP="00610627">
            <w:pPr>
              <w:pStyle w:val="KeyPoints-Bold"/>
              <w:rPr>
                <w:rStyle w:val="ui-provider"/>
                <w:spacing w:val="-2"/>
              </w:rPr>
            </w:pPr>
            <w:r w:rsidRPr="00010149">
              <w:rPr>
                <w:rStyle w:val="ui-provider"/>
                <w:spacing w:val="-2"/>
              </w:rPr>
              <w:t xml:space="preserve">In all industries outside of mining and agriculture, which account for </w:t>
            </w:r>
            <w:r w:rsidR="008D2E26" w:rsidRPr="00010149">
              <w:rPr>
                <w:rStyle w:val="ui-provider"/>
                <w:spacing w:val="-2"/>
              </w:rPr>
              <w:t xml:space="preserve">over </w:t>
            </w:r>
            <w:r w:rsidRPr="00010149">
              <w:rPr>
                <w:rStyle w:val="ui-provider"/>
                <w:spacing w:val="-2"/>
              </w:rPr>
              <w:t xml:space="preserve">95% of </w:t>
            </w:r>
            <w:r w:rsidR="008D2E26" w:rsidRPr="00010149">
              <w:rPr>
                <w:rStyle w:val="ui-provider"/>
                <w:spacing w:val="-2"/>
              </w:rPr>
              <w:t>employment</w:t>
            </w:r>
            <w:r w:rsidRPr="00010149">
              <w:rPr>
                <w:rStyle w:val="ui-provider"/>
                <w:spacing w:val="-2"/>
              </w:rPr>
              <w:t xml:space="preserve">, </w:t>
            </w:r>
            <w:r w:rsidR="00CB77B6" w:rsidRPr="00010149">
              <w:rPr>
                <w:rStyle w:val="ui-provider"/>
                <w:spacing w:val="-2"/>
              </w:rPr>
              <w:t>the difference between productivity growth and wages growth has been</w:t>
            </w:r>
            <w:r w:rsidRPr="00010149">
              <w:rPr>
                <w:rStyle w:val="ui-provider"/>
                <w:spacing w:val="-2"/>
              </w:rPr>
              <w:t xml:space="preserve"> </w:t>
            </w:r>
            <w:r w:rsidR="00C023DF" w:rsidRPr="00010149">
              <w:rPr>
                <w:rStyle w:val="ui-provider"/>
                <w:spacing w:val="-2"/>
              </w:rPr>
              <w:t>relatively low</w:t>
            </w:r>
            <w:r w:rsidR="00CB77B6" w:rsidRPr="00010149">
              <w:rPr>
                <w:rStyle w:val="ui-provider"/>
                <w:spacing w:val="-2"/>
              </w:rPr>
              <w:t xml:space="preserve">. </w:t>
            </w:r>
            <w:r w:rsidR="78671E15" w:rsidRPr="00010149">
              <w:rPr>
                <w:rStyle w:val="ui-provider"/>
                <w:spacing w:val="-2"/>
              </w:rPr>
              <w:t xml:space="preserve">Outside of mining and agriculture, more than </w:t>
            </w:r>
            <w:r w:rsidR="78671E15">
              <w:t xml:space="preserve">half of the sectors examined experienced zero or negative decoupling. </w:t>
            </w:r>
            <w:r w:rsidR="00CB77B6" w:rsidRPr="00010149">
              <w:rPr>
                <w:rStyle w:val="ui-provider"/>
                <w:spacing w:val="-2"/>
              </w:rPr>
              <w:t xml:space="preserve">As a consequence, the </w:t>
            </w:r>
            <w:r w:rsidRPr="00010149">
              <w:rPr>
                <w:rStyle w:val="ui-provider"/>
                <w:spacing w:val="-2"/>
              </w:rPr>
              <w:t xml:space="preserve">share of income </w:t>
            </w:r>
            <w:r w:rsidR="00CB77B6" w:rsidRPr="00010149">
              <w:rPr>
                <w:rStyle w:val="ui-provider"/>
                <w:spacing w:val="-2"/>
              </w:rPr>
              <w:t xml:space="preserve">going to </w:t>
            </w:r>
            <w:r w:rsidR="759F8528" w:rsidRPr="00010149">
              <w:rPr>
                <w:rStyle w:val="ui-provider"/>
                <w:spacing w:val="-2"/>
              </w:rPr>
              <w:t xml:space="preserve">that 95% of </w:t>
            </w:r>
            <w:r w:rsidR="00CB77B6" w:rsidRPr="00010149">
              <w:rPr>
                <w:rStyle w:val="ui-provider"/>
                <w:spacing w:val="-2"/>
              </w:rPr>
              <w:t xml:space="preserve">labour </w:t>
            </w:r>
            <w:r w:rsidRPr="3E71E6FA">
              <w:rPr>
                <w:rStyle w:val="ui-provider"/>
              </w:rPr>
              <w:t>has declined by less than 1 percentage point over the past 27 years.</w:t>
            </w:r>
          </w:p>
        </w:tc>
      </w:tr>
      <w:tr w:rsidR="00E642E7" w14:paraId="48B548D2" w14:textId="77777777">
        <w:tc>
          <w:tcPr>
            <w:tcW w:w="577" w:type="dxa"/>
            <w:shd w:val="clear" w:color="auto" w:fill="E7F6FD"/>
            <w:tcMar>
              <w:top w:w="0" w:type="dxa"/>
              <w:bottom w:w="0" w:type="dxa"/>
              <w:right w:w="113" w:type="dxa"/>
            </w:tcMar>
          </w:tcPr>
          <w:p w14:paraId="6B48B715" w14:textId="77777777" w:rsidR="00E642E7" w:rsidRPr="00A51374" w:rsidRDefault="00E642E7" w:rsidP="000C6B77">
            <w:pPr>
              <w:pStyle w:val="KeyPointsicon"/>
            </w:pPr>
            <w:r w:rsidRPr="00F31E73">
              <w:rPr>
                <w:noProof/>
              </w:rPr>
              <w:drawing>
                <wp:inline distT="0" distB="0" distL="0" distR="0" wp14:anchorId="5AC744CF" wp14:editId="29A7B1E9">
                  <wp:extent cx="180000" cy="18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9">
                            <a:extLst>
                              <a:ext uri="{96DAC541-7B7A-43D3-8B79-37D633B846F1}">
                                <asvg:svgBlip xmlns:asvg="http://schemas.microsoft.com/office/drawing/2016/SVG/main" r:embed="rId30"/>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02B78CCB" w14:textId="6563E5FA" w:rsidR="00E642E7" w:rsidRPr="00010149" w:rsidRDefault="2C84504B" w:rsidP="6D4450CC">
            <w:pPr>
              <w:pStyle w:val="KeyPoints-Bold"/>
              <w:rPr>
                <w:rStyle w:val="ui-provider"/>
              </w:rPr>
            </w:pPr>
            <w:r w:rsidRPr="3E71E6FA">
              <w:rPr>
                <w:rStyle w:val="ui-provider"/>
              </w:rPr>
              <w:t xml:space="preserve">Productivity growth </w:t>
            </w:r>
            <w:r w:rsidR="2273E012" w:rsidRPr="3E71E6FA">
              <w:rPr>
                <w:rStyle w:val="ui-provider"/>
              </w:rPr>
              <w:t>is the main driver of real wage growth</w:t>
            </w:r>
            <w:r w:rsidR="00C96A6B">
              <w:rPr>
                <w:rStyle w:val="ui-provider"/>
              </w:rPr>
              <w:t>.</w:t>
            </w:r>
          </w:p>
          <w:p w14:paraId="249A4B28" w14:textId="2D217B40" w:rsidR="00E642E7" w:rsidRPr="00C96A6B" w:rsidRDefault="5A8794CA" w:rsidP="00C96A6B">
            <w:pPr>
              <w:pStyle w:val="KeyPoints-Bullet"/>
              <w:rPr>
                <w:rStyle w:val="ui-provider"/>
              </w:rPr>
            </w:pPr>
            <w:r w:rsidRPr="21FCA675">
              <w:rPr>
                <w:rStyle w:val="ui-provider"/>
              </w:rPr>
              <w:t xml:space="preserve">For 95% of the labour force, </w:t>
            </w:r>
            <w:r w:rsidRPr="43E808F9">
              <w:rPr>
                <w:rStyle w:val="ui-provider"/>
              </w:rPr>
              <w:t>had</w:t>
            </w:r>
            <w:r w:rsidRPr="21FCA675">
              <w:rPr>
                <w:rStyle w:val="ui-provider"/>
              </w:rPr>
              <w:t xml:space="preserve"> we been able to maintain productivity growth from 1995 to 2023 at the 2.2</w:t>
            </w:r>
            <w:r w:rsidRPr="00C96A6B">
              <w:rPr>
                <w:rStyle w:val="ui-provider"/>
              </w:rPr>
              <w:t xml:space="preserve">% average level seen in the 1990s, then real annual </w:t>
            </w:r>
            <w:r w:rsidR="1751984E" w:rsidRPr="00C96A6B">
              <w:rPr>
                <w:rStyle w:val="ui-provider"/>
              </w:rPr>
              <w:t xml:space="preserve">average </w:t>
            </w:r>
            <w:r w:rsidRPr="00C96A6B">
              <w:rPr>
                <w:rStyle w:val="ui-provider"/>
              </w:rPr>
              <w:t xml:space="preserve">incomes would today be $25,000 higher. </w:t>
            </w:r>
          </w:p>
          <w:p w14:paraId="5FA49A03" w14:textId="021B4571" w:rsidR="00E642E7" w:rsidRPr="00010149" w:rsidRDefault="1B47EA18" w:rsidP="00C96A6B">
            <w:pPr>
              <w:pStyle w:val="KeyPoints-Bullet"/>
              <w:rPr>
                <w:rStyle w:val="ui-provider"/>
                <w:b/>
                <w:spacing w:val="2"/>
              </w:rPr>
            </w:pPr>
            <w:r w:rsidRPr="00C96A6B">
              <w:rPr>
                <w:rStyle w:val="ui-provider"/>
              </w:rPr>
              <w:t xml:space="preserve">For </w:t>
            </w:r>
            <w:r w:rsidR="3D8ABE41" w:rsidRPr="00C96A6B">
              <w:rPr>
                <w:rStyle w:val="ui-provider"/>
              </w:rPr>
              <w:t>the</w:t>
            </w:r>
            <w:r w:rsidR="3D8ABE41" w:rsidRPr="30ABB215">
              <w:rPr>
                <w:rStyle w:val="ui-provider"/>
              </w:rPr>
              <w:t xml:space="preserve"> same </w:t>
            </w:r>
            <w:r w:rsidRPr="1A62BEB8">
              <w:rPr>
                <w:rStyle w:val="ui-provider"/>
              </w:rPr>
              <w:t xml:space="preserve">95% of </w:t>
            </w:r>
            <w:r w:rsidR="57F11A22" w:rsidRPr="1A62BEB8">
              <w:rPr>
                <w:rStyle w:val="ui-provider"/>
              </w:rPr>
              <w:t xml:space="preserve">the </w:t>
            </w:r>
            <w:r w:rsidRPr="1A62BEB8">
              <w:rPr>
                <w:rStyle w:val="ui-provider"/>
              </w:rPr>
              <w:t>labour</w:t>
            </w:r>
            <w:r w:rsidR="1FC3F719" w:rsidRPr="1A62BEB8">
              <w:rPr>
                <w:rStyle w:val="ui-provider"/>
              </w:rPr>
              <w:t xml:space="preserve"> force</w:t>
            </w:r>
            <w:r w:rsidR="00C023DF" w:rsidRPr="00010149">
              <w:rPr>
                <w:rStyle w:val="ui-provider"/>
                <w:spacing w:val="2"/>
              </w:rPr>
              <w:t xml:space="preserve"> wage decoupling </w:t>
            </w:r>
            <w:r w:rsidR="4CD76F13" w:rsidRPr="1A62BEB8">
              <w:rPr>
                <w:rStyle w:val="ui-provider"/>
              </w:rPr>
              <w:t>since 1995</w:t>
            </w:r>
            <w:r w:rsidR="4CD76F13" w:rsidRPr="00010149">
              <w:rPr>
                <w:rStyle w:val="ui-provider"/>
                <w:spacing w:val="2"/>
              </w:rPr>
              <w:t xml:space="preserve"> </w:t>
            </w:r>
            <w:r w:rsidR="002B722C" w:rsidRPr="00010149">
              <w:rPr>
                <w:rStyle w:val="ui-provider"/>
                <w:spacing w:val="2"/>
              </w:rPr>
              <w:t>means that</w:t>
            </w:r>
            <w:r w:rsidR="00C023DF" w:rsidRPr="00010149">
              <w:rPr>
                <w:rStyle w:val="ui-provider"/>
                <w:spacing w:val="2"/>
              </w:rPr>
              <w:t xml:space="preserve"> average real annual incomes </w:t>
            </w:r>
            <w:r w:rsidR="002B722C" w:rsidRPr="00010149">
              <w:rPr>
                <w:rStyle w:val="ui-provider"/>
                <w:spacing w:val="2"/>
              </w:rPr>
              <w:t>are</w:t>
            </w:r>
            <w:r w:rsidR="00C023DF" w:rsidRPr="00010149">
              <w:rPr>
                <w:rStyle w:val="ui-provider"/>
                <w:spacing w:val="2"/>
              </w:rPr>
              <w:t xml:space="preserve"> about $3,000 </w:t>
            </w:r>
            <w:r w:rsidR="002B722C" w:rsidRPr="00010149">
              <w:rPr>
                <w:rStyle w:val="ui-provider"/>
                <w:spacing w:val="2"/>
              </w:rPr>
              <w:t>lower than they otherwise would be.</w:t>
            </w:r>
            <w:r w:rsidR="00C96A6B">
              <w:rPr>
                <w:rStyle w:val="ui-provider"/>
                <w:b/>
                <w:spacing w:val="2"/>
              </w:rPr>
              <w:t xml:space="preserve"> </w:t>
            </w:r>
          </w:p>
        </w:tc>
      </w:tr>
    </w:tbl>
    <w:p w14:paraId="551719FF" w14:textId="6F0895D1" w:rsidR="00FE78DF" w:rsidRDefault="00FE78DF" w:rsidP="00FE78DF">
      <w:pPr>
        <w:pStyle w:val="Heading2-nonumber"/>
      </w:pPr>
      <w:bookmarkStart w:id="0" w:name="_Toc144908620"/>
      <w:r>
        <w:t>Introduction</w:t>
      </w:r>
      <w:bookmarkEnd w:id="0"/>
    </w:p>
    <w:p w14:paraId="3D8883FE" w14:textId="5E5F501C" w:rsidR="00CC7F45" w:rsidRDefault="00FE78DF" w:rsidP="00FC319A">
      <w:pPr>
        <w:pStyle w:val="BodyText"/>
      </w:pPr>
      <w:r>
        <w:t>In the long run</w:t>
      </w:r>
      <w:r w:rsidR="1FFA2DB5">
        <w:t>,</w:t>
      </w:r>
      <w:r>
        <w:t xml:space="preserve"> growth in real wages is </w:t>
      </w:r>
      <w:r w:rsidR="7E1EEAE4">
        <w:t xml:space="preserve">driven </w:t>
      </w:r>
      <w:r>
        <w:t xml:space="preserve">almost entirely driven by labour productivity growth. In the shorter term, </w:t>
      </w:r>
      <w:r w:rsidR="007C4A9F">
        <w:t>factors such as relative bargaining power and economic shocks</w:t>
      </w:r>
      <w:r w:rsidR="02ED058D">
        <w:t xml:space="preserve"> -</w:t>
      </w:r>
      <w:r w:rsidR="007C4A9F">
        <w:t xml:space="preserve"> such as large movements in the terms of</w:t>
      </w:r>
      <w:r w:rsidR="00FB0D0A">
        <w:t xml:space="preserve"> </w:t>
      </w:r>
      <w:r w:rsidR="007C4A9F">
        <w:t>trade</w:t>
      </w:r>
      <w:r w:rsidR="55F67D7F">
        <w:t xml:space="preserve"> -</w:t>
      </w:r>
      <w:r w:rsidR="007C4A9F">
        <w:t xml:space="preserve"> can lead to deviations in the relationship between real wages and productivity</w:t>
      </w:r>
      <w:r w:rsidR="352D1FA5">
        <w:t>. S</w:t>
      </w:r>
      <w:r>
        <w:t xml:space="preserve">ometimes wage growth lags productivity growth, other times it can overshoot. </w:t>
      </w:r>
    </w:p>
    <w:p w14:paraId="724D3B0D" w14:textId="0B7E062A" w:rsidR="00FE78DF" w:rsidRDefault="0E34CC4D" w:rsidP="00FC319A">
      <w:pPr>
        <w:pStyle w:val="BodyText"/>
      </w:pPr>
      <w:r>
        <w:t>The extent to which</w:t>
      </w:r>
      <w:r w:rsidR="00CC7F45">
        <w:t xml:space="preserve"> productivity </w:t>
      </w:r>
      <w:r w:rsidR="7C244DD8">
        <w:t xml:space="preserve">growth </w:t>
      </w:r>
      <w:r w:rsidR="221A68E6">
        <w:t xml:space="preserve">drives real </w:t>
      </w:r>
      <w:r w:rsidR="00CC7F45">
        <w:t>wage</w:t>
      </w:r>
      <w:r w:rsidR="46F12764">
        <w:t xml:space="preserve"> growth</w:t>
      </w:r>
      <w:r w:rsidR="00CC7F45">
        <w:t xml:space="preserve"> is an area of </w:t>
      </w:r>
      <w:r w:rsidR="00BC17AB">
        <w:t>current debate</w:t>
      </w:r>
      <w:r w:rsidR="481168A3">
        <w:t>,</w:t>
      </w:r>
      <w:r w:rsidR="00CC7F45">
        <w:t xml:space="preserve"> </w:t>
      </w:r>
      <w:r w:rsidR="1B9A0BB2">
        <w:t xml:space="preserve">with </w:t>
      </w:r>
      <w:r w:rsidR="00BC17AB">
        <w:t>some analysis</w:t>
      </w:r>
      <w:r w:rsidR="005D1D54">
        <w:t xml:space="preserve"> suggest</w:t>
      </w:r>
      <w:r w:rsidR="4487DD54">
        <w:t>ing</w:t>
      </w:r>
      <w:r w:rsidR="00CC7F45">
        <w:t xml:space="preserve"> that the</w:t>
      </w:r>
      <w:r w:rsidR="003A6576">
        <w:t xml:space="preserve"> long</w:t>
      </w:r>
      <w:r w:rsidR="76EE5A17">
        <w:t xml:space="preserve"> </w:t>
      </w:r>
      <w:r w:rsidR="003A6576">
        <w:t xml:space="preserve">run </w:t>
      </w:r>
      <w:r w:rsidR="2456C1B7">
        <w:t>e</w:t>
      </w:r>
      <w:r w:rsidR="00E771B3">
        <w:t>ffect of</w:t>
      </w:r>
      <w:r w:rsidR="00947A33">
        <w:t xml:space="preserve"> productivity on real</w:t>
      </w:r>
      <w:r w:rsidR="00CC7F45">
        <w:t xml:space="preserve"> wage growth and productivity growth has weakened.</w:t>
      </w:r>
      <w:r w:rsidR="00FE78DF" w:rsidDel="00CC7F45">
        <w:t xml:space="preserve"> </w:t>
      </w:r>
      <w:r w:rsidR="00FE78DF">
        <w:t>A persistent long run gap in this relationship is generally referred to as wage decoupling.</w:t>
      </w:r>
      <w:r w:rsidR="00CC7F45">
        <w:t xml:space="preserve"> </w:t>
      </w:r>
    </w:p>
    <w:p w14:paraId="77834A19" w14:textId="77777777" w:rsidR="0077480E" w:rsidRDefault="0077480E" w:rsidP="0077480E">
      <w:pPr>
        <w:pStyle w:val="BodyText"/>
      </w:pPr>
      <w:r>
        <w:t xml:space="preserve">Wage decoupling matters to policymakers and individuals. Real wage growth allows households to purchase more or better goods and services and improves welfare and wellbeing. If the link between productivity and wage growth weakens, the attention of policymakers may shift away from productivity and towards other mechanisms to engineer real wage growth. </w:t>
      </w:r>
    </w:p>
    <w:p w14:paraId="02BE912E" w14:textId="77777777" w:rsidR="0077480E" w:rsidRDefault="0077480E" w:rsidP="0077480E">
      <w:pPr>
        <w:pStyle w:val="BodyText"/>
      </w:pPr>
      <w:r>
        <w:t>The reason the link between productivity and wage growth may weaken matters too – it could reflect technological change, or it could be some less benign factors like excessive</w:t>
      </w:r>
      <w:r w:rsidDel="006C170B">
        <w:t xml:space="preserve"> </w:t>
      </w:r>
      <w:r>
        <w:t xml:space="preserve">market power in labour or goods markets </w:t>
      </w:r>
      <w:r w:rsidRPr="57CB556D">
        <w:rPr>
          <w:rFonts w:ascii="Arial" w:hAnsi="Arial" w:cs="Arial"/>
        </w:rPr>
        <w:t>(Meloni and Stirati 2023)</w:t>
      </w:r>
      <w:r>
        <w:t xml:space="preserve">. If it is the latter, and the effects are material and enduring, it could suggest that productivity policies be accompanied by additional measures that force a greater share of income to flow to employees and households, such as by quelling any excess business profits or through changes to the tax and transfer system </w:t>
      </w:r>
      <w:r w:rsidRPr="57CB556D">
        <w:rPr>
          <w:rFonts w:ascii="Arial" w:hAnsi="Arial" w:cs="Arial"/>
        </w:rPr>
        <w:t>(OECD 2018, pp. 51–65)</w:t>
      </w:r>
      <w:r>
        <w:t xml:space="preserve">. Conversely, if real wage growth exceeds labour productivity growth </w:t>
      </w:r>
      <w:r w:rsidDel="00334B30">
        <w:t>–</w:t>
      </w:r>
      <w:r>
        <w:t xml:space="preserve"> creating a real wage overhang </w:t>
      </w:r>
      <w:r w:rsidDel="00334B30">
        <w:t>–</w:t>
      </w:r>
      <w:r>
        <w:t xml:space="preserve"> then this threatens employment.</w:t>
      </w:r>
    </w:p>
    <w:p w14:paraId="63D43AFF" w14:textId="77777777" w:rsidR="0077480E" w:rsidRDefault="0077480E" w:rsidP="0077480E">
      <w:pPr>
        <w:pStyle w:val="BodyText"/>
      </w:pPr>
      <w:r>
        <w:t>In Australia, the debate about the link between real wages and productivity growth has become more intense as productivity growth has slowed and real wages have fallen in a high inflation period.</w:t>
      </w:r>
    </w:p>
    <w:p w14:paraId="5FE825B3" w14:textId="77777777" w:rsidR="0077480E" w:rsidRPr="00C96A6B" w:rsidRDefault="0077480E" w:rsidP="0077480E">
      <w:pPr>
        <w:pStyle w:val="BodyText"/>
        <w:rPr>
          <w:spacing w:val="-4"/>
        </w:rPr>
      </w:pPr>
      <w:r w:rsidRPr="00C96A6B">
        <w:rPr>
          <w:spacing w:val="-4"/>
        </w:rPr>
        <w:lastRenderedPageBreak/>
        <w:t xml:space="preserve">Given its policy significance, it is important to get the facts right on wage decoupling. Unfortunately, debates about the extent of wage decoupling, its sources and its implications are often dogged by differences in the methods and data. This is because analysts can pick and choose among a wide range of measures of real wage growth and their choices can lead to different, sometimes misleading conclusions. The Commission’s preferred measure is to compare labour productivity to real wages from a producer’s perspective – see box 1. Throughout this paper, “real wages” refers to real </w:t>
      </w:r>
      <w:r w:rsidRPr="00C96A6B">
        <w:rPr>
          <w:i/>
          <w:iCs/>
          <w:spacing w:val="-4"/>
        </w:rPr>
        <w:t>producer</w:t>
      </w:r>
      <w:r w:rsidRPr="00C96A6B">
        <w:rPr>
          <w:spacing w:val="-4"/>
        </w:rPr>
        <w:t xml:space="preserve"> wages. In addition, analysts often fail to consider the structure of the economy and the nature of industries. This short forensic paper, and its longer appendices, dig into the data to present a more complete picture of the relationship between real wages and productivity.</w:t>
      </w:r>
    </w:p>
    <w:p w14:paraId="03949A84" w14:textId="77777777" w:rsidR="0077480E" w:rsidRDefault="0077480E" w:rsidP="0077480E">
      <w:pPr>
        <w:pStyle w:val="NoSpacing"/>
      </w:pPr>
    </w:p>
    <w:tbl>
      <w:tblPr>
        <w:tblStyle w:val="Boxtable"/>
        <w:tblW w:w="5000" w:type="pct"/>
        <w:tblLook w:val="04A0" w:firstRow="1" w:lastRow="0" w:firstColumn="1" w:lastColumn="0" w:noHBand="0" w:noVBand="1"/>
      </w:tblPr>
      <w:tblGrid>
        <w:gridCol w:w="9638"/>
      </w:tblGrid>
      <w:tr w:rsidR="00AF1C4C" w14:paraId="58690010" w14:textId="77777777">
        <w:trPr>
          <w:tblHeader/>
        </w:trPr>
        <w:tc>
          <w:tcPr>
            <w:tcW w:w="9638" w:type="dxa"/>
            <w:shd w:val="clear" w:color="auto" w:fill="EBEBEB"/>
            <w:tcMar>
              <w:top w:w="170" w:type="dxa"/>
              <w:left w:w="170" w:type="dxa"/>
              <w:bottom w:w="113" w:type="dxa"/>
              <w:right w:w="170" w:type="dxa"/>
            </w:tcMar>
            <w:hideMark/>
          </w:tcPr>
          <w:p w14:paraId="0466020B" w14:textId="4EADCC39" w:rsidR="00AF1C4C" w:rsidRDefault="00AF1C4C">
            <w:pPr>
              <w:pStyle w:val="BoxHeading1"/>
            </w:pPr>
            <w:r>
              <w:t>Box</w:t>
            </w:r>
            <w:r w:rsidR="00896E69">
              <w:t xml:space="preserve"> </w:t>
            </w:r>
            <w:r>
              <w:rPr>
                <w:noProof/>
              </w:rPr>
              <w:t>1</w:t>
            </w:r>
            <w:r>
              <w:t xml:space="preserve"> – A quick note on the Commissions preferred measure of wage decoupling</w:t>
            </w:r>
          </w:p>
        </w:tc>
      </w:tr>
      <w:tr w:rsidR="00AF1C4C" w14:paraId="09F70073" w14:textId="77777777">
        <w:tc>
          <w:tcPr>
            <w:tcW w:w="9638" w:type="dxa"/>
            <w:shd w:val="clear" w:color="auto" w:fill="EBEBEB"/>
            <w:tcMar>
              <w:top w:w="28" w:type="dxa"/>
              <w:left w:w="170" w:type="dxa"/>
              <w:bottom w:w="170" w:type="dxa"/>
              <w:right w:w="170" w:type="dxa"/>
            </w:tcMar>
            <w:hideMark/>
          </w:tcPr>
          <w:p w14:paraId="2C3F6428" w14:textId="29A28D3D" w:rsidR="00AF1C4C" w:rsidRDefault="00AF1C4C">
            <w:r w:rsidRPr="00F9113D">
              <w:t>The Commission’s preferred measure of wage decoupling is to compare labour productivity to producer wages</w:t>
            </w:r>
            <w:r>
              <w:t xml:space="preserve">. This is because </w:t>
            </w:r>
            <w:r w:rsidRPr="00F9113D">
              <w:t>businesses have control over the prices they set</w:t>
            </w:r>
            <w:r>
              <w:t xml:space="preserve"> and wages they offer</w:t>
            </w:r>
            <w:r w:rsidRPr="00F9113D">
              <w:t xml:space="preserve">; but limited control over the prices </w:t>
            </w:r>
            <w:r w:rsidR="00BC17AB">
              <w:t>people</w:t>
            </w:r>
            <w:r w:rsidRPr="00F9113D">
              <w:t xml:space="preserve"> pay for </w:t>
            </w:r>
            <w:r w:rsidR="4B39885B">
              <w:t xml:space="preserve">other </w:t>
            </w:r>
            <w:r w:rsidRPr="00F9113D">
              <w:t>goods and services</w:t>
            </w:r>
            <w:r>
              <w:t>.</w:t>
            </w:r>
            <w:r w:rsidR="000B008A">
              <w:t xml:space="preserve"> Their capacity to </w:t>
            </w:r>
            <w:r w:rsidR="00934D23">
              <w:t xml:space="preserve">pay </w:t>
            </w:r>
            <w:r w:rsidR="000B008A">
              <w:t xml:space="preserve">wages </w:t>
            </w:r>
            <w:r w:rsidR="00934D23">
              <w:t xml:space="preserve">depends on the prices they receive for their goods and services (rather than the </w:t>
            </w:r>
            <w:r w:rsidR="06B64DD5">
              <w:t xml:space="preserve">other </w:t>
            </w:r>
            <w:r w:rsidR="00934D23">
              <w:t>prices consumers pay).</w:t>
            </w:r>
            <w:r>
              <w:t xml:space="preserve"> </w:t>
            </w:r>
            <w:r w:rsidR="008E357B">
              <w:t xml:space="preserve">While </w:t>
            </w:r>
            <w:r w:rsidR="00C03F4A">
              <w:t xml:space="preserve">changes in </w:t>
            </w:r>
            <w:r w:rsidR="00B451F8">
              <w:t xml:space="preserve">the prices set by producers and the prices paid by consumers often </w:t>
            </w:r>
            <w:r w:rsidR="00C03F4A">
              <w:t>track closely</w:t>
            </w:r>
            <w:r w:rsidR="002B597B">
              <w:t xml:space="preserve">, there are </w:t>
            </w:r>
            <w:r w:rsidR="00C03F4A">
              <w:t>reasons for them to diverge. C</w:t>
            </w:r>
            <w:r w:rsidR="002B597B">
              <w:t xml:space="preserve">onsumer price changes can reflect </w:t>
            </w:r>
            <w:r w:rsidR="00287541">
              <w:t xml:space="preserve">factors </w:t>
            </w:r>
            <w:r w:rsidR="002B597B">
              <w:t>outside the control of domestic businesses</w:t>
            </w:r>
            <w:r w:rsidR="00C03F4A">
              <w:t>,</w:t>
            </w:r>
            <w:r w:rsidR="002B597B">
              <w:t xml:space="preserve"> such as the price of imports, taxes (like excise, stamp duties and the goods and service tax), and subsidies (like childcare, Medicare and Pharmaceutical Benefit Scheme benefits).</w:t>
            </w:r>
            <w:r w:rsidR="00B451F8">
              <w:t xml:space="preserve"> </w:t>
            </w:r>
            <w:r>
              <w:t xml:space="preserve">Wage decoupling therefore is more logically analysed with a view to the </w:t>
            </w:r>
            <w:r w:rsidR="0C98B217">
              <w:t>producer</w:t>
            </w:r>
            <w:r w:rsidR="3CFC80CA">
              <w:t>s</w:t>
            </w:r>
            <w:r w:rsidR="5DD06F3D">
              <w:t>’</w:t>
            </w:r>
            <w:r w:rsidR="3CFC80CA">
              <w:t xml:space="preserve"> perspective on</w:t>
            </w:r>
            <w:r w:rsidR="0C98B217">
              <w:t xml:space="preserve"> wages</w:t>
            </w:r>
            <w:r w:rsidR="0868FF8C">
              <w:t xml:space="preserve"> (</w:t>
            </w:r>
            <w:r w:rsidR="63AAE613">
              <w:t>‘</w:t>
            </w:r>
            <w:r>
              <w:t xml:space="preserve">producer </w:t>
            </w:r>
            <w:r w:rsidR="63AAE613">
              <w:t>wages’)</w:t>
            </w:r>
            <w:r w:rsidR="1A12C73D">
              <w:t>,</w:t>
            </w:r>
            <w:r>
              <w:t xml:space="preserve"> which are linked to the costs employers face and the productivity enhancements they enjoy, rather than consumer prices</w:t>
            </w:r>
            <w:r w:rsidRPr="00F9113D">
              <w:t xml:space="preserve"> – see </w:t>
            </w:r>
            <w:r w:rsidRPr="00E4127E">
              <w:t xml:space="preserve">appendix </w:t>
            </w:r>
            <w:r w:rsidR="00E4127E" w:rsidRPr="00E4127E">
              <w:t>A.2</w:t>
            </w:r>
            <w:r w:rsidR="0C98B217">
              <w:t>.</w:t>
            </w:r>
            <w:r w:rsidR="006346D9">
              <w:t xml:space="preserve"> </w:t>
            </w:r>
          </w:p>
          <w:p w14:paraId="26BF0A33" w14:textId="12E901A6" w:rsidR="00AF1C4C" w:rsidRDefault="00512017">
            <w:r>
              <w:t xml:space="preserve">Despite this, it also true that </w:t>
            </w:r>
            <w:r w:rsidR="00AE679C">
              <w:t xml:space="preserve">from the perspective of employees, the buying power of wages depend on the prices of the goods and services they </w:t>
            </w:r>
            <w:r w:rsidR="11325043">
              <w:t>enable consumers to</w:t>
            </w:r>
            <w:r w:rsidR="588AF219">
              <w:t xml:space="preserve"> buy.</w:t>
            </w:r>
            <w:r w:rsidR="00AE679C">
              <w:t xml:space="preserve"> </w:t>
            </w:r>
            <w:r w:rsidR="00DC7A65">
              <w:t xml:space="preserve">For illustrative purposes, we have </w:t>
            </w:r>
            <w:r w:rsidR="002371CA">
              <w:t xml:space="preserve">included in this paper </w:t>
            </w:r>
            <w:r w:rsidR="002E7BD7" w:rsidRPr="00F9113D">
              <w:t>compar</w:t>
            </w:r>
            <w:r w:rsidR="00BF03C0">
              <w:t>isons of the</w:t>
            </w:r>
            <w:r w:rsidR="002E7BD7" w:rsidRPr="00F9113D">
              <w:t xml:space="preserve"> growth in labour productivity to both the growth in the real </w:t>
            </w:r>
            <w:r w:rsidR="798DD5CE">
              <w:t xml:space="preserve">wage </w:t>
            </w:r>
            <w:r w:rsidR="5DD06F3D">
              <w:t>from consumers’ perspective</w:t>
            </w:r>
            <w:r w:rsidR="002E7BD7" w:rsidRPr="00F9113D">
              <w:t xml:space="preserve"> (the wage received by workers, relative to the price they pay for goods and services), and growth in the real </w:t>
            </w:r>
            <w:r w:rsidR="798DD5CE">
              <w:t>wage</w:t>
            </w:r>
            <w:r w:rsidR="41D7E4D5">
              <w:t xml:space="preserve"> from a producer perspective</w:t>
            </w:r>
            <w:r w:rsidR="002E7BD7" w:rsidRPr="00F9113D">
              <w:t xml:space="preserve"> (the wage paid by businesses, relative to the price they receive for goods and services).</w:t>
            </w:r>
          </w:p>
        </w:tc>
      </w:tr>
      <w:tr w:rsidR="00AF1C4C" w14:paraId="16B82742" w14:textId="77777777">
        <w:trPr>
          <w:hidden/>
        </w:trPr>
        <w:tc>
          <w:tcPr>
            <w:tcW w:w="9638" w:type="dxa"/>
            <w:shd w:val="clear" w:color="auto" w:fill="auto"/>
            <w:tcMar>
              <w:top w:w="0" w:type="dxa"/>
              <w:left w:w="170" w:type="dxa"/>
              <w:bottom w:w="0" w:type="dxa"/>
              <w:right w:w="170" w:type="dxa"/>
            </w:tcMar>
          </w:tcPr>
          <w:p w14:paraId="63D8FEE9" w14:textId="5ED29FBE" w:rsidR="00AF1C4C" w:rsidRPr="00465191" w:rsidRDefault="00AF1C4C">
            <w:pPr>
              <w:pStyle w:val="BodyText"/>
              <w:spacing w:before="0" w:after="0" w:line="80" w:lineRule="atLeast"/>
              <w:rPr>
                <w:smallCaps/>
                <w:vanish/>
              </w:rPr>
            </w:pPr>
          </w:p>
        </w:tc>
      </w:tr>
    </w:tbl>
    <w:p w14:paraId="29231B81" w14:textId="14C5CF94" w:rsidR="00FE78DF" w:rsidRDefault="00F97CFB" w:rsidP="00FE78DF">
      <w:pPr>
        <w:pStyle w:val="Heading2-nonumber"/>
      </w:pPr>
      <w:bookmarkStart w:id="1" w:name="_Toc144908621"/>
      <w:r>
        <w:t>The link between w</w:t>
      </w:r>
      <w:r w:rsidR="003653EB">
        <w:t xml:space="preserve">ages and productivity </w:t>
      </w:r>
      <w:r>
        <w:t>weakens in the m</w:t>
      </w:r>
      <w:r w:rsidR="00FE78DF">
        <w:t xml:space="preserve">ining and agriculture </w:t>
      </w:r>
      <w:r>
        <w:t>sectors</w:t>
      </w:r>
      <w:bookmarkEnd w:id="1"/>
    </w:p>
    <w:p w14:paraId="42E2E427" w14:textId="26C5D0F1" w:rsidR="00FE78DF" w:rsidRDefault="00FE78DF" w:rsidP="00FC319A">
      <w:pPr>
        <w:pStyle w:val="BodyText"/>
      </w:pPr>
      <w:r>
        <w:t xml:space="preserve">Given significant differences in labour use, capital use, methods of production and output across different industries, an aggregate view of Australia’s economy masks significant differences in wage and productivity growth within different industries. When we look at wage decoupling by industry, the Commission finds that there are two sectors which exhibit strong wage decoupling: </w:t>
      </w:r>
      <w:r w:rsidR="0092457C">
        <w:t>m</w:t>
      </w:r>
      <w:r>
        <w:t xml:space="preserve">ining and </w:t>
      </w:r>
      <w:r w:rsidR="00C24DA8">
        <w:t>a</w:t>
      </w:r>
      <w:r>
        <w:t>griculture</w:t>
      </w:r>
      <w:r w:rsidR="00C90E31">
        <w:t xml:space="preserve"> </w:t>
      </w:r>
      <w:r>
        <w:t xml:space="preserve">(figure 1). </w:t>
      </w:r>
      <w:r w:rsidR="2650C891" w:rsidRPr="3E71E6FA">
        <w:rPr>
          <w:rStyle w:val="ui-provider"/>
        </w:rPr>
        <w:t>Outside of mining and agriculture, more than half of the sectors examined experienced zero or negative decoupling.</w:t>
      </w:r>
      <w:r w:rsidRPr="3E71E6FA">
        <w:rPr>
          <w:rStyle w:val="ui-provider"/>
        </w:rPr>
        <w:t xml:space="preserve"> </w:t>
      </w:r>
      <w:r w:rsidR="00A44601">
        <w:t xml:space="preserve">This is consistent with the OECD </w:t>
      </w:r>
      <w:r w:rsidR="0009724C">
        <w:t xml:space="preserve">finding </w:t>
      </w:r>
      <w:r w:rsidR="00A44601">
        <w:t xml:space="preserve">that wage decoupling is more prominent in primary industries which are exposed to international commodity prices </w:t>
      </w:r>
      <w:r w:rsidR="00A44601" w:rsidRPr="3E71E6FA">
        <w:rPr>
          <w:rFonts w:ascii="Arial" w:hAnsi="Arial" w:cs="Arial"/>
        </w:rPr>
        <w:t>(Schwellnus, Kappeler and Pionnier 2017)</w:t>
      </w:r>
      <w:r w:rsidR="00A44601">
        <w:t xml:space="preserve">. </w:t>
      </w:r>
      <w:r>
        <w:t>Note that in figure</w:t>
      </w:r>
      <w:r w:rsidR="00C96A6B">
        <w:t> </w:t>
      </w:r>
      <w:r>
        <w:t xml:space="preserve">1, 1995 is chosen as a starting point, but the result is consistent for any starting point from 1986 onwards – see </w:t>
      </w:r>
      <w:r w:rsidR="001C3BAA" w:rsidRPr="00680A24">
        <w:t>a</w:t>
      </w:r>
      <w:r w:rsidRPr="00680A24">
        <w:t xml:space="preserve">ppendix </w:t>
      </w:r>
      <w:r w:rsidR="00680A24" w:rsidRPr="00680A24">
        <w:t>D</w:t>
      </w:r>
      <w:r>
        <w:t>.</w:t>
      </w:r>
    </w:p>
    <w:p w14:paraId="1557802A" w14:textId="5FE8BC81" w:rsidR="00FE78DF" w:rsidRPr="00146382" w:rsidRDefault="00FE78DF" w:rsidP="00FE78DF">
      <w:pPr>
        <w:pStyle w:val="FigureTableHeading"/>
        <w:rPr>
          <w:vertAlign w:val="superscript"/>
        </w:rPr>
      </w:pPr>
      <w:r>
        <w:lastRenderedPageBreak/>
        <w:t xml:space="preserve">Figure </w:t>
      </w:r>
      <w:r>
        <w:rPr>
          <w:noProof/>
        </w:rPr>
        <w:t xml:space="preserve">1 </w:t>
      </w:r>
      <w:r>
        <w:t xml:space="preserve">– Wage decoupling </w:t>
      </w:r>
      <w:r w:rsidR="00B34CAA">
        <w:t>is</w:t>
      </w:r>
      <w:r>
        <w:t xml:space="preserve"> noticeably </w:t>
      </w:r>
      <w:r w:rsidR="00206232">
        <w:t>high</w:t>
      </w:r>
      <w:r>
        <w:t xml:space="preserve"> in 2 of 19 industries</w:t>
      </w:r>
      <w:r w:rsidR="72C7EFB4">
        <w:t>, (1995</w:t>
      </w:r>
      <w:r w:rsidR="0077480E" w:rsidRPr="0077480E">
        <w:rPr>
          <w:b/>
          <w:bCs/>
        </w:rPr>
        <w:t>–</w:t>
      </w:r>
      <w:r w:rsidR="72C7EFB4">
        <w:t>202</w:t>
      </w:r>
      <w:r w:rsidR="001A1401">
        <w:t>2</w:t>
      </w:r>
      <w:r w:rsidR="72C7EFB4">
        <w:t>)</w:t>
      </w:r>
      <w:r w:rsidR="00F90688" w:rsidRPr="2FB568D2">
        <w:rPr>
          <w:vertAlign w:val="superscript"/>
        </w:rPr>
        <w:t>a</w:t>
      </w:r>
      <w:r w:rsidR="00F90688" w:rsidRPr="00F90688">
        <w:rPr>
          <w:vertAlign w:val="superscript"/>
        </w:rPr>
        <w:t>,b,c</w:t>
      </w:r>
    </w:p>
    <w:p w14:paraId="58DC967C" w14:textId="77777777" w:rsidR="00FE78DF" w:rsidRPr="005550A0" w:rsidRDefault="00FE78DF" w:rsidP="00FE78DF">
      <w:pPr>
        <w:pStyle w:val="BodyText"/>
      </w:pPr>
      <w:r w:rsidRPr="00A94AB1">
        <w:rPr>
          <w:noProof/>
        </w:rPr>
        <w:drawing>
          <wp:inline distT="0" distB="0" distL="0" distR="0" wp14:anchorId="1CEA59E0" wp14:editId="5ABE1100">
            <wp:extent cx="6119495" cy="2873828"/>
            <wp:effectExtent l="0" t="0" r="0" b="0"/>
            <wp:docPr id="230286387" name="Picture 230286387" descr="This figure shows the difference between average annual labour productivity and average annual producer wage growth between 1994-95 and 2021-22 by industry. It can be seen that for most industries, wage growth was either was as fast as productivity or slower by less than 0.5 percentage points annually. The main industries that show much faster productivity growth compared to wages was agriculture and m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86387" name="Picture 230286387" descr="This figure shows the difference between average annual labour productivity and average annual producer wage growth between 1994-95 and 2021-22 by industry. It can be seen that for most industries, wage growth was either was as fast as productivity or slower by less than 0.5 percentage points annually. The main industries that show much faster productivity growth compared to wages was agriculture and mini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3970"/>
                    <a:stretch/>
                  </pic:blipFill>
                  <pic:spPr bwMode="auto">
                    <a:xfrm>
                      <a:off x="0" y="0"/>
                      <a:ext cx="6120000" cy="2874065"/>
                    </a:xfrm>
                    <a:prstGeom prst="rect">
                      <a:avLst/>
                    </a:prstGeom>
                    <a:noFill/>
                    <a:ln>
                      <a:noFill/>
                    </a:ln>
                    <a:extLst>
                      <a:ext uri="{53640926-AAD7-44D8-BBD7-CCE9431645EC}">
                        <a14:shadowObscured xmlns:a14="http://schemas.microsoft.com/office/drawing/2010/main"/>
                      </a:ext>
                    </a:extLst>
                  </pic:spPr>
                </pic:pic>
              </a:graphicData>
            </a:graphic>
          </wp:inline>
        </w:drawing>
      </w:r>
    </w:p>
    <w:p w14:paraId="2185FAF9" w14:textId="0265DCA8" w:rsidR="00FE78DF" w:rsidRDefault="00FE78DF" w:rsidP="00FE78DF">
      <w:pPr>
        <w:pStyle w:val="Note"/>
        <w:keepLines/>
      </w:pPr>
      <w:r w:rsidRPr="00180E66">
        <w:rPr>
          <w:b/>
          <w:bCs/>
        </w:rPr>
        <w:t>a.</w:t>
      </w:r>
      <w:r>
        <w:t xml:space="preserve"> Wage decoupling is </w:t>
      </w:r>
      <w:r w:rsidR="38B6850C">
        <w:t xml:space="preserve">expressed in percentage points as the </w:t>
      </w:r>
      <w:r>
        <w:t xml:space="preserve">average annual labour productivity </w:t>
      </w:r>
      <w:r w:rsidR="009102C9">
        <w:t>growth</w:t>
      </w:r>
      <w:r>
        <w:t xml:space="preserve"> minus average annual producer wage growth</w:t>
      </w:r>
      <w:r w:rsidR="00163E05">
        <w:t xml:space="preserve">, over a defined </w:t>
      </w:r>
      <w:r w:rsidR="00466303">
        <w:t>period (2</w:t>
      </w:r>
      <w:r w:rsidR="001A1401">
        <w:t>7</w:t>
      </w:r>
      <w:r w:rsidR="00466303">
        <w:t xml:space="preserve"> years in this paper)</w:t>
      </w:r>
      <w:r>
        <w:t xml:space="preserve">. </w:t>
      </w:r>
      <w:r w:rsidRPr="00180E66">
        <w:rPr>
          <w:b/>
          <w:bCs/>
        </w:rPr>
        <w:t>b.</w:t>
      </w:r>
      <w:r>
        <w:t xml:space="preserve"> Nominal wages are compensation of employees per hour. Compensation of employees for each industry is in the national accounts, but hours worked by employees needs to be derived by multiplying the share of hours worked by employees (as opposed to those worked by owner</w:t>
      </w:r>
      <w:r w:rsidR="2E766D8F">
        <w:t>-</w:t>
      </w:r>
      <w:r>
        <w:t>man</w:t>
      </w:r>
      <w:r w:rsidR="44EEFB34">
        <w:t>a</w:t>
      </w:r>
      <w:r>
        <w:t xml:space="preserve">gers of unincorporated enterprises) in the </w:t>
      </w:r>
      <w:r w:rsidRPr="00003469">
        <w:rPr>
          <w:i/>
          <w:iCs/>
        </w:rPr>
        <w:t>Labour Force Survey</w:t>
      </w:r>
      <w:r>
        <w:t xml:space="preserve"> by the total hours worked for the industry in the </w:t>
      </w:r>
      <w:r w:rsidRPr="00003469">
        <w:rPr>
          <w:i/>
          <w:iCs/>
        </w:rPr>
        <w:t>Labour Account</w:t>
      </w:r>
      <w:r>
        <w:t>.</w:t>
      </w:r>
      <w:r w:rsidR="004C1CD3">
        <w:t xml:space="preserve"> </w:t>
      </w:r>
      <w:r w:rsidR="00967F50" w:rsidRPr="006356DF">
        <w:rPr>
          <w:b/>
          <w:bCs/>
        </w:rPr>
        <w:t>c</w:t>
      </w:r>
      <w:r w:rsidR="004C1CD3" w:rsidRPr="006356DF">
        <w:rPr>
          <w:b/>
          <w:bCs/>
        </w:rPr>
        <w:t>.</w:t>
      </w:r>
      <w:r w:rsidR="004C1CD3" w:rsidRPr="00C36914">
        <w:t xml:space="preserve"> </w:t>
      </w:r>
      <w:r w:rsidR="004C1CD3">
        <w:t>Industry codes are: Agriculture, forestry and fishing (A); Mining (B); Manufacturing (C); Electricity, gas, water and waste services (D); Construction (E); Wholesale trade (F); Retail trade (G); Accommodation and food services (H); Transport, postal and warehousing (I); Information media and telecommunications (J); Financial and insurance services (K); Rental, hiring and real estate services (L); Professional, scientific and technical services (M); Administrative and support services (N); Public administration and safety (O); Education and training (P); Health care and social assistance (Q); Arts and recreation services (R); Other services (S)</w:t>
      </w:r>
      <w:r w:rsidR="004C1CD3" w:rsidRPr="00C36914">
        <w:t>.</w:t>
      </w:r>
    </w:p>
    <w:p w14:paraId="2BF9F9D3" w14:textId="49A600F5" w:rsidR="00FE78DF" w:rsidRDefault="00FE78DF" w:rsidP="00FE78DF">
      <w:pPr>
        <w:pStyle w:val="Source"/>
      </w:pPr>
      <w:r w:rsidRPr="00696447">
        <w:t xml:space="preserve">Source: </w:t>
      </w:r>
      <w:r w:rsidR="005D199E">
        <w:t>Productivity</w:t>
      </w:r>
      <w:r w:rsidRPr="00696447">
        <w:t xml:space="preserve"> </w:t>
      </w:r>
      <w:r>
        <w:t>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ational accounts, 2021</w:t>
      </w:r>
      <w:r w:rsidRPr="00B131FA">
        <w:rPr>
          <w:i/>
          <w:iCs/>
        </w:rPr>
        <w:noBreakHyphen/>
        <w:t>22</w:t>
      </w:r>
      <w:r>
        <w:t>, Cat. no. </w:t>
      </w:r>
      <w:r w:rsidRPr="00F567CF">
        <w:t>5204</w:t>
      </w:r>
      <w:r>
        <w:t xml:space="preserve">, table 6;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6291.5.001</w:t>
      </w:r>
      <w:r>
        <w:t>, table EQ05)</w:t>
      </w:r>
      <w:r w:rsidRPr="00696447">
        <w:t>.</w:t>
      </w:r>
    </w:p>
    <w:p w14:paraId="2FF1E58D" w14:textId="6C0DA13A" w:rsidR="00FE78DF" w:rsidRDefault="00132452" w:rsidP="00FC319A">
      <w:pPr>
        <w:pStyle w:val="BodyText"/>
      </w:pPr>
      <w:r>
        <w:t>Whil</w:t>
      </w:r>
      <w:r w:rsidR="00C90E31">
        <w:t>e</w:t>
      </w:r>
      <w:r>
        <w:t xml:space="preserve"> </w:t>
      </w:r>
      <w:r w:rsidR="0014523C">
        <w:t>m</w:t>
      </w:r>
      <w:r w:rsidR="00FE78DF" w:rsidRPr="00FC319A">
        <w:t xml:space="preserve">ining and </w:t>
      </w:r>
      <w:r w:rsidR="00C24DA8">
        <w:t>a</w:t>
      </w:r>
      <w:r w:rsidR="00FE78DF" w:rsidRPr="00FC319A">
        <w:t xml:space="preserve">griculture are </w:t>
      </w:r>
      <w:r w:rsidR="00EC143A">
        <w:t xml:space="preserve">relatively small employers in Australia – combined they account for just over </w:t>
      </w:r>
      <w:r w:rsidR="00F4672D">
        <w:t xml:space="preserve">4% of total employed workers, </w:t>
      </w:r>
      <w:r w:rsidR="0014523C">
        <w:t xml:space="preserve">or </w:t>
      </w:r>
      <w:r w:rsidR="00EC143A">
        <w:t xml:space="preserve">5% of total hours worked in the economy – </w:t>
      </w:r>
      <w:r w:rsidR="008C0615">
        <w:t xml:space="preserve">they are </w:t>
      </w:r>
      <w:r w:rsidR="00FE78DF" w:rsidRPr="00FC319A">
        <w:t xml:space="preserve">particularly large </w:t>
      </w:r>
      <w:r w:rsidR="008C0615">
        <w:t>in terms of economic output</w:t>
      </w:r>
      <w:r w:rsidR="00FE78DF" w:rsidRPr="00FC319A">
        <w:t>, accounting for approximately 18% of the economy in terms of their value add</w:t>
      </w:r>
      <w:r w:rsidR="008C0615">
        <w:t xml:space="preserve">. This means that </w:t>
      </w:r>
      <w:r w:rsidR="00FE78DF" w:rsidRPr="00FC319A">
        <w:t xml:space="preserve">they </w:t>
      </w:r>
      <w:r w:rsidR="009B756E">
        <w:t>have a</w:t>
      </w:r>
      <w:r w:rsidR="002F4F80">
        <w:t xml:space="preserve"> disproportionate</w:t>
      </w:r>
      <w:r w:rsidR="009B756E">
        <w:t xml:space="preserve"> effect on</w:t>
      </w:r>
      <w:r w:rsidR="00FE78DF" w:rsidRPr="00FC319A">
        <w:t xml:space="preserve"> the </w:t>
      </w:r>
      <w:r w:rsidR="00FE78DF">
        <w:t>economywide</w:t>
      </w:r>
      <w:r w:rsidR="00FE78DF" w:rsidRPr="00FC319A">
        <w:t xml:space="preserve"> estimate of wage decoupling. Indeed, the large gap between real wages </w:t>
      </w:r>
      <w:r w:rsidR="00AA7B77">
        <w:t xml:space="preserve">growth </w:t>
      </w:r>
      <w:r w:rsidR="00FE78DF" w:rsidRPr="00FC319A">
        <w:t xml:space="preserve">and productivity growth in these two sectors </w:t>
      </w:r>
      <w:r w:rsidR="00BA2CCF">
        <w:t>accounts</w:t>
      </w:r>
      <w:r w:rsidR="00FE78DF" w:rsidRPr="00FC319A">
        <w:t xml:space="preserve"> for much of the wage decoupling observed at the national level. </w:t>
      </w:r>
    </w:p>
    <w:p w14:paraId="6AB3BE77" w14:textId="59224234" w:rsidR="004D62A1" w:rsidRPr="0077480E" w:rsidRDefault="000C21BE" w:rsidP="004D62A1">
      <w:pPr>
        <w:pStyle w:val="BodyText"/>
        <w:rPr>
          <w:spacing w:val="-4"/>
        </w:rPr>
      </w:pPr>
      <w:r w:rsidRPr="0077480E">
        <w:rPr>
          <w:spacing w:val="-4"/>
        </w:rPr>
        <w:t>The mining and agriculture industries are unique as they are predominantly export-focussed industries. The terms of trade boom (fuelled by increasing commodity prices) experienced in Australia throughout the 2000s, and again since 2016</w:t>
      </w:r>
      <w:r w:rsidR="00E77B27" w:rsidRPr="0077480E">
        <w:rPr>
          <w:spacing w:val="-4"/>
        </w:rPr>
        <w:t>,</w:t>
      </w:r>
      <w:r w:rsidRPr="0077480E">
        <w:rPr>
          <w:spacing w:val="-4"/>
        </w:rPr>
        <w:t xml:space="preserve"> has increased producer prices (the prices Australian businesses receive for their output) relative to consumer prices (the prices Australians’ pay for their goods and services). </w:t>
      </w:r>
      <w:r w:rsidR="6CEBC6E1" w:rsidRPr="0077480E">
        <w:rPr>
          <w:spacing w:val="-4"/>
        </w:rPr>
        <w:t>R</w:t>
      </w:r>
      <w:r w:rsidRPr="0077480E">
        <w:rPr>
          <w:spacing w:val="-4"/>
        </w:rPr>
        <w:t xml:space="preserve">ising commodity prices depress real producer wages, driving a wedge between them and real consumer wages. </w:t>
      </w:r>
      <w:r w:rsidR="005F3EC4" w:rsidRPr="0077480E">
        <w:rPr>
          <w:spacing w:val="-4"/>
        </w:rPr>
        <w:t xml:space="preserve">Historically, consumer and producer wages have tracked closely together (appendix E.2), but have separated recently (likely </w:t>
      </w:r>
      <w:r w:rsidR="4979AC4C" w:rsidRPr="0077480E">
        <w:rPr>
          <w:spacing w:val="-4"/>
        </w:rPr>
        <w:t>because</w:t>
      </w:r>
      <w:r w:rsidR="005F3EC4" w:rsidRPr="0077480E">
        <w:rPr>
          <w:spacing w:val="-4"/>
        </w:rPr>
        <w:t xml:space="preserve"> of rapidly increasing commodity prices).</w:t>
      </w:r>
      <w:r w:rsidR="5D90B408" w:rsidRPr="0077480E">
        <w:rPr>
          <w:spacing w:val="-4"/>
        </w:rPr>
        <w:t xml:space="preserve"> </w:t>
      </w:r>
      <w:r w:rsidR="004D62A1" w:rsidRPr="0077480E">
        <w:rPr>
          <w:spacing w:val="-4"/>
        </w:rPr>
        <w:t xml:space="preserve">As a rising terms of trade depresses </w:t>
      </w:r>
      <w:r w:rsidR="1FBDAA75" w:rsidRPr="0077480E">
        <w:rPr>
          <w:spacing w:val="-4"/>
        </w:rPr>
        <w:t xml:space="preserve">real </w:t>
      </w:r>
      <w:r w:rsidR="004D62A1" w:rsidRPr="0077480E">
        <w:rPr>
          <w:spacing w:val="-4"/>
        </w:rPr>
        <w:t xml:space="preserve">producer wages, but has little </w:t>
      </w:r>
      <w:r w:rsidR="73525D45" w:rsidRPr="0077480E">
        <w:rPr>
          <w:spacing w:val="-4"/>
        </w:rPr>
        <w:t xml:space="preserve">direct </w:t>
      </w:r>
      <w:r w:rsidR="004D62A1" w:rsidRPr="0077480E">
        <w:rPr>
          <w:spacing w:val="-4"/>
        </w:rPr>
        <w:t xml:space="preserve">effect </w:t>
      </w:r>
      <w:r w:rsidR="74758948" w:rsidRPr="0077480E">
        <w:rPr>
          <w:spacing w:val="-4"/>
        </w:rPr>
        <w:t>on</w:t>
      </w:r>
      <w:r w:rsidR="004D62A1" w:rsidRPr="0077480E">
        <w:rPr>
          <w:spacing w:val="-4"/>
        </w:rPr>
        <w:t xml:space="preserve"> productivity (which measures output per unit of input), the rising terms of trade </w:t>
      </w:r>
      <w:r w:rsidR="000B13FC" w:rsidRPr="0077480E">
        <w:rPr>
          <w:spacing w:val="-4"/>
        </w:rPr>
        <w:t xml:space="preserve">also </w:t>
      </w:r>
      <w:r w:rsidR="004D62A1" w:rsidRPr="0077480E">
        <w:rPr>
          <w:spacing w:val="-4"/>
        </w:rPr>
        <w:t xml:space="preserve">drives a wedge between productivity and </w:t>
      </w:r>
      <w:r w:rsidR="000B13FC" w:rsidRPr="0077480E">
        <w:rPr>
          <w:spacing w:val="-4"/>
        </w:rPr>
        <w:t xml:space="preserve">producer </w:t>
      </w:r>
      <w:r w:rsidR="004D62A1" w:rsidRPr="0077480E">
        <w:rPr>
          <w:spacing w:val="-4"/>
        </w:rPr>
        <w:t xml:space="preserve">wages. This is a key feature of the </w:t>
      </w:r>
      <w:r w:rsidR="000B13FC" w:rsidRPr="0077480E">
        <w:rPr>
          <w:spacing w:val="-4"/>
        </w:rPr>
        <w:t>wage decoup</w:t>
      </w:r>
      <w:r w:rsidR="005F3EC4" w:rsidRPr="0077480E">
        <w:rPr>
          <w:spacing w:val="-4"/>
        </w:rPr>
        <w:t>l</w:t>
      </w:r>
      <w:r w:rsidR="000B13FC" w:rsidRPr="0077480E">
        <w:rPr>
          <w:spacing w:val="-4"/>
        </w:rPr>
        <w:t xml:space="preserve">ing </w:t>
      </w:r>
      <w:r w:rsidR="004D62A1" w:rsidRPr="0077480E">
        <w:rPr>
          <w:spacing w:val="-4"/>
        </w:rPr>
        <w:t xml:space="preserve">observed in Australia. </w:t>
      </w:r>
    </w:p>
    <w:p w14:paraId="4E9A249F" w14:textId="160DA504" w:rsidR="00BE2B2E" w:rsidRDefault="00647887" w:rsidP="00FC319A">
      <w:pPr>
        <w:pStyle w:val="BodyText"/>
      </w:pPr>
      <w:r>
        <w:lastRenderedPageBreak/>
        <w:t xml:space="preserve">A </w:t>
      </w:r>
      <w:r w:rsidR="004B52BE">
        <w:t>more detailed</w:t>
      </w:r>
      <w:r>
        <w:t xml:space="preserve"> </w:t>
      </w:r>
      <w:r w:rsidR="00CB663D">
        <w:t xml:space="preserve">consideration </w:t>
      </w:r>
      <w:r>
        <w:t xml:space="preserve">of why mining and agriculture have </w:t>
      </w:r>
      <w:r w:rsidR="004B52BE">
        <w:t xml:space="preserve">such an outsized </w:t>
      </w:r>
      <w:r w:rsidR="00CB663D">
        <w:t xml:space="preserve">effect on aggregate figures is provided in </w:t>
      </w:r>
      <w:r w:rsidR="00CB663D" w:rsidRPr="00680A24">
        <w:t xml:space="preserve">appendix </w:t>
      </w:r>
      <w:r w:rsidR="00680A24" w:rsidRPr="00680A24">
        <w:t>C</w:t>
      </w:r>
      <w:r w:rsidR="00CB663D">
        <w:t>.</w:t>
      </w:r>
    </w:p>
    <w:p w14:paraId="14F83265" w14:textId="33BED2CB" w:rsidR="00FE78DF" w:rsidRDefault="00FE78DF" w:rsidP="00FC319A">
      <w:pPr>
        <w:pStyle w:val="BodyText"/>
      </w:pPr>
      <w:r>
        <w:t>To help</w:t>
      </w:r>
      <w:r w:rsidDel="00703CA5">
        <w:t xml:space="preserve"> </w:t>
      </w:r>
      <w:r>
        <w:t xml:space="preserve">understand the extent to which these industries skew the national average, consider the labour share of income. </w:t>
      </w:r>
      <w:r w:rsidR="0065163F">
        <w:t>Long term w</w:t>
      </w:r>
      <w:r>
        <w:t>age decoupling would lead to a decline in the proportion of income which labour receive</w:t>
      </w:r>
      <w:r w:rsidR="003F57C2">
        <w:t>s</w:t>
      </w:r>
      <w:r w:rsidR="0065163F">
        <w:t>.</w:t>
      </w:r>
      <w:r w:rsidDel="0065163F">
        <w:t xml:space="preserve"> </w:t>
      </w:r>
      <w:r w:rsidR="0065163F">
        <w:t>If</w:t>
      </w:r>
      <w:r>
        <w:t xml:space="preserve"> productivity is growing, output is growing and national income is growing (all else equal)</w:t>
      </w:r>
      <w:r w:rsidR="00CC694A">
        <w:t xml:space="preserve"> but</w:t>
      </w:r>
      <w:r>
        <w:t xml:space="preserve"> if wages are not growing as fast as productivity (and therefore, as fast as income), then the income must be flowing to other sources. And the labour share of income </w:t>
      </w:r>
      <w:r w:rsidR="00CC694A">
        <w:t xml:space="preserve">could be observed to </w:t>
      </w:r>
      <w:r>
        <w:t>decline.</w:t>
      </w:r>
    </w:p>
    <w:p w14:paraId="10B219A5" w14:textId="483611B6" w:rsidR="00FE78DF" w:rsidRPr="00C96A6B" w:rsidRDefault="00FE78DF" w:rsidP="00FC319A">
      <w:pPr>
        <w:pStyle w:val="BodyText"/>
        <w:rPr>
          <w:spacing w:val="-4"/>
        </w:rPr>
      </w:pPr>
      <w:r w:rsidRPr="00C96A6B">
        <w:rPr>
          <w:spacing w:val="-4"/>
        </w:rPr>
        <w:t>In Australia, the income share of labour has declined from about 55% to 50% between 1994</w:t>
      </w:r>
      <w:r w:rsidR="222A6EC2" w:rsidRPr="00C96A6B">
        <w:rPr>
          <w:spacing w:val="-4"/>
        </w:rPr>
        <w:t>-</w:t>
      </w:r>
      <w:r w:rsidRPr="00C96A6B">
        <w:rPr>
          <w:spacing w:val="-4"/>
        </w:rPr>
        <w:noBreakHyphen/>
        <w:t>95 and 2021</w:t>
      </w:r>
      <w:r w:rsidR="74E6977E" w:rsidRPr="00C96A6B">
        <w:rPr>
          <w:spacing w:val="-4"/>
        </w:rPr>
        <w:t>-</w:t>
      </w:r>
      <w:r w:rsidRPr="00C96A6B">
        <w:rPr>
          <w:spacing w:val="-4"/>
        </w:rPr>
        <w:noBreakHyphen/>
        <w:t xml:space="preserve">22 (ABS 2023). Commission analysis finds that the mining and agriculture sectors account for 81% of the decline in labour’s share of income over this period (figure 2). </w:t>
      </w:r>
      <w:r w:rsidR="64C9D88D" w:rsidRPr="00C96A6B">
        <w:rPr>
          <w:spacing w:val="-4"/>
        </w:rPr>
        <w:t>In</w:t>
      </w:r>
      <w:r w:rsidRPr="00C96A6B">
        <w:rPr>
          <w:spacing w:val="-4"/>
        </w:rPr>
        <w:t xml:space="preserve"> other </w:t>
      </w:r>
      <w:r w:rsidR="64C9D88D" w:rsidRPr="00C96A6B">
        <w:rPr>
          <w:spacing w:val="-4"/>
        </w:rPr>
        <w:t>words:</w:t>
      </w:r>
      <w:r w:rsidRPr="00C96A6B" w:rsidDel="00B8122C">
        <w:rPr>
          <w:spacing w:val="-4"/>
        </w:rPr>
        <w:t xml:space="preserve"> </w:t>
      </w:r>
      <w:r w:rsidR="00B8122C" w:rsidRPr="00C96A6B">
        <w:rPr>
          <w:spacing w:val="-4"/>
        </w:rPr>
        <w:t xml:space="preserve">for </w:t>
      </w:r>
      <w:r w:rsidRPr="00C96A6B">
        <w:rPr>
          <w:spacing w:val="-4"/>
        </w:rPr>
        <w:t xml:space="preserve">all industries outside of mining and agriculture, the labour share of income has declined by less than 1 percentage point over the </w:t>
      </w:r>
      <w:r w:rsidR="056120DB" w:rsidRPr="00C96A6B">
        <w:rPr>
          <w:spacing w:val="-4"/>
        </w:rPr>
        <w:t>27 year period.</w:t>
      </w:r>
      <w:r w:rsidR="00C96A6B" w:rsidRPr="00C96A6B">
        <w:rPr>
          <w:spacing w:val="-4"/>
        </w:rPr>
        <w:t xml:space="preserve"> </w:t>
      </w:r>
    </w:p>
    <w:p w14:paraId="1B8E9753" w14:textId="73F352E2" w:rsidR="00FE78DF" w:rsidRPr="00C96A6B" w:rsidRDefault="00FE78DF" w:rsidP="00FC319A">
      <w:pPr>
        <w:pStyle w:val="BodyText"/>
        <w:rPr>
          <w:spacing w:val="-4"/>
        </w:rPr>
      </w:pPr>
      <w:r w:rsidRPr="00C96A6B">
        <w:rPr>
          <w:spacing w:val="-4"/>
        </w:rPr>
        <w:t xml:space="preserve">This </w:t>
      </w:r>
      <w:r w:rsidR="00496F45" w:rsidRPr="00C96A6B">
        <w:rPr>
          <w:spacing w:val="-4"/>
        </w:rPr>
        <w:t xml:space="preserve">point </w:t>
      </w:r>
      <w:r w:rsidR="1D08275B" w:rsidRPr="00C96A6B">
        <w:rPr>
          <w:spacing w:val="-4"/>
        </w:rPr>
        <w:t xml:space="preserve">contrasts sharply </w:t>
      </w:r>
      <w:r w:rsidR="4A8172FC" w:rsidRPr="00C96A6B">
        <w:rPr>
          <w:spacing w:val="-4"/>
        </w:rPr>
        <w:t xml:space="preserve">with </w:t>
      </w:r>
      <w:r w:rsidR="7C5A99F3" w:rsidRPr="00C96A6B">
        <w:rPr>
          <w:spacing w:val="-4"/>
        </w:rPr>
        <w:t xml:space="preserve">other </w:t>
      </w:r>
      <w:r w:rsidRPr="00C96A6B">
        <w:rPr>
          <w:spacing w:val="-4"/>
        </w:rPr>
        <w:t>recent analys</w:t>
      </w:r>
      <w:r w:rsidR="0D0453F4" w:rsidRPr="00C96A6B">
        <w:rPr>
          <w:spacing w:val="-4"/>
        </w:rPr>
        <w:t>es</w:t>
      </w:r>
      <w:r w:rsidRPr="00C96A6B">
        <w:rPr>
          <w:spacing w:val="-4"/>
        </w:rPr>
        <w:t xml:space="preserve"> of wages and labour income share in Australia</w:t>
      </w:r>
      <w:r w:rsidR="721EA641" w:rsidRPr="00C96A6B">
        <w:rPr>
          <w:spacing w:val="-4"/>
        </w:rPr>
        <w:t xml:space="preserve"> which </w:t>
      </w:r>
      <w:r w:rsidR="02C13058" w:rsidRPr="00C96A6B">
        <w:rPr>
          <w:spacing w:val="-4"/>
        </w:rPr>
        <w:t>have</w:t>
      </w:r>
      <w:r w:rsidRPr="00C96A6B">
        <w:rPr>
          <w:spacing w:val="-4"/>
        </w:rPr>
        <w:t xml:space="preserve"> taken an aggregate view of wages and productivity </w:t>
      </w:r>
      <w:r w:rsidR="004B5CD8" w:rsidRPr="00C96A6B">
        <w:rPr>
          <w:rFonts w:cs="Arial"/>
          <w:spacing w:val="-4"/>
        </w:rPr>
        <w:t>(ACTU 2022; Stanford 2018; Stanford, Macdonald and Raynes 2022)</w:t>
      </w:r>
      <w:r w:rsidR="00CC6635" w:rsidRPr="00C96A6B">
        <w:rPr>
          <w:spacing w:val="-4"/>
        </w:rPr>
        <w:t xml:space="preserve"> and</w:t>
      </w:r>
      <w:r w:rsidRPr="00C96A6B">
        <w:rPr>
          <w:spacing w:val="-4"/>
        </w:rPr>
        <w:t xml:space="preserve"> </w:t>
      </w:r>
      <w:r w:rsidR="380030F6" w:rsidRPr="00C96A6B">
        <w:rPr>
          <w:spacing w:val="-4"/>
        </w:rPr>
        <w:t>ignore</w:t>
      </w:r>
      <w:r w:rsidRPr="00C96A6B">
        <w:rPr>
          <w:spacing w:val="-4"/>
        </w:rPr>
        <w:t xml:space="preserve"> the large influence the mining and agriculture sectors have on the aggregate figure</w:t>
      </w:r>
      <w:r w:rsidR="00CC6635" w:rsidRPr="00C96A6B">
        <w:rPr>
          <w:spacing w:val="-4"/>
        </w:rPr>
        <w:t>.</w:t>
      </w:r>
      <w:r w:rsidRPr="00C96A6B">
        <w:rPr>
          <w:spacing w:val="-4"/>
        </w:rPr>
        <w:t xml:space="preserve"> </w:t>
      </w:r>
    </w:p>
    <w:p w14:paraId="48501076" w14:textId="6E1E6C47" w:rsidR="00FE78DF" w:rsidRPr="00146382" w:rsidRDefault="00FE78DF" w:rsidP="00FE78DF">
      <w:pPr>
        <w:pStyle w:val="FigureTableHeading"/>
      </w:pPr>
      <w:r>
        <w:t xml:space="preserve">Figure </w:t>
      </w:r>
      <w:r>
        <w:rPr>
          <w:noProof/>
        </w:rPr>
        <w:t xml:space="preserve">2 </w:t>
      </w:r>
      <w:r>
        <w:t xml:space="preserve">– </w:t>
      </w:r>
      <w:r w:rsidRPr="00AA0F85">
        <w:t xml:space="preserve">Mining and agriculture explain most </w:t>
      </w:r>
      <w:r w:rsidR="00550D84">
        <w:t xml:space="preserve">of </w:t>
      </w:r>
      <w:r w:rsidRPr="00AA0F85">
        <w:t>the fall in the labour income share</w:t>
      </w:r>
    </w:p>
    <w:p w14:paraId="42945961" w14:textId="77777777" w:rsidR="00FE78DF" w:rsidRPr="005550A0" w:rsidRDefault="00FE78DF" w:rsidP="00FE78DF">
      <w:pPr>
        <w:pStyle w:val="BodyText"/>
      </w:pPr>
      <w:r w:rsidRPr="00E30F92">
        <w:rPr>
          <w:noProof/>
        </w:rPr>
        <w:drawing>
          <wp:inline distT="0" distB="0" distL="0" distR="0" wp14:anchorId="7756170A" wp14:editId="2B34D02E">
            <wp:extent cx="6120000" cy="2630749"/>
            <wp:effectExtent l="0" t="0" r="0" b="0"/>
            <wp:docPr id="1953958053" name="Picture 1953958053" descr="This figure presents the results of a decomposition of the industries that have contributed most to the fall in the labour share of income. In particular, the Productivity Commission estimates that mining explains about 59% of the fall in the labour share of income, agriculture explains 22% while all other industries combined explain only 19% of the f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58053" name="Picture 1953958053" descr="This figure presents the results of a decomposition of the industries that have contributed most to the fall in the labour share of income. In particular, the Productivity Commission estimates that mining explains about 59% of the fall in the labour share of income, agriculture explains 22% while all other industries combined explain only 19% of the fall. "/>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8701"/>
                    <a:stretch/>
                  </pic:blipFill>
                  <pic:spPr bwMode="auto">
                    <a:xfrm>
                      <a:off x="0" y="0"/>
                      <a:ext cx="6120000" cy="2630749"/>
                    </a:xfrm>
                    <a:prstGeom prst="rect">
                      <a:avLst/>
                    </a:prstGeom>
                    <a:noFill/>
                    <a:ln>
                      <a:noFill/>
                    </a:ln>
                    <a:extLst>
                      <a:ext uri="{53640926-AAD7-44D8-BBD7-CCE9431645EC}">
                        <a14:shadowObscured xmlns:a14="http://schemas.microsoft.com/office/drawing/2010/main"/>
                      </a:ext>
                    </a:extLst>
                  </pic:spPr>
                </pic:pic>
              </a:graphicData>
            </a:graphic>
          </wp:inline>
        </w:drawing>
      </w:r>
    </w:p>
    <w:p w14:paraId="5035C843" w14:textId="16F6C294" w:rsidR="00FE78DF" w:rsidRDefault="00FE78DF" w:rsidP="00FE78DF">
      <w:pPr>
        <w:pStyle w:val="Source"/>
      </w:pPr>
      <w:r w:rsidRPr="002726BC">
        <w:t xml:space="preserve">Source: </w:t>
      </w:r>
      <w:r w:rsidR="00610D2C">
        <w:t xml:space="preserve">Productivity </w:t>
      </w:r>
      <w:r w:rsidRPr="002726BC">
        <w:t xml:space="preserve">Commission estimates based on the methodology detailed in </w:t>
      </w:r>
      <w:r w:rsidRPr="00140C36">
        <w:t>appendix B.3</w:t>
      </w:r>
      <w:r w:rsidRPr="002726BC">
        <w:t>.</w:t>
      </w:r>
    </w:p>
    <w:p w14:paraId="3A508D01" w14:textId="6D28ADF7" w:rsidR="00FE78DF" w:rsidRDefault="00FE78DF" w:rsidP="00FC319A">
      <w:pPr>
        <w:pStyle w:val="BodyText"/>
      </w:pPr>
      <w:r>
        <w:t>In other words,</w:t>
      </w:r>
      <w:r w:rsidRPr="004A7215">
        <w:t xml:space="preserve"> </w:t>
      </w:r>
      <w:r w:rsidRPr="00674495">
        <w:t xml:space="preserve">for </w:t>
      </w:r>
      <w:r w:rsidR="000A676D">
        <w:t xml:space="preserve">over </w:t>
      </w:r>
      <w:r w:rsidRPr="00674495">
        <w:t xml:space="preserve">95% of the </w:t>
      </w:r>
      <w:r w:rsidR="000A676D">
        <w:t>working population</w:t>
      </w:r>
      <w:r w:rsidRPr="00674495">
        <w:t xml:space="preserve">, the </w:t>
      </w:r>
      <w:r w:rsidR="003E0EBF">
        <w:t xml:space="preserve">average </w:t>
      </w:r>
      <w:r w:rsidRPr="00674495">
        <w:t xml:space="preserve">experience of wage decoupling and income share changes since 1995 </w:t>
      </w:r>
      <w:r>
        <w:t xml:space="preserve">is </w:t>
      </w:r>
      <w:r w:rsidRPr="00900CD4">
        <w:t>relatively low</w:t>
      </w:r>
      <w:r w:rsidR="00F559D5">
        <w:t>.</w:t>
      </w:r>
      <w:r w:rsidRPr="00900CD4">
        <w:t xml:space="preserve"> </w:t>
      </w:r>
      <w:r w:rsidR="00F559D5">
        <w:t xml:space="preserve">The mining and agriculture sectors </w:t>
      </w:r>
      <w:r w:rsidRPr="00900CD4">
        <w:t>driv</w:t>
      </w:r>
      <w:r w:rsidR="00F559D5">
        <w:t>e</w:t>
      </w:r>
      <w:r w:rsidRPr="00900CD4">
        <w:t xml:space="preserve"> the aggregate results</w:t>
      </w:r>
      <w:r>
        <w:t>, and f</w:t>
      </w:r>
      <w:r w:rsidRPr="009C3E1D">
        <w:t>or</w:t>
      </w:r>
      <w:r>
        <w:t xml:space="preserve"> those who do not work in these industries, </w:t>
      </w:r>
      <w:r w:rsidR="00F559D5">
        <w:t xml:space="preserve">the </w:t>
      </w:r>
      <w:r>
        <w:t xml:space="preserve">headline figures are </w:t>
      </w:r>
      <w:r w:rsidR="1A51F1BE">
        <w:t xml:space="preserve">highly </w:t>
      </w:r>
      <w:r>
        <w:t xml:space="preserve">misleading. </w:t>
      </w:r>
    </w:p>
    <w:p w14:paraId="5E9E2C50" w14:textId="77777777" w:rsidR="00FE78DF" w:rsidRDefault="00FE78DF" w:rsidP="00FE78DF">
      <w:pPr>
        <w:pStyle w:val="Heading2-nonumber"/>
      </w:pPr>
      <w:bookmarkStart w:id="2" w:name="_Toc144908622"/>
      <w:r>
        <w:t xml:space="preserve">Understanding decoupling for </w:t>
      </w:r>
      <w:r w:rsidR="00A8320F">
        <w:t xml:space="preserve">the </w:t>
      </w:r>
      <w:r>
        <w:t>95%</w:t>
      </w:r>
      <w:bookmarkEnd w:id="2"/>
    </w:p>
    <w:p w14:paraId="4FE91FCA" w14:textId="4438CEB9" w:rsidR="00FE78DF" w:rsidRDefault="00FE78DF" w:rsidP="00FC319A">
      <w:pPr>
        <w:pStyle w:val="BodyText"/>
      </w:pPr>
      <w:r>
        <w:t xml:space="preserve">As mining and agriculture explain a large portion of </w:t>
      </w:r>
      <w:r w:rsidR="00D51024">
        <w:t xml:space="preserve">the observed </w:t>
      </w:r>
      <w:r>
        <w:t>wage decoupling</w:t>
      </w:r>
      <w:r w:rsidR="00D51024">
        <w:t xml:space="preserve"> but only a fraction of </w:t>
      </w:r>
      <w:r w:rsidR="000438D8">
        <w:t>employment</w:t>
      </w:r>
      <w:r>
        <w:t xml:space="preserve">, Commission analysis strips out these sectors to </w:t>
      </w:r>
      <w:r w:rsidR="0021105C">
        <w:t xml:space="preserve">consider wage decoupling </w:t>
      </w:r>
      <w:r w:rsidR="008F2410">
        <w:t xml:space="preserve">across the </w:t>
      </w:r>
      <w:r w:rsidR="00D51024">
        <w:t>rest of the</w:t>
      </w:r>
      <w:r w:rsidR="00D723F6">
        <w:t xml:space="preserve"> economy</w:t>
      </w:r>
      <w:r>
        <w:t xml:space="preserve">. </w:t>
      </w:r>
    </w:p>
    <w:p w14:paraId="3D755ABB" w14:textId="1CDBD4A5" w:rsidR="00FE78DF" w:rsidRPr="00C96A6B" w:rsidRDefault="00FE78DF" w:rsidP="00FC319A">
      <w:pPr>
        <w:pStyle w:val="BodyText"/>
        <w:rPr>
          <w:spacing w:val="-4"/>
        </w:rPr>
      </w:pPr>
      <w:r w:rsidRPr="00C96A6B">
        <w:rPr>
          <w:spacing w:val="-4"/>
        </w:rPr>
        <w:t xml:space="preserve">When doing so, the Commission finds evidence of a much smaller gap between growth in labour productivity and growth in real wages between 1994-95 and 2021-22. Specifically, the Commission estimates that average annual </w:t>
      </w:r>
      <w:r w:rsidRPr="00C96A6B">
        <w:rPr>
          <w:spacing w:val="-4"/>
        </w:rPr>
        <w:lastRenderedPageBreak/>
        <w:t>real wage growth has been about 1.28% over the period</w:t>
      </w:r>
      <w:r w:rsidR="59F9CD43" w:rsidRPr="00C96A6B">
        <w:rPr>
          <w:spacing w:val="-4"/>
        </w:rPr>
        <w:t xml:space="preserve"> </w:t>
      </w:r>
      <w:r w:rsidR="0029077A">
        <w:rPr>
          <w:spacing w:val="-4"/>
        </w:rPr>
        <w:t>–</w:t>
      </w:r>
      <w:r w:rsidRPr="00C96A6B">
        <w:rPr>
          <w:spacing w:val="-4"/>
        </w:rPr>
        <w:t xml:space="preserve"> approximately 0.12 percentage points lower than the 1.40% growth in labour productivity (figure 3).</w:t>
      </w:r>
      <w:r w:rsidR="0C55B7CF" w:rsidRPr="00C96A6B">
        <w:rPr>
          <w:spacing w:val="-4"/>
        </w:rPr>
        <w:t xml:space="preserve"> This amounts to a 9% difference in growth rates.</w:t>
      </w:r>
      <w:r w:rsidR="00C96A6B" w:rsidRPr="00C96A6B">
        <w:rPr>
          <w:spacing w:val="-4"/>
        </w:rPr>
        <w:t xml:space="preserve"> </w:t>
      </w:r>
    </w:p>
    <w:p w14:paraId="63618CBA" w14:textId="5B2711F4" w:rsidR="00FE78DF" w:rsidRPr="00765A7C" w:rsidRDefault="00FE78DF" w:rsidP="00FE78DF">
      <w:pPr>
        <w:pStyle w:val="FigureTableHeading"/>
        <w:spacing w:after="0"/>
        <w:rPr>
          <w:vertAlign w:val="superscript"/>
        </w:rPr>
      </w:pPr>
      <w:r>
        <w:t xml:space="preserve">Figure </w:t>
      </w:r>
      <w:r>
        <w:rPr>
          <w:noProof/>
        </w:rPr>
        <w:t xml:space="preserve">3 </w:t>
      </w:r>
      <w:r>
        <w:t xml:space="preserve">– </w:t>
      </w:r>
      <w:r w:rsidR="005949F7">
        <w:t>A smaller</w:t>
      </w:r>
      <w:r>
        <w:t xml:space="preserve"> gap between labour productivity and real wages</w:t>
      </w:r>
      <w:r w:rsidR="005949F7">
        <w:t xml:space="preserve"> for 95% </w:t>
      </w:r>
      <w:r w:rsidR="009246F8">
        <w:t>of employees</w:t>
      </w:r>
      <w:r w:rsidRPr="00765A7C">
        <w:rPr>
          <w:vertAlign w:val="superscript"/>
        </w:rPr>
        <w:t>a,b,c</w:t>
      </w:r>
    </w:p>
    <w:p w14:paraId="3060A4B2" w14:textId="7D77F879" w:rsidR="00FE78DF" w:rsidRPr="00146382" w:rsidRDefault="00FE78DF" w:rsidP="00FE78DF">
      <w:pPr>
        <w:pStyle w:val="FigureTableSubheading"/>
      </w:pPr>
      <w:r>
        <w:t>Producer wages, consumer wages and labour productivity in all industries (except mining and agriculture) between 1994</w:t>
      </w:r>
      <w:r w:rsidR="00C96A6B">
        <w:t>-</w:t>
      </w:r>
      <w:r>
        <w:t>95 and 2021</w:t>
      </w:r>
      <w:r w:rsidR="00C96A6B">
        <w:t>-</w:t>
      </w:r>
      <w:r>
        <w:t>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FE78DF" w:rsidRPr="005550A0" w14:paraId="6F251803" w14:textId="77777777">
        <w:trPr>
          <w:tblHeader/>
        </w:trPr>
        <w:tc>
          <w:tcPr>
            <w:tcW w:w="2500" w:type="pct"/>
            <w:shd w:val="clear" w:color="auto" w:fill="auto"/>
          </w:tcPr>
          <w:p w14:paraId="069B1470" w14:textId="77777777" w:rsidR="00FE78DF" w:rsidRPr="005550A0" w:rsidRDefault="00FE78DF">
            <w:pPr>
              <w:pStyle w:val="TableBody"/>
            </w:pPr>
            <w:r w:rsidRPr="003D61A5">
              <w:rPr>
                <w:noProof/>
              </w:rPr>
              <w:drawing>
                <wp:inline distT="0" distB="0" distL="0" distR="0" wp14:anchorId="7CC204D2" wp14:editId="557DE4CF">
                  <wp:extent cx="2991485" cy="2802890"/>
                  <wp:effectExtent l="0" t="0" r="0" b="0"/>
                  <wp:docPr id="67964365" name="Picture 67964365" descr="This panel shows the growth of consumer wages, producer wages and labour productivity between 1994-95 and 2021-22 across the whole economy excluding the agricultural and mining industries. It shows that the three indexes grew together until the year 2000, before separating slightly. Productivity grew ahead of both producer and consumer wages for a number of years, and remained marginally ahead as a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4365" name="Picture 67964365" descr="This panel shows the growth of consumer wages, producer wages and labour productivity between 1994-95 and 2021-22 across the whole economy excluding the agricultural and mining industries. It shows that the three indexes grew together until the year 2000, before separating slightly. Productivity grew ahead of both producer and consumer wages for a number of years, and remained marginally ahead as at 20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91485" cy="2802890"/>
                          </a:xfrm>
                          <a:prstGeom prst="rect">
                            <a:avLst/>
                          </a:prstGeom>
                          <a:noFill/>
                          <a:ln>
                            <a:noFill/>
                          </a:ln>
                        </pic:spPr>
                      </pic:pic>
                    </a:graphicData>
                  </a:graphic>
                </wp:inline>
              </w:drawing>
            </w:r>
          </w:p>
        </w:tc>
        <w:tc>
          <w:tcPr>
            <w:tcW w:w="2500" w:type="pct"/>
            <w:shd w:val="clear" w:color="auto" w:fill="auto"/>
          </w:tcPr>
          <w:p w14:paraId="066BC304" w14:textId="77777777" w:rsidR="00FE78DF" w:rsidRPr="005550A0" w:rsidRDefault="00FE78DF">
            <w:pPr>
              <w:pStyle w:val="TableBody"/>
            </w:pPr>
            <w:r w:rsidRPr="003E135A">
              <w:rPr>
                <w:noProof/>
              </w:rPr>
              <w:drawing>
                <wp:inline distT="0" distB="0" distL="0" distR="0" wp14:anchorId="3E6C7175" wp14:editId="42C08E3E">
                  <wp:extent cx="2991485" cy="2802890"/>
                  <wp:effectExtent l="0" t="0" r="0" b="0"/>
                  <wp:docPr id="1566416834" name="Picture 1566416834" descr="This panel shows the that between 1995 and 2022, producer wages grew 1.28% annually, consumer wages grew 1.22% and labour productivity grew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16834" name="Picture 1566416834" descr="This panel shows the that between 1995 and 2022, producer wages grew 1.28% annually, consumer wages grew 1.22% and labour productivity grew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91485" cy="2802890"/>
                          </a:xfrm>
                          <a:prstGeom prst="rect">
                            <a:avLst/>
                          </a:prstGeom>
                          <a:noFill/>
                          <a:ln>
                            <a:noFill/>
                          </a:ln>
                        </pic:spPr>
                      </pic:pic>
                    </a:graphicData>
                  </a:graphic>
                </wp:inline>
              </w:drawing>
            </w:r>
          </w:p>
        </w:tc>
      </w:tr>
    </w:tbl>
    <w:p w14:paraId="7D1727B1" w14:textId="61DD7220" w:rsidR="00FE78DF" w:rsidRDefault="00FE78DF" w:rsidP="00FE78DF">
      <w:pPr>
        <w:pStyle w:val="Source"/>
        <w:spacing w:after="0"/>
      </w:pPr>
      <w:r w:rsidRPr="00ED7E99">
        <w:rPr>
          <w:b/>
          <w:bCs/>
        </w:rPr>
        <w:t xml:space="preserve">a. </w:t>
      </w:r>
      <w:r>
        <w:t>The industries excluded are Mining and quarrying, and Agriculture, forestry and fishing. All other Division (1 digit) industries of the Australian and New Zealand Standard Industrial Classification are included</w:t>
      </w:r>
      <w:r w:rsidRPr="00ED7E99">
        <w:t>.</w:t>
      </w:r>
      <w:r w:rsidRPr="00ED7E99">
        <w:rPr>
          <w:b/>
          <w:bCs/>
        </w:rPr>
        <w:t xml:space="preserve"> b.</w:t>
      </w:r>
      <w:r>
        <w:t xml:space="preserve"> Methodology outlined in </w:t>
      </w:r>
      <w:r w:rsidRPr="00845548">
        <w:t>appendixes A and B.1</w:t>
      </w:r>
      <w:r>
        <w:t xml:space="preserve">. </w:t>
      </w:r>
      <w:r w:rsidRPr="00ED7E99">
        <w:rPr>
          <w:b/>
          <w:bCs/>
        </w:rPr>
        <w:t>c.</w:t>
      </w:r>
      <w:r>
        <w:t xml:space="preserve"> Producer wages are wages deflated by producer prices (GVA deflator) and consumer wages are wages deflated by consumer prices (consume price index). Labour productivity is defined as GVA per hour (for all industries other than mining and agriculture) rather than GDP per hour. </w:t>
      </w:r>
    </w:p>
    <w:p w14:paraId="7C5AB432" w14:textId="77777777" w:rsidR="00FE78DF" w:rsidRDefault="00FE78DF" w:rsidP="00FE78DF">
      <w:pPr>
        <w:pStyle w:val="Source"/>
      </w:pPr>
      <w:r>
        <w:t>Source: Commission estimates using: ABS (Australian System of National Accounts, 2021 22, Cat. no. 5204.0., table 46; Labour Account Australia, March 2023, Cat. no. 6150.0.55.003., industry summary tables; Labour Force, Australia, Detailed, April 2023, Cat. no. 6291.0.55.001., table EQ05; Consumer Price Index, Australia, Cat. no. 6401.0., table 1).</w:t>
      </w:r>
    </w:p>
    <w:p w14:paraId="3EBFEEF4" w14:textId="2D55D07C" w:rsidR="00FE78DF" w:rsidRDefault="20BA4A90" w:rsidP="00FC319A">
      <w:pPr>
        <w:pStyle w:val="BodyText"/>
      </w:pPr>
      <w:r>
        <w:t>Thus,</w:t>
      </w:r>
      <w:r w:rsidR="00FE78DF">
        <w:t xml:space="preserve"> there is evidence of </w:t>
      </w:r>
      <w:r w:rsidR="00ED4A6D">
        <w:t xml:space="preserve">a </w:t>
      </w:r>
      <w:r w:rsidR="7722F055">
        <w:t xml:space="preserve">very </w:t>
      </w:r>
      <w:r w:rsidR="00ED4A6D">
        <w:t xml:space="preserve">small amount </w:t>
      </w:r>
      <w:r w:rsidR="00695735">
        <w:t xml:space="preserve">of </w:t>
      </w:r>
      <w:r w:rsidR="00FE78DF">
        <w:t xml:space="preserve">wage decoupling – </w:t>
      </w:r>
      <w:r w:rsidR="35B55B59">
        <w:t>much</w:t>
      </w:r>
      <w:r w:rsidR="00FE78DF">
        <w:t xml:space="preserve"> less than we find at the economy</w:t>
      </w:r>
      <w:r w:rsidR="2F4B88F2">
        <w:t>-</w:t>
      </w:r>
      <w:r w:rsidR="00FE78DF">
        <w:t>wide level</w:t>
      </w:r>
      <w:r w:rsidR="00671A2D">
        <w:t xml:space="preserve"> (inclusive of mining and agriculture)</w:t>
      </w:r>
      <w:r w:rsidR="00FE78DF">
        <w:t>. And from a policy perspective, the size of that gap matters – is wage decoupling of 0.12 p</w:t>
      </w:r>
      <w:r w:rsidR="00CA5B1F">
        <w:t xml:space="preserve">ercentage </w:t>
      </w:r>
      <w:r w:rsidR="00FE78DF">
        <w:t>p</w:t>
      </w:r>
      <w:r w:rsidR="00CA5B1F">
        <w:t>oin</w:t>
      </w:r>
      <w:r w:rsidR="00FE78DF">
        <w:t>t</w:t>
      </w:r>
      <w:r w:rsidR="0081379C">
        <w:t>s</w:t>
      </w:r>
      <w:r w:rsidR="00A002CD">
        <w:t xml:space="preserve"> </w:t>
      </w:r>
      <w:r w:rsidR="008B56D0">
        <w:t>sufficiently material to be</w:t>
      </w:r>
      <w:r w:rsidR="00FE78DF">
        <w:t xml:space="preserve"> a key issue for policy makers</w:t>
      </w:r>
      <w:r w:rsidR="564263C0">
        <w:t xml:space="preserve">, particularly </w:t>
      </w:r>
      <w:r w:rsidR="1837C6AE">
        <w:t xml:space="preserve">when </w:t>
      </w:r>
      <w:r w:rsidR="5E8F175E" w:rsidRPr="3E71E6FA">
        <w:rPr>
          <w:rStyle w:val="ui-provider"/>
        </w:rPr>
        <w:t>more than half of those sectors experienced zero or negative decoupling</w:t>
      </w:r>
      <w:r w:rsidR="0029077A">
        <w:t>?</w:t>
      </w:r>
    </w:p>
    <w:p w14:paraId="643EEC2B" w14:textId="48ABF052" w:rsidR="00FE78DF" w:rsidRDefault="005A428F" w:rsidP="00FC319A">
      <w:pPr>
        <w:pStyle w:val="BodyText"/>
      </w:pPr>
      <w:r>
        <w:t>I</w:t>
      </w:r>
      <w:r w:rsidR="00FE78DF">
        <w:t>t is worth noting that the absolute size of the gap between annual real wages growth and productivity growth has been remarkably stable since the mid-1980s (</w:t>
      </w:r>
      <w:r w:rsidR="00FE78DF" w:rsidRPr="00992737">
        <w:t xml:space="preserve">see appendix </w:t>
      </w:r>
      <w:r w:rsidR="00992737" w:rsidRPr="00992737">
        <w:t>D.2</w:t>
      </w:r>
      <w:r w:rsidR="00FE78DF">
        <w:t xml:space="preserve">). But, as productivity growth has fallen, the proportional impact of that difference grows, and we see that in the data. When productivity growth is </w:t>
      </w:r>
      <w:r w:rsidR="0064613E">
        <w:t>4</w:t>
      </w:r>
      <w:r w:rsidR="00FE78DF">
        <w:t>% and the wage</w:t>
      </w:r>
      <w:r w:rsidR="7533E6B4">
        <w:t>-</w:t>
      </w:r>
      <w:r w:rsidR="00FE78DF">
        <w:t xml:space="preserve">decoupling gap is 0.12 percentage points, the gap matters lot less for income than when productivity growth is 1.4%. That interplay between the level of productivity growth and the gap to real wages </w:t>
      </w:r>
      <w:r w:rsidR="00455159">
        <w:t>growth</w:t>
      </w:r>
      <w:r w:rsidR="00FE78DF">
        <w:t xml:space="preserve"> translates into income differences, which we </w:t>
      </w:r>
      <w:r w:rsidR="00366845">
        <w:t>explore</w:t>
      </w:r>
      <w:r w:rsidR="00FE78DF">
        <w:t xml:space="preserve"> in the following section.</w:t>
      </w:r>
    </w:p>
    <w:p w14:paraId="5CF70C2E" w14:textId="71E2997F" w:rsidR="00FE78DF" w:rsidRDefault="0057165A" w:rsidP="0077480E">
      <w:pPr>
        <w:pStyle w:val="Heading2-nonumber"/>
      </w:pPr>
      <w:bookmarkStart w:id="3" w:name="_Toc144908623"/>
      <w:r>
        <w:lastRenderedPageBreak/>
        <w:t>D</w:t>
      </w:r>
      <w:r w:rsidR="00FE78DF">
        <w:t>ecoupling has limited impact on Australian</w:t>
      </w:r>
      <w:r w:rsidR="000913A0">
        <w:t>s</w:t>
      </w:r>
      <w:r w:rsidR="0049265E">
        <w:t>’</w:t>
      </w:r>
      <w:r w:rsidR="00FE78DF">
        <w:t xml:space="preserve"> income</w:t>
      </w:r>
      <w:bookmarkEnd w:id="3"/>
    </w:p>
    <w:p w14:paraId="0C9B2365" w14:textId="20D7D2A8" w:rsidR="00FE78DF" w:rsidRDefault="00FE78DF" w:rsidP="0077480E">
      <w:pPr>
        <w:pStyle w:val="BodyText"/>
        <w:keepNext/>
        <w:keepLines/>
      </w:pPr>
      <w:r w:rsidRPr="008F603B">
        <w:t xml:space="preserve">A stylised example </w:t>
      </w:r>
      <w:r>
        <w:t>can</w:t>
      </w:r>
      <w:r w:rsidRPr="008F603B">
        <w:t xml:space="preserve"> assist in understanding the implications of wage decoupling</w:t>
      </w:r>
      <w:r w:rsidR="00AE2D96">
        <w:t xml:space="preserve"> for those Australians not working in mining or agriculture</w:t>
      </w:r>
      <w:r w:rsidRPr="008F603B">
        <w:t xml:space="preserve">. Given a starting point of average </w:t>
      </w:r>
      <w:r w:rsidR="00DC5206">
        <w:t xml:space="preserve">annualised </w:t>
      </w:r>
      <w:r w:rsidRPr="008F603B">
        <w:t>wages in 1995</w:t>
      </w:r>
      <w:r w:rsidR="00D47AAF">
        <w:t xml:space="preserve"> (inflated to 2023 dollars for comparability)</w:t>
      </w:r>
      <w:r w:rsidRPr="008F603B">
        <w:t xml:space="preserve">, </w:t>
      </w:r>
      <w:r>
        <w:t xml:space="preserve">figure 4 </w:t>
      </w:r>
      <w:r w:rsidRPr="008F603B">
        <w:t xml:space="preserve">shows </w:t>
      </w:r>
      <w:r>
        <w:t>the</w:t>
      </w:r>
      <w:r w:rsidRPr="008F603B">
        <w:t xml:space="preserve"> real wage in 2023, under various productivity growth and wage decoupling scenarios</w:t>
      </w:r>
      <w:r>
        <w:t>.</w:t>
      </w:r>
      <w:r w:rsidR="00D11A83">
        <w:rPr>
          <w:rStyle w:val="FootnoteReference"/>
        </w:rPr>
        <w:footnoteReference w:id="2"/>
      </w:r>
    </w:p>
    <w:p w14:paraId="36A995A3" w14:textId="7334CDB6" w:rsidR="00FE78DF" w:rsidRDefault="00FE78DF" w:rsidP="00FC319A">
      <w:pPr>
        <w:pStyle w:val="BodyText"/>
      </w:pPr>
      <w:r w:rsidRPr="00DC2298">
        <w:t xml:space="preserve">The </w:t>
      </w:r>
      <w:r w:rsidR="006630D3">
        <w:t xml:space="preserve">dark </w:t>
      </w:r>
      <w:r w:rsidRPr="00DC2298">
        <w:t xml:space="preserve">orange highlighted cell is </w:t>
      </w:r>
      <w:r>
        <w:t>what w</w:t>
      </w:r>
      <w:r w:rsidR="00A5060E">
        <w:t>as actually</w:t>
      </w:r>
      <w:r>
        <w:t xml:space="preserve"> observe</w:t>
      </w:r>
      <w:r w:rsidR="00A5060E">
        <w:t>d</w:t>
      </w:r>
      <w:r w:rsidR="00F745F2">
        <w:t>:</w:t>
      </w:r>
      <w:r>
        <w:t xml:space="preserve"> average </w:t>
      </w:r>
      <w:r w:rsidRPr="00DC2298">
        <w:t xml:space="preserve">real wages </w:t>
      </w:r>
      <w:r w:rsidR="00AD5B1A">
        <w:t>grew</w:t>
      </w:r>
      <w:r w:rsidRPr="00DC2298">
        <w:t xml:space="preserve"> from </w:t>
      </w:r>
      <w:r>
        <w:t xml:space="preserve">a little over </w:t>
      </w:r>
      <w:r w:rsidRPr="00DC2298">
        <w:t>$75,</w:t>
      </w:r>
      <w:r>
        <w:t>5</w:t>
      </w:r>
      <w:r w:rsidRPr="00DC2298">
        <w:t>0</w:t>
      </w:r>
      <w:r>
        <w:t>0</w:t>
      </w:r>
      <w:r w:rsidRPr="00DC2298">
        <w:t xml:space="preserve"> in 1995 to </w:t>
      </w:r>
      <w:r>
        <w:t xml:space="preserve">just over </w:t>
      </w:r>
      <w:r w:rsidRPr="00DC2298">
        <w:t>$106,5</w:t>
      </w:r>
      <w:r>
        <w:t>0</w:t>
      </w:r>
      <w:r w:rsidRPr="00DC2298">
        <w:t>0 in 2023</w:t>
      </w:r>
      <w:r>
        <w:t>, all in 2023 dollars.</w:t>
      </w:r>
    </w:p>
    <w:p w14:paraId="22DE4DAE" w14:textId="3F79060C" w:rsidR="00FE78DF" w:rsidRPr="0077480E" w:rsidRDefault="00CC1977" w:rsidP="00FC319A">
      <w:pPr>
        <w:pStyle w:val="BodyText"/>
        <w:rPr>
          <w:spacing w:val="-2"/>
        </w:rPr>
      </w:pPr>
      <w:r w:rsidRPr="0077480E">
        <w:rPr>
          <w:spacing w:val="-2"/>
        </w:rPr>
        <w:t>In contrast, i</w:t>
      </w:r>
      <w:r w:rsidR="00FE78DF" w:rsidRPr="0077480E">
        <w:rPr>
          <w:spacing w:val="-2"/>
        </w:rPr>
        <w:t xml:space="preserve">f </w:t>
      </w:r>
      <w:r w:rsidR="006607D1" w:rsidRPr="0077480E">
        <w:rPr>
          <w:spacing w:val="-2"/>
        </w:rPr>
        <w:t>wages growth</w:t>
      </w:r>
      <w:r w:rsidR="00FE78DF" w:rsidRPr="0077480E">
        <w:rPr>
          <w:spacing w:val="-2"/>
        </w:rPr>
        <w:t xml:space="preserve"> had </w:t>
      </w:r>
      <w:r w:rsidR="00FA5F49" w:rsidRPr="0077480E">
        <w:rPr>
          <w:spacing w:val="-2"/>
        </w:rPr>
        <w:t xml:space="preserve">kept up with productivity growth </w:t>
      </w:r>
      <w:r w:rsidR="00743ACB" w:rsidRPr="0077480E">
        <w:rPr>
          <w:spacing w:val="-2"/>
        </w:rPr>
        <w:t xml:space="preserve">over </w:t>
      </w:r>
      <w:r w:rsidR="00FA5F49" w:rsidRPr="0077480E">
        <w:rPr>
          <w:spacing w:val="-2"/>
        </w:rPr>
        <w:t>that period</w:t>
      </w:r>
      <w:r w:rsidR="00743ACB" w:rsidRPr="0077480E">
        <w:rPr>
          <w:spacing w:val="-2"/>
        </w:rPr>
        <w:t xml:space="preserve"> (</w:t>
      </w:r>
      <w:r w:rsidR="5E41685A" w:rsidRPr="0077480E">
        <w:rPr>
          <w:spacing w:val="-2"/>
        </w:rPr>
        <w:t xml:space="preserve">that is, </w:t>
      </w:r>
      <w:r w:rsidR="00FE78DF" w:rsidRPr="0077480E">
        <w:rPr>
          <w:spacing w:val="-2"/>
        </w:rPr>
        <w:t xml:space="preserve">no </w:t>
      </w:r>
      <w:r w:rsidR="00743ACB" w:rsidRPr="0077480E">
        <w:rPr>
          <w:spacing w:val="-2"/>
        </w:rPr>
        <w:t xml:space="preserve">wage </w:t>
      </w:r>
      <w:r w:rsidR="00FE78DF" w:rsidRPr="0077480E">
        <w:rPr>
          <w:spacing w:val="-2"/>
        </w:rPr>
        <w:t>decoupling</w:t>
      </w:r>
      <w:r w:rsidR="00743ACB" w:rsidRPr="0077480E">
        <w:rPr>
          <w:spacing w:val="-2"/>
        </w:rPr>
        <w:t>)</w:t>
      </w:r>
      <w:r w:rsidR="00FA5F49" w:rsidRPr="0077480E">
        <w:rPr>
          <w:spacing w:val="-2"/>
        </w:rPr>
        <w:t xml:space="preserve"> </w:t>
      </w:r>
      <w:r w:rsidR="00053172" w:rsidRPr="0077480E">
        <w:rPr>
          <w:spacing w:val="-2"/>
        </w:rPr>
        <w:t>then</w:t>
      </w:r>
      <w:r w:rsidR="00FE78DF" w:rsidRPr="0077480E">
        <w:rPr>
          <w:spacing w:val="-2"/>
        </w:rPr>
        <w:t xml:space="preserve"> wages would have </w:t>
      </w:r>
      <w:r w:rsidR="00053172" w:rsidRPr="0077480E">
        <w:rPr>
          <w:spacing w:val="-2"/>
        </w:rPr>
        <w:t>risen to</w:t>
      </w:r>
      <w:r w:rsidR="00FE78DF" w:rsidRPr="0077480E">
        <w:rPr>
          <w:spacing w:val="-2"/>
        </w:rPr>
        <w:t xml:space="preserve"> just over $110,000 in 2023 – about 3% higher (the cell highlighted in </w:t>
      </w:r>
      <w:r w:rsidR="00C96A6B" w:rsidRPr="0077480E">
        <w:rPr>
          <w:spacing w:val="-2"/>
        </w:rPr>
        <w:t>green</w:t>
      </w:r>
      <w:r w:rsidR="00FE78DF" w:rsidRPr="0077480E">
        <w:rPr>
          <w:spacing w:val="-2"/>
        </w:rPr>
        <w:t>).</w:t>
      </w:r>
    </w:p>
    <w:p w14:paraId="48ED3EA1" w14:textId="50978B65" w:rsidR="00C90242" w:rsidRDefault="00FE78DF" w:rsidP="0057626D">
      <w:pPr>
        <w:pStyle w:val="BodyText"/>
      </w:pPr>
      <w:r>
        <w:t xml:space="preserve">By comparison, if decoupling had remained fixed at 0.12 percentage points but productivity </w:t>
      </w:r>
      <w:r w:rsidR="00FD7CCE">
        <w:t xml:space="preserve">growth </w:t>
      </w:r>
      <w:r w:rsidR="00016FF3">
        <w:t xml:space="preserve">had been </w:t>
      </w:r>
      <w:r>
        <w:t>0.</w:t>
      </w:r>
      <w:r w:rsidR="00291721">
        <w:t>4</w:t>
      </w:r>
      <w:r>
        <w:t xml:space="preserve"> percentage points </w:t>
      </w:r>
      <w:r w:rsidR="00BB4B52">
        <w:t>higher, at</w:t>
      </w:r>
      <w:r>
        <w:t xml:space="preserve"> </w:t>
      </w:r>
      <w:r w:rsidR="00DE69EF">
        <w:t>its 60</w:t>
      </w:r>
      <w:r w:rsidR="7E42799B">
        <w:t>-</w:t>
      </w:r>
      <w:r w:rsidR="00DE69EF">
        <w:t>year average (1.8</w:t>
      </w:r>
      <w:r>
        <w:t>%</w:t>
      </w:r>
      <w:r w:rsidR="00DE69EF">
        <w:t>)</w:t>
      </w:r>
      <w:r>
        <w:t xml:space="preserve">, average wages would have been </w:t>
      </w:r>
      <w:r w:rsidR="00AD4309">
        <w:t>greater than</w:t>
      </w:r>
      <w:r>
        <w:t xml:space="preserve"> $1</w:t>
      </w:r>
      <w:r w:rsidR="00A83DE9">
        <w:t>18</w:t>
      </w:r>
      <w:r>
        <w:t>,000</w:t>
      </w:r>
      <w:r w:rsidR="00D40B63">
        <w:t xml:space="preserve"> in 2023</w:t>
      </w:r>
      <w:r>
        <w:t>, or 1</w:t>
      </w:r>
      <w:r w:rsidR="00323050">
        <w:t>1</w:t>
      </w:r>
      <w:r>
        <w:t>% higher (the cell highlighted in purple).</w:t>
      </w:r>
    </w:p>
    <w:p w14:paraId="286BEC80" w14:textId="188B2129" w:rsidR="00FE78DF" w:rsidRDefault="00FE78DF" w:rsidP="00FE78DF">
      <w:pPr>
        <w:pStyle w:val="FigureTableHeading"/>
        <w:spacing w:after="0"/>
      </w:pPr>
      <w:r>
        <w:t xml:space="preserve">Figure </w:t>
      </w:r>
      <w:r>
        <w:rPr>
          <w:noProof/>
        </w:rPr>
        <w:t xml:space="preserve">4 </w:t>
      </w:r>
      <w:r>
        <w:t xml:space="preserve">– Average wages </w:t>
      </w:r>
      <w:r w:rsidR="001827CC">
        <w:t>in 2023</w:t>
      </w:r>
      <w:r>
        <w:t xml:space="preserve"> under various productivity growth and wage decoupling scenarios</w:t>
      </w:r>
      <w:r w:rsidR="00340925" w:rsidRPr="003402BE">
        <w:rPr>
          <w:vertAlign w:val="superscript"/>
        </w:rPr>
        <w:t>a</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1285"/>
        <w:gridCol w:w="1529"/>
        <w:gridCol w:w="1529"/>
        <w:gridCol w:w="1529"/>
        <w:gridCol w:w="1529"/>
        <w:gridCol w:w="1529"/>
      </w:tblGrid>
      <w:tr w:rsidR="00C96A6B" w14:paraId="77BBE89D" w14:textId="77777777" w:rsidTr="00F84945">
        <w:tc>
          <w:tcPr>
            <w:tcW w:w="368" w:type="pct"/>
            <w:shd w:val="clear" w:color="auto" w:fill="auto"/>
          </w:tcPr>
          <w:p w14:paraId="0B38B783" w14:textId="77777777" w:rsidR="00C96A6B" w:rsidRPr="000E4BDE" w:rsidRDefault="00C96A6B" w:rsidP="00F84945">
            <w:pPr>
              <w:pStyle w:val="FigureTableHeading"/>
              <w:spacing w:after="0"/>
              <w:rPr>
                <w:rFonts w:ascii="Arial" w:hAnsi="Arial" w:cs="Arial"/>
                <w:color w:val="auto"/>
                <w:sz w:val="18"/>
                <w:vertAlign w:val="superscript"/>
              </w:rPr>
            </w:pPr>
          </w:p>
        </w:tc>
        <w:tc>
          <w:tcPr>
            <w:tcW w:w="4632" w:type="pct"/>
            <w:gridSpan w:val="6"/>
            <w:shd w:val="clear" w:color="auto" w:fill="auto"/>
            <w:vAlign w:val="center"/>
          </w:tcPr>
          <w:p w14:paraId="19E4C08F" w14:textId="77777777" w:rsidR="00C96A6B" w:rsidRPr="000E4BDE" w:rsidRDefault="00C96A6B" w:rsidP="00F84945">
            <w:pPr>
              <w:pStyle w:val="FigureTableHeading"/>
              <w:spacing w:before="0" w:after="0"/>
              <w:jc w:val="center"/>
              <w:rPr>
                <w:rFonts w:ascii="Arial" w:hAnsi="Arial" w:cs="Arial"/>
                <w:b/>
                <w:color w:val="auto"/>
                <w:sz w:val="18"/>
              </w:rPr>
            </w:pPr>
            <w:r w:rsidRPr="000E4BDE">
              <w:rPr>
                <w:rFonts w:ascii="Arial" w:hAnsi="Arial" w:cs="Arial"/>
                <w:b/>
                <w:color w:val="auto"/>
                <w:sz w:val="18"/>
              </w:rPr>
              <w:t xml:space="preserve">Productivity growth </w:t>
            </w:r>
            <w:r w:rsidRPr="000E4BDE">
              <w:rPr>
                <w:rFonts w:ascii="Arial" w:hAnsi="Arial" w:cs="Arial"/>
                <w:color w:val="auto"/>
                <w:sz w:val="18"/>
              </w:rPr>
              <w:t>(%)</w:t>
            </w:r>
          </w:p>
        </w:tc>
      </w:tr>
      <w:tr w:rsidR="00C96A6B" w14:paraId="22F8DBAD" w14:textId="77777777" w:rsidTr="00F84945">
        <w:trPr>
          <w:cantSplit/>
          <w:trHeight w:val="510"/>
        </w:trPr>
        <w:tc>
          <w:tcPr>
            <w:tcW w:w="368" w:type="pct"/>
            <w:vMerge w:val="restart"/>
            <w:shd w:val="clear" w:color="auto" w:fill="auto"/>
            <w:textDirection w:val="btLr"/>
          </w:tcPr>
          <w:p w14:paraId="7ED7D7DA" w14:textId="77777777" w:rsidR="00C96A6B" w:rsidRPr="000E4BDE" w:rsidRDefault="00C96A6B" w:rsidP="00F84945">
            <w:pPr>
              <w:pStyle w:val="FigureTableHeading"/>
              <w:spacing w:before="0" w:after="0"/>
              <w:ind w:left="113" w:right="113"/>
              <w:jc w:val="center"/>
              <w:rPr>
                <w:rFonts w:ascii="Arial" w:hAnsi="Arial" w:cs="Arial"/>
                <w:b/>
                <w:color w:val="auto"/>
                <w:sz w:val="18"/>
              </w:rPr>
            </w:pPr>
            <w:r w:rsidRPr="000E4BDE">
              <w:rPr>
                <w:rFonts w:ascii="Arial" w:hAnsi="Arial" w:cs="Arial"/>
                <w:b/>
                <w:color w:val="auto"/>
                <w:sz w:val="18"/>
              </w:rPr>
              <w:t xml:space="preserve">Wage decoupling </w:t>
            </w:r>
            <w:r w:rsidRPr="000E4BDE">
              <w:rPr>
                <w:rFonts w:ascii="Arial" w:hAnsi="Arial" w:cs="Arial"/>
                <w:color w:val="auto"/>
                <w:sz w:val="18"/>
              </w:rPr>
              <w:t>(percentage point)</w:t>
            </w:r>
          </w:p>
        </w:tc>
        <w:tc>
          <w:tcPr>
            <w:tcW w:w="667" w:type="pct"/>
            <w:shd w:val="clear" w:color="auto" w:fill="auto"/>
          </w:tcPr>
          <w:p w14:paraId="3980BA1C" w14:textId="77777777" w:rsidR="00C96A6B" w:rsidRPr="000E4BDE" w:rsidRDefault="00C96A6B" w:rsidP="00F84945">
            <w:pPr>
              <w:pStyle w:val="FigureTableHeading"/>
              <w:spacing w:after="0"/>
              <w:rPr>
                <w:rFonts w:ascii="Arial" w:hAnsi="Arial" w:cs="Arial"/>
                <w:b/>
                <w:color w:val="FFFFFF" w:themeColor="background1"/>
                <w:sz w:val="18"/>
                <w:vertAlign w:val="superscript"/>
              </w:rPr>
            </w:pPr>
          </w:p>
        </w:tc>
        <w:tc>
          <w:tcPr>
            <w:tcW w:w="793" w:type="pct"/>
            <w:shd w:val="clear" w:color="auto" w:fill="265A9A" w:themeFill="background2"/>
            <w:vAlign w:val="center"/>
          </w:tcPr>
          <w:p w14:paraId="1A709E03"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w:t>
            </w:r>
          </w:p>
        </w:tc>
        <w:tc>
          <w:tcPr>
            <w:tcW w:w="793" w:type="pct"/>
            <w:shd w:val="clear" w:color="auto" w:fill="265A9A" w:themeFill="background2"/>
            <w:vAlign w:val="center"/>
          </w:tcPr>
          <w:p w14:paraId="6D6AAAC2"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1</w:t>
            </w:r>
          </w:p>
        </w:tc>
        <w:tc>
          <w:tcPr>
            <w:tcW w:w="793" w:type="pct"/>
            <w:shd w:val="clear" w:color="auto" w:fill="265A9A" w:themeFill="background2"/>
            <w:vAlign w:val="center"/>
          </w:tcPr>
          <w:p w14:paraId="3025D43B"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1.4</w:t>
            </w:r>
          </w:p>
        </w:tc>
        <w:tc>
          <w:tcPr>
            <w:tcW w:w="793" w:type="pct"/>
            <w:shd w:val="clear" w:color="auto" w:fill="265A9A" w:themeFill="background2"/>
            <w:vAlign w:val="center"/>
          </w:tcPr>
          <w:p w14:paraId="364BA9BC"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1.8</w:t>
            </w:r>
          </w:p>
        </w:tc>
        <w:tc>
          <w:tcPr>
            <w:tcW w:w="792" w:type="pct"/>
            <w:shd w:val="clear" w:color="auto" w:fill="265A9A" w:themeFill="background2"/>
            <w:vAlign w:val="center"/>
          </w:tcPr>
          <w:p w14:paraId="0FBB6405"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2.2</w:t>
            </w:r>
          </w:p>
        </w:tc>
      </w:tr>
      <w:tr w:rsidR="00C96A6B" w14:paraId="156E8B9B" w14:textId="77777777" w:rsidTr="00F84945">
        <w:trPr>
          <w:trHeight w:val="567"/>
        </w:trPr>
        <w:tc>
          <w:tcPr>
            <w:tcW w:w="368" w:type="pct"/>
            <w:vMerge/>
            <w:shd w:val="clear" w:color="auto" w:fill="auto"/>
          </w:tcPr>
          <w:p w14:paraId="401036BE"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4910E805"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-0.20</w:t>
            </w:r>
          </w:p>
        </w:tc>
        <w:tc>
          <w:tcPr>
            <w:tcW w:w="793" w:type="pct"/>
            <w:shd w:val="clear" w:color="auto" w:fill="CBDDF2" w:themeFill="background2" w:themeFillTint="33"/>
            <w:vAlign w:val="center"/>
          </w:tcPr>
          <w:p w14:paraId="28A1EF38"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$79,903</w:t>
            </w:r>
          </w:p>
        </w:tc>
        <w:tc>
          <w:tcPr>
            <w:tcW w:w="793" w:type="pct"/>
            <w:shd w:val="clear" w:color="auto" w:fill="CBDDF2" w:themeFill="background2" w:themeFillTint="33"/>
            <w:vAlign w:val="center"/>
          </w:tcPr>
          <w:p w14:paraId="6763044B"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$104,474</w:t>
            </w:r>
          </w:p>
        </w:tc>
        <w:tc>
          <w:tcPr>
            <w:tcW w:w="793" w:type="pct"/>
            <w:shd w:val="clear" w:color="auto" w:fill="FADFA6" w:themeFill="accent3" w:themeFillTint="66"/>
            <w:vAlign w:val="center"/>
          </w:tcPr>
          <w:p w14:paraId="5CA89FFD"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$116,090</w:t>
            </w:r>
          </w:p>
        </w:tc>
        <w:tc>
          <w:tcPr>
            <w:tcW w:w="793" w:type="pct"/>
            <w:shd w:val="clear" w:color="auto" w:fill="CBDDF2" w:themeFill="background2" w:themeFillTint="33"/>
            <w:vAlign w:val="center"/>
          </w:tcPr>
          <w:p w14:paraId="4C0E9895"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$129,223</w:t>
            </w:r>
          </w:p>
        </w:tc>
        <w:tc>
          <w:tcPr>
            <w:tcW w:w="792" w:type="pct"/>
            <w:shd w:val="clear" w:color="auto" w:fill="CBDDF2" w:themeFill="background2" w:themeFillTint="33"/>
            <w:vAlign w:val="center"/>
          </w:tcPr>
          <w:p w14:paraId="670066A4"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$143,626</w:t>
            </w:r>
          </w:p>
        </w:tc>
      </w:tr>
      <w:tr w:rsidR="00C96A6B" w14:paraId="0C406EEC" w14:textId="77777777" w:rsidTr="00F84945">
        <w:trPr>
          <w:trHeight w:val="567"/>
        </w:trPr>
        <w:tc>
          <w:tcPr>
            <w:tcW w:w="368" w:type="pct"/>
            <w:vMerge/>
            <w:shd w:val="clear" w:color="auto" w:fill="auto"/>
          </w:tcPr>
          <w:p w14:paraId="4CEE6D9C"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71EFCB44"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-0.10</w:t>
            </w:r>
          </w:p>
        </w:tc>
        <w:tc>
          <w:tcPr>
            <w:tcW w:w="793" w:type="pct"/>
            <w:shd w:val="clear" w:color="auto" w:fill="CBDDF2" w:themeFill="background2" w:themeFillTint="33"/>
            <w:vAlign w:val="center"/>
          </w:tcPr>
          <w:p w14:paraId="1755E87E"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$77,778</w:t>
            </w:r>
          </w:p>
        </w:tc>
        <w:tc>
          <w:tcPr>
            <w:tcW w:w="793" w:type="pct"/>
            <w:shd w:val="clear" w:color="auto" w:fill="CBDDF2" w:themeFill="background2" w:themeFillTint="33"/>
            <w:vAlign w:val="center"/>
          </w:tcPr>
          <w:p w14:paraId="55C4D5C1"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$101,722</w:t>
            </w:r>
          </w:p>
        </w:tc>
        <w:tc>
          <w:tcPr>
            <w:tcW w:w="793" w:type="pct"/>
            <w:shd w:val="clear" w:color="auto" w:fill="FADFA6" w:themeFill="accent3" w:themeFillTint="66"/>
            <w:vAlign w:val="center"/>
          </w:tcPr>
          <w:p w14:paraId="7B493EDA"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$113,044</w:t>
            </w:r>
          </w:p>
        </w:tc>
        <w:tc>
          <w:tcPr>
            <w:tcW w:w="793" w:type="pct"/>
            <w:shd w:val="clear" w:color="auto" w:fill="CBDDF2" w:themeFill="background2" w:themeFillTint="33"/>
            <w:vAlign w:val="center"/>
          </w:tcPr>
          <w:p w14:paraId="43FD270F"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$125,845</w:t>
            </w:r>
          </w:p>
        </w:tc>
        <w:tc>
          <w:tcPr>
            <w:tcW w:w="792" w:type="pct"/>
            <w:shd w:val="clear" w:color="auto" w:fill="CBDDF2" w:themeFill="background2" w:themeFillTint="33"/>
            <w:vAlign w:val="center"/>
          </w:tcPr>
          <w:p w14:paraId="61D039A6"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$139,887</w:t>
            </w:r>
          </w:p>
        </w:tc>
      </w:tr>
      <w:tr w:rsidR="00C96A6B" w14:paraId="561E314D" w14:textId="77777777" w:rsidTr="00F84945">
        <w:trPr>
          <w:trHeight w:val="567"/>
        </w:trPr>
        <w:tc>
          <w:tcPr>
            <w:tcW w:w="368" w:type="pct"/>
            <w:vMerge/>
            <w:shd w:val="clear" w:color="auto" w:fill="auto"/>
          </w:tcPr>
          <w:p w14:paraId="1EEC1081"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6141E440"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w:t>
            </w:r>
          </w:p>
        </w:tc>
        <w:tc>
          <w:tcPr>
            <w:tcW w:w="793" w:type="pct"/>
            <w:shd w:val="clear" w:color="auto" w:fill="CBDDF2" w:themeFill="background2" w:themeFillTint="33"/>
            <w:vAlign w:val="center"/>
          </w:tcPr>
          <w:p w14:paraId="37DE5EB7" w14:textId="77777777" w:rsidR="00C96A6B" w:rsidRPr="000E4BDE" w:rsidRDefault="00C96A6B" w:rsidP="00F84945">
            <w:pPr>
              <w:pStyle w:val="FigureTableHeading"/>
              <w:spacing w:before="0" w:after="0" w:line="240" w:lineRule="auto"/>
              <w:ind w:left="720" w:hanging="720"/>
              <w:jc w:val="center"/>
              <w:rPr>
                <w:rFonts w:ascii="Arial" w:hAnsi="Arial" w:cs="Arial"/>
                <w:sz w:val="18"/>
              </w:rPr>
            </w:pPr>
            <w:r w:rsidRPr="000E4BDE">
              <w:rPr>
                <w:rFonts w:ascii="Arial" w:hAnsi="Arial" w:cs="Arial"/>
                <w:sz w:val="18"/>
              </w:rPr>
              <w:t>$75,707</w:t>
            </w:r>
          </w:p>
        </w:tc>
        <w:tc>
          <w:tcPr>
            <w:tcW w:w="793" w:type="pct"/>
            <w:shd w:val="clear" w:color="auto" w:fill="CBDDF2" w:themeFill="background2" w:themeFillTint="33"/>
            <w:vAlign w:val="center"/>
          </w:tcPr>
          <w:p w14:paraId="68E468CC" w14:textId="77777777" w:rsidR="00C96A6B" w:rsidRPr="000E4BDE" w:rsidRDefault="00C96A6B" w:rsidP="00F84945">
            <w:pPr>
              <w:pStyle w:val="FigureTableHeading"/>
              <w:spacing w:before="0" w:after="0" w:line="240" w:lineRule="auto"/>
              <w:ind w:left="720" w:hanging="720"/>
              <w:jc w:val="center"/>
              <w:rPr>
                <w:rFonts w:ascii="Arial" w:hAnsi="Arial" w:cs="Arial"/>
                <w:sz w:val="18"/>
              </w:rPr>
            </w:pPr>
            <w:r w:rsidRPr="000E4BDE">
              <w:rPr>
                <w:rFonts w:ascii="Arial" w:hAnsi="Arial" w:cs="Arial"/>
                <w:sz w:val="18"/>
              </w:rPr>
              <w:t>$99,040</w:t>
            </w:r>
          </w:p>
        </w:tc>
        <w:tc>
          <w:tcPr>
            <w:tcW w:w="793" w:type="pct"/>
            <w:shd w:val="clear" w:color="auto" w:fill="CBE3A1" w:themeFill="accent1" w:themeFillTint="66"/>
            <w:vAlign w:val="center"/>
          </w:tcPr>
          <w:p w14:paraId="1D953D8B" w14:textId="77777777" w:rsidR="00C96A6B" w:rsidRPr="000E4BDE" w:rsidRDefault="00C96A6B" w:rsidP="00F84945">
            <w:pPr>
              <w:pStyle w:val="FigureTableHeading"/>
              <w:spacing w:before="0" w:after="0" w:line="240" w:lineRule="auto"/>
              <w:ind w:left="720" w:hanging="720"/>
              <w:jc w:val="center"/>
              <w:rPr>
                <w:rFonts w:ascii="Arial" w:hAnsi="Arial" w:cs="Arial"/>
                <w:sz w:val="18"/>
              </w:rPr>
            </w:pPr>
            <w:r w:rsidRPr="000E4BDE">
              <w:rPr>
                <w:rFonts w:ascii="Arial" w:hAnsi="Arial" w:cs="Arial"/>
                <w:sz w:val="18"/>
              </w:rPr>
              <w:t>$110,075</w:t>
            </w:r>
          </w:p>
        </w:tc>
        <w:tc>
          <w:tcPr>
            <w:tcW w:w="793" w:type="pct"/>
            <w:shd w:val="clear" w:color="auto" w:fill="CBDDF2" w:themeFill="background2" w:themeFillTint="33"/>
            <w:vAlign w:val="center"/>
          </w:tcPr>
          <w:p w14:paraId="0166B266" w14:textId="77777777" w:rsidR="00C96A6B" w:rsidRPr="000E4BDE" w:rsidRDefault="00C96A6B" w:rsidP="00F84945">
            <w:pPr>
              <w:pStyle w:val="FigureTableHeading"/>
              <w:spacing w:before="0" w:after="0" w:line="240" w:lineRule="auto"/>
              <w:ind w:left="720" w:hanging="720"/>
              <w:jc w:val="center"/>
              <w:rPr>
                <w:rFonts w:ascii="Arial" w:hAnsi="Arial" w:cs="Arial"/>
                <w:sz w:val="18"/>
              </w:rPr>
            </w:pPr>
            <w:r w:rsidRPr="000E4BDE">
              <w:rPr>
                <w:rFonts w:ascii="Arial" w:hAnsi="Arial" w:cs="Arial"/>
                <w:sz w:val="18"/>
              </w:rPr>
              <w:t>$122,553</w:t>
            </w:r>
          </w:p>
        </w:tc>
        <w:tc>
          <w:tcPr>
            <w:tcW w:w="792" w:type="pct"/>
            <w:shd w:val="clear" w:color="auto" w:fill="CBDDF2" w:themeFill="background2" w:themeFillTint="33"/>
            <w:vAlign w:val="center"/>
          </w:tcPr>
          <w:p w14:paraId="5BD6AFAC" w14:textId="77777777" w:rsidR="00C96A6B" w:rsidRPr="000E4BDE" w:rsidRDefault="00C96A6B" w:rsidP="00F84945">
            <w:pPr>
              <w:pStyle w:val="FigureTableHeading"/>
              <w:spacing w:before="0" w:after="0" w:line="240" w:lineRule="auto"/>
              <w:ind w:left="720" w:hanging="720"/>
              <w:jc w:val="center"/>
              <w:rPr>
                <w:rFonts w:ascii="Arial" w:hAnsi="Arial" w:cs="Arial"/>
                <w:sz w:val="18"/>
              </w:rPr>
            </w:pPr>
            <w:r w:rsidRPr="000E4BDE">
              <w:rPr>
                <w:rFonts w:ascii="Arial" w:hAnsi="Arial" w:cs="Arial"/>
                <w:sz w:val="18"/>
              </w:rPr>
              <w:t>$136,241</w:t>
            </w:r>
          </w:p>
        </w:tc>
      </w:tr>
      <w:tr w:rsidR="00C96A6B" w14:paraId="41C43051" w14:textId="77777777" w:rsidTr="00F84945">
        <w:trPr>
          <w:trHeight w:val="567"/>
        </w:trPr>
        <w:tc>
          <w:tcPr>
            <w:tcW w:w="368" w:type="pct"/>
            <w:vMerge/>
            <w:shd w:val="clear" w:color="auto" w:fill="auto"/>
          </w:tcPr>
          <w:p w14:paraId="5F5637C7"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09A6C136"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0.10</w:t>
            </w:r>
          </w:p>
        </w:tc>
        <w:tc>
          <w:tcPr>
            <w:tcW w:w="793" w:type="pct"/>
            <w:shd w:val="clear" w:color="auto" w:fill="CBDDF2" w:themeFill="background2" w:themeFillTint="33"/>
            <w:vAlign w:val="center"/>
          </w:tcPr>
          <w:p w14:paraId="5D4EE804"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$73,689</w:t>
            </w:r>
          </w:p>
        </w:tc>
        <w:tc>
          <w:tcPr>
            <w:tcW w:w="793" w:type="pct"/>
            <w:shd w:val="clear" w:color="auto" w:fill="CBDDF2" w:themeFill="background2" w:themeFillTint="33"/>
            <w:vAlign w:val="center"/>
          </w:tcPr>
          <w:p w14:paraId="3727D285"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$96,426</w:t>
            </w:r>
          </w:p>
        </w:tc>
        <w:tc>
          <w:tcPr>
            <w:tcW w:w="793" w:type="pct"/>
            <w:shd w:val="clear" w:color="auto" w:fill="FADFA6" w:themeFill="accent3" w:themeFillTint="66"/>
            <w:vAlign w:val="center"/>
          </w:tcPr>
          <w:p w14:paraId="0DC415D5"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$107,181</w:t>
            </w:r>
          </w:p>
        </w:tc>
        <w:tc>
          <w:tcPr>
            <w:tcW w:w="793" w:type="pct"/>
            <w:shd w:val="clear" w:color="auto" w:fill="CBDDF2" w:themeFill="background2" w:themeFillTint="33"/>
            <w:vAlign w:val="center"/>
          </w:tcPr>
          <w:p w14:paraId="368633DE"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$119,344</w:t>
            </w:r>
          </w:p>
        </w:tc>
        <w:tc>
          <w:tcPr>
            <w:tcW w:w="792" w:type="pct"/>
            <w:shd w:val="clear" w:color="auto" w:fill="CBDDF2" w:themeFill="background2" w:themeFillTint="33"/>
            <w:vAlign w:val="center"/>
          </w:tcPr>
          <w:p w14:paraId="55809AEC"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$132,687</w:t>
            </w:r>
          </w:p>
        </w:tc>
      </w:tr>
      <w:tr w:rsidR="00C96A6B" w14:paraId="2C826A6B" w14:textId="77777777" w:rsidTr="00F84945">
        <w:trPr>
          <w:trHeight w:val="567"/>
        </w:trPr>
        <w:tc>
          <w:tcPr>
            <w:tcW w:w="368" w:type="pct"/>
            <w:vMerge/>
            <w:shd w:val="clear" w:color="auto" w:fill="auto"/>
          </w:tcPr>
          <w:p w14:paraId="1E7E7270"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73F8F273"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0.12</w:t>
            </w:r>
          </w:p>
        </w:tc>
        <w:tc>
          <w:tcPr>
            <w:tcW w:w="793" w:type="pct"/>
            <w:shd w:val="clear" w:color="auto" w:fill="FADFA6" w:themeFill="accent3" w:themeFillTint="66"/>
            <w:vAlign w:val="center"/>
          </w:tcPr>
          <w:p w14:paraId="307A15B9" w14:textId="77777777" w:rsidR="00C96A6B" w:rsidRPr="000E4BDE" w:rsidRDefault="00C96A6B" w:rsidP="00F84945">
            <w:pPr>
              <w:pStyle w:val="FigureTableHeading"/>
              <w:spacing w:before="0" w:after="0" w:line="240" w:lineRule="auto"/>
              <w:ind w:left="1440" w:hanging="1440"/>
              <w:jc w:val="center"/>
              <w:rPr>
                <w:rFonts w:ascii="Arial" w:hAnsi="Arial" w:cs="Arial"/>
                <w:sz w:val="18"/>
              </w:rPr>
            </w:pPr>
            <w:r w:rsidRPr="000E4BDE">
              <w:rPr>
                <w:rFonts w:ascii="Arial" w:hAnsi="Arial" w:cs="Arial"/>
                <w:sz w:val="18"/>
              </w:rPr>
              <w:t>$73,277</w:t>
            </w:r>
          </w:p>
        </w:tc>
        <w:tc>
          <w:tcPr>
            <w:tcW w:w="793" w:type="pct"/>
            <w:shd w:val="clear" w:color="auto" w:fill="FADFA6" w:themeFill="accent3" w:themeFillTint="66"/>
            <w:vAlign w:val="center"/>
          </w:tcPr>
          <w:p w14:paraId="56A01C11" w14:textId="77777777" w:rsidR="00C96A6B" w:rsidRPr="000E4BDE" w:rsidRDefault="00C96A6B" w:rsidP="00F84945">
            <w:pPr>
              <w:pStyle w:val="FigureTableHeading"/>
              <w:spacing w:before="0" w:after="0" w:line="240" w:lineRule="auto"/>
              <w:ind w:left="1440" w:hanging="1440"/>
              <w:jc w:val="center"/>
              <w:rPr>
                <w:rFonts w:ascii="Arial" w:hAnsi="Arial" w:cs="Arial"/>
                <w:sz w:val="18"/>
              </w:rPr>
            </w:pPr>
            <w:r w:rsidRPr="000E4BDE">
              <w:rPr>
                <w:rFonts w:ascii="Arial" w:hAnsi="Arial" w:cs="Arial"/>
                <w:sz w:val="18"/>
              </w:rPr>
              <w:t>$95,893</w:t>
            </w:r>
          </w:p>
        </w:tc>
        <w:tc>
          <w:tcPr>
            <w:tcW w:w="793" w:type="pct"/>
            <w:shd w:val="clear" w:color="auto" w:fill="F4B123" w:themeFill="accent3"/>
            <w:vAlign w:val="center"/>
          </w:tcPr>
          <w:p w14:paraId="5761AB6A" w14:textId="77777777" w:rsidR="00C96A6B" w:rsidRPr="000E4BDE" w:rsidRDefault="00C96A6B" w:rsidP="00F84945">
            <w:pPr>
              <w:pStyle w:val="FigureTableHeading"/>
              <w:spacing w:before="0" w:after="0" w:line="240" w:lineRule="auto"/>
              <w:ind w:left="1440" w:hanging="1440"/>
              <w:jc w:val="center"/>
              <w:rPr>
                <w:rFonts w:ascii="Arial" w:hAnsi="Arial" w:cs="Arial"/>
                <w:sz w:val="18"/>
              </w:rPr>
            </w:pPr>
            <w:r w:rsidRPr="000E4BDE">
              <w:rPr>
                <w:rFonts w:ascii="Arial" w:hAnsi="Arial" w:cs="Arial"/>
                <w:sz w:val="18"/>
              </w:rPr>
              <w:t>$106,590</w:t>
            </w:r>
          </w:p>
        </w:tc>
        <w:tc>
          <w:tcPr>
            <w:tcW w:w="793" w:type="pct"/>
            <w:shd w:val="clear" w:color="auto" w:fill="CFBADB" w:themeFill="accent6" w:themeFillTint="66"/>
            <w:vAlign w:val="center"/>
          </w:tcPr>
          <w:p w14:paraId="58F9E948" w14:textId="77777777" w:rsidR="00C96A6B" w:rsidRPr="000E4BDE" w:rsidRDefault="00C96A6B" w:rsidP="00F84945">
            <w:pPr>
              <w:pStyle w:val="FigureTableHeading"/>
              <w:spacing w:before="0" w:after="0" w:line="240" w:lineRule="auto"/>
              <w:ind w:left="1440" w:hanging="1440"/>
              <w:jc w:val="center"/>
              <w:rPr>
                <w:rFonts w:ascii="Arial" w:hAnsi="Arial" w:cs="Arial"/>
                <w:sz w:val="18"/>
              </w:rPr>
            </w:pPr>
            <w:r w:rsidRPr="000E4BDE">
              <w:rPr>
                <w:rFonts w:ascii="Arial" w:hAnsi="Arial" w:cs="Arial"/>
                <w:sz w:val="18"/>
              </w:rPr>
              <w:t>$118,689</w:t>
            </w:r>
          </w:p>
        </w:tc>
        <w:tc>
          <w:tcPr>
            <w:tcW w:w="792" w:type="pct"/>
            <w:shd w:val="clear" w:color="auto" w:fill="FADFA6" w:themeFill="accent3" w:themeFillTint="66"/>
            <w:vAlign w:val="center"/>
          </w:tcPr>
          <w:p w14:paraId="06775EF4" w14:textId="77777777" w:rsidR="00C96A6B" w:rsidRPr="000E4BDE" w:rsidRDefault="00C96A6B" w:rsidP="00F84945">
            <w:pPr>
              <w:pStyle w:val="FigureTableHeading"/>
              <w:spacing w:before="0" w:after="0" w:line="240" w:lineRule="auto"/>
              <w:ind w:left="1440" w:hanging="1440"/>
              <w:jc w:val="center"/>
              <w:rPr>
                <w:rFonts w:ascii="Arial" w:hAnsi="Arial" w:cs="Arial"/>
                <w:sz w:val="18"/>
              </w:rPr>
            </w:pPr>
            <w:r w:rsidRPr="000E4BDE">
              <w:rPr>
                <w:rFonts w:ascii="Arial" w:hAnsi="Arial" w:cs="Arial"/>
                <w:sz w:val="18"/>
              </w:rPr>
              <w:t>$131,962</w:t>
            </w:r>
          </w:p>
        </w:tc>
      </w:tr>
      <w:tr w:rsidR="00C96A6B" w14:paraId="5D7A687B" w14:textId="77777777" w:rsidTr="00F84945">
        <w:trPr>
          <w:trHeight w:val="567"/>
        </w:trPr>
        <w:tc>
          <w:tcPr>
            <w:tcW w:w="368" w:type="pct"/>
            <w:vMerge/>
            <w:shd w:val="clear" w:color="auto" w:fill="auto"/>
          </w:tcPr>
          <w:p w14:paraId="2239520E"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0C0DABFF"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0.18</w:t>
            </w:r>
          </w:p>
        </w:tc>
        <w:tc>
          <w:tcPr>
            <w:tcW w:w="793" w:type="pct"/>
            <w:shd w:val="clear" w:color="auto" w:fill="CBDDF2" w:themeFill="background2" w:themeFillTint="33"/>
            <w:vAlign w:val="center"/>
          </w:tcPr>
          <w:p w14:paraId="038BFF00" w14:textId="77777777" w:rsidR="00C96A6B" w:rsidRPr="000E4BDE" w:rsidRDefault="00C96A6B" w:rsidP="00F84945">
            <w:pPr>
              <w:pStyle w:val="FigureTableHeading"/>
              <w:spacing w:before="0" w:after="0" w:line="240" w:lineRule="auto"/>
              <w:ind w:left="1440" w:hanging="1440"/>
              <w:jc w:val="center"/>
              <w:rPr>
                <w:rFonts w:ascii="Arial" w:hAnsi="Arial" w:cs="Arial"/>
                <w:color w:val="000000"/>
                <w:kern w:val="24"/>
                <w:sz w:val="18"/>
              </w:rPr>
            </w:pPr>
            <w:r w:rsidRPr="000E4BDE">
              <w:rPr>
                <w:rFonts w:ascii="Arial" w:hAnsi="Arial" w:cs="Arial"/>
                <w:sz w:val="18"/>
              </w:rPr>
              <w:t>$72,112</w:t>
            </w:r>
          </w:p>
        </w:tc>
        <w:tc>
          <w:tcPr>
            <w:tcW w:w="793" w:type="pct"/>
            <w:shd w:val="clear" w:color="auto" w:fill="CBDDF2" w:themeFill="background2" w:themeFillTint="33"/>
            <w:vAlign w:val="center"/>
          </w:tcPr>
          <w:p w14:paraId="2CC260AB" w14:textId="77777777" w:rsidR="00C96A6B" w:rsidRPr="000E4BDE" w:rsidRDefault="00C96A6B" w:rsidP="00F84945">
            <w:pPr>
              <w:pStyle w:val="FigureTableHeading"/>
              <w:spacing w:before="0" w:after="0" w:line="240" w:lineRule="auto"/>
              <w:ind w:left="1440" w:hanging="1440"/>
              <w:jc w:val="center"/>
              <w:rPr>
                <w:rFonts w:ascii="Arial" w:hAnsi="Arial" w:cs="Arial"/>
                <w:color w:val="000000"/>
                <w:kern w:val="24"/>
                <w:sz w:val="18"/>
              </w:rPr>
            </w:pPr>
            <w:r w:rsidRPr="000E4BDE">
              <w:rPr>
                <w:rFonts w:ascii="Arial" w:hAnsi="Arial" w:cs="Arial"/>
                <w:sz w:val="18"/>
              </w:rPr>
              <w:t>$94,383</w:t>
            </w:r>
          </w:p>
        </w:tc>
        <w:tc>
          <w:tcPr>
            <w:tcW w:w="793" w:type="pct"/>
            <w:shd w:val="clear" w:color="auto" w:fill="FADFA6" w:themeFill="accent3" w:themeFillTint="66"/>
            <w:vAlign w:val="center"/>
          </w:tcPr>
          <w:p w14:paraId="38034668" w14:textId="77777777" w:rsidR="00C96A6B" w:rsidRPr="000E4BDE" w:rsidRDefault="00C96A6B" w:rsidP="00F84945">
            <w:pPr>
              <w:pStyle w:val="FigureTableHeading"/>
              <w:spacing w:before="0" w:after="0" w:line="240" w:lineRule="auto"/>
              <w:ind w:left="1440" w:hanging="1440"/>
              <w:jc w:val="center"/>
              <w:rPr>
                <w:rFonts w:ascii="Arial" w:hAnsi="Arial" w:cs="Arial"/>
                <w:color w:val="000000"/>
                <w:kern w:val="24"/>
                <w:sz w:val="18"/>
              </w:rPr>
            </w:pPr>
            <w:r w:rsidRPr="000E4BDE">
              <w:rPr>
                <w:rFonts w:ascii="Arial" w:hAnsi="Arial" w:cs="Arial"/>
                <w:sz w:val="18"/>
              </w:rPr>
              <w:t>$104,919</w:t>
            </w:r>
          </w:p>
        </w:tc>
        <w:tc>
          <w:tcPr>
            <w:tcW w:w="793" w:type="pct"/>
            <w:shd w:val="clear" w:color="auto" w:fill="CBDDF2" w:themeFill="background2" w:themeFillTint="33"/>
            <w:vAlign w:val="center"/>
          </w:tcPr>
          <w:p w14:paraId="70B0C5CA" w14:textId="77777777" w:rsidR="00C96A6B" w:rsidRPr="000E4BDE" w:rsidRDefault="00C96A6B" w:rsidP="00F84945">
            <w:pPr>
              <w:pStyle w:val="FigureTableHeading"/>
              <w:spacing w:before="0" w:after="0" w:line="240" w:lineRule="auto"/>
              <w:ind w:left="1440" w:hanging="1440"/>
              <w:jc w:val="center"/>
              <w:rPr>
                <w:rFonts w:ascii="Arial" w:hAnsi="Arial" w:cs="Arial"/>
                <w:color w:val="000000"/>
                <w:kern w:val="24"/>
                <w:sz w:val="18"/>
              </w:rPr>
            </w:pPr>
            <w:r w:rsidRPr="000E4BDE">
              <w:rPr>
                <w:rFonts w:ascii="Arial" w:hAnsi="Arial" w:cs="Arial"/>
                <w:sz w:val="18"/>
              </w:rPr>
              <w:t>$116,835</w:t>
            </w:r>
          </w:p>
        </w:tc>
        <w:tc>
          <w:tcPr>
            <w:tcW w:w="792" w:type="pct"/>
            <w:shd w:val="clear" w:color="auto" w:fill="CBDDF2" w:themeFill="background2" w:themeFillTint="33"/>
            <w:vAlign w:val="center"/>
          </w:tcPr>
          <w:p w14:paraId="48A0D78F" w14:textId="77777777" w:rsidR="00C96A6B" w:rsidRPr="000E4BDE" w:rsidRDefault="00C96A6B" w:rsidP="00F84945">
            <w:pPr>
              <w:pStyle w:val="FigureTableHeading"/>
              <w:spacing w:before="0" w:after="0" w:line="240" w:lineRule="auto"/>
              <w:ind w:left="1440" w:hanging="1440"/>
              <w:jc w:val="center"/>
              <w:rPr>
                <w:rFonts w:ascii="Arial" w:hAnsi="Arial" w:cs="Arial"/>
                <w:color w:val="000000"/>
                <w:kern w:val="24"/>
                <w:sz w:val="18"/>
              </w:rPr>
            </w:pPr>
            <w:r w:rsidRPr="000E4BDE">
              <w:rPr>
                <w:rFonts w:ascii="Arial" w:hAnsi="Arial" w:cs="Arial"/>
                <w:sz w:val="18"/>
              </w:rPr>
              <w:t>$129,909</w:t>
            </w:r>
          </w:p>
        </w:tc>
      </w:tr>
      <w:tr w:rsidR="00C96A6B" w14:paraId="052B8E1A" w14:textId="77777777" w:rsidTr="00F84945">
        <w:trPr>
          <w:trHeight w:val="567"/>
        </w:trPr>
        <w:tc>
          <w:tcPr>
            <w:tcW w:w="368" w:type="pct"/>
            <w:vMerge/>
            <w:shd w:val="clear" w:color="auto" w:fill="auto"/>
          </w:tcPr>
          <w:p w14:paraId="3C07273A" w14:textId="77777777" w:rsidR="00C96A6B" w:rsidRPr="000E4BDE" w:rsidRDefault="00C96A6B" w:rsidP="00F84945">
            <w:pPr>
              <w:pStyle w:val="FigureTableHeading"/>
              <w:spacing w:after="0"/>
              <w:rPr>
                <w:rFonts w:ascii="Arial" w:hAnsi="Arial" w:cs="Arial"/>
                <w:color w:val="auto"/>
                <w:sz w:val="18"/>
              </w:rPr>
            </w:pPr>
          </w:p>
        </w:tc>
        <w:tc>
          <w:tcPr>
            <w:tcW w:w="667" w:type="pct"/>
            <w:shd w:val="clear" w:color="auto" w:fill="265A9A" w:themeFill="background2"/>
            <w:vAlign w:val="center"/>
          </w:tcPr>
          <w:p w14:paraId="7978AF2A" w14:textId="77777777" w:rsidR="00C96A6B" w:rsidRPr="000E4BDE" w:rsidRDefault="00C96A6B" w:rsidP="00F84945">
            <w:pPr>
              <w:pStyle w:val="FigureTableHeading"/>
              <w:spacing w:before="0" w:after="0"/>
              <w:jc w:val="center"/>
              <w:rPr>
                <w:rFonts w:ascii="Arial" w:hAnsi="Arial" w:cs="Arial"/>
                <w:b/>
                <w:color w:val="FFFFFF" w:themeColor="background1"/>
                <w:sz w:val="18"/>
              </w:rPr>
            </w:pPr>
            <w:r w:rsidRPr="000E4BDE">
              <w:rPr>
                <w:rFonts w:ascii="Arial" w:hAnsi="Arial" w:cs="Arial"/>
                <w:b/>
                <w:color w:val="FFFFFF" w:themeColor="background1"/>
                <w:sz w:val="18"/>
              </w:rPr>
              <w:t>0.20</w:t>
            </w:r>
          </w:p>
        </w:tc>
        <w:tc>
          <w:tcPr>
            <w:tcW w:w="793" w:type="pct"/>
            <w:shd w:val="clear" w:color="auto" w:fill="CBDDF2" w:themeFill="background2" w:themeFillTint="33"/>
            <w:vAlign w:val="center"/>
          </w:tcPr>
          <w:p w14:paraId="25E4C8F5"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$71,723</w:t>
            </w:r>
          </w:p>
        </w:tc>
        <w:tc>
          <w:tcPr>
            <w:tcW w:w="793" w:type="pct"/>
            <w:shd w:val="clear" w:color="auto" w:fill="CBDDF2" w:themeFill="background2" w:themeFillTint="33"/>
            <w:vAlign w:val="center"/>
          </w:tcPr>
          <w:p w14:paraId="54FE2BA8"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$93,879</w:t>
            </w:r>
          </w:p>
        </w:tc>
        <w:tc>
          <w:tcPr>
            <w:tcW w:w="793" w:type="pct"/>
            <w:shd w:val="clear" w:color="auto" w:fill="FADFA6" w:themeFill="accent3" w:themeFillTint="66"/>
            <w:vAlign w:val="center"/>
          </w:tcPr>
          <w:p w14:paraId="35DD9EE7"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$104,360</w:t>
            </w:r>
          </w:p>
        </w:tc>
        <w:tc>
          <w:tcPr>
            <w:tcW w:w="793" w:type="pct"/>
            <w:shd w:val="clear" w:color="auto" w:fill="CBDDF2" w:themeFill="background2" w:themeFillTint="33"/>
            <w:vAlign w:val="center"/>
          </w:tcPr>
          <w:p w14:paraId="1225D9B7"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$116,216</w:t>
            </w:r>
          </w:p>
        </w:tc>
        <w:tc>
          <w:tcPr>
            <w:tcW w:w="792" w:type="pct"/>
            <w:shd w:val="clear" w:color="auto" w:fill="CBDDF2" w:themeFill="background2" w:themeFillTint="33"/>
            <w:vAlign w:val="center"/>
          </w:tcPr>
          <w:p w14:paraId="511DF422" w14:textId="77777777" w:rsidR="00C96A6B" w:rsidRPr="000E4BDE" w:rsidRDefault="00C96A6B" w:rsidP="00F84945">
            <w:pPr>
              <w:pStyle w:val="FigureTableHeading"/>
              <w:spacing w:before="0" w:after="0" w:line="240" w:lineRule="auto"/>
              <w:jc w:val="center"/>
              <w:rPr>
                <w:rFonts w:ascii="Arial" w:hAnsi="Arial" w:cs="Arial"/>
                <w:sz w:val="18"/>
              </w:rPr>
            </w:pPr>
            <w:r w:rsidRPr="000E4BDE">
              <w:rPr>
                <w:rFonts w:ascii="Arial" w:hAnsi="Arial" w:cs="Arial"/>
                <w:sz w:val="18"/>
              </w:rPr>
              <w:t>$129,223</w:t>
            </w:r>
          </w:p>
        </w:tc>
      </w:tr>
    </w:tbl>
    <w:p w14:paraId="3FC2FFDB" w14:textId="6E79A2A6" w:rsidR="00340925" w:rsidRDefault="00340925" w:rsidP="003402BE">
      <w:pPr>
        <w:pStyle w:val="Source"/>
        <w:spacing w:after="0"/>
      </w:pPr>
      <w:r w:rsidRPr="003402BE">
        <w:rPr>
          <w:b/>
        </w:rPr>
        <w:t>a.</w:t>
      </w:r>
      <w:r>
        <w:t xml:space="preserve"> The table shows real wages in 2023 under various productivity growth and wage decoupling scenarios, assuming a starting annual salary of $75,706 in 1995.</w:t>
      </w:r>
    </w:p>
    <w:p w14:paraId="349492E6" w14:textId="0C99FAFE" w:rsidR="00FE78DF" w:rsidRDefault="00FE78DF" w:rsidP="00FE78DF">
      <w:pPr>
        <w:pStyle w:val="Source"/>
      </w:pPr>
      <w:r>
        <w:t xml:space="preserve">Source: </w:t>
      </w:r>
      <w:r w:rsidR="000B175E">
        <w:t xml:space="preserve">Productivity </w:t>
      </w:r>
      <w:r>
        <w:t>Commission estimates</w:t>
      </w:r>
    </w:p>
    <w:p w14:paraId="67BD439F" w14:textId="49C95791" w:rsidR="00FE78DF" w:rsidRDefault="0057003E" w:rsidP="00FC319A">
      <w:pPr>
        <w:pStyle w:val="BodyText"/>
      </w:pPr>
      <w:r>
        <w:t>Thus</w:t>
      </w:r>
      <w:r w:rsidR="00F9023D">
        <w:t>,</w:t>
      </w:r>
      <w:r>
        <w:t xml:space="preserve"> o</w:t>
      </w:r>
      <w:r w:rsidR="00FE78DF">
        <w:t>ver the long</w:t>
      </w:r>
      <w:r w:rsidR="4112DA12">
        <w:t>-</w:t>
      </w:r>
      <w:r w:rsidR="00FE78DF">
        <w:t>term</w:t>
      </w:r>
      <w:r w:rsidR="0E242050">
        <w:t>,</w:t>
      </w:r>
      <w:r w:rsidR="00FE78DF">
        <w:t xml:space="preserve"> wage decoupling </w:t>
      </w:r>
      <w:r w:rsidR="00A30DBE">
        <w:t>meant</w:t>
      </w:r>
      <w:r w:rsidR="00FE78DF">
        <w:t xml:space="preserve"> average real annual </w:t>
      </w:r>
      <w:r w:rsidR="001C0210">
        <w:t xml:space="preserve">wages </w:t>
      </w:r>
      <w:r w:rsidR="009437FE">
        <w:t>were</w:t>
      </w:r>
      <w:r w:rsidR="00FE78DF">
        <w:t xml:space="preserve"> about $3,000 </w:t>
      </w:r>
      <w:r w:rsidR="00AC5485">
        <w:t xml:space="preserve">lower </w:t>
      </w:r>
      <w:r w:rsidR="00FE78DF">
        <w:t>in 2023</w:t>
      </w:r>
      <w:r w:rsidR="00A65866">
        <w:t xml:space="preserve"> </w:t>
      </w:r>
      <w:r w:rsidR="006A1397">
        <w:t>th</w:t>
      </w:r>
      <w:r w:rsidR="00D313D3">
        <w:t>a</w:t>
      </w:r>
      <w:r w:rsidR="006A1397">
        <w:t xml:space="preserve">n they would have been </w:t>
      </w:r>
      <w:r w:rsidR="0066604D">
        <w:t>without decoupling.</w:t>
      </w:r>
      <w:r w:rsidR="00A77B18">
        <w:t xml:space="preserve"> </w:t>
      </w:r>
      <w:r w:rsidR="00B70D87">
        <w:t>But higher</w:t>
      </w:r>
      <w:r w:rsidR="00FE78DF">
        <w:t xml:space="preserve"> productivity growth </w:t>
      </w:r>
      <w:r w:rsidR="003B7BC3">
        <w:t>dominates this effect and is far more material</w:t>
      </w:r>
      <w:r w:rsidR="6C171AB3">
        <w:t>,</w:t>
      </w:r>
      <w:r w:rsidR="003B7BC3">
        <w:t xml:space="preserve"> even if the presence of the decoupling we actually observed</w:t>
      </w:r>
      <w:r w:rsidR="00BB05A0">
        <w:t>.</w:t>
      </w:r>
      <w:r w:rsidR="00C96A6B">
        <w:t xml:space="preserve"> </w:t>
      </w:r>
      <w:r w:rsidR="004C632B">
        <w:t>I</w:t>
      </w:r>
      <w:r w:rsidR="70F0F964">
        <w:t>ndeed, if</w:t>
      </w:r>
      <w:r w:rsidR="004C632B">
        <w:t xml:space="preserve"> productivity </w:t>
      </w:r>
      <w:r w:rsidR="004C632B">
        <w:lastRenderedPageBreak/>
        <w:t xml:space="preserve">growth had returned </w:t>
      </w:r>
      <w:r w:rsidR="00FE78DF">
        <w:t xml:space="preserve">to levels previously seen in the </w:t>
      </w:r>
      <w:r w:rsidR="00B145F4">
        <w:t>19</w:t>
      </w:r>
      <w:r w:rsidR="00FE78DF">
        <w:t>90s</w:t>
      </w:r>
      <w:r w:rsidR="005461EB">
        <w:t xml:space="preserve"> </w:t>
      </w:r>
      <w:r w:rsidR="004C632B">
        <w:t>(</w:t>
      </w:r>
      <w:r w:rsidR="005461EB">
        <w:t>of 2.2</w:t>
      </w:r>
      <w:r w:rsidR="004C632B">
        <w:t>%)</w:t>
      </w:r>
      <w:r w:rsidR="00FE78DF">
        <w:t xml:space="preserve"> real annual incomes </w:t>
      </w:r>
      <w:r w:rsidR="004C632B">
        <w:t>would today be</w:t>
      </w:r>
      <w:r w:rsidR="00FE78DF">
        <w:t xml:space="preserve"> </w:t>
      </w:r>
      <w:r w:rsidR="007D1233">
        <w:t>just over</w:t>
      </w:r>
      <w:r w:rsidR="004C632B">
        <w:t xml:space="preserve"> </w:t>
      </w:r>
      <w:r w:rsidR="00FE78DF">
        <w:t>$</w:t>
      </w:r>
      <w:r w:rsidR="00373D48">
        <w:t>25</w:t>
      </w:r>
      <w:r w:rsidR="00B145F4">
        <w:t>,000</w:t>
      </w:r>
      <w:r w:rsidR="004C632B">
        <w:t xml:space="preserve"> higher</w:t>
      </w:r>
      <w:r w:rsidR="00FE78DF">
        <w:t xml:space="preserve">. </w:t>
      </w:r>
    </w:p>
    <w:p w14:paraId="62D80C64" w14:textId="0E88F47F" w:rsidR="00FE78DF" w:rsidRPr="00C96A6B" w:rsidRDefault="004C0D34" w:rsidP="00FC319A">
      <w:pPr>
        <w:pStyle w:val="BodyText"/>
        <w:rPr>
          <w:spacing w:val="-4"/>
        </w:rPr>
      </w:pPr>
      <w:r w:rsidRPr="00C96A6B">
        <w:rPr>
          <w:spacing w:val="-4"/>
        </w:rPr>
        <w:t>In other words, t</w:t>
      </w:r>
      <w:r w:rsidR="00FE78DF" w:rsidRPr="00C96A6B">
        <w:rPr>
          <w:spacing w:val="-4"/>
        </w:rPr>
        <w:t xml:space="preserve">he impact of boosting productivity </w:t>
      </w:r>
      <w:r w:rsidR="43FA7157" w:rsidRPr="00C96A6B">
        <w:rPr>
          <w:spacing w:val="-4"/>
        </w:rPr>
        <w:t xml:space="preserve">far </w:t>
      </w:r>
      <w:r w:rsidR="00FE78DF" w:rsidRPr="00C96A6B">
        <w:rPr>
          <w:spacing w:val="-4"/>
        </w:rPr>
        <w:t xml:space="preserve">outweighs the impact of bridging the </w:t>
      </w:r>
      <w:r w:rsidR="005C63A2" w:rsidRPr="00C96A6B">
        <w:rPr>
          <w:spacing w:val="-4"/>
        </w:rPr>
        <w:t xml:space="preserve">observed </w:t>
      </w:r>
      <w:r w:rsidR="00FE78DF" w:rsidRPr="00C96A6B">
        <w:rPr>
          <w:spacing w:val="-4"/>
        </w:rPr>
        <w:t>productivity</w:t>
      </w:r>
      <w:r w:rsidR="69C57292" w:rsidRPr="00C96A6B">
        <w:rPr>
          <w:spacing w:val="-4"/>
        </w:rPr>
        <w:t xml:space="preserve"> w</w:t>
      </w:r>
      <w:r w:rsidR="00FE78DF" w:rsidRPr="00C96A6B">
        <w:rPr>
          <w:spacing w:val="-4"/>
        </w:rPr>
        <w:t>age gap. And importantly, productivity remains the key to continued wage growth and long</w:t>
      </w:r>
      <w:r w:rsidR="00540877" w:rsidRPr="00C96A6B">
        <w:rPr>
          <w:spacing w:val="-4"/>
        </w:rPr>
        <w:t>-</w:t>
      </w:r>
      <w:r w:rsidR="00FE78DF" w:rsidRPr="00C96A6B">
        <w:rPr>
          <w:spacing w:val="-4"/>
        </w:rPr>
        <w:t>term prosperity.</w:t>
      </w:r>
    </w:p>
    <w:p w14:paraId="15604C2C" w14:textId="77777777" w:rsidR="00FE78DF" w:rsidRDefault="00FE78DF" w:rsidP="00FE78DF">
      <w:pPr>
        <w:pStyle w:val="Heading2-nonumber"/>
      </w:pPr>
      <w:bookmarkStart w:id="4" w:name="_Toc144908624"/>
      <w:r>
        <w:t>The aggregate and the sectoral – a conclusion</w:t>
      </w:r>
      <w:bookmarkEnd w:id="4"/>
    </w:p>
    <w:p w14:paraId="2A56E06B" w14:textId="2776A15F" w:rsidR="00FE78DF" w:rsidRDefault="00FE78DF" w:rsidP="00FC319A">
      <w:pPr>
        <w:pStyle w:val="BodyText"/>
      </w:pPr>
      <w:r>
        <w:t xml:space="preserve">The OECD’s </w:t>
      </w:r>
      <w:r w:rsidRPr="00900CD4">
        <w:rPr>
          <w:i/>
          <w:iCs/>
        </w:rPr>
        <w:t>Compendium of Productivity Indicators</w:t>
      </w:r>
      <w:r>
        <w:t xml:space="preserve"> (2023) provide cross country data on labour productivity and real wage growth, which suggests that the</w:t>
      </w:r>
      <w:r w:rsidR="0064613E">
        <w:t xml:space="preserve"> 0.12 percentage point</w:t>
      </w:r>
      <w:r w:rsidR="0B0FA664">
        <w:t xml:space="preserve"> (</w:t>
      </w:r>
      <w:r w:rsidR="0064613E">
        <w:t>or</w:t>
      </w:r>
      <w:r>
        <w:t xml:space="preserve"> 9%</w:t>
      </w:r>
      <w:r w:rsidR="170A940B">
        <w:t>)</w:t>
      </w:r>
      <w:r>
        <w:t xml:space="preserve"> gap experienced by </w:t>
      </w:r>
      <w:r w:rsidR="00A2744F">
        <w:t>most</w:t>
      </w:r>
      <w:r>
        <w:t xml:space="preserve"> Australians would sit between the Japanese and Austrian whole</w:t>
      </w:r>
      <w:r w:rsidR="21353CF6">
        <w:t xml:space="preserve"> </w:t>
      </w:r>
      <w:r>
        <w:t>of</w:t>
      </w:r>
      <w:r w:rsidR="41F5058E">
        <w:t xml:space="preserve"> </w:t>
      </w:r>
      <w:r>
        <w:t xml:space="preserve">economy experience (figure 5). </w:t>
      </w:r>
    </w:p>
    <w:p w14:paraId="3E2184CD" w14:textId="0094E5E1" w:rsidR="00FE78DF" w:rsidRDefault="54FC5255" w:rsidP="00FC319A">
      <w:pPr>
        <w:pStyle w:val="BodyText"/>
      </w:pPr>
      <w:r>
        <w:t>W</w:t>
      </w:r>
      <w:r w:rsidR="00FE78DF">
        <w:t xml:space="preserve">e, and others, </w:t>
      </w:r>
      <w:r w:rsidR="00961E30">
        <w:t xml:space="preserve">do </w:t>
      </w:r>
      <w:r w:rsidR="00FE78DF">
        <w:t xml:space="preserve">observe wage decoupling in the </w:t>
      </w:r>
      <w:r w:rsidR="6307842D">
        <w:t xml:space="preserve">aggregate </w:t>
      </w:r>
      <w:r w:rsidR="00FE78DF">
        <w:t xml:space="preserve">data. Indeed, </w:t>
      </w:r>
      <w:r w:rsidR="3D6B90EF">
        <w:t>ignoring sectoral differences</w:t>
      </w:r>
      <w:r w:rsidR="00FE78DF">
        <w:t xml:space="preserve">, Australia’s aggregate wage decoupling would put us at the top of the list internationally. But </w:t>
      </w:r>
      <w:r w:rsidR="467ABE49">
        <w:t>the structure of our economy and our</w:t>
      </w:r>
      <w:r w:rsidR="00FE78DF">
        <w:t xml:space="preserve"> experience </w:t>
      </w:r>
      <w:r w:rsidR="67ABE35F">
        <w:t>are very</w:t>
      </w:r>
      <w:r w:rsidR="00454E9B">
        <w:t xml:space="preserve"> </w:t>
      </w:r>
      <w:r w:rsidR="00FE78DF">
        <w:t xml:space="preserve">different </w:t>
      </w:r>
      <w:r w:rsidR="002315EF">
        <w:t xml:space="preserve">from </w:t>
      </w:r>
      <w:r w:rsidR="00FE78DF">
        <w:t>many of these economies</w:t>
      </w:r>
      <w:r w:rsidR="2906FE2E">
        <w:t>.</w:t>
      </w:r>
      <w:r w:rsidR="00C96A6B">
        <w:t xml:space="preserve"> </w:t>
      </w:r>
      <w:r w:rsidR="2906FE2E">
        <w:t>The reality is</w:t>
      </w:r>
      <w:r w:rsidR="000E615B">
        <w:t xml:space="preserve"> </w:t>
      </w:r>
      <w:r w:rsidR="00A25DF5">
        <w:t xml:space="preserve">that </w:t>
      </w:r>
      <w:r w:rsidR="00CD2121">
        <w:t>wage</w:t>
      </w:r>
      <w:r w:rsidR="390D07E3">
        <w:t xml:space="preserve"> </w:t>
      </w:r>
      <w:r w:rsidR="00CD2121">
        <w:t xml:space="preserve">decoupling is more prominent in </w:t>
      </w:r>
      <w:r w:rsidR="00911D7B">
        <w:t xml:space="preserve">primary industries </w:t>
      </w:r>
      <w:r w:rsidR="00727178">
        <w:t xml:space="preserve">which are exposed to international </w:t>
      </w:r>
      <w:r w:rsidR="008C05A7">
        <w:t xml:space="preserve">commodity prices </w:t>
      </w:r>
      <w:r w:rsidR="00AA4DCE" w:rsidRPr="2C52F88E">
        <w:rPr>
          <w:rFonts w:ascii="Arial" w:hAnsi="Arial" w:cs="Arial"/>
        </w:rPr>
        <w:t>(Schwellnus, Kappeler and Pionnier 2017)</w:t>
      </w:r>
      <w:r w:rsidR="00FE78DF">
        <w:t>.</w:t>
      </w:r>
      <w:r w:rsidR="0066137C">
        <w:t xml:space="preserve"> </w:t>
      </w:r>
      <w:r w:rsidR="00CD2E5D">
        <w:t>Once this</w:t>
      </w:r>
      <w:r w:rsidR="3AB55B52">
        <w:t xml:space="preserve"> reality</w:t>
      </w:r>
      <w:r w:rsidR="00CD2E5D">
        <w:t xml:space="preserve"> is </w:t>
      </w:r>
      <w:bookmarkStart w:id="5" w:name="_Int_w8nZbrOK"/>
      <w:r w:rsidR="00CD2E5D">
        <w:t>taken into account</w:t>
      </w:r>
      <w:bookmarkEnd w:id="5"/>
      <w:r w:rsidR="00CD2E5D">
        <w:t xml:space="preserve"> and a careful analysis of Australian decoupling is undertaken, </w:t>
      </w:r>
      <w:bookmarkStart w:id="6" w:name="_Int_g4sXJ0lE"/>
      <w:r w:rsidR="00CD2E5D">
        <w:t>it is clear that the</w:t>
      </w:r>
      <w:bookmarkEnd w:id="6"/>
      <w:r w:rsidR="00CD2E5D">
        <w:t xml:space="preserve"> gap is sectoral in nature.</w:t>
      </w:r>
    </w:p>
    <w:p w14:paraId="26F07DD9" w14:textId="77777777" w:rsidR="00FE78DF" w:rsidRPr="00146382" w:rsidRDefault="00FE78DF" w:rsidP="00FE78DF">
      <w:pPr>
        <w:pStyle w:val="FigureTableHeading"/>
      </w:pPr>
      <w:r>
        <w:t>Figure 5</w:t>
      </w:r>
      <w:r>
        <w:rPr>
          <w:noProof/>
        </w:rPr>
        <w:t xml:space="preserve"> </w:t>
      </w:r>
      <w:r>
        <w:t>– The international experience of decoupling is varied</w:t>
      </w:r>
      <w:r w:rsidRPr="00066CF5">
        <w:rPr>
          <w:vertAlign w:val="superscript"/>
        </w:rPr>
        <w:t>a</w:t>
      </w:r>
    </w:p>
    <w:p w14:paraId="7318AB58" w14:textId="77777777" w:rsidR="00FE78DF" w:rsidRDefault="00FE78DF" w:rsidP="00FE78DF">
      <w:pPr>
        <w:pStyle w:val="FigureTableSubheading"/>
        <w:keepLines/>
        <w:spacing w:after="0"/>
      </w:pPr>
      <w:r>
        <w:t>1995 to 2020</w:t>
      </w:r>
    </w:p>
    <w:p w14:paraId="09276C1A" w14:textId="66A21BC9" w:rsidR="00534448" w:rsidRDefault="00534448" w:rsidP="00FE78DF">
      <w:pPr>
        <w:pStyle w:val="Note"/>
        <w:keepLines/>
        <w:rPr>
          <w:b/>
          <w:bCs/>
        </w:rPr>
      </w:pPr>
      <w:r>
        <w:rPr>
          <w:noProof/>
        </w:rPr>
        <w:drawing>
          <wp:inline distT="0" distB="0" distL="0" distR="0" wp14:anchorId="4045BD58" wp14:editId="2D575C67">
            <wp:extent cx="6120130" cy="2988945"/>
            <wp:effectExtent l="0" t="0" r="0" b="0"/>
            <wp:docPr id="1941670926" name="Picture 1941670926" descr="This chart shows the difference in average annual growth between labour productivity and producer wages (called ‘decoupling’) for a selection of Organisation for Economic Co-operation and Development (OECD) countries between 1995 and 2017. Across all countries, wages roughly kept up with productivity but there was great variation from country to country. In a number of countries such as the Slovak Republic, Greece and the United Kingdom, wages grew more quickly than labour productivity. One the other hand, in a number of other countries, such as Slovenia, Belgium and Australia, productivity growth outstripped wages growth. In Australia, if mining and agriculture are included, productivity exceeds wage growth by almost 30%, placing Australia as having the largest decoupling of the OECD countries in the chart. If these industries are removed, decoupling in Australia is 9%, a small amount of decoupling relative to other countries whose productivity growth exceeded wage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70926" name="Picture 1941670926" descr="This chart shows the difference in average annual growth between labour productivity and producer wages (called ‘decoupling’) for a selection of Organisation for Economic Co-operation and Development (OECD) countries between 1995 and 2017. Across all countries, wages roughly kept up with productivity but there was great variation from country to country. In a number of countries such as the Slovak Republic, Greece and the United Kingdom, wages grew more quickly than labour productivity. One the other hand, in a number of other countries, such as Slovenia, Belgium and Australia, productivity growth outstripped wages growth. In Australia, if mining and agriculture are included, productivity exceeds wage growth by almost 30%, placing Australia as having the largest decoupling of the OECD countries in the chart. If these industries are removed, decoupling in Australia is 9%, a small amount of decoupling relative to other countries whose productivity growth exceeded wage growth."/>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0130" cy="2988945"/>
                    </a:xfrm>
                    <a:prstGeom prst="rect">
                      <a:avLst/>
                    </a:prstGeom>
                  </pic:spPr>
                </pic:pic>
              </a:graphicData>
            </a:graphic>
          </wp:inline>
        </w:drawing>
      </w:r>
    </w:p>
    <w:p w14:paraId="010EF441" w14:textId="2670990C" w:rsidR="00FE78DF" w:rsidRPr="00C96A6B" w:rsidRDefault="00FE78DF" w:rsidP="00FE78DF">
      <w:pPr>
        <w:pStyle w:val="Note"/>
        <w:keepLines/>
        <w:rPr>
          <w:spacing w:val="-4"/>
        </w:rPr>
      </w:pPr>
      <w:r w:rsidRPr="00C96A6B">
        <w:rPr>
          <w:b/>
          <w:bCs/>
          <w:spacing w:val="-4"/>
        </w:rPr>
        <w:t>a.</w:t>
      </w:r>
      <w:r w:rsidR="00C96A6B" w:rsidRPr="00C96A6B">
        <w:rPr>
          <w:spacing w:val="-4"/>
        </w:rPr>
        <w:t xml:space="preserve"> </w:t>
      </w:r>
      <w:r w:rsidRPr="00C96A6B">
        <w:rPr>
          <w:spacing w:val="-4"/>
        </w:rPr>
        <w:t xml:space="preserve">Decoupling is measured as the </w:t>
      </w:r>
      <w:r w:rsidR="0881BACB" w:rsidRPr="00C96A6B">
        <w:rPr>
          <w:spacing w:val="-4"/>
        </w:rPr>
        <w:t xml:space="preserve">percentage </w:t>
      </w:r>
      <w:r w:rsidRPr="00C96A6B">
        <w:rPr>
          <w:spacing w:val="-4"/>
        </w:rPr>
        <w:t>difference between annual growth rates in labour productivity and real producer wages over the period from 1995 to 2020 with the exception of Canada (1997–2018) and the United States (1997–2020).</w:t>
      </w:r>
    </w:p>
    <w:p w14:paraId="35BD1551" w14:textId="5B40742A" w:rsidR="00FE78DF" w:rsidRDefault="00FE78DF" w:rsidP="00FE78DF">
      <w:pPr>
        <w:pStyle w:val="Source"/>
      </w:pPr>
      <w:r>
        <w:t xml:space="preserve">Source: </w:t>
      </w:r>
      <w:r w:rsidR="00E040A9">
        <w:t xml:space="preserve">Productivity </w:t>
      </w:r>
      <w:r>
        <w:t>Commission estimates, OECD (2023).</w:t>
      </w:r>
    </w:p>
    <w:p w14:paraId="47230D99" w14:textId="36B2DE47" w:rsidR="007A1130" w:rsidRDefault="007A1130" w:rsidP="007A1130">
      <w:pPr>
        <w:pStyle w:val="BodyText"/>
      </w:pPr>
      <w:r>
        <w:t xml:space="preserve">Different conclusions on wage decoupling can be reached depending on the data used and the approach to managing divergences in decoupling within different sectors. Indeed, the conclusions presented in this note – that wages and productivity remain strongly linked – contrast sharply with other less rigorous analyses which ignore sectoral issues and only consider the aggregate picture. The OECD data in </w:t>
      </w:r>
      <w:r w:rsidR="00AE158C">
        <w:t>f</w:t>
      </w:r>
      <w:r>
        <w:t>igure 5 highlights this, but also highlights the importance of understanding the nuances of wage decoupling.</w:t>
      </w:r>
    </w:p>
    <w:p w14:paraId="26CD86DE" w14:textId="6ED3D0A4" w:rsidR="00405F73" w:rsidRDefault="00164641" w:rsidP="00C53D6D">
      <w:pPr>
        <w:pStyle w:val="BodyText"/>
      </w:pPr>
      <w:r>
        <w:lastRenderedPageBreak/>
        <w:t xml:space="preserve">We </w:t>
      </w:r>
      <w:r w:rsidR="007A1130">
        <w:t>trust</w:t>
      </w:r>
      <w:r>
        <w:t xml:space="preserve"> that by setting out all the variables and all the different ways the data can be presented</w:t>
      </w:r>
      <w:r w:rsidR="00B4398A">
        <w:t xml:space="preserve"> in the appendices</w:t>
      </w:r>
      <w:r>
        <w:t xml:space="preserve">, </w:t>
      </w:r>
      <w:r w:rsidR="007A1130">
        <w:t>this helps the reader understand the various ways this analysis can be completed.</w:t>
      </w:r>
      <w:r w:rsidR="00785B79">
        <w:t xml:space="preserve"> </w:t>
      </w:r>
      <w:r w:rsidR="00C53D6D" w:rsidRPr="00C53D6D">
        <w:t xml:space="preserve">While there is general agreement – or rather, common practice – on how to measure labour productivity, the same cannot be said for how to measure wages. </w:t>
      </w:r>
      <w:r w:rsidR="00405F73">
        <w:t xml:space="preserve">There are </w:t>
      </w:r>
      <w:r w:rsidR="10EB01EA">
        <w:t>several</w:t>
      </w:r>
      <w:r w:rsidR="00405F73">
        <w:t xml:space="preserve"> variables that influence the outcome.</w:t>
      </w:r>
    </w:p>
    <w:p w14:paraId="35BBB5C9" w14:textId="77777777" w:rsidR="00C53D6D" w:rsidRPr="00C53D6D" w:rsidRDefault="00C53D6D" w:rsidP="00C53D6D">
      <w:pPr>
        <w:pStyle w:val="BodyText"/>
      </w:pPr>
      <w:r w:rsidRPr="00C53D6D">
        <w:t xml:space="preserve">Measuring real wages requires a combination of a measure of total labour income, a measure of hours worked and a measure of price inflation. </w:t>
      </w:r>
      <w:r w:rsidR="0014535D">
        <w:t>Wages are distinct from income</w:t>
      </w:r>
      <w:r w:rsidR="0014535D" w:rsidRPr="001E28EC">
        <w:t>, as income tend</w:t>
      </w:r>
      <w:r w:rsidR="0014535D">
        <w:t>s</w:t>
      </w:r>
      <w:r w:rsidR="0014535D" w:rsidRPr="001E28EC">
        <w:t xml:space="preserve"> to be a combination of wages, returns on capital and any transfers received</w:t>
      </w:r>
      <w:r w:rsidR="0014535D">
        <w:t>. Wages represent the return to labour hours worked – which is what we are more interested in for this analysis.</w:t>
      </w:r>
    </w:p>
    <w:p w14:paraId="7D39B044" w14:textId="30E122E4" w:rsidR="007A1130" w:rsidRPr="00C53D6D" w:rsidRDefault="00B247F6" w:rsidP="007A1130">
      <w:pPr>
        <w:pStyle w:val="BodyText"/>
      </w:pPr>
      <w:r>
        <w:t xml:space="preserve">Our reasoning for the choices, as well as </w:t>
      </w:r>
      <w:r w:rsidR="00BA1B3B">
        <w:t xml:space="preserve">a presentation of how the results change under different data choices, are </w:t>
      </w:r>
      <w:r w:rsidR="00C53D6D" w:rsidRPr="00C53D6D">
        <w:t xml:space="preserve">detailed in </w:t>
      </w:r>
      <w:r w:rsidR="00C53D6D" w:rsidRPr="00696A1F">
        <w:t xml:space="preserve">appendix </w:t>
      </w:r>
      <w:r w:rsidR="00696A1F" w:rsidRPr="00696A1F">
        <w:t>A</w:t>
      </w:r>
      <w:r w:rsidR="00C53D6D" w:rsidRPr="00C53D6D">
        <w:t xml:space="preserve">. </w:t>
      </w:r>
      <w:r w:rsidR="006446E1">
        <w:t xml:space="preserve">Regardless of how the data </w:t>
      </w:r>
      <w:r w:rsidR="007A1130">
        <w:t>is cut</w:t>
      </w:r>
      <w:r w:rsidR="006446E1">
        <w:t xml:space="preserve">, </w:t>
      </w:r>
      <w:r w:rsidR="00C633B7">
        <w:t xml:space="preserve">in the Australian case, for the majority of </w:t>
      </w:r>
      <w:r w:rsidR="003C3623">
        <w:t>wage earners</w:t>
      </w:r>
      <w:r w:rsidR="00C633B7">
        <w:t>, there has been a relatively small amount of wage decoupling</w:t>
      </w:r>
      <w:r w:rsidR="38B7BC1B">
        <w:t xml:space="preserve">, with workers in several sectors experiencing zero or negative </w:t>
      </w:r>
      <w:r w:rsidR="50487D81">
        <w:t xml:space="preserve">wage </w:t>
      </w:r>
      <w:r w:rsidR="38B7BC1B">
        <w:t>decoupling</w:t>
      </w:r>
      <w:r w:rsidR="00751D37">
        <w:t xml:space="preserve">. </w:t>
      </w:r>
      <w:r w:rsidR="007A1130">
        <w:t>On the other hand, if</w:t>
      </w:r>
      <w:r w:rsidR="00751D37">
        <w:t xml:space="preserve"> productivity growth could be lifted by a few </w:t>
      </w:r>
      <w:r w:rsidR="0014535D">
        <w:t xml:space="preserve">fractions of </w:t>
      </w:r>
      <w:r w:rsidR="00301990">
        <w:t xml:space="preserve">a </w:t>
      </w:r>
      <w:r w:rsidR="00751D37">
        <w:t xml:space="preserve">percentage point, the </w:t>
      </w:r>
      <w:r w:rsidR="00F55BA8">
        <w:t>short- and long-term</w:t>
      </w:r>
      <w:r w:rsidR="00751D37">
        <w:t xml:space="preserve"> impact of decoupling </w:t>
      </w:r>
      <w:r w:rsidR="00CB1799">
        <w:t xml:space="preserve">of the magnitude observed over the past </w:t>
      </w:r>
      <w:r w:rsidR="00F64FAA">
        <w:t>two</w:t>
      </w:r>
      <w:r w:rsidR="00CB1799">
        <w:t xml:space="preserve"> decades would </w:t>
      </w:r>
      <w:r w:rsidR="00751D37">
        <w:t>become negligible</w:t>
      </w:r>
      <w:r w:rsidR="64AD1042">
        <w:t>.</w:t>
      </w:r>
      <w:r w:rsidR="00C96A6B">
        <w:t xml:space="preserve"> </w:t>
      </w:r>
      <w:r w:rsidR="64AD1042">
        <w:t>That</w:t>
      </w:r>
      <w:r w:rsidR="00751D37">
        <w:t xml:space="preserve"> is where the Commission, in its </w:t>
      </w:r>
      <w:r w:rsidR="00751D37" w:rsidRPr="00C113EC">
        <w:rPr>
          <w:i/>
        </w:rPr>
        <w:t>Advancing Prosperity</w:t>
      </w:r>
      <w:r w:rsidR="00C633B7">
        <w:t xml:space="preserve"> </w:t>
      </w:r>
      <w:r w:rsidR="00CF2872">
        <w:t xml:space="preserve">report, </w:t>
      </w:r>
      <w:r w:rsidR="006F2C1C">
        <w:t>has put the emphasis for moving forward.</w:t>
      </w:r>
      <w:r w:rsidR="00C96A6B">
        <w:t xml:space="preserve"> </w:t>
      </w:r>
    </w:p>
    <w:p w14:paraId="2332FB3F" w14:textId="77777777" w:rsidR="00C96A6B" w:rsidRDefault="007610D6" w:rsidP="0077480E">
      <w:pPr>
        <w:pStyle w:val="Heading2-nonumber"/>
        <w:sectPr w:rsidR="00C96A6B" w:rsidSect="00ED58B8">
          <w:headerReference w:type="even" r:id="rId36"/>
          <w:headerReference w:type="default" r:id="rId37"/>
          <w:footerReference w:type="even" r:id="rId38"/>
          <w:footerReference w:type="default" r:id="rId39"/>
          <w:pgSz w:w="11906" w:h="16838" w:code="9"/>
          <w:pgMar w:top="1134" w:right="1134" w:bottom="1134" w:left="1134" w:header="794" w:footer="510" w:gutter="0"/>
          <w:pgNumType w:start="1"/>
          <w:cols w:space="708"/>
          <w:docGrid w:linePitch="360"/>
        </w:sectPr>
      </w:pPr>
      <w:bookmarkStart w:id="7" w:name="_Toc144908625"/>
      <w:r>
        <w:t>R</w:t>
      </w:r>
      <w:r w:rsidR="00A91551">
        <w:t>eference</w:t>
      </w:r>
      <w:r w:rsidR="00C96A6B">
        <w:t>s</w:t>
      </w:r>
      <w:bookmarkEnd w:id="7"/>
    </w:p>
    <w:p w14:paraId="4AD53AA3" w14:textId="347677A6" w:rsidR="00AD1C97" w:rsidRPr="00AD1C97" w:rsidRDefault="00AD1C97" w:rsidP="00C96A6B">
      <w:pPr>
        <w:pStyle w:val="Reference"/>
      </w:pPr>
      <w:r w:rsidRPr="00AD1C97">
        <w:t xml:space="preserve">ABS 2023, </w:t>
      </w:r>
      <w:r w:rsidRPr="00AD1C97">
        <w:rPr>
          <w:i/>
          <w:iCs/>
        </w:rPr>
        <w:t>ABS Catalogue 5206.0, Table 24.</w:t>
      </w:r>
      <w:r w:rsidRPr="00AD1C97">
        <w:t>, https://www.abs.gov.au/statistics/economy/national-accounts/australian-national-accounts-national-income-expenditure-and-product/latest-release#data-downloads (accessed 4 August 2023).</w:t>
      </w:r>
    </w:p>
    <w:p w14:paraId="71375B4D" w14:textId="77777777" w:rsidR="004B5CD8" w:rsidRPr="004B5CD8" w:rsidRDefault="004B5CD8" w:rsidP="00C96A6B">
      <w:pPr>
        <w:pStyle w:val="Reference"/>
      </w:pPr>
      <w:r w:rsidRPr="004B5CD8">
        <w:t xml:space="preserve">ACTU (Australian Council of Trade Unions) 2022, </w:t>
      </w:r>
      <w:r w:rsidRPr="004B5CD8">
        <w:rPr>
          <w:i/>
          <w:iCs/>
        </w:rPr>
        <w:t>Senate Inquiry into the Secure Jobs Better Pay Bill 2022 - ACTU Submission</w:t>
      </w:r>
      <w:r w:rsidRPr="004B5CD8">
        <w:t>, 11 November.</w:t>
      </w:r>
    </w:p>
    <w:p w14:paraId="73B67BE0" w14:textId="77777777" w:rsidR="00AD1C97" w:rsidRPr="00AD1C97" w:rsidRDefault="00AD1C97" w:rsidP="00C96A6B">
      <w:pPr>
        <w:pStyle w:val="Reference"/>
      </w:pPr>
      <w:r w:rsidRPr="00AD1C97">
        <w:t xml:space="preserve">Meloni, W. and Stirati, A. 2023, ‘The decoupling between labour compensation and productivity in high income countries: Why is the nexus broken?’, </w:t>
      </w:r>
      <w:r w:rsidRPr="00AD1C97">
        <w:rPr>
          <w:i/>
          <w:iCs/>
        </w:rPr>
        <w:t>British Journal of Industrial Relations</w:t>
      </w:r>
      <w:r w:rsidRPr="00AD1C97">
        <w:t>, vol. 61, no. 2, pp. 425–463.</w:t>
      </w:r>
    </w:p>
    <w:p w14:paraId="3ABB3796" w14:textId="77777777" w:rsidR="00AD1C97" w:rsidRPr="00AD1C97" w:rsidRDefault="00AD1C97" w:rsidP="00C96A6B">
      <w:pPr>
        <w:pStyle w:val="Reference"/>
      </w:pPr>
      <w:r w:rsidRPr="00AD1C97">
        <w:t xml:space="preserve">OECD (Organisation for Economic Co-operation and Development) 2018, </w:t>
      </w:r>
      <w:r w:rsidRPr="00AD1C97">
        <w:rPr>
          <w:i/>
          <w:iCs/>
        </w:rPr>
        <w:t>OECD Economic Outlook</w:t>
      </w:r>
      <w:r w:rsidRPr="00AD1C97">
        <w:t xml:space="preserve">, vol 2018 (2), </w:t>
      </w:r>
      <w:r w:rsidRPr="00AD1C97">
        <w:t>Organisation for Economic Co-operation and Development, Paris, https://www.oecd-ilibrary.org/economics/oecd-economic-outlook-volume-2018-issue-2_eco_outlook-v2018-2-en (accessed 20 June 2023).</w:t>
      </w:r>
    </w:p>
    <w:p w14:paraId="3B504F08" w14:textId="77777777" w:rsidR="00AD1C97" w:rsidRPr="00AD1C97" w:rsidRDefault="00AD1C97" w:rsidP="00C96A6B">
      <w:pPr>
        <w:pStyle w:val="Reference"/>
      </w:pPr>
      <w:r w:rsidRPr="00AD1C97">
        <w:t xml:space="preserve">Schwellnus, C., Kappeler, A. and Pionnier, P.-A. 2017, </w:t>
      </w:r>
      <w:r w:rsidRPr="00AD1C97">
        <w:rPr>
          <w:i/>
          <w:iCs/>
        </w:rPr>
        <w:t>Decoupling of wages from productivity: Macro-level facts</w:t>
      </w:r>
      <w:r w:rsidRPr="00AD1C97">
        <w:t>, 24 January, No. 1373, OECD Economics Department Working Papers, OECD.</w:t>
      </w:r>
    </w:p>
    <w:p w14:paraId="12F4C212" w14:textId="77777777" w:rsidR="00AD1C97" w:rsidRPr="00AD1C97" w:rsidRDefault="00AD1C97" w:rsidP="00C96A6B">
      <w:pPr>
        <w:pStyle w:val="Reference"/>
      </w:pPr>
      <w:r w:rsidRPr="00AD1C97">
        <w:t xml:space="preserve">Stanford, J. 2018, ‘The Declining Labour Share in Australia: Definition, Measurement, and International Comparisons’, </w:t>
      </w:r>
      <w:r w:rsidRPr="00AD1C97">
        <w:rPr>
          <w:i/>
          <w:iCs/>
        </w:rPr>
        <w:t>Journal of Australian Political Economy</w:t>
      </w:r>
      <w:r w:rsidRPr="00AD1C97">
        <w:t>, vol. 81, pp. 11–32.</w:t>
      </w:r>
    </w:p>
    <w:p w14:paraId="01CED886" w14:textId="77777777" w:rsidR="00F1500A" w:rsidRDefault="00AD1C97" w:rsidP="00C96A6B">
      <w:pPr>
        <w:pStyle w:val="Reference"/>
        <w:sectPr w:rsidR="00F1500A" w:rsidSect="00F1500A">
          <w:type w:val="continuous"/>
          <w:pgSz w:w="11906" w:h="16838" w:code="9"/>
          <w:pgMar w:top="1134" w:right="1134" w:bottom="1134" w:left="1134" w:header="794" w:footer="510" w:gutter="0"/>
          <w:cols w:num="2" w:space="708"/>
          <w:docGrid w:linePitch="360"/>
        </w:sectPr>
      </w:pPr>
      <w:r w:rsidRPr="00AD1C97">
        <w:t xml:space="preserve">——, Macdonald, F. and Raynes, L. 2022, </w:t>
      </w:r>
      <w:r w:rsidRPr="00AD1C97">
        <w:rPr>
          <w:i/>
          <w:iCs/>
        </w:rPr>
        <w:t>Collective Bargaining and Wage Growth in Australia</w:t>
      </w:r>
      <w:r w:rsidRPr="00AD1C97">
        <w:t>, 15 November, The Centre for Future Work.</w:t>
      </w:r>
    </w:p>
    <w:p w14:paraId="52C5F00C" w14:textId="77777777" w:rsidR="00AD1C97" w:rsidRPr="00AD1C97" w:rsidRDefault="00AD1C97" w:rsidP="00C96A6B">
      <w:pPr>
        <w:pStyle w:val="Reference"/>
      </w:pPr>
    </w:p>
    <w:p w14:paraId="4C96BA5C" w14:textId="0A45D7DA" w:rsidR="00A91551" w:rsidRPr="00A91551" w:rsidRDefault="00A91551" w:rsidP="00C96A6B">
      <w:pPr>
        <w:pStyle w:val="Reference"/>
      </w:pPr>
    </w:p>
    <w:sectPr w:rsidR="00A91551" w:rsidRPr="00A91551" w:rsidSect="00F1500A">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2115" w14:textId="77777777" w:rsidR="00965FF3" w:rsidRDefault="00965FF3" w:rsidP="008017BC">
      <w:r>
        <w:separator/>
      </w:r>
    </w:p>
    <w:p w14:paraId="37AEDF79" w14:textId="77777777" w:rsidR="00965FF3" w:rsidRDefault="00965FF3"/>
  </w:endnote>
  <w:endnote w:type="continuationSeparator" w:id="0">
    <w:p w14:paraId="3FB356DF" w14:textId="77777777" w:rsidR="00965FF3" w:rsidRDefault="00965FF3" w:rsidP="008017BC">
      <w:r>
        <w:continuationSeparator/>
      </w:r>
    </w:p>
    <w:p w14:paraId="5E1877AF" w14:textId="77777777" w:rsidR="00965FF3" w:rsidRDefault="00965FF3"/>
  </w:endnote>
  <w:endnote w:type="continuationNotice" w:id="1">
    <w:p w14:paraId="03589A55" w14:textId="77777777" w:rsidR="00965FF3" w:rsidRDefault="00965F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B804" w14:textId="77777777" w:rsidR="0077480E" w:rsidRPr="00187F05" w:rsidRDefault="0077480E"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4FED" w14:textId="77777777" w:rsidR="0077480E" w:rsidRDefault="0077480E">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1185" w14:textId="77777777" w:rsidR="0077480E" w:rsidRDefault="0077480E">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114300" distR="114300" simplePos="0" relativeHeight="251658241" behindDoc="0" locked="1" layoutInCell="1" allowOverlap="1" wp14:anchorId="6ECCD53F" wp14:editId="431DC281">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C9BC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C82DFE" w14:textId="77777777" w:rsidR="0077480E" w:rsidRDefault="0077480E" w:rsidP="00B938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CD53F" id="Rectangle 11" o:spid="_x0000_s1026" alt="&quot;&quot;" style="position:absolute;margin-left:0;margin-top:0;width:595.3pt;height:566.9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" fillcolor="#2c9bc2" stroked="f" strokeweight="1pt">
              <v:textbox>
                <w:txbxContent>
                  <w:p w14:paraId="30C82DFE" w14:textId="77777777" w:rsidR="0077480E" w:rsidRDefault="0077480E" w:rsidP="00B938AB"/>
                </w:txbxContent>
              </v:textbox>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B5E" w14:textId="77777777" w:rsidR="00BE3EE3" w:rsidRDefault="00BE3EE3"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527536"/>
      <w:docPartObj>
        <w:docPartGallery w:val="Page Numbers (Bottom of Page)"/>
        <w:docPartUnique/>
      </w:docPartObj>
    </w:sdtPr>
    <w:sdtContent>
      <w:sdt>
        <w:sdtPr>
          <w:id w:val="-1701540158"/>
          <w:docPartObj>
            <w:docPartGallery w:val="Page Numbers (Top of Page)"/>
            <w:docPartUnique/>
          </w:docPartObj>
        </w:sdtPr>
        <w:sdtContent>
          <w:p w14:paraId="61D5B3DB" w14:textId="77777777" w:rsidR="00BE3EE3" w:rsidRDefault="00BE3EE3"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F9A8" w14:textId="77777777" w:rsidR="0077480E" w:rsidRDefault="0077480E"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075743"/>
      <w:docPartObj>
        <w:docPartGallery w:val="Page Numbers (Bottom of Page)"/>
        <w:docPartUnique/>
      </w:docPartObj>
    </w:sdtPr>
    <w:sdtContent>
      <w:sdt>
        <w:sdtPr>
          <w:id w:val="-1346011266"/>
          <w:docPartObj>
            <w:docPartGallery w:val="Page Numbers (Top of Page)"/>
            <w:docPartUnique/>
          </w:docPartObj>
        </w:sdtPr>
        <w:sdtContent>
          <w:p w14:paraId="08BFB7D8" w14:textId="77777777" w:rsidR="0077480E" w:rsidRDefault="0077480E"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E245" w14:textId="10A4FF29" w:rsidR="00D15113" w:rsidRDefault="00ED58B8" w:rsidP="002E3F19">
    <w:pPr>
      <w:pStyle w:val="Footer"/>
    </w:pPr>
    <w:r>
      <w:fldChar w:fldCharType="begin"/>
    </w:r>
    <w:r>
      <w:instrText xml:space="preserve"> PAGE  \* Arabic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385D2F6B"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D2E2" w14:textId="77777777" w:rsidR="00965FF3" w:rsidRPr="00C238D1" w:rsidRDefault="00965FF3" w:rsidP="00273E86">
      <w:pPr>
        <w:spacing w:after="0" w:line="240" w:lineRule="auto"/>
        <w:rPr>
          <w:rStyle w:val="ColourDarkBlue"/>
        </w:rPr>
      </w:pPr>
      <w:r w:rsidRPr="00C238D1">
        <w:rPr>
          <w:rStyle w:val="ColourDarkBlue"/>
        </w:rPr>
        <w:continuationSeparator/>
      </w:r>
    </w:p>
  </w:footnote>
  <w:footnote w:type="continuationSeparator" w:id="0">
    <w:p w14:paraId="73CB06CA" w14:textId="77777777" w:rsidR="00965FF3" w:rsidRPr="001D7D9B" w:rsidRDefault="00965FF3" w:rsidP="001D7D9B">
      <w:pPr>
        <w:spacing w:after="0" w:line="240" w:lineRule="auto"/>
        <w:rPr>
          <w:color w:val="265A9A" w:themeColor="background2"/>
        </w:rPr>
      </w:pPr>
      <w:r w:rsidRPr="00C238D1">
        <w:rPr>
          <w:rStyle w:val="ColourDarkBlue"/>
        </w:rPr>
        <w:continuationSeparator/>
      </w:r>
    </w:p>
  </w:footnote>
  <w:footnote w:type="continuationNotice" w:id="1">
    <w:p w14:paraId="2AECB5E6" w14:textId="77777777" w:rsidR="00965FF3" w:rsidRDefault="00965FF3"/>
  </w:footnote>
  <w:footnote w:id="2">
    <w:p w14:paraId="58DFDA39" w14:textId="5F4B1F8A" w:rsidR="00D11A83" w:rsidRDefault="00D11A83">
      <w:pPr>
        <w:pStyle w:val="FootnoteText"/>
      </w:pPr>
      <w:r>
        <w:rPr>
          <w:rStyle w:val="FootnoteReference"/>
        </w:rPr>
        <w:footnoteRef/>
      </w:r>
      <w:r>
        <w:t xml:space="preserve"> For consistency</w:t>
      </w:r>
      <w:r w:rsidR="00DC5206">
        <w:t xml:space="preserve"> with the rest of the paper, average annualised wages are estimated using the </w:t>
      </w:r>
      <w:r w:rsidR="00B11B33">
        <w:t xml:space="preserve">Commissions </w:t>
      </w:r>
      <w:r w:rsidR="00DC5206">
        <w:t xml:space="preserve">preferred </w:t>
      </w:r>
      <w:r w:rsidR="00271F28">
        <w:t xml:space="preserve">measure of wages </w:t>
      </w:r>
      <w:r w:rsidR="00B11B33">
        <w:t xml:space="preserve">for this exercise - </w:t>
      </w:r>
      <w:r w:rsidR="009B1AF4">
        <w:t>compensation of employees,</w:t>
      </w:r>
      <w:r w:rsidR="00B11B33">
        <w:t xml:space="preserve"> divided by hours worked (see appendix </w:t>
      </w:r>
      <w:r w:rsidR="005B7E93">
        <w:t>A.2). This hourly salary is multiplied by 38 hours per week and 52 weeks in the year to convert to an annualised salary</w:t>
      </w:r>
      <w:r w:rsidR="0066328E">
        <w:t xml:space="preserve">, and inflated to 2023 </w:t>
      </w:r>
      <w:r w:rsidR="00143F1F">
        <w:t xml:space="preserve">using the GVA deflator (see appendix </w:t>
      </w:r>
      <w:r w:rsidR="00B93F89">
        <w:t>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823" w14:textId="21DA1230" w:rsidR="0077480E" w:rsidRDefault="0077480E" w:rsidP="00A31831">
    <w:pPr>
      <w:pStyle w:val="Header-Keyline"/>
    </w:pPr>
    <w:r>
      <w:rPr>
        <w:rStyle w:val="Strong"/>
      </w:rPr>
      <w:t>PC productivity insights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9FF1" w14:textId="77777777" w:rsidR="00B24DA5" w:rsidRDefault="00B24DA5" w:rsidP="00B24DA5">
    <w:pPr>
      <w:pStyle w:val="Header-KeylineRight"/>
    </w:pPr>
    <w:r>
      <w:t>Productivity growth and wages – a forensic look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C6AE" w14:textId="77777777" w:rsidR="0077480E" w:rsidRPr="007215EF" w:rsidRDefault="0077480E" w:rsidP="007215EF">
    <w:r w:rsidRPr="007215EF">
      <w:rPr>
        <w:noProof/>
      </w:rPr>
      <w:drawing>
        <wp:anchor distT="0" distB="0" distL="114300" distR="114300" simplePos="0" relativeHeight="251658240" behindDoc="0" locked="1" layoutInCell="1" allowOverlap="1" wp14:anchorId="1D366BE6" wp14:editId="4BD61412">
          <wp:simplePos x="0" y="0"/>
          <wp:positionH relativeFrom="margin">
            <wp:align>left</wp:align>
          </wp:positionH>
          <wp:positionV relativeFrom="page">
            <wp:align>top</wp:align>
          </wp:positionV>
          <wp:extent cx="2235600" cy="1058400"/>
          <wp:effectExtent l="0" t="0" r="0" b="8890"/>
          <wp:wrapNone/>
          <wp:docPr id="841133908" name="Graphic 841133908"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55FBA5" w14:textId="77777777" w:rsidR="0077480E" w:rsidRPr="005965BC" w:rsidRDefault="0077480E"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54D3" w14:textId="77777777" w:rsidR="0077480E" w:rsidRDefault="0077480E" w:rsidP="00F173EF">
    <w:pPr>
      <w:pStyle w:val="Header-Keyline"/>
    </w:pPr>
    <w:r>
      <w:rPr>
        <w:rStyle w:val="Strong"/>
      </w:rPr>
      <w:t xml:space="preserve">PC productivity insights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7FB4" w14:textId="77777777" w:rsidR="0077480E" w:rsidRDefault="0077480E" w:rsidP="00F173EF">
    <w:pPr>
      <w:pStyle w:val="Header-KeylineRight"/>
    </w:pPr>
    <w:r>
      <w:t>Productivity growth and wages – a forensic look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9140" w14:textId="42884BC0" w:rsidR="00F173EF" w:rsidRDefault="001633FB" w:rsidP="00F173EF">
    <w:pPr>
      <w:pStyle w:val="Header-Keyline"/>
    </w:pPr>
    <w:r>
      <w:rPr>
        <w:rStyle w:val="Strong"/>
      </w:rPr>
      <w:t xml:space="preserve">PC </w:t>
    </w:r>
    <w:r w:rsidR="00F1500A">
      <w:rPr>
        <w:rStyle w:val="Strong"/>
      </w:rPr>
      <w:t>p</w:t>
    </w:r>
    <w:r>
      <w:rPr>
        <w:rStyle w:val="Strong"/>
      </w:rPr>
      <w:t>roductivity insights</w:t>
    </w:r>
    <w:r w:rsidR="00F173EF">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7A14" w14:textId="77777777" w:rsidR="0077480E" w:rsidRDefault="0077480E" w:rsidP="0077480E">
    <w:pPr>
      <w:pStyle w:val="Header-KeylineRight"/>
    </w:pPr>
    <w:r>
      <w:t>Productivity growth and wages – a forensic look</w:t>
    </w:r>
  </w:p>
</w:hdr>
</file>

<file path=word/intelligence2.xml><?xml version="1.0" encoding="utf-8"?>
<int2:intelligence xmlns:int2="http://schemas.microsoft.com/office/intelligence/2020/intelligence" xmlns:oel="http://schemas.microsoft.com/office/2019/extlst">
  <int2:observations>
    <int2:bookmark int2:bookmarkName="_Int_g4sXJ0lE" int2:invalidationBookmarkName="" int2:hashCode="6CKtEzNINSJzth" int2:id="Csi0jezq">
      <int2:state int2:value="Rejected" int2:type="AugLoop_Text_Critique"/>
    </int2:bookmark>
    <int2:bookmark int2:bookmarkName="_Int_w8nZbrOK" int2:invalidationBookmarkName="" int2:hashCode="wYBAQbIVzVCihN" int2:id="Va5wek4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C78CA6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104F0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2F066C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E82CC2"/>
    <w:multiLevelType w:val="hybridMultilevel"/>
    <w:tmpl w:val="FFFFFFFF"/>
    <w:lvl w:ilvl="0" w:tplc="FA32DB98">
      <w:start w:val="1"/>
      <w:numFmt w:val="bullet"/>
      <w:lvlText w:val=""/>
      <w:lvlJc w:val="left"/>
      <w:pPr>
        <w:ind w:left="720" w:hanging="360"/>
      </w:pPr>
      <w:rPr>
        <w:rFonts w:ascii="Symbol" w:hAnsi="Symbol" w:hint="default"/>
      </w:rPr>
    </w:lvl>
    <w:lvl w:ilvl="1" w:tplc="0BAACCF6">
      <w:start w:val="1"/>
      <w:numFmt w:val="bullet"/>
      <w:lvlText w:val="o"/>
      <w:lvlJc w:val="left"/>
      <w:pPr>
        <w:ind w:left="1440" w:hanging="360"/>
      </w:pPr>
      <w:rPr>
        <w:rFonts w:ascii="Courier New" w:hAnsi="Courier New" w:hint="default"/>
      </w:rPr>
    </w:lvl>
    <w:lvl w:ilvl="2" w:tplc="B2D2C3A2">
      <w:start w:val="1"/>
      <w:numFmt w:val="bullet"/>
      <w:lvlText w:val=""/>
      <w:lvlJc w:val="left"/>
      <w:pPr>
        <w:ind w:left="2160" w:hanging="360"/>
      </w:pPr>
      <w:rPr>
        <w:rFonts w:ascii="Wingdings" w:hAnsi="Wingdings" w:hint="default"/>
      </w:rPr>
    </w:lvl>
    <w:lvl w:ilvl="3" w:tplc="D3C275D4">
      <w:start w:val="1"/>
      <w:numFmt w:val="bullet"/>
      <w:lvlText w:val=""/>
      <w:lvlJc w:val="left"/>
      <w:pPr>
        <w:ind w:left="2880" w:hanging="360"/>
      </w:pPr>
      <w:rPr>
        <w:rFonts w:ascii="Symbol" w:hAnsi="Symbol" w:hint="default"/>
      </w:rPr>
    </w:lvl>
    <w:lvl w:ilvl="4" w:tplc="E850D554">
      <w:start w:val="1"/>
      <w:numFmt w:val="bullet"/>
      <w:lvlText w:val="o"/>
      <w:lvlJc w:val="left"/>
      <w:pPr>
        <w:ind w:left="3600" w:hanging="360"/>
      </w:pPr>
      <w:rPr>
        <w:rFonts w:ascii="Courier New" w:hAnsi="Courier New" w:hint="default"/>
      </w:rPr>
    </w:lvl>
    <w:lvl w:ilvl="5" w:tplc="990CCFCE">
      <w:start w:val="1"/>
      <w:numFmt w:val="bullet"/>
      <w:lvlText w:val=""/>
      <w:lvlJc w:val="left"/>
      <w:pPr>
        <w:ind w:left="4320" w:hanging="360"/>
      </w:pPr>
      <w:rPr>
        <w:rFonts w:ascii="Wingdings" w:hAnsi="Wingdings" w:hint="default"/>
      </w:rPr>
    </w:lvl>
    <w:lvl w:ilvl="6" w:tplc="8F90305C">
      <w:start w:val="1"/>
      <w:numFmt w:val="bullet"/>
      <w:lvlText w:val=""/>
      <w:lvlJc w:val="left"/>
      <w:pPr>
        <w:ind w:left="5040" w:hanging="360"/>
      </w:pPr>
      <w:rPr>
        <w:rFonts w:ascii="Symbol" w:hAnsi="Symbol" w:hint="default"/>
      </w:rPr>
    </w:lvl>
    <w:lvl w:ilvl="7" w:tplc="9DB48F2A">
      <w:start w:val="1"/>
      <w:numFmt w:val="bullet"/>
      <w:lvlText w:val="o"/>
      <w:lvlJc w:val="left"/>
      <w:pPr>
        <w:ind w:left="5760" w:hanging="360"/>
      </w:pPr>
      <w:rPr>
        <w:rFonts w:ascii="Courier New" w:hAnsi="Courier New" w:hint="default"/>
      </w:rPr>
    </w:lvl>
    <w:lvl w:ilvl="8" w:tplc="EBA00AF4">
      <w:start w:val="1"/>
      <w:numFmt w:val="bullet"/>
      <w:lvlText w:val=""/>
      <w:lvlJc w:val="left"/>
      <w:pPr>
        <w:ind w:left="6480" w:hanging="360"/>
      </w:pPr>
      <w:rPr>
        <w:rFonts w:ascii="Wingdings" w:hAnsi="Wingdings" w:hint="default"/>
      </w:rPr>
    </w:lvl>
  </w:abstractNum>
  <w:abstractNum w:abstractNumId="5"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0897E53"/>
    <w:multiLevelType w:val="hybridMultilevel"/>
    <w:tmpl w:val="31C2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19A3256E"/>
    <w:multiLevelType w:val="hybridMultilevel"/>
    <w:tmpl w:val="5990593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4"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A70AB2"/>
    <w:multiLevelType w:val="hybridMultilevel"/>
    <w:tmpl w:val="E6E6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312507"/>
    <w:multiLevelType w:val="hybridMultilevel"/>
    <w:tmpl w:val="86F25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A2C15"/>
    <w:multiLevelType w:val="hybridMultilevel"/>
    <w:tmpl w:val="CE7C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665246"/>
    <w:multiLevelType w:val="multilevel"/>
    <w:tmpl w:val="55366B42"/>
    <w:numStyleLink w:val="LetteredList"/>
  </w:abstractNum>
  <w:abstractNum w:abstractNumId="20" w15:restartNumberingAfterBreak="0">
    <w:nsid w:val="2DFE29AF"/>
    <w:multiLevelType w:val="multilevel"/>
    <w:tmpl w:val="72768BCE"/>
    <w:numStyleLink w:val="AppendixHeadingList"/>
  </w:abstractNum>
  <w:abstractNum w:abstractNumId="21" w15:restartNumberingAfterBreak="0">
    <w:nsid w:val="30653DE4"/>
    <w:multiLevelType w:val="hybridMultilevel"/>
    <w:tmpl w:val="2F62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B714FF"/>
    <w:multiLevelType w:val="hybridMultilevel"/>
    <w:tmpl w:val="7F5A1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7" w15:restartNumberingAfterBreak="0">
    <w:nsid w:val="6F21218F"/>
    <w:multiLevelType w:val="hybridMultilevel"/>
    <w:tmpl w:val="24623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1B4A1B"/>
    <w:multiLevelType w:val="multilevel"/>
    <w:tmpl w:val="4F48000A"/>
    <w:numStyleLink w:val="Alphalist"/>
  </w:abstractNum>
  <w:abstractNum w:abstractNumId="29" w15:restartNumberingAfterBreak="0">
    <w:nsid w:val="7B7A3A06"/>
    <w:multiLevelType w:val="multilevel"/>
    <w:tmpl w:val="3744A26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24" w:hanging="51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5417846">
    <w:abstractNumId w:val="11"/>
  </w:num>
  <w:num w:numId="2" w16cid:durableId="1519077027">
    <w:abstractNumId w:val="6"/>
  </w:num>
  <w:num w:numId="3" w16cid:durableId="1468549479">
    <w:abstractNumId w:val="16"/>
  </w:num>
  <w:num w:numId="4" w16cid:durableId="915166386">
    <w:abstractNumId w:val="25"/>
  </w:num>
  <w:num w:numId="5" w16cid:durableId="1510681289">
    <w:abstractNumId w:val="26"/>
  </w:num>
  <w:num w:numId="6" w16cid:durableId="912081833">
    <w:abstractNumId w:val="24"/>
  </w:num>
  <w:num w:numId="7" w16cid:durableId="2023432934">
    <w:abstractNumId w:val="20"/>
  </w:num>
  <w:num w:numId="8" w16cid:durableId="192770611">
    <w:abstractNumId w:val="12"/>
  </w:num>
  <w:num w:numId="9" w16cid:durableId="485167421">
    <w:abstractNumId w:val="19"/>
  </w:num>
  <w:num w:numId="10" w16cid:durableId="775756382">
    <w:abstractNumId w:val="28"/>
  </w:num>
  <w:num w:numId="11" w16cid:durableId="1975406722">
    <w:abstractNumId w:val="0"/>
  </w:num>
  <w:num w:numId="12" w16cid:durableId="2055227720">
    <w:abstractNumId w:val="7"/>
  </w:num>
  <w:num w:numId="13" w16cid:durableId="432627348">
    <w:abstractNumId w:val="14"/>
  </w:num>
  <w:num w:numId="14" w16cid:durableId="1889947188">
    <w:abstractNumId w:val="9"/>
  </w:num>
  <w:num w:numId="15" w16cid:durableId="818545292">
    <w:abstractNumId w:val="5"/>
  </w:num>
  <w:num w:numId="16" w16cid:durableId="561333589">
    <w:abstractNumId w:val="22"/>
  </w:num>
  <w:num w:numId="17" w16cid:durableId="267082509">
    <w:abstractNumId w:val="8"/>
  </w:num>
  <w:num w:numId="18" w16cid:durableId="1021854438">
    <w:abstractNumId w:val="2"/>
  </w:num>
  <w:num w:numId="19" w16cid:durableId="1099763705">
    <w:abstractNumId w:val="29"/>
  </w:num>
  <w:num w:numId="20" w16cid:durableId="1753769962">
    <w:abstractNumId w:val="3"/>
  </w:num>
  <w:num w:numId="21" w16cid:durableId="853039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798667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414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1061491">
    <w:abstractNumId w:val="10"/>
  </w:num>
  <w:num w:numId="25" w16cid:durableId="1651787940">
    <w:abstractNumId w:val="21"/>
  </w:num>
  <w:num w:numId="26" w16cid:durableId="1884515915">
    <w:abstractNumId w:val="15"/>
  </w:num>
  <w:num w:numId="27" w16cid:durableId="190652368">
    <w:abstractNumId w:val="13"/>
  </w:num>
  <w:num w:numId="28" w16cid:durableId="572860705">
    <w:abstractNumId w:val="18"/>
  </w:num>
  <w:num w:numId="29" w16cid:durableId="511574732">
    <w:abstractNumId w:val="23"/>
  </w:num>
  <w:num w:numId="30" w16cid:durableId="48309139">
    <w:abstractNumId w:val="27"/>
  </w:num>
  <w:num w:numId="31" w16cid:durableId="28993369">
    <w:abstractNumId w:val="17"/>
  </w:num>
  <w:num w:numId="32" w16cid:durableId="183594792">
    <w:abstractNumId w:val="1"/>
  </w:num>
  <w:num w:numId="33" w16cid:durableId="173272919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DF"/>
    <w:rsid w:val="00000075"/>
    <w:rsid w:val="00000B17"/>
    <w:rsid w:val="00000F3C"/>
    <w:rsid w:val="0000152B"/>
    <w:rsid w:val="00003B4E"/>
    <w:rsid w:val="00003F79"/>
    <w:rsid w:val="00004489"/>
    <w:rsid w:val="0000483A"/>
    <w:rsid w:val="0000521C"/>
    <w:rsid w:val="00005C79"/>
    <w:rsid w:val="00006AD2"/>
    <w:rsid w:val="000078FF"/>
    <w:rsid w:val="00010149"/>
    <w:rsid w:val="00011E0C"/>
    <w:rsid w:val="00013897"/>
    <w:rsid w:val="0001411F"/>
    <w:rsid w:val="00016687"/>
    <w:rsid w:val="000166EF"/>
    <w:rsid w:val="0001674A"/>
    <w:rsid w:val="00016FF3"/>
    <w:rsid w:val="000170E4"/>
    <w:rsid w:val="0001728B"/>
    <w:rsid w:val="0002018B"/>
    <w:rsid w:val="000207EA"/>
    <w:rsid w:val="00021315"/>
    <w:rsid w:val="00024EC7"/>
    <w:rsid w:val="00026C04"/>
    <w:rsid w:val="00030001"/>
    <w:rsid w:val="000300AF"/>
    <w:rsid w:val="00031E52"/>
    <w:rsid w:val="000331E4"/>
    <w:rsid w:val="0003338D"/>
    <w:rsid w:val="00033619"/>
    <w:rsid w:val="00033DEF"/>
    <w:rsid w:val="00035103"/>
    <w:rsid w:val="000355D2"/>
    <w:rsid w:val="000438D8"/>
    <w:rsid w:val="000445B6"/>
    <w:rsid w:val="000468A5"/>
    <w:rsid w:val="00047894"/>
    <w:rsid w:val="00047B33"/>
    <w:rsid w:val="0005006E"/>
    <w:rsid w:val="00050CCA"/>
    <w:rsid w:val="0005151B"/>
    <w:rsid w:val="00053172"/>
    <w:rsid w:val="00054655"/>
    <w:rsid w:val="00054C95"/>
    <w:rsid w:val="00055B36"/>
    <w:rsid w:val="000561CF"/>
    <w:rsid w:val="000569D0"/>
    <w:rsid w:val="0005774F"/>
    <w:rsid w:val="00062A44"/>
    <w:rsid w:val="000658C4"/>
    <w:rsid w:val="00067DBF"/>
    <w:rsid w:val="000724AE"/>
    <w:rsid w:val="00073334"/>
    <w:rsid w:val="000735C2"/>
    <w:rsid w:val="00075478"/>
    <w:rsid w:val="0007603D"/>
    <w:rsid w:val="00076C6F"/>
    <w:rsid w:val="00076CA9"/>
    <w:rsid w:val="0007776A"/>
    <w:rsid w:val="00077A76"/>
    <w:rsid w:val="00077D7C"/>
    <w:rsid w:val="0008037D"/>
    <w:rsid w:val="00084660"/>
    <w:rsid w:val="00085FB9"/>
    <w:rsid w:val="0008667B"/>
    <w:rsid w:val="00087638"/>
    <w:rsid w:val="00087D3F"/>
    <w:rsid w:val="000910B4"/>
    <w:rsid w:val="00091286"/>
    <w:rsid w:val="000913A0"/>
    <w:rsid w:val="00091BA9"/>
    <w:rsid w:val="00095F70"/>
    <w:rsid w:val="00096311"/>
    <w:rsid w:val="0009724C"/>
    <w:rsid w:val="000A0F08"/>
    <w:rsid w:val="000A38AA"/>
    <w:rsid w:val="000A6234"/>
    <w:rsid w:val="000A6455"/>
    <w:rsid w:val="000A676D"/>
    <w:rsid w:val="000A6E8F"/>
    <w:rsid w:val="000A7820"/>
    <w:rsid w:val="000B008A"/>
    <w:rsid w:val="000B13FC"/>
    <w:rsid w:val="000B175E"/>
    <w:rsid w:val="000B497F"/>
    <w:rsid w:val="000B4A72"/>
    <w:rsid w:val="000B5105"/>
    <w:rsid w:val="000C21BE"/>
    <w:rsid w:val="000C3E63"/>
    <w:rsid w:val="000C6B77"/>
    <w:rsid w:val="000C6EFC"/>
    <w:rsid w:val="000D1DA6"/>
    <w:rsid w:val="000D2B3E"/>
    <w:rsid w:val="000D345D"/>
    <w:rsid w:val="000E07DE"/>
    <w:rsid w:val="000E35E1"/>
    <w:rsid w:val="000E43B0"/>
    <w:rsid w:val="000E4B91"/>
    <w:rsid w:val="000E5EEC"/>
    <w:rsid w:val="000E615B"/>
    <w:rsid w:val="000E7B9F"/>
    <w:rsid w:val="000F1227"/>
    <w:rsid w:val="000F16D6"/>
    <w:rsid w:val="000F260B"/>
    <w:rsid w:val="000F2FA6"/>
    <w:rsid w:val="000F3163"/>
    <w:rsid w:val="000F4488"/>
    <w:rsid w:val="00100D73"/>
    <w:rsid w:val="00100FAB"/>
    <w:rsid w:val="00103358"/>
    <w:rsid w:val="001069F7"/>
    <w:rsid w:val="00111B0F"/>
    <w:rsid w:val="00111B97"/>
    <w:rsid w:val="0011217E"/>
    <w:rsid w:val="00112489"/>
    <w:rsid w:val="00112E8F"/>
    <w:rsid w:val="00115EE9"/>
    <w:rsid w:val="00120792"/>
    <w:rsid w:val="00121FEE"/>
    <w:rsid w:val="001223B5"/>
    <w:rsid w:val="00123701"/>
    <w:rsid w:val="00123841"/>
    <w:rsid w:val="00123B73"/>
    <w:rsid w:val="001268BC"/>
    <w:rsid w:val="001274F5"/>
    <w:rsid w:val="00130155"/>
    <w:rsid w:val="0013023C"/>
    <w:rsid w:val="00132452"/>
    <w:rsid w:val="00133079"/>
    <w:rsid w:val="001332B5"/>
    <w:rsid w:val="00135344"/>
    <w:rsid w:val="0013722E"/>
    <w:rsid w:val="00137640"/>
    <w:rsid w:val="00137FAB"/>
    <w:rsid w:val="0014035F"/>
    <w:rsid w:val="00140C36"/>
    <w:rsid w:val="00141408"/>
    <w:rsid w:val="001425B9"/>
    <w:rsid w:val="00143F1F"/>
    <w:rsid w:val="00144339"/>
    <w:rsid w:val="00144D2C"/>
    <w:rsid w:val="0014523C"/>
    <w:rsid w:val="0014535D"/>
    <w:rsid w:val="001469E1"/>
    <w:rsid w:val="00147A45"/>
    <w:rsid w:val="00154078"/>
    <w:rsid w:val="001545FA"/>
    <w:rsid w:val="00154E0D"/>
    <w:rsid w:val="00155CCC"/>
    <w:rsid w:val="0015799B"/>
    <w:rsid w:val="001600E9"/>
    <w:rsid w:val="00160FEC"/>
    <w:rsid w:val="001610E5"/>
    <w:rsid w:val="00161BC8"/>
    <w:rsid w:val="001633FB"/>
    <w:rsid w:val="00163E05"/>
    <w:rsid w:val="00164641"/>
    <w:rsid w:val="00164DF7"/>
    <w:rsid w:val="0017062B"/>
    <w:rsid w:val="001714F3"/>
    <w:rsid w:val="00174843"/>
    <w:rsid w:val="0017554E"/>
    <w:rsid w:val="00176B56"/>
    <w:rsid w:val="001815A2"/>
    <w:rsid w:val="00182137"/>
    <w:rsid w:val="001827CC"/>
    <w:rsid w:val="00182A32"/>
    <w:rsid w:val="00184412"/>
    <w:rsid w:val="001858B0"/>
    <w:rsid w:val="00186017"/>
    <w:rsid w:val="00186445"/>
    <w:rsid w:val="00187F05"/>
    <w:rsid w:val="001905AD"/>
    <w:rsid w:val="001957BF"/>
    <w:rsid w:val="001A02EF"/>
    <w:rsid w:val="001A0D77"/>
    <w:rsid w:val="001A1401"/>
    <w:rsid w:val="001A1627"/>
    <w:rsid w:val="001A196A"/>
    <w:rsid w:val="001A1D95"/>
    <w:rsid w:val="001A2565"/>
    <w:rsid w:val="001A37A2"/>
    <w:rsid w:val="001A760B"/>
    <w:rsid w:val="001A7CE7"/>
    <w:rsid w:val="001B1762"/>
    <w:rsid w:val="001B17AC"/>
    <w:rsid w:val="001B3B45"/>
    <w:rsid w:val="001B4EC6"/>
    <w:rsid w:val="001B586D"/>
    <w:rsid w:val="001B588D"/>
    <w:rsid w:val="001B69A2"/>
    <w:rsid w:val="001C0210"/>
    <w:rsid w:val="001C255A"/>
    <w:rsid w:val="001C3BAA"/>
    <w:rsid w:val="001C4AD2"/>
    <w:rsid w:val="001C7835"/>
    <w:rsid w:val="001D13D4"/>
    <w:rsid w:val="001D4050"/>
    <w:rsid w:val="001D5539"/>
    <w:rsid w:val="001D6560"/>
    <w:rsid w:val="001D736F"/>
    <w:rsid w:val="001D7D9B"/>
    <w:rsid w:val="001E1FC4"/>
    <w:rsid w:val="001E28EC"/>
    <w:rsid w:val="001F13C1"/>
    <w:rsid w:val="001F15E0"/>
    <w:rsid w:val="001F1E9A"/>
    <w:rsid w:val="001F2ADD"/>
    <w:rsid w:val="001F446D"/>
    <w:rsid w:val="001F5649"/>
    <w:rsid w:val="001F6204"/>
    <w:rsid w:val="001F6B0A"/>
    <w:rsid w:val="00200B56"/>
    <w:rsid w:val="00201320"/>
    <w:rsid w:val="0020204A"/>
    <w:rsid w:val="002032EB"/>
    <w:rsid w:val="002044A3"/>
    <w:rsid w:val="00206232"/>
    <w:rsid w:val="00206991"/>
    <w:rsid w:val="002101BA"/>
    <w:rsid w:val="0021105C"/>
    <w:rsid w:val="002112EC"/>
    <w:rsid w:val="0021185F"/>
    <w:rsid w:val="00211B1F"/>
    <w:rsid w:val="00212006"/>
    <w:rsid w:val="0021488C"/>
    <w:rsid w:val="00217DE9"/>
    <w:rsid w:val="00221800"/>
    <w:rsid w:val="00221A7E"/>
    <w:rsid w:val="00221AB7"/>
    <w:rsid w:val="002243A4"/>
    <w:rsid w:val="002271F3"/>
    <w:rsid w:val="00227712"/>
    <w:rsid w:val="00227AD3"/>
    <w:rsid w:val="002315EF"/>
    <w:rsid w:val="002319C0"/>
    <w:rsid w:val="0023465E"/>
    <w:rsid w:val="002371CA"/>
    <w:rsid w:val="00240BF2"/>
    <w:rsid w:val="00242D9E"/>
    <w:rsid w:val="002457DE"/>
    <w:rsid w:val="00246435"/>
    <w:rsid w:val="00246BCF"/>
    <w:rsid w:val="0025058E"/>
    <w:rsid w:val="00251245"/>
    <w:rsid w:val="00251CA2"/>
    <w:rsid w:val="0025661A"/>
    <w:rsid w:val="00257650"/>
    <w:rsid w:val="002601BB"/>
    <w:rsid w:val="0026076D"/>
    <w:rsid w:val="002649C5"/>
    <w:rsid w:val="0026552C"/>
    <w:rsid w:val="00265918"/>
    <w:rsid w:val="00265F23"/>
    <w:rsid w:val="0026675F"/>
    <w:rsid w:val="00267052"/>
    <w:rsid w:val="002672B5"/>
    <w:rsid w:val="00270834"/>
    <w:rsid w:val="00271F28"/>
    <w:rsid w:val="002728EF"/>
    <w:rsid w:val="00273D0D"/>
    <w:rsid w:val="00273E86"/>
    <w:rsid w:val="00276AF8"/>
    <w:rsid w:val="0028093C"/>
    <w:rsid w:val="002814E6"/>
    <w:rsid w:val="00281A54"/>
    <w:rsid w:val="00282AE5"/>
    <w:rsid w:val="00286E7F"/>
    <w:rsid w:val="00287114"/>
    <w:rsid w:val="00287541"/>
    <w:rsid w:val="0029077A"/>
    <w:rsid w:val="00291721"/>
    <w:rsid w:val="00292DF1"/>
    <w:rsid w:val="00292F6A"/>
    <w:rsid w:val="002936B4"/>
    <w:rsid w:val="00293852"/>
    <w:rsid w:val="002951E6"/>
    <w:rsid w:val="00295330"/>
    <w:rsid w:val="00297EE6"/>
    <w:rsid w:val="002A13C3"/>
    <w:rsid w:val="002A29BF"/>
    <w:rsid w:val="002A3AB9"/>
    <w:rsid w:val="002A4B2A"/>
    <w:rsid w:val="002A677D"/>
    <w:rsid w:val="002A6B67"/>
    <w:rsid w:val="002A6D90"/>
    <w:rsid w:val="002B0577"/>
    <w:rsid w:val="002B1A30"/>
    <w:rsid w:val="002B597B"/>
    <w:rsid w:val="002B6CF7"/>
    <w:rsid w:val="002B6F18"/>
    <w:rsid w:val="002B722C"/>
    <w:rsid w:val="002C2977"/>
    <w:rsid w:val="002C6D29"/>
    <w:rsid w:val="002C7592"/>
    <w:rsid w:val="002C797E"/>
    <w:rsid w:val="002D4FF0"/>
    <w:rsid w:val="002D50CB"/>
    <w:rsid w:val="002D544A"/>
    <w:rsid w:val="002D58B5"/>
    <w:rsid w:val="002D5F5E"/>
    <w:rsid w:val="002E0E6C"/>
    <w:rsid w:val="002E13B4"/>
    <w:rsid w:val="002E3F19"/>
    <w:rsid w:val="002E51D2"/>
    <w:rsid w:val="002E5903"/>
    <w:rsid w:val="002E6522"/>
    <w:rsid w:val="002E7A0E"/>
    <w:rsid w:val="002E7BD7"/>
    <w:rsid w:val="002E7EFA"/>
    <w:rsid w:val="002F02E1"/>
    <w:rsid w:val="002F4F80"/>
    <w:rsid w:val="002F6386"/>
    <w:rsid w:val="002F7D5C"/>
    <w:rsid w:val="002F7FDB"/>
    <w:rsid w:val="00301990"/>
    <w:rsid w:val="00302273"/>
    <w:rsid w:val="00303704"/>
    <w:rsid w:val="00305171"/>
    <w:rsid w:val="0031152D"/>
    <w:rsid w:val="00312875"/>
    <w:rsid w:val="003130E6"/>
    <w:rsid w:val="003133E5"/>
    <w:rsid w:val="00321763"/>
    <w:rsid w:val="00322D95"/>
    <w:rsid w:val="00323050"/>
    <w:rsid w:val="00323400"/>
    <w:rsid w:val="00323FE2"/>
    <w:rsid w:val="003243BB"/>
    <w:rsid w:val="00325925"/>
    <w:rsid w:val="00326A36"/>
    <w:rsid w:val="00331105"/>
    <w:rsid w:val="003355AB"/>
    <w:rsid w:val="00336ECB"/>
    <w:rsid w:val="003374DF"/>
    <w:rsid w:val="003402BE"/>
    <w:rsid w:val="00340925"/>
    <w:rsid w:val="00343331"/>
    <w:rsid w:val="003439C6"/>
    <w:rsid w:val="003446A2"/>
    <w:rsid w:val="0034680A"/>
    <w:rsid w:val="003501F0"/>
    <w:rsid w:val="003509B8"/>
    <w:rsid w:val="0035392F"/>
    <w:rsid w:val="00354696"/>
    <w:rsid w:val="0035519A"/>
    <w:rsid w:val="00355CE5"/>
    <w:rsid w:val="003566A6"/>
    <w:rsid w:val="00356B69"/>
    <w:rsid w:val="003601CE"/>
    <w:rsid w:val="0036059A"/>
    <w:rsid w:val="00363FF8"/>
    <w:rsid w:val="003640E1"/>
    <w:rsid w:val="00364C5F"/>
    <w:rsid w:val="0036523B"/>
    <w:rsid w:val="003653EB"/>
    <w:rsid w:val="00366509"/>
    <w:rsid w:val="00366845"/>
    <w:rsid w:val="003669F1"/>
    <w:rsid w:val="0037376D"/>
    <w:rsid w:val="00373D48"/>
    <w:rsid w:val="0037455F"/>
    <w:rsid w:val="00374FCC"/>
    <w:rsid w:val="00376491"/>
    <w:rsid w:val="00376722"/>
    <w:rsid w:val="0037721D"/>
    <w:rsid w:val="00377821"/>
    <w:rsid w:val="0038102A"/>
    <w:rsid w:val="0038218F"/>
    <w:rsid w:val="003833B4"/>
    <w:rsid w:val="003835DC"/>
    <w:rsid w:val="00385BC2"/>
    <w:rsid w:val="003918BB"/>
    <w:rsid w:val="003925C1"/>
    <w:rsid w:val="00393C83"/>
    <w:rsid w:val="00396FED"/>
    <w:rsid w:val="003A074D"/>
    <w:rsid w:val="003A1721"/>
    <w:rsid w:val="003A1F9E"/>
    <w:rsid w:val="003A5D48"/>
    <w:rsid w:val="003A6576"/>
    <w:rsid w:val="003A743E"/>
    <w:rsid w:val="003A79A3"/>
    <w:rsid w:val="003A7ADE"/>
    <w:rsid w:val="003B29FC"/>
    <w:rsid w:val="003B2A34"/>
    <w:rsid w:val="003B322B"/>
    <w:rsid w:val="003B6E2C"/>
    <w:rsid w:val="003B7106"/>
    <w:rsid w:val="003B7BC3"/>
    <w:rsid w:val="003B7CF9"/>
    <w:rsid w:val="003B7DB1"/>
    <w:rsid w:val="003C0155"/>
    <w:rsid w:val="003C01D4"/>
    <w:rsid w:val="003C2CC3"/>
    <w:rsid w:val="003C3623"/>
    <w:rsid w:val="003C3689"/>
    <w:rsid w:val="003C43E3"/>
    <w:rsid w:val="003C5A86"/>
    <w:rsid w:val="003C69BF"/>
    <w:rsid w:val="003C6A26"/>
    <w:rsid w:val="003C6F8A"/>
    <w:rsid w:val="003D09EE"/>
    <w:rsid w:val="003D129A"/>
    <w:rsid w:val="003D23A3"/>
    <w:rsid w:val="003D2874"/>
    <w:rsid w:val="003D28B0"/>
    <w:rsid w:val="003D3472"/>
    <w:rsid w:val="003D387A"/>
    <w:rsid w:val="003D5856"/>
    <w:rsid w:val="003D6EAE"/>
    <w:rsid w:val="003E01F7"/>
    <w:rsid w:val="003E0EBF"/>
    <w:rsid w:val="003E1748"/>
    <w:rsid w:val="003E17DF"/>
    <w:rsid w:val="003E3697"/>
    <w:rsid w:val="003E6055"/>
    <w:rsid w:val="003F0714"/>
    <w:rsid w:val="003F3F94"/>
    <w:rsid w:val="003F57C2"/>
    <w:rsid w:val="003F5AA1"/>
    <w:rsid w:val="003F629B"/>
    <w:rsid w:val="003F697D"/>
    <w:rsid w:val="003F6F1A"/>
    <w:rsid w:val="0040060F"/>
    <w:rsid w:val="00402A7D"/>
    <w:rsid w:val="00404E4F"/>
    <w:rsid w:val="00404F11"/>
    <w:rsid w:val="0040502B"/>
    <w:rsid w:val="0040571D"/>
    <w:rsid w:val="00405F73"/>
    <w:rsid w:val="004064F7"/>
    <w:rsid w:val="004069B5"/>
    <w:rsid w:val="004117AC"/>
    <w:rsid w:val="00411F26"/>
    <w:rsid w:val="004123C4"/>
    <w:rsid w:val="00413BF3"/>
    <w:rsid w:val="00414617"/>
    <w:rsid w:val="00414F44"/>
    <w:rsid w:val="00415154"/>
    <w:rsid w:val="004159F5"/>
    <w:rsid w:val="00415A0E"/>
    <w:rsid w:val="00415FEA"/>
    <w:rsid w:val="004166E2"/>
    <w:rsid w:val="00420F0E"/>
    <w:rsid w:val="00421F4D"/>
    <w:rsid w:val="00422C43"/>
    <w:rsid w:val="0042339A"/>
    <w:rsid w:val="00423B15"/>
    <w:rsid w:val="0042407C"/>
    <w:rsid w:val="00424367"/>
    <w:rsid w:val="00424CB8"/>
    <w:rsid w:val="0042508F"/>
    <w:rsid w:val="00427838"/>
    <w:rsid w:val="00427CB9"/>
    <w:rsid w:val="004302B0"/>
    <w:rsid w:val="004329F0"/>
    <w:rsid w:val="0043326D"/>
    <w:rsid w:val="00435EC9"/>
    <w:rsid w:val="004363D7"/>
    <w:rsid w:val="004379C2"/>
    <w:rsid w:val="004400E8"/>
    <w:rsid w:val="00441F2E"/>
    <w:rsid w:val="004426B6"/>
    <w:rsid w:val="0044274F"/>
    <w:rsid w:val="004429A5"/>
    <w:rsid w:val="00444A03"/>
    <w:rsid w:val="00445080"/>
    <w:rsid w:val="00445A00"/>
    <w:rsid w:val="004504F6"/>
    <w:rsid w:val="00450C80"/>
    <w:rsid w:val="0045178D"/>
    <w:rsid w:val="00452C28"/>
    <w:rsid w:val="004544D6"/>
    <w:rsid w:val="00454AAF"/>
    <w:rsid w:val="00454E9B"/>
    <w:rsid w:val="00454F13"/>
    <w:rsid w:val="00455159"/>
    <w:rsid w:val="004553E9"/>
    <w:rsid w:val="00461CE9"/>
    <w:rsid w:val="00461F54"/>
    <w:rsid w:val="00462407"/>
    <w:rsid w:val="004631DD"/>
    <w:rsid w:val="004635FD"/>
    <w:rsid w:val="00463BE8"/>
    <w:rsid w:val="00466303"/>
    <w:rsid w:val="0046636A"/>
    <w:rsid w:val="00470129"/>
    <w:rsid w:val="00470AB6"/>
    <w:rsid w:val="00471BFD"/>
    <w:rsid w:val="004728A0"/>
    <w:rsid w:val="004738B0"/>
    <w:rsid w:val="004742DD"/>
    <w:rsid w:val="00474387"/>
    <w:rsid w:val="00475231"/>
    <w:rsid w:val="004755A5"/>
    <w:rsid w:val="004770BA"/>
    <w:rsid w:val="00477403"/>
    <w:rsid w:val="0047751D"/>
    <w:rsid w:val="004822F5"/>
    <w:rsid w:val="00482679"/>
    <w:rsid w:val="00482B67"/>
    <w:rsid w:val="00484E96"/>
    <w:rsid w:val="00485489"/>
    <w:rsid w:val="00486414"/>
    <w:rsid w:val="00487929"/>
    <w:rsid w:val="0049019F"/>
    <w:rsid w:val="00490B91"/>
    <w:rsid w:val="00490C64"/>
    <w:rsid w:val="00490EF5"/>
    <w:rsid w:val="00490FFC"/>
    <w:rsid w:val="0049236E"/>
    <w:rsid w:val="0049265E"/>
    <w:rsid w:val="00496700"/>
    <w:rsid w:val="00496B32"/>
    <w:rsid w:val="00496F45"/>
    <w:rsid w:val="00496F8E"/>
    <w:rsid w:val="004977D5"/>
    <w:rsid w:val="004A0349"/>
    <w:rsid w:val="004A1501"/>
    <w:rsid w:val="004A2FB8"/>
    <w:rsid w:val="004A340C"/>
    <w:rsid w:val="004A52F2"/>
    <w:rsid w:val="004A5586"/>
    <w:rsid w:val="004B136D"/>
    <w:rsid w:val="004B1531"/>
    <w:rsid w:val="004B3BA4"/>
    <w:rsid w:val="004B52BE"/>
    <w:rsid w:val="004B5CD8"/>
    <w:rsid w:val="004B609E"/>
    <w:rsid w:val="004C00C2"/>
    <w:rsid w:val="004C04F7"/>
    <w:rsid w:val="004C0D34"/>
    <w:rsid w:val="004C1CD3"/>
    <w:rsid w:val="004C2DF3"/>
    <w:rsid w:val="004C34D2"/>
    <w:rsid w:val="004C3A09"/>
    <w:rsid w:val="004C4823"/>
    <w:rsid w:val="004C4A55"/>
    <w:rsid w:val="004C5C6C"/>
    <w:rsid w:val="004C632B"/>
    <w:rsid w:val="004C6FAE"/>
    <w:rsid w:val="004C6FE1"/>
    <w:rsid w:val="004D0A53"/>
    <w:rsid w:val="004D0B3F"/>
    <w:rsid w:val="004D10C5"/>
    <w:rsid w:val="004D1919"/>
    <w:rsid w:val="004D1D9C"/>
    <w:rsid w:val="004D2071"/>
    <w:rsid w:val="004D2C2D"/>
    <w:rsid w:val="004D46B3"/>
    <w:rsid w:val="004D51AE"/>
    <w:rsid w:val="004D5CC8"/>
    <w:rsid w:val="004D62A1"/>
    <w:rsid w:val="004D63C1"/>
    <w:rsid w:val="004D7A55"/>
    <w:rsid w:val="004E003A"/>
    <w:rsid w:val="004E1233"/>
    <w:rsid w:val="004E1FB6"/>
    <w:rsid w:val="004E2258"/>
    <w:rsid w:val="004E28C6"/>
    <w:rsid w:val="004E2F1D"/>
    <w:rsid w:val="004E3876"/>
    <w:rsid w:val="004E5089"/>
    <w:rsid w:val="004E63D5"/>
    <w:rsid w:val="004E6DE1"/>
    <w:rsid w:val="004E733B"/>
    <w:rsid w:val="004F10E0"/>
    <w:rsid w:val="004F138F"/>
    <w:rsid w:val="004F2D0A"/>
    <w:rsid w:val="004F3552"/>
    <w:rsid w:val="004F3EB1"/>
    <w:rsid w:val="004F420C"/>
    <w:rsid w:val="004F5830"/>
    <w:rsid w:val="004F6BEC"/>
    <w:rsid w:val="00500123"/>
    <w:rsid w:val="00501CCA"/>
    <w:rsid w:val="0050267C"/>
    <w:rsid w:val="00503CF0"/>
    <w:rsid w:val="0050670B"/>
    <w:rsid w:val="00507124"/>
    <w:rsid w:val="00511B29"/>
    <w:rsid w:val="00512017"/>
    <w:rsid w:val="005124ED"/>
    <w:rsid w:val="005136FE"/>
    <w:rsid w:val="00513B5A"/>
    <w:rsid w:val="00513F2C"/>
    <w:rsid w:val="005141E8"/>
    <w:rsid w:val="00515A54"/>
    <w:rsid w:val="0051697A"/>
    <w:rsid w:val="00516A89"/>
    <w:rsid w:val="00517257"/>
    <w:rsid w:val="0052020F"/>
    <w:rsid w:val="00520CB1"/>
    <w:rsid w:val="005216BE"/>
    <w:rsid w:val="00522655"/>
    <w:rsid w:val="005233A0"/>
    <w:rsid w:val="00525374"/>
    <w:rsid w:val="00526D07"/>
    <w:rsid w:val="00527A18"/>
    <w:rsid w:val="00531F3E"/>
    <w:rsid w:val="005321AA"/>
    <w:rsid w:val="00532794"/>
    <w:rsid w:val="00534448"/>
    <w:rsid w:val="005351DD"/>
    <w:rsid w:val="00536740"/>
    <w:rsid w:val="00540877"/>
    <w:rsid w:val="00540B70"/>
    <w:rsid w:val="00542F72"/>
    <w:rsid w:val="005461EB"/>
    <w:rsid w:val="00546BA3"/>
    <w:rsid w:val="00550C99"/>
    <w:rsid w:val="00550D84"/>
    <w:rsid w:val="00551B46"/>
    <w:rsid w:val="00553413"/>
    <w:rsid w:val="005552DC"/>
    <w:rsid w:val="00555AB2"/>
    <w:rsid w:val="00557DB7"/>
    <w:rsid w:val="00560405"/>
    <w:rsid w:val="00560BE9"/>
    <w:rsid w:val="00560DF9"/>
    <w:rsid w:val="00561129"/>
    <w:rsid w:val="00562403"/>
    <w:rsid w:val="00562410"/>
    <w:rsid w:val="00562673"/>
    <w:rsid w:val="00562FCA"/>
    <w:rsid w:val="00567365"/>
    <w:rsid w:val="0057003E"/>
    <w:rsid w:val="00571371"/>
    <w:rsid w:val="0057165A"/>
    <w:rsid w:val="00571C54"/>
    <w:rsid w:val="0057415C"/>
    <w:rsid w:val="00575491"/>
    <w:rsid w:val="005754AB"/>
    <w:rsid w:val="00575CC2"/>
    <w:rsid w:val="0057626D"/>
    <w:rsid w:val="0057639A"/>
    <w:rsid w:val="0057655B"/>
    <w:rsid w:val="0057725A"/>
    <w:rsid w:val="00577300"/>
    <w:rsid w:val="005826F4"/>
    <w:rsid w:val="0058369E"/>
    <w:rsid w:val="00585395"/>
    <w:rsid w:val="00586D5D"/>
    <w:rsid w:val="00587110"/>
    <w:rsid w:val="0059009E"/>
    <w:rsid w:val="00590D09"/>
    <w:rsid w:val="0059156A"/>
    <w:rsid w:val="00591DA9"/>
    <w:rsid w:val="00593314"/>
    <w:rsid w:val="0059368E"/>
    <w:rsid w:val="00593BF5"/>
    <w:rsid w:val="00594496"/>
    <w:rsid w:val="005949F7"/>
    <w:rsid w:val="005956D3"/>
    <w:rsid w:val="00596365"/>
    <w:rsid w:val="005965BC"/>
    <w:rsid w:val="005A19F3"/>
    <w:rsid w:val="005A2140"/>
    <w:rsid w:val="005A27FA"/>
    <w:rsid w:val="005A35F6"/>
    <w:rsid w:val="005A3631"/>
    <w:rsid w:val="005A428F"/>
    <w:rsid w:val="005A6613"/>
    <w:rsid w:val="005A6B2B"/>
    <w:rsid w:val="005A6EE7"/>
    <w:rsid w:val="005A7627"/>
    <w:rsid w:val="005A7783"/>
    <w:rsid w:val="005A7E78"/>
    <w:rsid w:val="005B03ED"/>
    <w:rsid w:val="005B1776"/>
    <w:rsid w:val="005B1BA3"/>
    <w:rsid w:val="005B2377"/>
    <w:rsid w:val="005B2655"/>
    <w:rsid w:val="005B32FB"/>
    <w:rsid w:val="005B3D9C"/>
    <w:rsid w:val="005B493C"/>
    <w:rsid w:val="005B52D8"/>
    <w:rsid w:val="005B6553"/>
    <w:rsid w:val="005B7E93"/>
    <w:rsid w:val="005B7FE4"/>
    <w:rsid w:val="005C05E0"/>
    <w:rsid w:val="005C2E89"/>
    <w:rsid w:val="005C37E0"/>
    <w:rsid w:val="005C420D"/>
    <w:rsid w:val="005C54B9"/>
    <w:rsid w:val="005C5A1C"/>
    <w:rsid w:val="005C63A2"/>
    <w:rsid w:val="005C6618"/>
    <w:rsid w:val="005C6B3E"/>
    <w:rsid w:val="005C7165"/>
    <w:rsid w:val="005C71CB"/>
    <w:rsid w:val="005D0189"/>
    <w:rsid w:val="005D04D2"/>
    <w:rsid w:val="005D199E"/>
    <w:rsid w:val="005D1D54"/>
    <w:rsid w:val="005D2AD3"/>
    <w:rsid w:val="005D3207"/>
    <w:rsid w:val="005D34B1"/>
    <w:rsid w:val="005D5F15"/>
    <w:rsid w:val="005D6048"/>
    <w:rsid w:val="005D6B66"/>
    <w:rsid w:val="005D6C5A"/>
    <w:rsid w:val="005E0892"/>
    <w:rsid w:val="005E1E1B"/>
    <w:rsid w:val="005E4470"/>
    <w:rsid w:val="005E5794"/>
    <w:rsid w:val="005F3810"/>
    <w:rsid w:val="005F3844"/>
    <w:rsid w:val="005F3978"/>
    <w:rsid w:val="005F3EC4"/>
    <w:rsid w:val="005F73C5"/>
    <w:rsid w:val="0060084B"/>
    <w:rsid w:val="00603121"/>
    <w:rsid w:val="00603FD5"/>
    <w:rsid w:val="00604106"/>
    <w:rsid w:val="00605F57"/>
    <w:rsid w:val="00606005"/>
    <w:rsid w:val="006060BD"/>
    <w:rsid w:val="00606D6E"/>
    <w:rsid w:val="006071C6"/>
    <w:rsid w:val="0060792B"/>
    <w:rsid w:val="00607F03"/>
    <w:rsid w:val="00610627"/>
    <w:rsid w:val="00610D2C"/>
    <w:rsid w:val="00610F6C"/>
    <w:rsid w:val="0061272C"/>
    <w:rsid w:val="006154BA"/>
    <w:rsid w:val="00615C5C"/>
    <w:rsid w:val="00616DC8"/>
    <w:rsid w:val="00616E69"/>
    <w:rsid w:val="00620548"/>
    <w:rsid w:val="00620D3C"/>
    <w:rsid w:val="00621247"/>
    <w:rsid w:val="00621303"/>
    <w:rsid w:val="00623566"/>
    <w:rsid w:val="00624B90"/>
    <w:rsid w:val="00625AA6"/>
    <w:rsid w:val="00626A77"/>
    <w:rsid w:val="00630A8C"/>
    <w:rsid w:val="00630F02"/>
    <w:rsid w:val="006346D9"/>
    <w:rsid w:val="006356DF"/>
    <w:rsid w:val="0064048C"/>
    <w:rsid w:val="006409D1"/>
    <w:rsid w:val="00642E6D"/>
    <w:rsid w:val="00643345"/>
    <w:rsid w:val="00644268"/>
    <w:rsid w:val="006446E1"/>
    <w:rsid w:val="006457B2"/>
    <w:rsid w:val="0064613E"/>
    <w:rsid w:val="00646D99"/>
    <w:rsid w:val="006475BD"/>
    <w:rsid w:val="0064771A"/>
    <w:rsid w:val="006477F7"/>
    <w:rsid w:val="00647887"/>
    <w:rsid w:val="0065163F"/>
    <w:rsid w:val="0065272A"/>
    <w:rsid w:val="006527FF"/>
    <w:rsid w:val="0065293C"/>
    <w:rsid w:val="0065504B"/>
    <w:rsid w:val="00655760"/>
    <w:rsid w:val="006563CB"/>
    <w:rsid w:val="00656669"/>
    <w:rsid w:val="00656A8A"/>
    <w:rsid w:val="006579CF"/>
    <w:rsid w:val="006607D1"/>
    <w:rsid w:val="00660FC9"/>
    <w:rsid w:val="00661029"/>
    <w:rsid w:val="0066137C"/>
    <w:rsid w:val="006615D9"/>
    <w:rsid w:val="00662209"/>
    <w:rsid w:val="00662D2A"/>
    <w:rsid w:val="006630D3"/>
    <w:rsid w:val="0066328E"/>
    <w:rsid w:val="00663AE5"/>
    <w:rsid w:val="0066604D"/>
    <w:rsid w:val="006674BC"/>
    <w:rsid w:val="00671723"/>
    <w:rsid w:val="00671A2D"/>
    <w:rsid w:val="006766C5"/>
    <w:rsid w:val="00676B23"/>
    <w:rsid w:val="00676C09"/>
    <w:rsid w:val="006801CE"/>
    <w:rsid w:val="00680A24"/>
    <w:rsid w:val="00680DEC"/>
    <w:rsid w:val="00681434"/>
    <w:rsid w:val="00686E33"/>
    <w:rsid w:val="0068724F"/>
    <w:rsid w:val="0068736B"/>
    <w:rsid w:val="00687DB2"/>
    <w:rsid w:val="00690F64"/>
    <w:rsid w:val="00693549"/>
    <w:rsid w:val="0069530B"/>
    <w:rsid w:val="00695735"/>
    <w:rsid w:val="00696970"/>
    <w:rsid w:val="00696A1F"/>
    <w:rsid w:val="00697C5A"/>
    <w:rsid w:val="006A0C50"/>
    <w:rsid w:val="006A1397"/>
    <w:rsid w:val="006A1B13"/>
    <w:rsid w:val="006A1DEF"/>
    <w:rsid w:val="006A43E4"/>
    <w:rsid w:val="006A5756"/>
    <w:rsid w:val="006A7069"/>
    <w:rsid w:val="006B0A0E"/>
    <w:rsid w:val="006B0C61"/>
    <w:rsid w:val="006B0ECF"/>
    <w:rsid w:val="006B100E"/>
    <w:rsid w:val="006B1B8C"/>
    <w:rsid w:val="006B26B8"/>
    <w:rsid w:val="006B3E0A"/>
    <w:rsid w:val="006B480F"/>
    <w:rsid w:val="006B6A6F"/>
    <w:rsid w:val="006B6C7B"/>
    <w:rsid w:val="006C170B"/>
    <w:rsid w:val="006C2538"/>
    <w:rsid w:val="006C36D5"/>
    <w:rsid w:val="006C3F3F"/>
    <w:rsid w:val="006C4AF4"/>
    <w:rsid w:val="006C4B34"/>
    <w:rsid w:val="006C4C82"/>
    <w:rsid w:val="006C4F73"/>
    <w:rsid w:val="006C56B7"/>
    <w:rsid w:val="006D095B"/>
    <w:rsid w:val="006D282F"/>
    <w:rsid w:val="006D3A3C"/>
    <w:rsid w:val="006D3F2F"/>
    <w:rsid w:val="006D4C14"/>
    <w:rsid w:val="006D4F09"/>
    <w:rsid w:val="006D5F4F"/>
    <w:rsid w:val="006E3536"/>
    <w:rsid w:val="006E39AA"/>
    <w:rsid w:val="006E59FC"/>
    <w:rsid w:val="006E5AFD"/>
    <w:rsid w:val="006E7B69"/>
    <w:rsid w:val="006F01D3"/>
    <w:rsid w:val="006F187E"/>
    <w:rsid w:val="006F2C1C"/>
    <w:rsid w:val="006F2E4A"/>
    <w:rsid w:val="006F6F3C"/>
    <w:rsid w:val="007007DA"/>
    <w:rsid w:val="00701100"/>
    <w:rsid w:val="00702C77"/>
    <w:rsid w:val="00703877"/>
    <w:rsid w:val="00703878"/>
    <w:rsid w:val="00703CA5"/>
    <w:rsid w:val="007050C4"/>
    <w:rsid w:val="0071055D"/>
    <w:rsid w:val="00711B86"/>
    <w:rsid w:val="00714488"/>
    <w:rsid w:val="00715789"/>
    <w:rsid w:val="007158C6"/>
    <w:rsid w:val="00720507"/>
    <w:rsid w:val="007205CD"/>
    <w:rsid w:val="007215EF"/>
    <w:rsid w:val="00723D4E"/>
    <w:rsid w:val="007240A9"/>
    <w:rsid w:val="00726D42"/>
    <w:rsid w:val="00727178"/>
    <w:rsid w:val="007301C9"/>
    <w:rsid w:val="00733D2B"/>
    <w:rsid w:val="00736727"/>
    <w:rsid w:val="007373F6"/>
    <w:rsid w:val="00737C4F"/>
    <w:rsid w:val="00737EB9"/>
    <w:rsid w:val="00740804"/>
    <w:rsid w:val="00742263"/>
    <w:rsid w:val="00742482"/>
    <w:rsid w:val="00742E52"/>
    <w:rsid w:val="00742F0D"/>
    <w:rsid w:val="00743548"/>
    <w:rsid w:val="00743ACB"/>
    <w:rsid w:val="00744120"/>
    <w:rsid w:val="00745743"/>
    <w:rsid w:val="0074773F"/>
    <w:rsid w:val="0075163B"/>
    <w:rsid w:val="00751D37"/>
    <w:rsid w:val="0075386F"/>
    <w:rsid w:val="00753A8B"/>
    <w:rsid w:val="00753C21"/>
    <w:rsid w:val="0075654A"/>
    <w:rsid w:val="00756FAA"/>
    <w:rsid w:val="00760005"/>
    <w:rsid w:val="00760304"/>
    <w:rsid w:val="00760E1B"/>
    <w:rsid w:val="007610D6"/>
    <w:rsid w:val="00761909"/>
    <w:rsid w:val="007620BA"/>
    <w:rsid w:val="007627D0"/>
    <w:rsid w:val="00762E15"/>
    <w:rsid w:val="00762F69"/>
    <w:rsid w:val="007635CB"/>
    <w:rsid w:val="00764FE1"/>
    <w:rsid w:val="0076587B"/>
    <w:rsid w:val="00765D42"/>
    <w:rsid w:val="007669DE"/>
    <w:rsid w:val="00767EAE"/>
    <w:rsid w:val="00770DB0"/>
    <w:rsid w:val="0077297A"/>
    <w:rsid w:val="00772E8C"/>
    <w:rsid w:val="007732C9"/>
    <w:rsid w:val="0077480E"/>
    <w:rsid w:val="00774E88"/>
    <w:rsid w:val="00775165"/>
    <w:rsid w:val="007759BA"/>
    <w:rsid w:val="00775DAE"/>
    <w:rsid w:val="0077760B"/>
    <w:rsid w:val="007802C7"/>
    <w:rsid w:val="00780F1F"/>
    <w:rsid w:val="0078343B"/>
    <w:rsid w:val="00783706"/>
    <w:rsid w:val="0078533C"/>
    <w:rsid w:val="00785B79"/>
    <w:rsid w:val="00787735"/>
    <w:rsid w:val="00787837"/>
    <w:rsid w:val="00790639"/>
    <w:rsid w:val="0079123E"/>
    <w:rsid w:val="00794936"/>
    <w:rsid w:val="00794B28"/>
    <w:rsid w:val="00795056"/>
    <w:rsid w:val="00797245"/>
    <w:rsid w:val="007977A8"/>
    <w:rsid w:val="007A0363"/>
    <w:rsid w:val="007A1130"/>
    <w:rsid w:val="007A1209"/>
    <w:rsid w:val="007A20FD"/>
    <w:rsid w:val="007A363C"/>
    <w:rsid w:val="007B0F90"/>
    <w:rsid w:val="007B1B2F"/>
    <w:rsid w:val="007B448B"/>
    <w:rsid w:val="007C0618"/>
    <w:rsid w:val="007C08B5"/>
    <w:rsid w:val="007C27C3"/>
    <w:rsid w:val="007C3475"/>
    <w:rsid w:val="007C475F"/>
    <w:rsid w:val="007C4A9F"/>
    <w:rsid w:val="007C4BEC"/>
    <w:rsid w:val="007C67D2"/>
    <w:rsid w:val="007C7A26"/>
    <w:rsid w:val="007D1233"/>
    <w:rsid w:val="007D1569"/>
    <w:rsid w:val="007D25EB"/>
    <w:rsid w:val="007E1A38"/>
    <w:rsid w:val="007E1E97"/>
    <w:rsid w:val="007E248F"/>
    <w:rsid w:val="007E55A2"/>
    <w:rsid w:val="007E62BD"/>
    <w:rsid w:val="007E6D44"/>
    <w:rsid w:val="007F255F"/>
    <w:rsid w:val="007F262E"/>
    <w:rsid w:val="007F7142"/>
    <w:rsid w:val="00800067"/>
    <w:rsid w:val="0080176C"/>
    <w:rsid w:val="008017BC"/>
    <w:rsid w:val="0080322B"/>
    <w:rsid w:val="008035C3"/>
    <w:rsid w:val="00803F26"/>
    <w:rsid w:val="008042C6"/>
    <w:rsid w:val="00804B8B"/>
    <w:rsid w:val="00806F63"/>
    <w:rsid w:val="00807C62"/>
    <w:rsid w:val="00807F06"/>
    <w:rsid w:val="00811131"/>
    <w:rsid w:val="00811196"/>
    <w:rsid w:val="00812660"/>
    <w:rsid w:val="0081379C"/>
    <w:rsid w:val="0081533C"/>
    <w:rsid w:val="008161D7"/>
    <w:rsid w:val="008168B3"/>
    <w:rsid w:val="00820661"/>
    <w:rsid w:val="00820F39"/>
    <w:rsid w:val="0082353D"/>
    <w:rsid w:val="008239CC"/>
    <w:rsid w:val="0082437F"/>
    <w:rsid w:val="00824FCC"/>
    <w:rsid w:val="0082B631"/>
    <w:rsid w:val="00832069"/>
    <w:rsid w:val="0083428E"/>
    <w:rsid w:val="008348B7"/>
    <w:rsid w:val="00834B24"/>
    <w:rsid w:val="00836262"/>
    <w:rsid w:val="0083637C"/>
    <w:rsid w:val="00836E3A"/>
    <w:rsid w:val="00837210"/>
    <w:rsid w:val="00840621"/>
    <w:rsid w:val="00841096"/>
    <w:rsid w:val="0084238D"/>
    <w:rsid w:val="008423EB"/>
    <w:rsid w:val="00845548"/>
    <w:rsid w:val="008472B8"/>
    <w:rsid w:val="00847846"/>
    <w:rsid w:val="0085033C"/>
    <w:rsid w:val="0085087A"/>
    <w:rsid w:val="008520DA"/>
    <w:rsid w:val="008529A2"/>
    <w:rsid w:val="0085439B"/>
    <w:rsid w:val="008579B4"/>
    <w:rsid w:val="00860070"/>
    <w:rsid w:val="00861049"/>
    <w:rsid w:val="00861AA8"/>
    <w:rsid w:val="008648A0"/>
    <w:rsid w:val="0086500D"/>
    <w:rsid w:val="0086591B"/>
    <w:rsid w:val="008707EA"/>
    <w:rsid w:val="00871A6C"/>
    <w:rsid w:val="0087255E"/>
    <w:rsid w:val="00872A6F"/>
    <w:rsid w:val="00875CCB"/>
    <w:rsid w:val="00875D2F"/>
    <w:rsid w:val="00877C07"/>
    <w:rsid w:val="0088077C"/>
    <w:rsid w:val="008833F3"/>
    <w:rsid w:val="00886BE1"/>
    <w:rsid w:val="00887498"/>
    <w:rsid w:val="00890E90"/>
    <w:rsid w:val="0089447D"/>
    <w:rsid w:val="008949B3"/>
    <w:rsid w:val="00894ABC"/>
    <w:rsid w:val="00896A77"/>
    <w:rsid w:val="00896B3D"/>
    <w:rsid w:val="00896E69"/>
    <w:rsid w:val="00897793"/>
    <w:rsid w:val="008A1632"/>
    <w:rsid w:val="008A1CE7"/>
    <w:rsid w:val="008A20BD"/>
    <w:rsid w:val="008A2B73"/>
    <w:rsid w:val="008A35C6"/>
    <w:rsid w:val="008A426C"/>
    <w:rsid w:val="008A44ED"/>
    <w:rsid w:val="008A6F83"/>
    <w:rsid w:val="008B0171"/>
    <w:rsid w:val="008B05C3"/>
    <w:rsid w:val="008B08C8"/>
    <w:rsid w:val="008B0BE7"/>
    <w:rsid w:val="008B1F26"/>
    <w:rsid w:val="008B4965"/>
    <w:rsid w:val="008B4D84"/>
    <w:rsid w:val="008B56D0"/>
    <w:rsid w:val="008B5A5D"/>
    <w:rsid w:val="008B78B1"/>
    <w:rsid w:val="008B7EC0"/>
    <w:rsid w:val="008C0041"/>
    <w:rsid w:val="008C05A7"/>
    <w:rsid w:val="008C0615"/>
    <w:rsid w:val="008C1BB3"/>
    <w:rsid w:val="008C1CCF"/>
    <w:rsid w:val="008C2DAF"/>
    <w:rsid w:val="008C4C45"/>
    <w:rsid w:val="008D19FD"/>
    <w:rsid w:val="008D1ABD"/>
    <w:rsid w:val="008D2E26"/>
    <w:rsid w:val="008D3918"/>
    <w:rsid w:val="008D3A0D"/>
    <w:rsid w:val="008D54F0"/>
    <w:rsid w:val="008D624C"/>
    <w:rsid w:val="008D7D89"/>
    <w:rsid w:val="008E0F43"/>
    <w:rsid w:val="008E13C9"/>
    <w:rsid w:val="008E1B62"/>
    <w:rsid w:val="008E238B"/>
    <w:rsid w:val="008E25D6"/>
    <w:rsid w:val="008E357B"/>
    <w:rsid w:val="008E4EEC"/>
    <w:rsid w:val="008E7BD4"/>
    <w:rsid w:val="008F06E8"/>
    <w:rsid w:val="008F0A95"/>
    <w:rsid w:val="008F1565"/>
    <w:rsid w:val="008F2410"/>
    <w:rsid w:val="008F25BF"/>
    <w:rsid w:val="008F269B"/>
    <w:rsid w:val="008F3DB7"/>
    <w:rsid w:val="008F567D"/>
    <w:rsid w:val="008F6884"/>
    <w:rsid w:val="008F6F1A"/>
    <w:rsid w:val="008F7897"/>
    <w:rsid w:val="008F7903"/>
    <w:rsid w:val="0090137A"/>
    <w:rsid w:val="009026C3"/>
    <w:rsid w:val="00903370"/>
    <w:rsid w:val="0090358A"/>
    <w:rsid w:val="00903AFF"/>
    <w:rsid w:val="00907C88"/>
    <w:rsid w:val="009102C9"/>
    <w:rsid w:val="00911D7B"/>
    <w:rsid w:val="00912EC9"/>
    <w:rsid w:val="0091349A"/>
    <w:rsid w:val="00913B99"/>
    <w:rsid w:val="00914399"/>
    <w:rsid w:val="0091530C"/>
    <w:rsid w:val="009158BF"/>
    <w:rsid w:val="0091658B"/>
    <w:rsid w:val="00916DDF"/>
    <w:rsid w:val="00920490"/>
    <w:rsid w:val="00920D17"/>
    <w:rsid w:val="0092226A"/>
    <w:rsid w:val="0092457C"/>
    <w:rsid w:val="009246F8"/>
    <w:rsid w:val="0092481F"/>
    <w:rsid w:val="00925B82"/>
    <w:rsid w:val="0093001B"/>
    <w:rsid w:val="00933C1F"/>
    <w:rsid w:val="00933E08"/>
    <w:rsid w:val="009342FC"/>
    <w:rsid w:val="00934AB3"/>
    <w:rsid w:val="00934B17"/>
    <w:rsid w:val="00934D23"/>
    <w:rsid w:val="00936068"/>
    <w:rsid w:val="00936B0E"/>
    <w:rsid w:val="00936C28"/>
    <w:rsid w:val="00937578"/>
    <w:rsid w:val="00937AF0"/>
    <w:rsid w:val="009401F5"/>
    <w:rsid w:val="009437FE"/>
    <w:rsid w:val="00943806"/>
    <w:rsid w:val="009452A6"/>
    <w:rsid w:val="0094589F"/>
    <w:rsid w:val="00946336"/>
    <w:rsid w:val="00946351"/>
    <w:rsid w:val="00946692"/>
    <w:rsid w:val="00947A33"/>
    <w:rsid w:val="00947A8C"/>
    <w:rsid w:val="009509EC"/>
    <w:rsid w:val="009517CC"/>
    <w:rsid w:val="009530C3"/>
    <w:rsid w:val="00953817"/>
    <w:rsid w:val="00955369"/>
    <w:rsid w:val="0095547B"/>
    <w:rsid w:val="0095732E"/>
    <w:rsid w:val="009574AF"/>
    <w:rsid w:val="0095765D"/>
    <w:rsid w:val="009615D4"/>
    <w:rsid w:val="009615FE"/>
    <w:rsid w:val="00961DEC"/>
    <w:rsid w:val="00961E30"/>
    <w:rsid w:val="00962905"/>
    <w:rsid w:val="00964BB0"/>
    <w:rsid w:val="00965FF3"/>
    <w:rsid w:val="00967F50"/>
    <w:rsid w:val="00970A20"/>
    <w:rsid w:val="00971458"/>
    <w:rsid w:val="0097163D"/>
    <w:rsid w:val="009721F8"/>
    <w:rsid w:val="0097407F"/>
    <w:rsid w:val="00974677"/>
    <w:rsid w:val="009757E8"/>
    <w:rsid w:val="00975B45"/>
    <w:rsid w:val="00975D99"/>
    <w:rsid w:val="0097600E"/>
    <w:rsid w:val="00976023"/>
    <w:rsid w:val="00980461"/>
    <w:rsid w:val="00982727"/>
    <w:rsid w:val="0098364B"/>
    <w:rsid w:val="009852ED"/>
    <w:rsid w:val="00985567"/>
    <w:rsid w:val="009864AF"/>
    <w:rsid w:val="009901F4"/>
    <w:rsid w:val="009912C1"/>
    <w:rsid w:val="00991336"/>
    <w:rsid w:val="0099172E"/>
    <w:rsid w:val="00992737"/>
    <w:rsid w:val="00993516"/>
    <w:rsid w:val="00994138"/>
    <w:rsid w:val="009959D3"/>
    <w:rsid w:val="00995B21"/>
    <w:rsid w:val="009969C3"/>
    <w:rsid w:val="00997901"/>
    <w:rsid w:val="009A2832"/>
    <w:rsid w:val="009A2F17"/>
    <w:rsid w:val="009A3C2B"/>
    <w:rsid w:val="009A4657"/>
    <w:rsid w:val="009A5668"/>
    <w:rsid w:val="009A5C2C"/>
    <w:rsid w:val="009A668C"/>
    <w:rsid w:val="009B0987"/>
    <w:rsid w:val="009B1AF4"/>
    <w:rsid w:val="009B1F3C"/>
    <w:rsid w:val="009B251E"/>
    <w:rsid w:val="009B6D4F"/>
    <w:rsid w:val="009B6FB7"/>
    <w:rsid w:val="009B756E"/>
    <w:rsid w:val="009C013F"/>
    <w:rsid w:val="009C0531"/>
    <w:rsid w:val="009C061E"/>
    <w:rsid w:val="009C148E"/>
    <w:rsid w:val="009C2849"/>
    <w:rsid w:val="009C37EE"/>
    <w:rsid w:val="009C3D8B"/>
    <w:rsid w:val="009C561B"/>
    <w:rsid w:val="009C6075"/>
    <w:rsid w:val="009C6C6D"/>
    <w:rsid w:val="009D24F5"/>
    <w:rsid w:val="009D3BDC"/>
    <w:rsid w:val="009D3F7B"/>
    <w:rsid w:val="009D5BBB"/>
    <w:rsid w:val="009D76B9"/>
    <w:rsid w:val="009E0B09"/>
    <w:rsid w:val="009E14D5"/>
    <w:rsid w:val="009E19A3"/>
    <w:rsid w:val="009E2BF5"/>
    <w:rsid w:val="009E38F8"/>
    <w:rsid w:val="009E4DC0"/>
    <w:rsid w:val="009E539B"/>
    <w:rsid w:val="009E61A8"/>
    <w:rsid w:val="009E64A7"/>
    <w:rsid w:val="009E784C"/>
    <w:rsid w:val="009E7E9A"/>
    <w:rsid w:val="009F1CE9"/>
    <w:rsid w:val="009F1D82"/>
    <w:rsid w:val="009F22DE"/>
    <w:rsid w:val="009F28E1"/>
    <w:rsid w:val="009F543B"/>
    <w:rsid w:val="009F58D5"/>
    <w:rsid w:val="00A001C6"/>
    <w:rsid w:val="00A002CD"/>
    <w:rsid w:val="00A017BA"/>
    <w:rsid w:val="00A03601"/>
    <w:rsid w:val="00A03D6E"/>
    <w:rsid w:val="00A0617C"/>
    <w:rsid w:val="00A06476"/>
    <w:rsid w:val="00A06C13"/>
    <w:rsid w:val="00A0757A"/>
    <w:rsid w:val="00A1093B"/>
    <w:rsid w:val="00A128B7"/>
    <w:rsid w:val="00A12DF5"/>
    <w:rsid w:val="00A13603"/>
    <w:rsid w:val="00A13664"/>
    <w:rsid w:val="00A17814"/>
    <w:rsid w:val="00A17B41"/>
    <w:rsid w:val="00A2000C"/>
    <w:rsid w:val="00A208D8"/>
    <w:rsid w:val="00A209A9"/>
    <w:rsid w:val="00A2203D"/>
    <w:rsid w:val="00A221CE"/>
    <w:rsid w:val="00A23C8C"/>
    <w:rsid w:val="00A23C98"/>
    <w:rsid w:val="00A241FC"/>
    <w:rsid w:val="00A245C6"/>
    <w:rsid w:val="00A25402"/>
    <w:rsid w:val="00A25DF5"/>
    <w:rsid w:val="00A27342"/>
    <w:rsid w:val="00A2744F"/>
    <w:rsid w:val="00A30DBE"/>
    <w:rsid w:val="00A32466"/>
    <w:rsid w:val="00A338FD"/>
    <w:rsid w:val="00A34CC8"/>
    <w:rsid w:val="00A37C19"/>
    <w:rsid w:val="00A416AD"/>
    <w:rsid w:val="00A441A2"/>
    <w:rsid w:val="00A44601"/>
    <w:rsid w:val="00A446F5"/>
    <w:rsid w:val="00A471AE"/>
    <w:rsid w:val="00A47869"/>
    <w:rsid w:val="00A47987"/>
    <w:rsid w:val="00A47A08"/>
    <w:rsid w:val="00A5047B"/>
    <w:rsid w:val="00A5060E"/>
    <w:rsid w:val="00A508BD"/>
    <w:rsid w:val="00A50AC5"/>
    <w:rsid w:val="00A50CD9"/>
    <w:rsid w:val="00A51374"/>
    <w:rsid w:val="00A54813"/>
    <w:rsid w:val="00A54AF7"/>
    <w:rsid w:val="00A5529A"/>
    <w:rsid w:val="00A5703F"/>
    <w:rsid w:val="00A60B15"/>
    <w:rsid w:val="00A6190C"/>
    <w:rsid w:val="00A62910"/>
    <w:rsid w:val="00A62984"/>
    <w:rsid w:val="00A64AD6"/>
    <w:rsid w:val="00A64DDB"/>
    <w:rsid w:val="00A65025"/>
    <w:rsid w:val="00A65866"/>
    <w:rsid w:val="00A65DCB"/>
    <w:rsid w:val="00A668D5"/>
    <w:rsid w:val="00A70EBB"/>
    <w:rsid w:val="00A71CEA"/>
    <w:rsid w:val="00A71DC3"/>
    <w:rsid w:val="00A720A8"/>
    <w:rsid w:val="00A73AED"/>
    <w:rsid w:val="00A754E3"/>
    <w:rsid w:val="00A75DCB"/>
    <w:rsid w:val="00A7771A"/>
    <w:rsid w:val="00A77B18"/>
    <w:rsid w:val="00A77B2E"/>
    <w:rsid w:val="00A80E0E"/>
    <w:rsid w:val="00A8183A"/>
    <w:rsid w:val="00A8320F"/>
    <w:rsid w:val="00A83DE9"/>
    <w:rsid w:val="00A850A6"/>
    <w:rsid w:val="00A86051"/>
    <w:rsid w:val="00A8625F"/>
    <w:rsid w:val="00A864B3"/>
    <w:rsid w:val="00A87066"/>
    <w:rsid w:val="00A87421"/>
    <w:rsid w:val="00A87AB4"/>
    <w:rsid w:val="00A90151"/>
    <w:rsid w:val="00A90256"/>
    <w:rsid w:val="00A90640"/>
    <w:rsid w:val="00A91551"/>
    <w:rsid w:val="00A9359B"/>
    <w:rsid w:val="00A94192"/>
    <w:rsid w:val="00A94CB1"/>
    <w:rsid w:val="00A9545C"/>
    <w:rsid w:val="00A961AA"/>
    <w:rsid w:val="00A970A6"/>
    <w:rsid w:val="00AA0233"/>
    <w:rsid w:val="00AA0AF4"/>
    <w:rsid w:val="00AA0BDC"/>
    <w:rsid w:val="00AA163B"/>
    <w:rsid w:val="00AA1BE2"/>
    <w:rsid w:val="00AA3569"/>
    <w:rsid w:val="00AA41BA"/>
    <w:rsid w:val="00AA4DCE"/>
    <w:rsid w:val="00AA5092"/>
    <w:rsid w:val="00AA55CB"/>
    <w:rsid w:val="00AA5CAA"/>
    <w:rsid w:val="00AA6826"/>
    <w:rsid w:val="00AA70F1"/>
    <w:rsid w:val="00AA7B77"/>
    <w:rsid w:val="00AB04B8"/>
    <w:rsid w:val="00AB10F4"/>
    <w:rsid w:val="00AB11C7"/>
    <w:rsid w:val="00AB2D17"/>
    <w:rsid w:val="00AB34AD"/>
    <w:rsid w:val="00AB46E2"/>
    <w:rsid w:val="00AB6DBC"/>
    <w:rsid w:val="00AC0E33"/>
    <w:rsid w:val="00AC1340"/>
    <w:rsid w:val="00AC26FA"/>
    <w:rsid w:val="00AC2A63"/>
    <w:rsid w:val="00AC4F7C"/>
    <w:rsid w:val="00AC5485"/>
    <w:rsid w:val="00AC587D"/>
    <w:rsid w:val="00AC5B53"/>
    <w:rsid w:val="00AC61BA"/>
    <w:rsid w:val="00AC6705"/>
    <w:rsid w:val="00AC7BEA"/>
    <w:rsid w:val="00AC7BED"/>
    <w:rsid w:val="00AD0793"/>
    <w:rsid w:val="00AD1159"/>
    <w:rsid w:val="00AD1AA2"/>
    <w:rsid w:val="00AD1C97"/>
    <w:rsid w:val="00AD3043"/>
    <w:rsid w:val="00AD4309"/>
    <w:rsid w:val="00AD5B1A"/>
    <w:rsid w:val="00AD7244"/>
    <w:rsid w:val="00AD78FA"/>
    <w:rsid w:val="00AD7A30"/>
    <w:rsid w:val="00AE158C"/>
    <w:rsid w:val="00AE1FAA"/>
    <w:rsid w:val="00AE2D96"/>
    <w:rsid w:val="00AE35E1"/>
    <w:rsid w:val="00AE3BE0"/>
    <w:rsid w:val="00AE528A"/>
    <w:rsid w:val="00AE679C"/>
    <w:rsid w:val="00AF1C4C"/>
    <w:rsid w:val="00AF28A2"/>
    <w:rsid w:val="00AF34B5"/>
    <w:rsid w:val="00AF3BD9"/>
    <w:rsid w:val="00AF479F"/>
    <w:rsid w:val="00AF4C4E"/>
    <w:rsid w:val="00AF74AC"/>
    <w:rsid w:val="00B03023"/>
    <w:rsid w:val="00B044BC"/>
    <w:rsid w:val="00B04A8D"/>
    <w:rsid w:val="00B068CF"/>
    <w:rsid w:val="00B11B33"/>
    <w:rsid w:val="00B11F80"/>
    <w:rsid w:val="00B125F5"/>
    <w:rsid w:val="00B145F4"/>
    <w:rsid w:val="00B16A07"/>
    <w:rsid w:val="00B17136"/>
    <w:rsid w:val="00B20DB5"/>
    <w:rsid w:val="00B22755"/>
    <w:rsid w:val="00B2275D"/>
    <w:rsid w:val="00B23258"/>
    <w:rsid w:val="00B23603"/>
    <w:rsid w:val="00B247F6"/>
    <w:rsid w:val="00B24DA5"/>
    <w:rsid w:val="00B24DFB"/>
    <w:rsid w:val="00B25F83"/>
    <w:rsid w:val="00B302FA"/>
    <w:rsid w:val="00B326C0"/>
    <w:rsid w:val="00B32D6C"/>
    <w:rsid w:val="00B3338D"/>
    <w:rsid w:val="00B34048"/>
    <w:rsid w:val="00B34683"/>
    <w:rsid w:val="00B34CAA"/>
    <w:rsid w:val="00B351C6"/>
    <w:rsid w:val="00B35DD6"/>
    <w:rsid w:val="00B3749D"/>
    <w:rsid w:val="00B4398A"/>
    <w:rsid w:val="00B43E64"/>
    <w:rsid w:val="00B443CC"/>
    <w:rsid w:val="00B445EF"/>
    <w:rsid w:val="00B451F8"/>
    <w:rsid w:val="00B47631"/>
    <w:rsid w:val="00B51597"/>
    <w:rsid w:val="00B517B4"/>
    <w:rsid w:val="00B5295B"/>
    <w:rsid w:val="00B52A6A"/>
    <w:rsid w:val="00B5348A"/>
    <w:rsid w:val="00B57656"/>
    <w:rsid w:val="00B60239"/>
    <w:rsid w:val="00B6524D"/>
    <w:rsid w:val="00B6574B"/>
    <w:rsid w:val="00B65B48"/>
    <w:rsid w:val="00B65DAA"/>
    <w:rsid w:val="00B66756"/>
    <w:rsid w:val="00B66B2F"/>
    <w:rsid w:val="00B673F7"/>
    <w:rsid w:val="00B7034B"/>
    <w:rsid w:val="00B70D87"/>
    <w:rsid w:val="00B720EC"/>
    <w:rsid w:val="00B721E9"/>
    <w:rsid w:val="00B72F93"/>
    <w:rsid w:val="00B74F7F"/>
    <w:rsid w:val="00B753DB"/>
    <w:rsid w:val="00B75B08"/>
    <w:rsid w:val="00B75BE8"/>
    <w:rsid w:val="00B7663C"/>
    <w:rsid w:val="00B77355"/>
    <w:rsid w:val="00B80AAF"/>
    <w:rsid w:val="00B8122C"/>
    <w:rsid w:val="00B845FB"/>
    <w:rsid w:val="00B84869"/>
    <w:rsid w:val="00B86607"/>
    <w:rsid w:val="00B87859"/>
    <w:rsid w:val="00B90FAD"/>
    <w:rsid w:val="00B91D47"/>
    <w:rsid w:val="00B93D97"/>
    <w:rsid w:val="00B93F89"/>
    <w:rsid w:val="00B953E2"/>
    <w:rsid w:val="00B9611F"/>
    <w:rsid w:val="00B96452"/>
    <w:rsid w:val="00BA05DF"/>
    <w:rsid w:val="00BA1B3B"/>
    <w:rsid w:val="00BA1FC4"/>
    <w:rsid w:val="00BA200E"/>
    <w:rsid w:val="00BA2CCF"/>
    <w:rsid w:val="00BA3CB8"/>
    <w:rsid w:val="00BA7623"/>
    <w:rsid w:val="00BB05A0"/>
    <w:rsid w:val="00BB26AD"/>
    <w:rsid w:val="00BB4B52"/>
    <w:rsid w:val="00BB5F1F"/>
    <w:rsid w:val="00BB7119"/>
    <w:rsid w:val="00BC0534"/>
    <w:rsid w:val="00BC0818"/>
    <w:rsid w:val="00BC0DCE"/>
    <w:rsid w:val="00BC127C"/>
    <w:rsid w:val="00BC17AB"/>
    <w:rsid w:val="00BC1E2E"/>
    <w:rsid w:val="00BC219C"/>
    <w:rsid w:val="00BC278E"/>
    <w:rsid w:val="00BC6606"/>
    <w:rsid w:val="00BC665D"/>
    <w:rsid w:val="00BC6E46"/>
    <w:rsid w:val="00BC7C1B"/>
    <w:rsid w:val="00BD190D"/>
    <w:rsid w:val="00BD2085"/>
    <w:rsid w:val="00BD2312"/>
    <w:rsid w:val="00BD3406"/>
    <w:rsid w:val="00BD56E6"/>
    <w:rsid w:val="00BE02C6"/>
    <w:rsid w:val="00BE2B2E"/>
    <w:rsid w:val="00BE3EE3"/>
    <w:rsid w:val="00BE594A"/>
    <w:rsid w:val="00BF03C0"/>
    <w:rsid w:val="00BF0EF2"/>
    <w:rsid w:val="00BF11A0"/>
    <w:rsid w:val="00BF1727"/>
    <w:rsid w:val="00BF51C0"/>
    <w:rsid w:val="00BF6233"/>
    <w:rsid w:val="00BF68C8"/>
    <w:rsid w:val="00BF6E1F"/>
    <w:rsid w:val="00BF7C92"/>
    <w:rsid w:val="00C016A3"/>
    <w:rsid w:val="00C01AA2"/>
    <w:rsid w:val="00C01E68"/>
    <w:rsid w:val="00C023DF"/>
    <w:rsid w:val="00C03F4A"/>
    <w:rsid w:val="00C047D1"/>
    <w:rsid w:val="00C04F7B"/>
    <w:rsid w:val="00C113EC"/>
    <w:rsid w:val="00C11924"/>
    <w:rsid w:val="00C125BD"/>
    <w:rsid w:val="00C14016"/>
    <w:rsid w:val="00C178C0"/>
    <w:rsid w:val="00C17B40"/>
    <w:rsid w:val="00C207C8"/>
    <w:rsid w:val="00C21A3D"/>
    <w:rsid w:val="00C21C2B"/>
    <w:rsid w:val="00C221A0"/>
    <w:rsid w:val="00C22533"/>
    <w:rsid w:val="00C238D1"/>
    <w:rsid w:val="00C23A7C"/>
    <w:rsid w:val="00C24B2A"/>
    <w:rsid w:val="00C24C4E"/>
    <w:rsid w:val="00C24DA8"/>
    <w:rsid w:val="00C25C46"/>
    <w:rsid w:val="00C25F9C"/>
    <w:rsid w:val="00C26E28"/>
    <w:rsid w:val="00C30C17"/>
    <w:rsid w:val="00C31E23"/>
    <w:rsid w:val="00C326F9"/>
    <w:rsid w:val="00C344BA"/>
    <w:rsid w:val="00C36FFC"/>
    <w:rsid w:val="00C37A29"/>
    <w:rsid w:val="00C37A53"/>
    <w:rsid w:val="00C40172"/>
    <w:rsid w:val="00C420C0"/>
    <w:rsid w:val="00C42377"/>
    <w:rsid w:val="00C45388"/>
    <w:rsid w:val="00C4558F"/>
    <w:rsid w:val="00C46643"/>
    <w:rsid w:val="00C47558"/>
    <w:rsid w:val="00C476FE"/>
    <w:rsid w:val="00C50D40"/>
    <w:rsid w:val="00C52DBB"/>
    <w:rsid w:val="00C5310D"/>
    <w:rsid w:val="00C53D6D"/>
    <w:rsid w:val="00C548CB"/>
    <w:rsid w:val="00C56365"/>
    <w:rsid w:val="00C5735C"/>
    <w:rsid w:val="00C57609"/>
    <w:rsid w:val="00C6270B"/>
    <w:rsid w:val="00C633B7"/>
    <w:rsid w:val="00C65F63"/>
    <w:rsid w:val="00C66B53"/>
    <w:rsid w:val="00C679C0"/>
    <w:rsid w:val="00C70D80"/>
    <w:rsid w:val="00C70EFC"/>
    <w:rsid w:val="00C71688"/>
    <w:rsid w:val="00C741BE"/>
    <w:rsid w:val="00C75C56"/>
    <w:rsid w:val="00C77022"/>
    <w:rsid w:val="00C77967"/>
    <w:rsid w:val="00C797D9"/>
    <w:rsid w:val="00C824E2"/>
    <w:rsid w:val="00C86809"/>
    <w:rsid w:val="00C87A89"/>
    <w:rsid w:val="00C90242"/>
    <w:rsid w:val="00C904C4"/>
    <w:rsid w:val="00C90BD9"/>
    <w:rsid w:val="00C90E31"/>
    <w:rsid w:val="00C923A2"/>
    <w:rsid w:val="00C931A5"/>
    <w:rsid w:val="00C932F3"/>
    <w:rsid w:val="00C94A3A"/>
    <w:rsid w:val="00C95435"/>
    <w:rsid w:val="00C95BEB"/>
    <w:rsid w:val="00C96674"/>
    <w:rsid w:val="00C96A6B"/>
    <w:rsid w:val="00CA0B3F"/>
    <w:rsid w:val="00CA5847"/>
    <w:rsid w:val="00CA5AD6"/>
    <w:rsid w:val="00CA5B1F"/>
    <w:rsid w:val="00CA61E3"/>
    <w:rsid w:val="00CB124D"/>
    <w:rsid w:val="00CB1799"/>
    <w:rsid w:val="00CB1F6E"/>
    <w:rsid w:val="00CB663D"/>
    <w:rsid w:val="00CB77B6"/>
    <w:rsid w:val="00CC1977"/>
    <w:rsid w:val="00CC231D"/>
    <w:rsid w:val="00CC3DE4"/>
    <w:rsid w:val="00CC459B"/>
    <w:rsid w:val="00CC52C4"/>
    <w:rsid w:val="00CC5F5B"/>
    <w:rsid w:val="00CC6635"/>
    <w:rsid w:val="00CC694A"/>
    <w:rsid w:val="00CC6A84"/>
    <w:rsid w:val="00CC7A24"/>
    <w:rsid w:val="00CC7D0A"/>
    <w:rsid w:val="00CC7F45"/>
    <w:rsid w:val="00CD0ECA"/>
    <w:rsid w:val="00CD1116"/>
    <w:rsid w:val="00CD1507"/>
    <w:rsid w:val="00CD1D4D"/>
    <w:rsid w:val="00CD2022"/>
    <w:rsid w:val="00CD2121"/>
    <w:rsid w:val="00CD2E5D"/>
    <w:rsid w:val="00CD4321"/>
    <w:rsid w:val="00CD461A"/>
    <w:rsid w:val="00CD4776"/>
    <w:rsid w:val="00CD61EB"/>
    <w:rsid w:val="00CD757D"/>
    <w:rsid w:val="00CD7F44"/>
    <w:rsid w:val="00CE18D4"/>
    <w:rsid w:val="00CE32CA"/>
    <w:rsid w:val="00CE3723"/>
    <w:rsid w:val="00CE3DC3"/>
    <w:rsid w:val="00CE43AF"/>
    <w:rsid w:val="00CE4D3A"/>
    <w:rsid w:val="00CE64FD"/>
    <w:rsid w:val="00CE7236"/>
    <w:rsid w:val="00CF02F0"/>
    <w:rsid w:val="00CF2872"/>
    <w:rsid w:val="00CF4BC6"/>
    <w:rsid w:val="00CF5D83"/>
    <w:rsid w:val="00CF6B18"/>
    <w:rsid w:val="00CF7F06"/>
    <w:rsid w:val="00D01615"/>
    <w:rsid w:val="00D02433"/>
    <w:rsid w:val="00D0352E"/>
    <w:rsid w:val="00D05CF7"/>
    <w:rsid w:val="00D069AF"/>
    <w:rsid w:val="00D10F14"/>
    <w:rsid w:val="00D11A83"/>
    <w:rsid w:val="00D146C9"/>
    <w:rsid w:val="00D15113"/>
    <w:rsid w:val="00D15B7C"/>
    <w:rsid w:val="00D15B7D"/>
    <w:rsid w:val="00D16F26"/>
    <w:rsid w:val="00D16F74"/>
    <w:rsid w:val="00D20D9C"/>
    <w:rsid w:val="00D21F76"/>
    <w:rsid w:val="00D23225"/>
    <w:rsid w:val="00D23D95"/>
    <w:rsid w:val="00D23E87"/>
    <w:rsid w:val="00D24466"/>
    <w:rsid w:val="00D24AFB"/>
    <w:rsid w:val="00D2579C"/>
    <w:rsid w:val="00D30791"/>
    <w:rsid w:val="00D309D3"/>
    <w:rsid w:val="00D313D3"/>
    <w:rsid w:val="00D31E3E"/>
    <w:rsid w:val="00D330CA"/>
    <w:rsid w:val="00D3316D"/>
    <w:rsid w:val="00D3484D"/>
    <w:rsid w:val="00D37882"/>
    <w:rsid w:val="00D40642"/>
    <w:rsid w:val="00D40B63"/>
    <w:rsid w:val="00D41DDC"/>
    <w:rsid w:val="00D4638C"/>
    <w:rsid w:val="00D46FD9"/>
    <w:rsid w:val="00D4704C"/>
    <w:rsid w:val="00D47993"/>
    <w:rsid w:val="00D47AAF"/>
    <w:rsid w:val="00D51024"/>
    <w:rsid w:val="00D521AF"/>
    <w:rsid w:val="00D55D3D"/>
    <w:rsid w:val="00D57C9D"/>
    <w:rsid w:val="00D60649"/>
    <w:rsid w:val="00D61846"/>
    <w:rsid w:val="00D61E88"/>
    <w:rsid w:val="00D624DD"/>
    <w:rsid w:val="00D6650A"/>
    <w:rsid w:val="00D70786"/>
    <w:rsid w:val="00D723F6"/>
    <w:rsid w:val="00D75F53"/>
    <w:rsid w:val="00D76E2F"/>
    <w:rsid w:val="00D80277"/>
    <w:rsid w:val="00D8032C"/>
    <w:rsid w:val="00D80582"/>
    <w:rsid w:val="00D80DCC"/>
    <w:rsid w:val="00D8153C"/>
    <w:rsid w:val="00D83923"/>
    <w:rsid w:val="00D8526A"/>
    <w:rsid w:val="00D860FB"/>
    <w:rsid w:val="00D86610"/>
    <w:rsid w:val="00D87C26"/>
    <w:rsid w:val="00D90A84"/>
    <w:rsid w:val="00D90CC5"/>
    <w:rsid w:val="00D9419D"/>
    <w:rsid w:val="00D94506"/>
    <w:rsid w:val="00D96F65"/>
    <w:rsid w:val="00DA099F"/>
    <w:rsid w:val="00DA136C"/>
    <w:rsid w:val="00DA23F8"/>
    <w:rsid w:val="00DA2DE8"/>
    <w:rsid w:val="00DA3017"/>
    <w:rsid w:val="00DA5484"/>
    <w:rsid w:val="00DA66E1"/>
    <w:rsid w:val="00DA7893"/>
    <w:rsid w:val="00DB21EC"/>
    <w:rsid w:val="00DB5525"/>
    <w:rsid w:val="00DB63A3"/>
    <w:rsid w:val="00DB6E21"/>
    <w:rsid w:val="00DB7E8D"/>
    <w:rsid w:val="00DC1012"/>
    <w:rsid w:val="00DC18D8"/>
    <w:rsid w:val="00DC1B37"/>
    <w:rsid w:val="00DC20FF"/>
    <w:rsid w:val="00DC25B8"/>
    <w:rsid w:val="00DC358C"/>
    <w:rsid w:val="00DC4E9B"/>
    <w:rsid w:val="00DC5206"/>
    <w:rsid w:val="00DC5273"/>
    <w:rsid w:val="00DC5417"/>
    <w:rsid w:val="00DC5DFF"/>
    <w:rsid w:val="00DC5E1A"/>
    <w:rsid w:val="00DC6E51"/>
    <w:rsid w:val="00DC74CB"/>
    <w:rsid w:val="00DC7A65"/>
    <w:rsid w:val="00DD0376"/>
    <w:rsid w:val="00DD039C"/>
    <w:rsid w:val="00DD134A"/>
    <w:rsid w:val="00DD1482"/>
    <w:rsid w:val="00DD3CDA"/>
    <w:rsid w:val="00DD5516"/>
    <w:rsid w:val="00DD6473"/>
    <w:rsid w:val="00DE0639"/>
    <w:rsid w:val="00DE06EA"/>
    <w:rsid w:val="00DE1382"/>
    <w:rsid w:val="00DE1454"/>
    <w:rsid w:val="00DE3473"/>
    <w:rsid w:val="00DE442A"/>
    <w:rsid w:val="00DE4EA6"/>
    <w:rsid w:val="00DE5FE9"/>
    <w:rsid w:val="00DE6813"/>
    <w:rsid w:val="00DE69EF"/>
    <w:rsid w:val="00DE7DA9"/>
    <w:rsid w:val="00DF20BE"/>
    <w:rsid w:val="00DF4BC5"/>
    <w:rsid w:val="00DF4E3E"/>
    <w:rsid w:val="00DF57D9"/>
    <w:rsid w:val="00DF60B9"/>
    <w:rsid w:val="00DF63B7"/>
    <w:rsid w:val="00DF663D"/>
    <w:rsid w:val="00DF7137"/>
    <w:rsid w:val="00E010CD"/>
    <w:rsid w:val="00E0201C"/>
    <w:rsid w:val="00E040A9"/>
    <w:rsid w:val="00E0453D"/>
    <w:rsid w:val="00E05FA6"/>
    <w:rsid w:val="00E06828"/>
    <w:rsid w:val="00E07DEC"/>
    <w:rsid w:val="00E103A9"/>
    <w:rsid w:val="00E122AD"/>
    <w:rsid w:val="00E13B02"/>
    <w:rsid w:val="00E14FF7"/>
    <w:rsid w:val="00E15A2F"/>
    <w:rsid w:val="00E1661A"/>
    <w:rsid w:val="00E16653"/>
    <w:rsid w:val="00E20F77"/>
    <w:rsid w:val="00E2110A"/>
    <w:rsid w:val="00E21E22"/>
    <w:rsid w:val="00E248D2"/>
    <w:rsid w:val="00E25474"/>
    <w:rsid w:val="00E26BF2"/>
    <w:rsid w:val="00E32EE5"/>
    <w:rsid w:val="00E32F93"/>
    <w:rsid w:val="00E33066"/>
    <w:rsid w:val="00E379F7"/>
    <w:rsid w:val="00E40CDD"/>
    <w:rsid w:val="00E4127E"/>
    <w:rsid w:val="00E41809"/>
    <w:rsid w:val="00E4254C"/>
    <w:rsid w:val="00E4355F"/>
    <w:rsid w:val="00E4589D"/>
    <w:rsid w:val="00E47107"/>
    <w:rsid w:val="00E51F49"/>
    <w:rsid w:val="00E536D0"/>
    <w:rsid w:val="00E54559"/>
    <w:rsid w:val="00E54ACD"/>
    <w:rsid w:val="00E54B2B"/>
    <w:rsid w:val="00E56F12"/>
    <w:rsid w:val="00E61632"/>
    <w:rsid w:val="00E61B77"/>
    <w:rsid w:val="00E642E7"/>
    <w:rsid w:val="00E65A57"/>
    <w:rsid w:val="00E7049D"/>
    <w:rsid w:val="00E70DD7"/>
    <w:rsid w:val="00E7221B"/>
    <w:rsid w:val="00E72EE0"/>
    <w:rsid w:val="00E7324A"/>
    <w:rsid w:val="00E741A3"/>
    <w:rsid w:val="00E741FB"/>
    <w:rsid w:val="00E7455A"/>
    <w:rsid w:val="00E7478D"/>
    <w:rsid w:val="00E767ED"/>
    <w:rsid w:val="00E770AC"/>
    <w:rsid w:val="00E771B3"/>
    <w:rsid w:val="00E77B27"/>
    <w:rsid w:val="00E81B24"/>
    <w:rsid w:val="00E86CC6"/>
    <w:rsid w:val="00E87254"/>
    <w:rsid w:val="00E91899"/>
    <w:rsid w:val="00E91A7E"/>
    <w:rsid w:val="00E91FED"/>
    <w:rsid w:val="00E9274D"/>
    <w:rsid w:val="00E93EB4"/>
    <w:rsid w:val="00E958D1"/>
    <w:rsid w:val="00E97AAF"/>
    <w:rsid w:val="00EA1943"/>
    <w:rsid w:val="00EA25D2"/>
    <w:rsid w:val="00EA3043"/>
    <w:rsid w:val="00EA3740"/>
    <w:rsid w:val="00EA6540"/>
    <w:rsid w:val="00EB3F9D"/>
    <w:rsid w:val="00EB43A5"/>
    <w:rsid w:val="00EB4E7B"/>
    <w:rsid w:val="00EB5DC6"/>
    <w:rsid w:val="00EB62D7"/>
    <w:rsid w:val="00EB7838"/>
    <w:rsid w:val="00EB7966"/>
    <w:rsid w:val="00EC0202"/>
    <w:rsid w:val="00EC143A"/>
    <w:rsid w:val="00EC1E18"/>
    <w:rsid w:val="00EC1FB5"/>
    <w:rsid w:val="00EC374F"/>
    <w:rsid w:val="00EC3853"/>
    <w:rsid w:val="00ED112D"/>
    <w:rsid w:val="00ED34DF"/>
    <w:rsid w:val="00ED3D29"/>
    <w:rsid w:val="00ED4983"/>
    <w:rsid w:val="00ED4A6D"/>
    <w:rsid w:val="00ED58B8"/>
    <w:rsid w:val="00ED5E5F"/>
    <w:rsid w:val="00ED7778"/>
    <w:rsid w:val="00ED7AC1"/>
    <w:rsid w:val="00EE3263"/>
    <w:rsid w:val="00EE3B8C"/>
    <w:rsid w:val="00EE6522"/>
    <w:rsid w:val="00EE6F14"/>
    <w:rsid w:val="00EE78A9"/>
    <w:rsid w:val="00EF3F23"/>
    <w:rsid w:val="00EF5993"/>
    <w:rsid w:val="00EF62AE"/>
    <w:rsid w:val="00EF6C20"/>
    <w:rsid w:val="00EF6C2A"/>
    <w:rsid w:val="00EF6EE8"/>
    <w:rsid w:val="00EF7FED"/>
    <w:rsid w:val="00F0149D"/>
    <w:rsid w:val="00F04EA7"/>
    <w:rsid w:val="00F068C3"/>
    <w:rsid w:val="00F10F86"/>
    <w:rsid w:val="00F13C69"/>
    <w:rsid w:val="00F13CDD"/>
    <w:rsid w:val="00F14A65"/>
    <w:rsid w:val="00F1500A"/>
    <w:rsid w:val="00F162D4"/>
    <w:rsid w:val="00F173EF"/>
    <w:rsid w:val="00F2058B"/>
    <w:rsid w:val="00F22E50"/>
    <w:rsid w:val="00F25AE6"/>
    <w:rsid w:val="00F25F48"/>
    <w:rsid w:val="00F316C8"/>
    <w:rsid w:val="00F31C74"/>
    <w:rsid w:val="00F3209B"/>
    <w:rsid w:val="00F3214C"/>
    <w:rsid w:val="00F33F8D"/>
    <w:rsid w:val="00F341F0"/>
    <w:rsid w:val="00F347A7"/>
    <w:rsid w:val="00F3616F"/>
    <w:rsid w:val="00F37CB6"/>
    <w:rsid w:val="00F37F65"/>
    <w:rsid w:val="00F4010B"/>
    <w:rsid w:val="00F43E9F"/>
    <w:rsid w:val="00F461DE"/>
    <w:rsid w:val="00F4672D"/>
    <w:rsid w:val="00F46E42"/>
    <w:rsid w:val="00F4702C"/>
    <w:rsid w:val="00F47E0B"/>
    <w:rsid w:val="00F505B8"/>
    <w:rsid w:val="00F51674"/>
    <w:rsid w:val="00F5352D"/>
    <w:rsid w:val="00F53EFE"/>
    <w:rsid w:val="00F54C8B"/>
    <w:rsid w:val="00F55368"/>
    <w:rsid w:val="00F559D5"/>
    <w:rsid w:val="00F55BA8"/>
    <w:rsid w:val="00F60BA2"/>
    <w:rsid w:val="00F62023"/>
    <w:rsid w:val="00F6255D"/>
    <w:rsid w:val="00F634F6"/>
    <w:rsid w:val="00F64293"/>
    <w:rsid w:val="00F6495E"/>
    <w:rsid w:val="00F64FAA"/>
    <w:rsid w:val="00F701F0"/>
    <w:rsid w:val="00F71397"/>
    <w:rsid w:val="00F733C7"/>
    <w:rsid w:val="00F74468"/>
    <w:rsid w:val="00F745F2"/>
    <w:rsid w:val="00F7549D"/>
    <w:rsid w:val="00F77B4D"/>
    <w:rsid w:val="00F80464"/>
    <w:rsid w:val="00F82B4A"/>
    <w:rsid w:val="00F83C5C"/>
    <w:rsid w:val="00F87B07"/>
    <w:rsid w:val="00F9023D"/>
    <w:rsid w:val="00F90688"/>
    <w:rsid w:val="00F90CEA"/>
    <w:rsid w:val="00F912F3"/>
    <w:rsid w:val="00F9318A"/>
    <w:rsid w:val="00F94880"/>
    <w:rsid w:val="00F96C5D"/>
    <w:rsid w:val="00F97CFB"/>
    <w:rsid w:val="00FA0FE7"/>
    <w:rsid w:val="00FA33D2"/>
    <w:rsid w:val="00FA5CE4"/>
    <w:rsid w:val="00FA5D33"/>
    <w:rsid w:val="00FA5F49"/>
    <w:rsid w:val="00FA6237"/>
    <w:rsid w:val="00FB016C"/>
    <w:rsid w:val="00FB096E"/>
    <w:rsid w:val="00FB0D0A"/>
    <w:rsid w:val="00FB1ADB"/>
    <w:rsid w:val="00FB32B1"/>
    <w:rsid w:val="00FB3EBB"/>
    <w:rsid w:val="00FB4E93"/>
    <w:rsid w:val="00FB7092"/>
    <w:rsid w:val="00FC2D8B"/>
    <w:rsid w:val="00FC2F22"/>
    <w:rsid w:val="00FC319A"/>
    <w:rsid w:val="00FC66DC"/>
    <w:rsid w:val="00FC70D6"/>
    <w:rsid w:val="00FC7C80"/>
    <w:rsid w:val="00FC7DAC"/>
    <w:rsid w:val="00FD295B"/>
    <w:rsid w:val="00FD3009"/>
    <w:rsid w:val="00FD3306"/>
    <w:rsid w:val="00FD334F"/>
    <w:rsid w:val="00FD36B1"/>
    <w:rsid w:val="00FD3804"/>
    <w:rsid w:val="00FD3FE4"/>
    <w:rsid w:val="00FD4AE2"/>
    <w:rsid w:val="00FD58D4"/>
    <w:rsid w:val="00FD5F14"/>
    <w:rsid w:val="00FD6005"/>
    <w:rsid w:val="00FD63F3"/>
    <w:rsid w:val="00FD647E"/>
    <w:rsid w:val="00FD693C"/>
    <w:rsid w:val="00FD7CCE"/>
    <w:rsid w:val="00FD7E8F"/>
    <w:rsid w:val="00FD7FE8"/>
    <w:rsid w:val="00FE2951"/>
    <w:rsid w:val="00FE29AA"/>
    <w:rsid w:val="00FE59FD"/>
    <w:rsid w:val="00FE78DF"/>
    <w:rsid w:val="00FE7F98"/>
    <w:rsid w:val="00FF2115"/>
    <w:rsid w:val="00FF24A9"/>
    <w:rsid w:val="00FF2E7F"/>
    <w:rsid w:val="00FF306D"/>
    <w:rsid w:val="00FF5489"/>
    <w:rsid w:val="00FF5652"/>
    <w:rsid w:val="00FF6854"/>
    <w:rsid w:val="00FF7378"/>
    <w:rsid w:val="00FF7C34"/>
    <w:rsid w:val="01567CEA"/>
    <w:rsid w:val="02C13058"/>
    <w:rsid w:val="02ED058D"/>
    <w:rsid w:val="034171BC"/>
    <w:rsid w:val="0347511C"/>
    <w:rsid w:val="03BA41AC"/>
    <w:rsid w:val="056120DB"/>
    <w:rsid w:val="0579FE69"/>
    <w:rsid w:val="0679127E"/>
    <w:rsid w:val="06B64DD5"/>
    <w:rsid w:val="073DFC9A"/>
    <w:rsid w:val="0868FF8C"/>
    <w:rsid w:val="0881BACB"/>
    <w:rsid w:val="08CAC788"/>
    <w:rsid w:val="08F66788"/>
    <w:rsid w:val="0A4DFE6E"/>
    <w:rsid w:val="0B0FA664"/>
    <w:rsid w:val="0BB1231F"/>
    <w:rsid w:val="0C55B7CF"/>
    <w:rsid w:val="0C98B217"/>
    <w:rsid w:val="0CC3DA83"/>
    <w:rsid w:val="0D0453F4"/>
    <w:rsid w:val="0D126440"/>
    <w:rsid w:val="0E242050"/>
    <w:rsid w:val="0E34CC4D"/>
    <w:rsid w:val="0F20E0AF"/>
    <w:rsid w:val="10C49E96"/>
    <w:rsid w:val="10EB01EA"/>
    <w:rsid w:val="1126E077"/>
    <w:rsid w:val="11325043"/>
    <w:rsid w:val="12606EF7"/>
    <w:rsid w:val="12C59E35"/>
    <w:rsid w:val="13EDDBFD"/>
    <w:rsid w:val="13FC3F58"/>
    <w:rsid w:val="1403EEBD"/>
    <w:rsid w:val="143CC687"/>
    <w:rsid w:val="15170030"/>
    <w:rsid w:val="16C4AD35"/>
    <w:rsid w:val="16C989E2"/>
    <w:rsid w:val="16E94E35"/>
    <w:rsid w:val="170A940B"/>
    <w:rsid w:val="1751984E"/>
    <w:rsid w:val="1837C6AE"/>
    <w:rsid w:val="18C7C2F5"/>
    <w:rsid w:val="1A12C73D"/>
    <w:rsid w:val="1A51F1BE"/>
    <w:rsid w:val="1A62BEB8"/>
    <w:rsid w:val="1A639356"/>
    <w:rsid w:val="1B47EA18"/>
    <w:rsid w:val="1B9A0BB2"/>
    <w:rsid w:val="1C07513D"/>
    <w:rsid w:val="1C19EEDC"/>
    <w:rsid w:val="1C44E7C9"/>
    <w:rsid w:val="1D08275B"/>
    <w:rsid w:val="1F54B50D"/>
    <w:rsid w:val="1FBDAA75"/>
    <w:rsid w:val="1FC3F719"/>
    <w:rsid w:val="1FC5C29E"/>
    <w:rsid w:val="1FE62ACF"/>
    <w:rsid w:val="1FFA2DB5"/>
    <w:rsid w:val="209D8656"/>
    <w:rsid w:val="20BA4A90"/>
    <w:rsid w:val="20D2D4DA"/>
    <w:rsid w:val="20DA5269"/>
    <w:rsid w:val="21353CF6"/>
    <w:rsid w:val="21FCA675"/>
    <w:rsid w:val="221A68E6"/>
    <w:rsid w:val="222A6EC2"/>
    <w:rsid w:val="223E75F3"/>
    <w:rsid w:val="2273E012"/>
    <w:rsid w:val="2456C1B7"/>
    <w:rsid w:val="246871F5"/>
    <w:rsid w:val="24A892F1"/>
    <w:rsid w:val="25784E5E"/>
    <w:rsid w:val="2650C891"/>
    <w:rsid w:val="26B730A1"/>
    <w:rsid w:val="28DA7676"/>
    <w:rsid w:val="28DDE6BF"/>
    <w:rsid w:val="2906FE2E"/>
    <w:rsid w:val="29FCA3A6"/>
    <w:rsid w:val="2A1A5F47"/>
    <w:rsid w:val="2A30F128"/>
    <w:rsid w:val="2A81A4A6"/>
    <w:rsid w:val="2B0D955A"/>
    <w:rsid w:val="2B4214AB"/>
    <w:rsid w:val="2BE95844"/>
    <w:rsid w:val="2BEE73F7"/>
    <w:rsid w:val="2C158781"/>
    <w:rsid w:val="2C52F88E"/>
    <w:rsid w:val="2C84504B"/>
    <w:rsid w:val="2CC20D5C"/>
    <w:rsid w:val="2CED2322"/>
    <w:rsid w:val="2E45361C"/>
    <w:rsid w:val="2E766D8F"/>
    <w:rsid w:val="2E88F383"/>
    <w:rsid w:val="2E93DFFE"/>
    <w:rsid w:val="2F4B88F2"/>
    <w:rsid w:val="2F5500E4"/>
    <w:rsid w:val="2F92F413"/>
    <w:rsid w:val="2FB568D2"/>
    <w:rsid w:val="3027C2D9"/>
    <w:rsid w:val="302FB05F"/>
    <w:rsid w:val="3089A0CB"/>
    <w:rsid w:val="3094C2E9"/>
    <w:rsid w:val="30ABB215"/>
    <w:rsid w:val="30E8F8A4"/>
    <w:rsid w:val="30F1991D"/>
    <w:rsid w:val="332CF641"/>
    <w:rsid w:val="34B477A0"/>
    <w:rsid w:val="34B59B40"/>
    <w:rsid w:val="34FB33FC"/>
    <w:rsid w:val="352D1FA5"/>
    <w:rsid w:val="3594D659"/>
    <w:rsid w:val="35B55B59"/>
    <w:rsid w:val="36023597"/>
    <w:rsid w:val="369EF1E3"/>
    <w:rsid w:val="36D90487"/>
    <w:rsid w:val="3794DEEA"/>
    <w:rsid w:val="37EC1862"/>
    <w:rsid w:val="380030F6"/>
    <w:rsid w:val="3832D4BE"/>
    <w:rsid w:val="383AC244"/>
    <w:rsid w:val="38B6850C"/>
    <w:rsid w:val="38B7BC1B"/>
    <w:rsid w:val="390D07E3"/>
    <w:rsid w:val="394B38B1"/>
    <w:rsid w:val="39CE9ACA"/>
    <w:rsid w:val="39D692A5"/>
    <w:rsid w:val="3A8DA586"/>
    <w:rsid w:val="3A97C870"/>
    <w:rsid w:val="3AB55B52"/>
    <w:rsid w:val="3B5B2892"/>
    <w:rsid w:val="3B6A7580"/>
    <w:rsid w:val="3BC969AD"/>
    <w:rsid w:val="3C68500D"/>
    <w:rsid w:val="3CD61699"/>
    <w:rsid w:val="3CFC80CA"/>
    <w:rsid w:val="3D6B90EF"/>
    <w:rsid w:val="3D81C607"/>
    <w:rsid w:val="3D8ABE41"/>
    <w:rsid w:val="3E04206E"/>
    <w:rsid w:val="3E2F1B5D"/>
    <w:rsid w:val="3E71E6FA"/>
    <w:rsid w:val="3EF49CA2"/>
    <w:rsid w:val="3F1D9668"/>
    <w:rsid w:val="40A7BB1C"/>
    <w:rsid w:val="410B922B"/>
    <w:rsid w:val="4112DA12"/>
    <w:rsid w:val="41206EBF"/>
    <w:rsid w:val="41D7E4D5"/>
    <w:rsid w:val="41F5058E"/>
    <w:rsid w:val="43758765"/>
    <w:rsid w:val="4377EFDD"/>
    <w:rsid w:val="439B257F"/>
    <w:rsid w:val="43E7B93F"/>
    <w:rsid w:val="43E808F9"/>
    <w:rsid w:val="43FA7157"/>
    <w:rsid w:val="4403E3F9"/>
    <w:rsid w:val="4486FAEC"/>
    <w:rsid w:val="4487DD54"/>
    <w:rsid w:val="44E4F893"/>
    <w:rsid w:val="44EEFB34"/>
    <w:rsid w:val="455CD025"/>
    <w:rsid w:val="467ABE49"/>
    <w:rsid w:val="46F12764"/>
    <w:rsid w:val="47E9A0AF"/>
    <w:rsid w:val="481168A3"/>
    <w:rsid w:val="4979AC4C"/>
    <w:rsid w:val="4A8172FC"/>
    <w:rsid w:val="4B39885B"/>
    <w:rsid w:val="4B8886D0"/>
    <w:rsid w:val="4BC6651A"/>
    <w:rsid w:val="4CA59FEA"/>
    <w:rsid w:val="4CD76F13"/>
    <w:rsid w:val="4D6F0547"/>
    <w:rsid w:val="4F4C1846"/>
    <w:rsid w:val="50487D81"/>
    <w:rsid w:val="51311210"/>
    <w:rsid w:val="51BF1610"/>
    <w:rsid w:val="525B2702"/>
    <w:rsid w:val="544A1E73"/>
    <w:rsid w:val="5486594D"/>
    <w:rsid w:val="54FC5255"/>
    <w:rsid w:val="552F6916"/>
    <w:rsid w:val="55F67D7F"/>
    <w:rsid w:val="564263C0"/>
    <w:rsid w:val="57F11A22"/>
    <w:rsid w:val="58806EA3"/>
    <w:rsid w:val="588AF219"/>
    <w:rsid w:val="59F9CD43"/>
    <w:rsid w:val="5A8794CA"/>
    <w:rsid w:val="5B8B32BD"/>
    <w:rsid w:val="5B9EAA9A"/>
    <w:rsid w:val="5BC8A86F"/>
    <w:rsid w:val="5C680A59"/>
    <w:rsid w:val="5CB5ACCC"/>
    <w:rsid w:val="5D1EF32C"/>
    <w:rsid w:val="5D90B408"/>
    <w:rsid w:val="5DC1692C"/>
    <w:rsid w:val="5DD06F3D"/>
    <w:rsid w:val="5E41685A"/>
    <w:rsid w:val="5E50E5B5"/>
    <w:rsid w:val="5E8F175E"/>
    <w:rsid w:val="5E8FA46F"/>
    <w:rsid w:val="5EE3BD38"/>
    <w:rsid w:val="5F6A2996"/>
    <w:rsid w:val="5FCB3EC5"/>
    <w:rsid w:val="5FE3011E"/>
    <w:rsid w:val="5FF53B14"/>
    <w:rsid w:val="6105F9F7"/>
    <w:rsid w:val="6154CB5A"/>
    <w:rsid w:val="62CFB8A9"/>
    <w:rsid w:val="6307842D"/>
    <w:rsid w:val="63AAE613"/>
    <w:rsid w:val="63C3214A"/>
    <w:rsid w:val="63DCA3F9"/>
    <w:rsid w:val="64AD1042"/>
    <w:rsid w:val="64C9D88D"/>
    <w:rsid w:val="65B947E1"/>
    <w:rsid w:val="671E0203"/>
    <w:rsid w:val="67753B7B"/>
    <w:rsid w:val="677F5BA7"/>
    <w:rsid w:val="67ABE35F"/>
    <w:rsid w:val="68B9D264"/>
    <w:rsid w:val="69613466"/>
    <w:rsid w:val="6985EA55"/>
    <w:rsid w:val="6995A682"/>
    <w:rsid w:val="69C57292"/>
    <w:rsid w:val="6AF39899"/>
    <w:rsid w:val="6B016F1C"/>
    <w:rsid w:val="6C171AB3"/>
    <w:rsid w:val="6CEBC6E1"/>
    <w:rsid w:val="6D37076C"/>
    <w:rsid w:val="6D4450CC"/>
    <w:rsid w:val="6D8D4387"/>
    <w:rsid w:val="6FCC296B"/>
    <w:rsid w:val="7017F586"/>
    <w:rsid w:val="70778E09"/>
    <w:rsid w:val="70BFEC5E"/>
    <w:rsid w:val="70F0F964"/>
    <w:rsid w:val="7139CD5A"/>
    <w:rsid w:val="718ED12B"/>
    <w:rsid w:val="71E36F5A"/>
    <w:rsid w:val="721EA641"/>
    <w:rsid w:val="72C7EFB4"/>
    <w:rsid w:val="73525D45"/>
    <w:rsid w:val="74758948"/>
    <w:rsid w:val="74894008"/>
    <w:rsid w:val="74E6977E"/>
    <w:rsid w:val="7533E6B4"/>
    <w:rsid w:val="759F8528"/>
    <w:rsid w:val="76364B40"/>
    <w:rsid w:val="76AA1DA7"/>
    <w:rsid w:val="76CA297A"/>
    <w:rsid w:val="76EE5A17"/>
    <w:rsid w:val="76EFF127"/>
    <w:rsid w:val="76FFAAFF"/>
    <w:rsid w:val="7722F055"/>
    <w:rsid w:val="77C0E0CA"/>
    <w:rsid w:val="77C973E6"/>
    <w:rsid w:val="785693C3"/>
    <w:rsid w:val="78671E15"/>
    <w:rsid w:val="795CB12B"/>
    <w:rsid w:val="798DD5CE"/>
    <w:rsid w:val="79D0398B"/>
    <w:rsid w:val="7A913C2D"/>
    <w:rsid w:val="7BDB62FF"/>
    <w:rsid w:val="7C244DD8"/>
    <w:rsid w:val="7C5A99F3"/>
    <w:rsid w:val="7D19C483"/>
    <w:rsid w:val="7E1EEAE4"/>
    <w:rsid w:val="7E3FBF39"/>
    <w:rsid w:val="7E42799B"/>
    <w:rsid w:val="7EBC1302"/>
    <w:rsid w:val="7F64AD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ED9D"/>
  <w15:chartTrackingRefBased/>
  <w15:docId w15:val="{F07004E9-7646-4867-8205-97AB5034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BE3EE3"/>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77480E"/>
    <w:pPr>
      <w:tabs>
        <w:tab w:val="left" w:pos="567"/>
        <w:tab w:val="right" w:pos="7938"/>
      </w:tabs>
      <w:spacing w:after="240" w:line="293" w:lineRule="auto"/>
      <w:ind w:right="1701"/>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EndnoteReference">
    <w:name w:val="endnote reference"/>
    <w:basedOn w:val="DefaultParagraphFont"/>
    <w:uiPriority w:val="99"/>
    <w:semiHidden/>
    <w:unhideWhenUsed/>
    <w:rsid w:val="00312875"/>
    <w:rPr>
      <w:vertAlign w:val="superscript"/>
    </w:rPr>
  </w:style>
  <w:style w:type="paragraph" w:customStyle="1" w:styleId="PullQuoteNoSpacing">
    <w:name w:val="Pull Quote No Spacing"/>
    <w:basedOn w:val="NoSpacing"/>
    <w:link w:val="PullQuoteNoSpacingChar"/>
    <w:uiPriority w:val="10"/>
    <w:qFormat/>
    <w:rsid w:val="00312875"/>
    <w:pPr>
      <w:spacing w:line="160" w:lineRule="exact"/>
    </w:pPr>
  </w:style>
  <w:style w:type="character" w:customStyle="1" w:styleId="PullQuoteNoSpacingChar">
    <w:name w:val="Pull Quote No Spacing Char"/>
    <w:basedOn w:val="NoSpacingChar"/>
    <w:link w:val="PullQuoteNoSpacing"/>
    <w:uiPriority w:val="10"/>
    <w:rsid w:val="00312875"/>
    <w:rPr>
      <w:sz w:val="20"/>
      <w:szCs w:val="20"/>
    </w:rPr>
  </w:style>
  <w:style w:type="paragraph" w:customStyle="1" w:styleId="PullQuote-Indigenous">
    <w:name w:val="Pull Quote-Indigenous"/>
    <w:basedOn w:val="PullQuote"/>
    <w:uiPriority w:val="10"/>
    <w:qFormat/>
    <w:rsid w:val="00312875"/>
    <w:pPr>
      <w:ind w:right="680"/>
    </w:pPr>
    <w:rPr>
      <w:rFonts w:ascii="Arial" w:hAnsi="Arial" w:cs="Arial"/>
      <w:color w:val="auto"/>
      <w:spacing w:val="6"/>
      <w:sz w:val="22"/>
      <w:szCs w:val="22"/>
    </w:rPr>
  </w:style>
  <w:style w:type="paragraph" w:styleId="Bibliography">
    <w:name w:val="Bibliography"/>
    <w:basedOn w:val="Normal"/>
    <w:next w:val="Normal"/>
    <w:uiPriority w:val="37"/>
    <w:unhideWhenUsed/>
    <w:rsid w:val="00312875"/>
    <w:pPr>
      <w:spacing w:after="240" w:line="240" w:lineRule="atLeast"/>
      <w:ind w:left="720" w:hanging="720"/>
    </w:pPr>
  </w:style>
  <w:style w:type="character" w:customStyle="1" w:styleId="ui-provider">
    <w:name w:val="ui-provider"/>
    <w:basedOn w:val="DefaultParagraphFont"/>
    <w:rsid w:val="0098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footer" Target="footer9.xml"/><Relationship Id="rId21" Type="http://schemas.openxmlformats.org/officeDocument/2006/relationships/image" Target="media/image4.png"/><Relationship Id="rId34" Type="http://schemas.openxmlformats.org/officeDocument/2006/relationships/image" Target="media/image11.emf"/><Relationship Id="rId42" Type="http://schemas.microsoft.com/office/2020/10/relationships/intelligence" Target="intelligence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image" Target="media/image9.emf"/><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svg"/><Relationship Id="rId27" Type="http://schemas.openxmlformats.org/officeDocument/2006/relationships/footer" Target="footer6.xml"/><Relationship Id="rId30" Type="http://schemas.openxmlformats.org/officeDocument/2006/relationships/image" Target="media/image7.svg"/><Relationship Id="rId35" Type="http://schemas.openxmlformats.org/officeDocument/2006/relationships/image" Target="media/image12.e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image" Target="media/image10.emf"/><Relationship Id="rId38" Type="http://schemas.openxmlformats.org/officeDocument/2006/relationships/footer" Target="footer8.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mil\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ab4be7f245d4f5148a66fc2147af54a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7139fbb9f34113454c2b56f5d4e934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chapter","templateDescription":"","enableDocumentContentUpdater":false,"version":"2.0"}]]></TemplafyTemplate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axCatchAll xmlns="20393cdf-440a-4521-8f19-00ba43423d00">
      <Value>1</Value>
    </TaxCatchAll>
    <thumbnail xmlns="3d385984-9344-419b-a80b-49c06a2bdab8" xsi:nil="true"/>
    <_Flow_SignoffStatus xmlns="3d385984-9344-419b-a80b-49c06a2bdab8" xsi:nil="true"/>
    <_dlc_DocId xmlns="20393cdf-440a-4521-8f19-00ba43423d00">MPWT-2140667901-25516</_dlc_DocId>
    <_dlc_DocIdUrl xmlns="20393cdf-440a-4521-8f19-00ba43423d00">
      <Url>https://pcgov.sharepoint.com/sites/sceteam/_layouts/15/DocIdRedir.aspx?ID=MPWT-2140667901-25516</Url>
      <Description>MPWT-2140667901-25516</Description>
    </_dlc_DocIdUrl>
    <SharedWithUsers xmlns="20393cdf-440a-4521-8f19-00ba43423d00">
      <UserInfo>
        <DisplayName/>
        <AccountId xsi:nil="true"/>
        <AccountType/>
      </UserInfo>
    </SharedWithUsers>
  </documentManagement>
</p:properties>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C32C0749-88A8-4D3C-8E55-5FDC3D17056E}">
  <ds:schemaRefs>
    <ds:schemaRef ds:uri="http://schemas.microsoft.com/sharepoint/events"/>
  </ds:schemaRefs>
</ds:datastoreItem>
</file>

<file path=customXml/itemProps2.xml><?xml version="1.0" encoding="utf-8"?>
<ds:datastoreItem xmlns:ds="http://schemas.openxmlformats.org/officeDocument/2006/customXml" ds:itemID="{81DC1F39-5D05-4158-A51F-263099E4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5.xml><?xml version="1.0" encoding="utf-8"?>
<ds:datastoreItem xmlns:ds="http://schemas.openxmlformats.org/officeDocument/2006/customXml" ds:itemID="{0F11685C-6D88-4255-8C47-FF2B95A6E361}">
  <ds:schemaRefs>
    <ds:schemaRef ds:uri="http://schemas.microsoft.com/sharepoint/v3/contenttype/forms"/>
  </ds:schemaRefs>
</ds:datastoreItem>
</file>

<file path=customXml/itemProps6.xml><?xml version="1.0" encoding="utf-8"?>
<ds:datastoreItem xmlns:ds="http://schemas.openxmlformats.org/officeDocument/2006/customXml" ds:itemID="{3D569810-C225-4186-B4A2-2482C13BCC3E}">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7.xml><?xml version="1.0" encoding="utf-8"?>
<ds:datastoreItem xmlns:ds="http://schemas.openxmlformats.org/officeDocument/2006/customXml" ds:itemID="{9897F752-2238-441E-ABA5-DB8C10DEA577}">
  <ds:schemaRefs/>
</ds:datastoreItem>
</file>

<file path=docProps/app.xml><?xml version="1.0" encoding="utf-8"?>
<Properties xmlns="http://schemas.openxmlformats.org/officeDocument/2006/extended-properties" xmlns:vt="http://schemas.openxmlformats.org/officeDocument/2006/docPropsVTypes">
  <Template>chapter.dotx</Template>
  <TotalTime>94</TotalTime>
  <Pages>12</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Productivity growth and wages – a forensic look - PC Productivity insights</vt:lpstr>
    </vt:vector>
  </TitlesOfParts>
  <Company>Productivity Commission</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growth and wages – a forensic look - PC Productivity insights</dc:title>
  <dc:subject/>
  <dc:creator>Productivity Commission</dc:creator>
  <cp:keywords/>
  <dc:description/>
  <cp:lastModifiedBy>Bianca Dobson</cp:lastModifiedBy>
  <cp:revision>46</cp:revision>
  <cp:lastPrinted>2023-09-12T00:30:00Z</cp:lastPrinted>
  <dcterms:created xsi:type="dcterms:W3CDTF">2023-09-06T05:42:00Z</dcterms:created>
  <dcterms:modified xsi:type="dcterms:W3CDTF">2023-09-12T05:29:00Z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JournalAbbreviations" value="true"/&gt;&lt;/prefs&gt;&lt;/data&gt;</vt:lpwstr>
  </property>
  <property fmtid="{D5CDD505-2E9C-101B-9397-08002B2CF9AE}" pid="3" name="TemplafyTenantId">
    <vt:lpwstr>productivitycommission</vt:lpwstr>
  </property>
  <property fmtid="{D5CDD505-2E9C-101B-9397-08002B2CF9AE}" pid="4" name="TemplafyTemplateId">
    <vt:lpwstr>637629323564275408</vt:lpwstr>
  </property>
  <property fmtid="{D5CDD505-2E9C-101B-9397-08002B2CF9AE}" pid="5" name="TemplafyUserProfileId">
    <vt:lpwstr>637803902465008559</vt:lpwstr>
  </property>
  <property fmtid="{D5CDD505-2E9C-101B-9397-08002B2CF9AE}" pid="6" name="TemplafyFromBlank">
    <vt:bool>false</vt:bool>
  </property>
  <property fmtid="{D5CDD505-2E9C-101B-9397-08002B2CF9AE}" pid="7" name="ContentTypeId">
    <vt:lpwstr>0x0101006C0B5E815648EF46B6FA6D42F17E5E9F000C963E276195B04F83BC027CFDC94A8D</vt:lpwstr>
  </property>
  <property fmtid="{D5CDD505-2E9C-101B-9397-08002B2CF9AE}" pid="8" name="MediaServiceImageTags">
    <vt:lpwstr/>
  </property>
  <property fmtid="{D5CDD505-2E9C-101B-9397-08002B2CF9AE}" pid="9" name="RevIMBCS">
    <vt:lpwstr>1;#Unclassified|3955eeb1-2d18-4582-aeb2-00144ec3aaf5</vt:lpwstr>
  </property>
  <property fmtid="{D5CDD505-2E9C-101B-9397-08002B2CF9AE}" pid="10" name="ZOTERO_PREF_1">
    <vt:lpwstr>&lt;data data-version="3" zotero-version="6.0.26"&gt;&lt;session id="ajK4AVW1"/&gt;&lt;style id="http://www.zotero.org/styles/Productivity-Commission" hasBibliography="1" bibliographyStyleHasBeenSet="1"/&gt;&lt;prefs&gt;&lt;pref name="fieldType" value="Field"/&gt;&lt;pref name="automatic</vt:lpwstr>
  </property>
  <property fmtid="{D5CDD505-2E9C-101B-9397-08002B2CF9AE}" pid="11" name="_dlc_DocIdItemGuid">
    <vt:lpwstr>f294e44e-eacf-4340-8eba-08c321ec4c82</vt:lpwstr>
  </property>
</Properties>
</file>