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275C9" w14:textId="405ADA22" w:rsidR="000D2BA9" w:rsidRPr="00DC5DFF" w:rsidRDefault="00F5423E" w:rsidP="000D2BA9">
      <w:pPr>
        <w:pStyle w:val="Coverdate"/>
        <w:framePr w:wrap="around"/>
      </w:pPr>
      <w:r>
        <w:t>October</w:t>
      </w:r>
      <w:r w:rsidR="000D2BA9" w:rsidRPr="00FC2DE0">
        <w:t xml:space="preserve"> </w:t>
      </w:r>
      <w:r w:rsidR="000D2BA9">
        <w:t>202</w:t>
      </w:r>
      <w:r>
        <w:t>4</w:t>
      </w:r>
      <w:r w:rsidR="000D2BA9" w:rsidRPr="00FC2DE0">
        <w:t xml:space="preserve">   </w:t>
      </w:r>
    </w:p>
    <w:p w14:paraId="0A0D46C3" w14:textId="77777777" w:rsidR="000D2BA9" w:rsidRDefault="000D2BA9" w:rsidP="000D2BA9">
      <w:pPr>
        <w:pStyle w:val="CoverImage"/>
        <w:framePr w:wrap="around"/>
      </w:pPr>
      <w:r w:rsidRPr="00F33F8D">
        <w:rPr>
          <w:noProof/>
        </w:rPr>
        <w:drawing>
          <wp:inline distT="0" distB="0" distL="0" distR="0" wp14:anchorId="0D182C48" wp14:editId="41163C10">
            <wp:extent cx="10195147" cy="2898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5673" t="38787" r="-25673" b="20457"/>
                    <a:stretch/>
                  </pic:blipFill>
                  <pic:spPr bwMode="auto">
                    <a:xfrm>
                      <a:off x="0" y="0"/>
                      <a:ext cx="10195147" cy="2898000"/>
                    </a:xfrm>
                    <a:prstGeom prst="rect">
                      <a:avLst/>
                    </a:prstGeom>
                    <a:ln>
                      <a:noFill/>
                    </a:ln>
                    <a:extLst>
                      <a:ext uri="{53640926-AAD7-44D8-BBD7-CCE9431645EC}">
                        <a14:shadowObscured xmlns:a14="http://schemas.microsoft.com/office/drawing/2010/main"/>
                      </a:ext>
                    </a:extLst>
                  </pic:spPr>
                </pic:pic>
              </a:graphicData>
            </a:graphic>
          </wp:inline>
        </w:drawing>
      </w:r>
    </w:p>
    <w:p w14:paraId="413F6E4D" w14:textId="77777777" w:rsidR="00A50AA0" w:rsidRDefault="00A50AA0" w:rsidP="000D2BA9">
      <w:pPr>
        <w:pStyle w:val="Title"/>
        <w:ind w:right="140"/>
      </w:pPr>
      <w:r>
        <w:t xml:space="preserve">Revisions to quarterly labour productivity growth </w:t>
      </w:r>
    </w:p>
    <w:p w14:paraId="06AAD29D" w14:textId="48BDCBD3" w:rsidR="000D2BA9" w:rsidRDefault="000D2BA9" w:rsidP="005B131D">
      <w:pPr>
        <w:pStyle w:val="Subtitle"/>
      </w:pPr>
      <w:r>
        <w:t>PC productivity insights</w:t>
      </w:r>
    </w:p>
    <w:p w14:paraId="625E8DA6" w14:textId="77777777" w:rsidR="000D2BA9" w:rsidRPr="008D1389" w:rsidRDefault="000D2BA9" w:rsidP="000D2BA9">
      <w:pPr>
        <w:sectPr w:rsidR="000D2BA9" w:rsidRPr="008D1389" w:rsidSect="000D2BA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0D2BA9" w14:paraId="4221FBB6" w14:textId="77777777" w:rsidTr="00EC3D80">
        <w:trPr>
          <w:trHeight w:hRule="exact" w:val="12586"/>
        </w:trPr>
        <w:tc>
          <w:tcPr>
            <w:tcW w:w="9638" w:type="dxa"/>
            <w:tcMar>
              <w:top w:w="113" w:type="dxa"/>
            </w:tcMar>
          </w:tcPr>
          <w:p w14:paraId="606D177B" w14:textId="77777777" w:rsidR="000D2BA9" w:rsidRPr="000F4488" w:rsidRDefault="000D2BA9" w:rsidP="00EC3D80">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542AC564" w14:textId="77777777" w:rsidR="000D2BA9" w:rsidRPr="00F37CB6" w:rsidRDefault="000D2BA9" w:rsidP="00EC3D80">
            <w:pPr>
              <w:pStyle w:val="Copyrightpage-Keylinenotext"/>
              <w:ind w:right="-284"/>
            </w:pPr>
          </w:p>
          <w:p w14:paraId="07E362E6" w14:textId="3278DF86" w:rsidR="000D2BA9" w:rsidRPr="00D96F65" w:rsidRDefault="000D2BA9" w:rsidP="00EC3D80">
            <w:pPr>
              <w:pStyle w:val="Copyrightpage-Heading"/>
              <w:ind w:right="-284"/>
            </w:pPr>
            <w:r w:rsidRPr="00D96F65">
              <w:t>The Productivity Commission</w:t>
            </w:r>
            <w:r w:rsidR="006F5285">
              <w:t xml:space="preserve"> </w:t>
            </w:r>
          </w:p>
          <w:p w14:paraId="3955D5AA" w14:textId="1AB53ABE" w:rsidR="000D2BA9" w:rsidRPr="002D6475" w:rsidRDefault="000D2BA9" w:rsidP="00EC3D80">
            <w:pPr>
              <w:pStyle w:val="Copyrightpage-BodyBold"/>
              <w:rPr>
                <w:spacing w:val="2"/>
              </w:rPr>
            </w:pPr>
            <w:r w:rsidRPr="002D6475">
              <w:rPr>
                <w:spacing w:val="2"/>
              </w:rPr>
              <w:t xml:space="preserve">The </w:t>
            </w:r>
            <w:r w:rsidR="00441069">
              <w:rPr>
                <w:spacing w:val="2"/>
              </w:rPr>
              <w:t>Productivity Commission (</w:t>
            </w:r>
            <w:r w:rsidR="002D6475" w:rsidRPr="002D6475">
              <w:rPr>
                <w:spacing w:val="2"/>
              </w:rPr>
              <w:t>PC</w:t>
            </w:r>
            <w:r w:rsidR="00441069">
              <w:rPr>
                <w:spacing w:val="2"/>
              </w:rPr>
              <w:t>)</w:t>
            </w:r>
            <w:r w:rsidRPr="002D6475">
              <w:rPr>
                <w:spacing w:val="2"/>
              </w:rPr>
              <w:t xml:space="preserve"> is the Australian Government’s independent research and advisory body on a range of economic, social and environmental issues affecting the welfare of Australians. Its role, expressed most simply, is to help governments make better policies, in the </w:t>
            </w:r>
            <w:r w:rsidR="002D6475" w:rsidRPr="002D6475">
              <w:rPr>
                <w:spacing w:val="2"/>
              </w:rPr>
              <w:t>long-term</w:t>
            </w:r>
            <w:r w:rsidRPr="002D6475">
              <w:rPr>
                <w:spacing w:val="2"/>
              </w:rPr>
              <w:t xml:space="preserve"> interest of the Australian community.</w:t>
            </w:r>
          </w:p>
          <w:p w14:paraId="2CF2B8DF" w14:textId="7D16EF1E" w:rsidR="000D2BA9" w:rsidRPr="000F4488" w:rsidRDefault="000D2BA9" w:rsidP="00EC3D80">
            <w:pPr>
              <w:pStyle w:val="Copyrightpage-BodyBold"/>
            </w:pPr>
            <w:r w:rsidRPr="000561CF">
              <w:t xml:space="preserve">The </w:t>
            </w:r>
            <w:r w:rsidR="002D6475">
              <w:t xml:space="preserve">PC’s </w:t>
            </w:r>
            <w:r w:rsidRPr="000561CF">
              <w:t>independence is underpinned by an Act of Parliament. Its processes and outputs are open to public scrutiny and are driven by concern for the wellbeing of the community as a whole.</w:t>
            </w:r>
          </w:p>
          <w:p w14:paraId="76AAFBE1" w14:textId="634E44E3" w:rsidR="000D2BA9" w:rsidRPr="00774A5C" w:rsidRDefault="00BE561E" w:rsidP="00EC3D80">
            <w:pPr>
              <w:pStyle w:val="Copyrightpage-BodyBold"/>
            </w:pPr>
            <w:r>
              <w:t xml:space="preserve">For more information </w:t>
            </w:r>
            <w:r w:rsidRPr="00774A5C">
              <w:t xml:space="preserve">visit </w:t>
            </w:r>
            <w:hyperlink r:id="rId21" w:history="1">
              <w:r w:rsidRPr="00774A5C">
                <w:rPr>
                  <w:rStyle w:val="Hyperlink"/>
                  <w:color w:val="FFFFFF" w:themeColor="background1"/>
                </w:rPr>
                <w:t>www.pc.gov.au</w:t>
              </w:r>
            </w:hyperlink>
            <w:r w:rsidRPr="00774A5C">
              <w:t>.</w:t>
            </w:r>
          </w:p>
          <w:p w14:paraId="188DE1C6" w14:textId="77777777" w:rsidR="000D2BA9" w:rsidRPr="000F4488" w:rsidRDefault="000D2BA9" w:rsidP="00EC3D80">
            <w:pPr>
              <w:pStyle w:val="Copyrightpage-Keylinenotext"/>
              <w:ind w:right="-284"/>
              <w:rPr>
                <w:b/>
                <w:bCs/>
              </w:rPr>
            </w:pPr>
          </w:p>
          <w:p w14:paraId="161B264D" w14:textId="0DEDDE03" w:rsidR="000D2BA9" w:rsidRPr="000561CF" w:rsidRDefault="000D2BA9" w:rsidP="00EC3D80">
            <w:pPr>
              <w:pStyle w:val="Copyrightpage-BodyBold"/>
            </w:pPr>
            <w:r w:rsidRPr="00E72EE0">
              <w:t>©</w:t>
            </w:r>
            <w:r w:rsidRPr="00137FAB">
              <w:t xml:space="preserve"> Commonwealth of Australia 202</w:t>
            </w:r>
            <w:r w:rsidR="00CF4D98">
              <w:t>4</w:t>
            </w:r>
          </w:p>
          <w:p w14:paraId="2A990262" w14:textId="77777777" w:rsidR="000D2BA9" w:rsidRPr="00E72EE0" w:rsidRDefault="000D2BA9" w:rsidP="00EC3D80">
            <w:pPr>
              <w:pStyle w:val="Copyrightpage-Heading2"/>
              <w:spacing w:before="0"/>
              <w:ind w:right="-284"/>
              <w:rPr>
                <w:bCs/>
              </w:rPr>
            </w:pPr>
            <w:r w:rsidRPr="00E72EE0">
              <w:rPr>
                <w:bCs/>
                <w:noProof/>
              </w:rPr>
              <w:drawing>
                <wp:inline distT="0" distB="0" distL="0" distR="0" wp14:anchorId="643087D5" wp14:editId="34D7DA69">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4000" cy="270000"/>
                          </a:xfrm>
                          <a:prstGeom prst="rect">
                            <a:avLst/>
                          </a:prstGeom>
                        </pic:spPr>
                      </pic:pic>
                    </a:graphicData>
                  </a:graphic>
                </wp:inline>
              </w:drawing>
            </w:r>
          </w:p>
          <w:p w14:paraId="4AFD3C19" w14:textId="77777777" w:rsidR="000D2BA9" w:rsidRPr="000F4488" w:rsidRDefault="000D2BA9" w:rsidP="00EC3D80">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FF76465" w14:textId="77777777" w:rsidR="000D2BA9" w:rsidRPr="000F4488" w:rsidRDefault="000D2BA9" w:rsidP="00EC3D80">
            <w:pPr>
              <w:pStyle w:val="Copyrightpage-BodyBold"/>
            </w:pPr>
            <w:r w:rsidRPr="000561CF">
              <w:t>The terms under which the Coat of Arms can be used are detailed at: www.pmc.gov.au/government/commonwealth-coat-arms.</w:t>
            </w:r>
          </w:p>
          <w:p w14:paraId="00D36451" w14:textId="77777777" w:rsidR="000D2BA9" w:rsidRPr="000561CF" w:rsidRDefault="000D2BA9" w:rsidP="00EC3D80">
            <w:pPr>
              <w:pStyle w:val="Copyrightpage-BodyBold"/>
            </w:pPr>
            <w:r w:rsidRPr="000561CF">
              <w:t>Wherever a third party holds copyright in this material the copyright remains with that party. Their permission may be required to use the material, please contact them directly.</w:t>
            </w:r>
          </w:p>
          <w:p w14:paraId="48BC2103" w14:textId="5F930054" w:rsidR="000D2BA9" w:rsidRDefault="000D2BA9" w:rsidP="00EC3D80">
            <w:pPr>
              <w:pStyle w:val="Copyrightpage-BodyBold"/>
            </w:pPr>
            <w:r w:rsidRPr="000F4488">
              <w:t>An appropriate reference for this publication is:</w:t>
            </w:r>
            <w:r>
              <w:br/>
              <w:t>Productivity Commission 202</w:t>
            </w:r>
            <w:r w:rsidR="00010779">
              <w:t>4</w:t>
            </w:r>
            <w:r>
              <w:t xml:space="preserve">, </w:t>
            </w:r>
            <w:r w:rsidR="00010779" w:rsidRPr="00DD0509">
              <w:rPr>
                <w:i/>
                <w:iCs/>
              </w:rPr>
              <w:t>Revisions to quarterly labour productivity growth</w:t>
            </w:r>
            <w:r>
              <w:rPr>
                <w:i/>
                <w:iCs/>
              </w:rPr>
              <w:t>,</w:t>
            </w:r>
            <w:r>
              <w:t xml:space="preserve"> </w:t>
            </w:r>
            <w:r w:rsidRPr="004A5356">
              <w:t xml:space="preserve">PC </w:t>
            </w:r>
            <w:r w:rsidR="0056501F">
              <w:t>p</w:t>
            </w:r>
            <w:r w:rsidR="0056501F" w:rsidRPr="004A5356">
              <w:t xml:space="preserve">roductivity </w:t>
            </w:r>
            <w:r w:rsidRPr="004A5356">
              <w:t>insights</w:t>
            </w:r>
            <w:r>
              <w:t xml:space="preserve">, Canberra, </w:t>
            </w:r>
            <w:r w:rsidR="00010779">
              <w:t>October</w:t>
            </w:r>
          </w:p>
          <w:p w14:paraId="744B42A9" w14:textId="77777777" w:rsidR="000D2BA9" w:rsidRPr="00CD2022" w:rsidRDefault="000D2BA9" w:rsidP="00EC3D80">
            <w:pPr>
              <w:rPr>
                <w:b/>
                <w:i/>
                <w:iCs/>
                <w:sz w:val="16"/>
              </w:rPr>
            </w:pPr>
          </w:p>
          <w:p w14:paraId="06493925" w14:textId="77777777" w:rsidR="000D2BA9" w:rsidRDefault="000D2BA9" w:rsidP="00EC3D80">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2CC24298" w14:textId="77777777" w:rsidR="000D2BA9" w:rsidRDefault="000D2BA9" w:rsidP="000D2BA9">
      <w:pPr>
        <w:spacing w:before="0" w:after="160" w:line="259" w:lineRule="auto"/>
        <w:rPr>
          <w:rStyle w:val="White"/>
          <w:b/>
        </w:rPr>
      </w:pPr>
      <w:r>
        <w:rPr>
          <w:rStyle w:val="White"/>
          <w:b/>
        </w:rPr>
        <w:t xml:space="preserve"> </w:t>
      </w:r>
    </w:p>
    <w:p w14:paraId="6716B04A" w14:textId="77777777" w:rsidR="00E45B21" w:rsidRPr="00395C4A" w:rsidRDefault="000D2BA9" w:rsidP="006A2874">
      <w:pPr>
        <w:pStyle w:val="Heading2-nonumber"/>
        <w:spacing w:after="480"/>
        <w:rPr>
          <w:b/>
          <w:bCs/>
          <w:color w:val="265A9A" w:themeColor="background2"/>
        </w:rPr>
      </w:pPr>
      <w:bookmarkStart w:id="0" w:name="_Toc180011727"/>
      <w:bookmarkStart w:id="1" w:name="_Toc180012529"/>
      <w:bookmarkStart w:id="2" w:name="_Toc180336252"/>
      <w:r w:rsidRPr="00395C4A">
        <w:rPr>
          <w:b/>
          <w:bCs/>
          <w:color w:val="265A9A" w:themeColor="background2"/>
        </w:rPr>
        <w:lastRenderedPageBreak/>
        <w:t>Contents</w:t>
      </w:r>
      <w:bookmarkEnd w:id="0"/>
      <w:bookmarkEnd w:id="1"/>
      <w:bookmarkEnd w:id="2"/>
    </w:p>
    <w:p w14:paraId="78EAC519" w14:textId="77777777" w:rsidR="00412599" w:rsidRDefault="00A6311D" w:rsidP="00762F13">
      <w:pPr>
        <w:pStyle w:val="TOC1"/>
        <w:rPr>
          <w:noProof/>
        </w:rPr>
      </w:pPr>
      <w:r>
        <w:rPr>
          <w:noProof/>
        </w:rPr>
        <w:t>Key points</w:t>
      </w:r>
      <w:r>
        <w:rPr>
          <w:noProof/>
        </w:rPr>
        <w:tab/>
      </w:r>
      <w:r w:rsidR="006A2874">
        <w:rPr>
          <w:noProof/>
        </w:rPr>
        <w:t>4</w:t>
      </w:r>
      <w:r w:rsidR="00F465C7" w:rsidRPr="00395C4A">
        <w:rPr>
          <w:noProof/>
        </w:rPr>
        <w:fldChar w:fldCharType="begin"/>
      </w:r>
      <w:r w:rsidR="00F465C7">
        <w:rPr>
          <w:noProof/>
        </w:rPr>
        <w:instrText xml:space="preserve"> TOC \\h \z \t "Heading 1,1,</w:instrText>
      </w:r>
      <w:r w:rsidR="00F465C7" w:rsidRPr="00484E96">
        <w:rPr>
          <w:noProof/>
        </w:rPr>
        <w:instrText>Heading-Appendix</w:instrText>
      </w:r>
      <w:r w:rsidR="00F465C7">
        <w:rPr>
          <w:noProof/>
        </w:rPr>
        <w:instrText>,1,</w:instrText>
      </w:r>
      <w:r w:rsidR="00F465C7" w:rsidRPr="00F37F65">
        <w:rPr>
          <w:noProof/>
        </w:rPr>
        <w:instrText xml:space="preserve"> Heading 1</w:instrText>
      </w:r>
      <w:r w:rsidR="00F465C7">
        <w:rPr>
          <w:noProof/>
        </w:rPr>
        <w:instrText>-no number</w:instrText>
      </w:r>
      <w:r w:rsidR="00F465C7" w:rsidRPr="00F37F65">
        <w:rPr>
          <w:noProof/>
        </w:rPr>
        <w:instrText>,1</w:instrText>
      </w:r>
      <w:r w:rsidR="00F465C7">
        <w:rPr>
          <w:noProof/>
        </w:rPr>
        <w:instrText>, Heading 1-no background,1,</w:instrText>
      </w:r>
      <w:r w:rsidR="00F465C7" w:rsidRPr="00F37F65">
        <w:rPr>
          <w:noProof/>
        </w:rPr>
        <w:instrText xml:space="preserve"> Heading 1-Section blue background</w:instrText>
      </w:r>
      <w:r w:rsidR="00F465C7">
        <w:rPr>
          <w:noProof/>
        </w:rPr>
        <w:instrText>,3,</w:instrText>
      </w:r>
      <w:r w:rsidR="00F465C7" w:rsidRPr="00F37F65">
        <w:rPr>
          <w:noProof/>
        </w:rPr>
        <w:instrText xml:space="preserve"> Heading 1-Section-full page</w:instrText>
      </w:r>
      <w:r w:rsidR="00F465C7">
        <w:rPr>
          <w:noProof/>
        </w:rPr>
        <w:instrText xml:space="preserve">,3,Heading 2,2,Heading 2-no number,2,Heading 2-Appendix,2,Heading 1 - Intro,3,Heading 1-numbered,3,Section Heading-pale blue,3" </w:instrText>
      </w:r>
      <w:r w:rsidR="00F465C7" w:rsidRPr="00395C4A">
        <w:rPr>
          <w:noProof/>
        </w:rPr>
        <w:fldChar w:fldCharType="separate"/>
      </w:r>
    </w:p>
    <w:p w14:paraId="2A138070" w14:textId="41BD565A" w:rsidR="00412599" w:rsidRPr="00412599" w:rsidRDefault="00412599" w:rsidP="00412599">
      <w:pPr>
        <w:pStyle w:val="TOC1"/>
        <w:rPr>
          <w:noProof/>
        </w:rPr>
      </w:pPr>
      <w:r>
        <w:rPr>
          <w:noProof/>
        </w:rPr>
        <w:t>Introduction</w:t>
      </w:r>
      <w:r>
        <w:rPr>
          <w:noProof/>
          <w:webHidden/>
        </w:rPr>
        <w:tab/>
      </w:r>
      <w:r>
        <w:rPr>
          <w:noProof/>
          <w:webHidden/>
        </w:rPr>
        <w:fldChar w:fldCharType="begin"/>
      </w:r>
      <w:r>
        <w:rPr>
          <w:noProof/>
          <w:webHidden/>
        </w:rPr>
        <w:instrText xml:space="preserve"> PAGEREF _Toc180336253 \h </w:instrText>
      </w:r>
      <w:r>
        <w:rPr>
          <w:noProof/>
          <w:webHidden/>
        </w:rPr>
      </w:r>
      <w:r>
        <w:rPr>
          <w:noProof/>
          <w:webHidden/>
        </w:rPr>
        <w:fldChar w:fldCharType="separate"/>
      </w:r>
      <w:r w:rsidR="00845C4A">
        <w:rPr>
          <w:noProof/>
          <w:webHidden/>
        </w:rPr>
        <w:t>4</w:t>
      </w:r>
      <w:r>
        <w:rPr>
          <w:noProof/>
          <w:webHidden/>
        </w:rPr>
        <w:fldChar w:fldCharType="end"/>
      </w:r>
    </w:p>
    <w:p w14:paraId="493324D9" w14:textId="6EF8C248" w:rsidR="00412599" w:rsidRPr="00412599" w:rsidRDefault="00412599" w:rsidP="00412599">
      <w:pPr>
        <w:pStyle w:val="TOC1"/>
        <w:rPr>
          <w:noProof/>
        </w:rPr>
      </w:pPr>
      <w:r>
        <w:rPr>
          <w:noProof/>
        </w:rPr>
        <w:t>Observations of labour productivity estimates</w:t>
      </w:r>
      <w:r>
        <w:rPr>
          <w:noProof/>
          <w:webHidden/>
        </w:rPr>
        <w:tab/>
      </w:r>
      <w:r>
        <w:rPr>
          <w:noProof/>
          <w:webHidden/>
        </w:rPr>
        <w:fldChar w:fldCharType="begin"/>
      </w:r>
      <w:r>
        <w:rPr>
          <w:noProof/>
          <w:webHidden/>
        </w:rPr>
        <w:instrText xml:space="preserve"> PAGEREF _Toc180336254 \h </w:instrText>
      </w:r>
      <w:r>
        <w:rPr>
          <w:noProof/>
          <w:webHidden/>
        </w:rPr>
      </w:r>
      <w:r>
        <w:rPr>
          <w:noProof/>
          <w:webHidden/>
        </w:rPr>
        <w:fldChar w:fldCharType="separate"/>
      </w:r>
      <w:r w:rsidR="00845C4A">
        <w:rPr>
          <w:noProof/>
          <w:webHidden/>
        </w:rPr>
        <w:t>6</w:t>
      </w:r>
      <w:r>
        <w:rPr>
          <w:noProof/>
          <w:webHidden/>
        </w:rPr>
        <w:fldChar w:fldCharType="end"/>
      </w:r>
    </w:p>
    <w:p w14:paraId="4A1982B5" w14:textId="7DFDF4EE" w:rsidR="00412599" w:rsidRPr="00412599" w:rsidRDefault="00412599" w:rsidP="00412599">
      <w:pPr>
        <w:pStyle w:val="TOC1"/>
        <w:rPr>
          <w:noProof/>
        </w:rPr>
      </w:pPr>
      <w:r>
        <w:rPr>
          <w:noProof/>
        </w:rPr>
        <w:t>Interpreting these revisions</w:t>
      </w:r>
      <w:r>
        <w:rPr>
          <w:noProof/>
          <w:webHidden/>
        </w:rPr>
        <w:tab/>
      </w:r>
      <w:r>
        <w:rPr>
          <w:noProof/>
          <w:webHidden/>
        </w:rPr>
        <w:fldChar w:fldCharType="begin"/>
      </w:r>
      <w:r>
        <w:rPr>
          <w:noProof/>
          <w:webHidden/>
        </w:rPr>
        <w:instrText xml:space="preserve"> PAGEREF _Toc180336255 \h </w:instrText>
      </w:r>
      <w:r>
        <w:rPr>
          <w:noProof/>
          <w:webHidden/>
        </w:rPr>
      </w:r>
      <w:r>
        <w:rPr>
          <w:noProof/>
          <w:webHidden/>
        </w:rPr>
        <w:fldChar w:fldCharType="separate"/>
      </w:r>
      <w:r w:rsidR="00845C4A">
        <w:rPr>
          <w:noProof/>
          <w:webHidden/>
        </w:rPr>
        <w:t>7</w:t>
      </w:r>
      <w:r>
        <w:rPr>
          <w:noProof/>
          <w:webHidden/>
        </w:rPr>
        <w:fldChar w:fldCharType="end"/>
      </w:r>
    </w:p>
    <w:p w14:paraId="4FB8267B" w14:textId="27EF603B" w:rsidR="00412599" w:rsidRPr="00412599" w:rsidRDefault="00412599" w:rsidP="00412599">
      <w:pPr>
        <w:pStyle w:val="TOC1"/>
        <w:rPr>
          <w:noProof/>
        </w:rPr>
      </w:pPr>
      <w:r>
        <w:rPr>
          <w:noProof/>
        </w:rPr>
        <w:t>Patterns among the revisions</w:t>
      </w:r>
      <w:r>
        <w:rPr>
          <w:noProof/>
          <w:webHidden/>
        </w:rPr>
        <w:tab/>
      </w:r>
      <w:r>
        <w:rPr>
          <w:noProof/>
          <w:webHidden/>
        </w:rPr>
        <w:fldChar w:fldCharType="begin"/>
      </w:r>
      <w:r>
        <w:rPr>
          <w:noProof/>
          <w:webHidden/>
        </w:rPr>
        <w:instrText xml:space="preserve"> PAGEREF _Toc180336256 \h </w:instrText>
      </w:r>
      <w:r>
        <w:rPr>
          <w:noProof/>
          <w:webHidden/>
        </w:rPr>
      </w:r>
      <w:r>
        <w:rPr>
          <w:noProof/>
          <w:webHidden/>
        </w:rPr>
        <w:fldChar w:fldCharType="separate"/>
      </w:r>
      <w:r w:rsidR="00845C4A">
        <w:rPr>
          <w:noProof/>
          <w:webHidden/>
        </w:rPr>
        <w:t>11</w:t>
      </w:r>
      <w:r>
        <w:rPr>
          <w:noProof/>
          <w:webHidden/>
        </w:rPr>
        <w:fldChar w:fldCharType="end"/>
      </w:r>
    </w:p>
    <w:p w14:paraId="66A91685" w14:textId="5DFA28A5" w:rsidR="00412599" w:rsidRPr="00412599" w:rsidRDefault="00412599" w:rsidP="00412599">
      <w:pPr>
        <w:pStyle w:val="TOC1"/>
        <w:rPr>
          <w:noProof/>
        </w:rPr>
      </w:pPr>
      <w:r>
        <w:rPr>
          <w:noProof/>
        </w:rPr>
        <w:t>Appendix</w:t>
      </w:r>
      <w:r>
        <w:rPr>
          <w:noProof/>
          <w:webHidden/>
        </w:rPr>
        <w:tab/>
      </w:r>
      <w:r>
        <w:rPr>
          <w:noProof/>
          <w:webHidden/>
        </w:rPr>
        <w:fldChar w:fldCharType="begin"/>
      </w:r>
      <w:r>
        <w:rPr>
          <w:noProof/>
          <w:webHidden/>
        </w:rPr>
        <w:instrText xml:space="preserve"> PAGEREF _Toc180336257 \h </w:instrText>
      </w:r>
      <w:r>
        <w:rPr>
          <w:noProof/>
          <w:webHidden/>
        </w:rPr>
      </w:r>
      <w:r>
        <w:rPr>
          <w:noProof/>
          <w:webHidden/>
        </w:rPr>
        <w:fldChar w:fldCharType="separate"/>
      </w:r>
      <w:r w:rsidR="00845C4A">
        <w:rPr>
          <w:noProof/>
          <w:webHidden/>
        </w:rPr>
        <w:t>14</w:t>
      </w:r>
      <w:r>
        <w:rPr>
          <w:noProof/>
          <w:webHidden/>
        </w:rPr>
        <w:fldChar w:fldCharType="end"/>
      </w:r>
    </w:p>
    <w:p w14:paraId="7FD1E459" w14:textId="5EED5E4C" w:rsidR="00412599" w:rsidRPr="00412599" w:rsidRDefault="00412599" w:rsidP="00412599">
      <w:pPr>
        <w:pStyle w:val="TOC1"/>
        <w:rPr>
          <w:noProof/>
        </w:rPr>
      </w:pPr>
      <w:r>
        <w:rPr>
          <w:noProof/>
        </w:rPr>
        <w:t>Abbreviations</w:t>
      </w:r>
      <w:r>
        <w:rPr>
          <w:noProof/>
          <w:webHidden/>
        </w:rPr>
        <w:tab/>
      </w:r>
      <w:r>
        <w:rPr>
          <w:noProof/>
          <w:webHidden/>
        </w:rPr>
        <w:fldChar w:fldCharType="begin"/>
      </w:r>
      <w:r>
        <w:rPr>
          <w:noProof/>
          <w:webHidden/>
        </w:rPr>
        <w:instrText xml:space="preserve"> PAGEREF _Toc180336258 \h </w:instrText>
      </w:r>
      <w:r>
        <w:rPr>
          <w:noProof/>
          <w:webHidden/>
        </w:rPr>
      </w:r>
      <w:r>
        <w:rPr>
          <w:noProof/>
          <w:webHidden/>
        </w:rPr>
        <w:fldChar w:fldCharType="separate"/>
      </w:r>
      <w:r w:rsidR="00845C4A">
        <w:rPr>
          <w:noProof/>
          <w:webHidden/>
        </w:rPr>
        <w:t>15</w:t>
      </w:r>
      <w:r>
        <w:rPr>
          <w:noProof/>
          <w:webHidden/>
        </w:rPr>
        <w:fldChar w:fldCharType="end"/>
      </w:r>
    </w:p>
    <w:p w14:paraId="32322A16" w14:textId="77D580E2" w:rsidR="00412599" w:rsidRPr="00412599" w:rsidRDefault="00412599" w:rsidP="00412599">
      <w:pPr>
        <w:pStyle w:val="TOC1"/>
        <w:rPr>
          <w:noProof/>
        </w:rPr>
      </w:pPr>
      <w:r>
        <w:rPr>
          <w:noProof/>
        </w:rPr>
        <w:t>References</w:t>
      </w:r>
      <w:r>
        <w:rPr>
          <w:noProof/>
          <w:webHidden/>
        </w:rPr>
        <w:tab/>
      </w:r>
      <w:r>
        <w:rPr>
          <w:noProof/>
          <w:webHidden/>
        </w:rPr>
        <w:fldChar w:fldCharType="begin"/>
      </w:r>
      <w:r>
        <w:rPr>
          <w:noProof/>
          <w:webHidden/>
        </w:rPr>
        <w:instrText xml:space="preserve"> PAGEREF _Toc180336259 \h </w:instrText>
      </w:r>
      <w:r>
        <w:rPr>
          <w:noProof/>
          <w:webHidden/>
        </w:rPr>
      </w:r>
      <w:r>
        <w:rPr>
          <w:noProof/>
          <w:webHidden/>
        </w:rPr>
        <w:fldChar w:fldCharType="separate"/>
      </w:r>
      <w:r w:rsidR="00845C4A">
        <w:rPr>
          <w:noProof/>
          <w:webHidden/>
        </w:rPr>
        <w:t>15</w:t>
      </w:r>
      <w:r>
        <w:rPr>
          <w:noProof/>
          <w:webHidden/>
        </w:rPr>
        <w:fldChar w:fldCharType="end"/>
      </w:r>
    </w:p>
    <w:p w14:paraId="491E8DB8" w14:textId="3A8224F3" w:rsidR="00C13EB3" w:rsidRDefault="00F465C7" w:rsidP="00412599">
      <w:pPr>
        <w:pStyle w:val="TOC1"/>
        <w:rPr>
          <w:noProof/>
        </w:rPr>
      </w:pPr>
      <w:r w:rsidRPr="00395C4A">
        <w:rPr>
          <w:noProof/>
        </w:rPr>
        <w:fldChar w:fldCharType="end"/>
      </w:r>
    </w:p>
    <w:p w14:paraId="3277947A" w14:textId="77777777" w:rsidR="00F465C7" w:rsidRPr="00C13EB3" w:rsidRDefault="00F465C7" w:rsidP="00C13EB3"/>
    <w:p w14:paraId="0E29BFF1" w14:textId="77777777" w:rsidR="00C13EB3" w:rsidRPr="00C13EB3" w:rsidRDefault="00C13EB3" w:rsidP="00C13EB3">
      <w:pPr>
        <w:sectPr w:rsidR="00C13EB3" w:rsidRPr="00C13EB3" w:rsidSect="002E3F19">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cols w:space="708"/>
          <w:docGrid w:linePitch="360"/>
        </w:sectPr>
      </w:pPr>
    </w:p>
    <w:tbl>
      <w:tblPr>
        <w:tblStyle w:val="Texttable-Paleblue"/>
        <w:tblW w:w="5001" w:type="pct"/>
        <w:shd w:val="clear" w:color="auto" w:fill="E7F6FD"/>
        <w:tblLook w:val="04A0" w:firstRow="1" w:lastRow="0" w:firstColumn="1" w:lastColumn="0" w:noHBand="0" w:noVBand="1"/>
      </w:tblPr>
      <w:tblGrid>
        <w:gridCol w:w="577"/>
        <w:gridCol w:w="9063"/>
      </w:tblGrid>
      <w:tr w:rsidR="00E642E7" w:rsidRPr="002F759A" w14:paraId="33666DEC" w14:textId="77777777" w:rsidTr="006E5E41">
        <w:tc>
          <w:tcPr>
            <w:tcW w:w="9640" w:type="dxa"/>
            <w:gridSpan w:val="2"/>
            <w:shd w:val="clear" w:color="auto" w:fill="E7F6FD"/>
            <w:tcMar>
              <w:left w:w="170" w:type="dxa"/>
            </w:tcMar>
          </w:tcPr>
          <w:p w14:paraId="7A8DF7C0" w14:textId="77777777" w:rsidR="00E642E7" w:rsidRPr="002F759A" w:rsidRDefault="00E642E7" w:rsidP="005E4A0E">
            <w:pPr>
              <w:pStyle w:val="Keypoints-heading"/>
            </w:pPr>
            <w:r w:rsidRPr="002F759A">
              <w:lastRenderedPageBreak/>
              <w:t>Key points</w:t>
            </w:r>
          </w:p>
        </w:tc>
      </w:tr>
      <w:tr w:rsidR="00E642E7" w14:paraId="04F9DBE7" w14:textId="77777777" w:rsidTr="006E5E41">
        <w:tc>
          <w:tcPr>
            <w:tcW w:w="577" w:type="dxa"/>
            <w:shd w:val="clear" w:color="auto" w:fill="E7F6FD"/>
            <w:tcMar>
              <w:top w:w="0" w:type="dxa"/>
              <w:bottom w:w="0" w:type="dxa"/>
              <w:right w:w="113" w:type="dxa"/>
            </w:tcMar>
          </w:tcPr>
          <w:p w14:paraId="7B93C33C" w14:textId="77777777" w:rsidR="00E642E7" w:rsidRDefault="00E642E7" w:rsidP="000C6B77">
            <w:pPr>
              <w:pStyle w:val="KeyPointsicon"/>
            </w:pPr>
            <w:r w:rsidRPr="00A51374">
              <w:rPr>
                <w:noProof/>
              </w:rPr>
              <w:drawing>
                <wp:inline distT="0" distB="0" distL="0" distR="0" wp14:anchorId="5A23D81F" wp14:editId="2C26F23B">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3" w:type="dxa"/>
            <w:shd w:val="clear" w:color="auto" w:fill="E7F6FD"/>
            <w:tcMar>
              <w:top w:w="28" w:type="dxa"/>
              <w:left w:w="28" w:type="dxa"/>
            </w:tcMar>
          </w:tcPr>
          <w:p w14:paraId="3D1C6274" w14:textId="34596663" w:rsidR="005D79A5" w:rsidRPr="0048539C" w:rsidRDefault="58F470D6" w:rsidP="00914FC8">
            <w:pPr>
              <w:pStyle w:val="KeyPoints-Bold"/>
              <w:rPr>
                <w:spacing w:val="-4"/>
              </w:rPr>
            </w:pPr>
            <w:r w:rsidRPr="0048539C">
              <w:rPr>
                <w:spacing w:val="-4"/>
              </w:rPr>
              <w:t xml:space="preserve">Estimates of quarterly </w:t>
            </w:r>
            <w:r w:rsidR="00CD7628" w:rsidRPr="0048539C">
              <w:rPr>
                <w:spacing w:val="-4"/>
              </w:rPr>
              <w:t>labour</w:t>
            </w:r>
            <w:r w:rsidRPr="0048539C">
              <w:rPr>
                <w:spacing w:val="-4"/>
              </w:rPr>
              <w:t xml:space="preserve"> productivity growth are </w:t>
            </w:r>
            <w:r w:rsidR="2903A469" w:rsidRPr="0048539C">
              <w:rPr>
                <w:spacing w:val="-4"/>
              </w:rPr>
              <w:t xml:space="preserve">frequently </w:t>
            </w:r>
            <w:r w:rsidR="00D0009C" w:rsidRPr="0048539C">
              <w:rPr>
                <w:spacing w:val="-4"/>
              </w:rPr>
              <w:t xml:space="preserve">used </w:t>
            </w:r>
            <w:r w:rsidR="2903A469" w:rsidRPr="0048539C">
              <w:rPr>
                <w:spacing w:val="-4"/>
              </w:rPr>
              <w:t>by</w:t>
            </w:r>
            <w:r w:rsidRPr="0048539C">
              <w:rPr>
                <w:spacing w:val="-4"/>
              </w:rPr>
              <w:t xml:space="preserve"> </w:t>
            </w:r>
            <w:r w:rsidR="244C03DA" w:rsidRPr="0048539C">
              <w:rPr>
                <w:spacing w:val="-4"/>
              </w:rPr>
              <w:t xml:space="preserve">decision makers in </w:t>
            </w:r>
            <w:r w:rsidR="3FAA2204" w:rsidRPr="0048539C">
              <w:rPr>
                <w:spacing w:val="-4"/>
              </w:rPr>
              <w:t xml:space="preserve">both </w:t>
            </w:r>
            <w:r w:rsidRPr="0048539C">
              <w:rPr>
                <w:spacing w:val="-4"/>
              </w:rPr>
              <w:t xml:space="preserve">the private </w:t>
            </w:r>
            <w:r w:rsidR="7D884EC8" w:rsidRPr="0048539C">
              <w:rPr>
                <w:spacing w:val="-4"/>
              </w:rPr>
              <w:t>and public s</w:t>
            </w:r>
            <w:r w:rsidR="00D45F10" w:rsidRPr="0048539C">
              <w:rPr>
                <w:spacing w:val="-4"/>
              </w:rPr>
              <w:t>ector</w:t>
            </w:r>
            <w:r w:rsidR="7D884EC8" w:rsidRPr="0048539C">
              <w:rPr>
                <w:spacing w:val="-4"/>
              </w:rPr>
              <w:t xml:space="preserve">. </w:t>
            </w:r>
            <w:r w:rsidRPr="0048539C">
              <w:rPr>
                <w:spacing w:val="-4"/>
              </w:rPr>
              <w:t xml:space="preserve">Determining the size of typical revisions </w:t>
            </w:r>
            <w:r w:rsidR="3256EC98" w:rsidRPr="0048539C">
              <w:rPr>
                <w:spacing w:val="-4"/>
              </w:rPr>
              <w:t xml:space="preserve">can </w:t>
            </w:r>
            <w:r w:rsidRPr="0048539C">
              <w:rPr>
                <w:spacing w:val="-4"/>
              </w:rPr>
              <w:t>provide</w:t>
            </w:r>
            <w:r w:rsidR="0174D5A4" w:rsidRPr="0048539C">
              <w:rPr>
                <w:spacing w:val="-4"/>
              </w:rPr>
              <w:t xml:space="preserve"> </w:t>
            </w:r>
            <w:r w:rsidRPr="0048539C">
              <w:rPr>
                <w:spacing w:val="-4"/>
              </w:rPr>
              <w:t xml:space="preserve">a better understanding of how </w:t>
            </w:r>
            <w:r w:rsidR="775BE299" w:rsidRPr="0048539C">
              <w:rPr>
                <w:spacing w:val="-4"/>
              </w:rPr>
              <w:t xml:space="preserve">to </w:t>
            </w:r>
            <w:r w:rsidRPr="0048539C">
              <w:rPr>
                <w:spacing w:val="-4"/>
              </w:rPr>
              <w:t xml:space="preserve">use </w:t>
            </w:r>
            <w:r w:rsidR="671B88D1" w:rsidRPr="0048539C">
              <w:rPr>
                <w:spacing w:val="-4"/>
              </w:rPr>
              <w:t xml:space="preserve">productivity </w:t>
            </w:r>
            <w:r w:rsidRPr="0048539C">
              <w:rPr>
                <w:spacing w:val="-4"/>
              </w:rPr>
              <w:t xml:space="preserve">estimates </w:t>
            </w:r>
            <w:r w:rsidR="466E2B70" w:rsidRPr="0048539C">
              <w:rPr>
                <w:spacing w:val="-4"/>
              </w:rPr>
              <w:t xml:space="preserve">in making </w:t>
            </w:r>
            <w:r w:rsidRPr="0048539C">
              <w:rPr>
                <w:spacing w:val="-4"/>
              </w:rPr>
              <w:t xml:space="preserve">decisions. </w:t>
            </w:r>
            <w:r w:rsidR="00A1246C" w:rsidRPr="0048539C">
              <w:rPr>
                <w:spacing w:val="-4"/>
              </w:rPr>
              <w:t xml:space="preserve">While we </w:t>
            </w:r>
            <w:r w:rsidR="0064014C" w:rsidRPr="0048539C">
              <w:rPr>
                <w:spacing w:val="-4"/>
              </w:rPr>
              <w:t xml:space="preserve">know ABS data is subject to revision, we </w:t>
            </w:r>
            <w:r w:rsidR="00A1246C" w:rsidRPr="0048539C">
              <w:rPr>
                <w:spacing w:val="-4"/>
              </w:rPr>
              <w:t>expect</w:t>
            </w:r>
            <w:r w:rsidR="0064014C" w:rsidRPr="0048539C">
              <w:rPr>
                <w:spacing w:val="-4"/>
              </w:rPr>
              <w:t>ed</w:t>
            </w:r>
            <w:r w:rsidR="00A1246C" w:rsidRPr="0048539C">
              <w:rPr>
                <w:spacing w:val="-4"/>
              </w:rPr>
              <w:t xml:space="preserve"> labour productivity </w:t>
            </w:r>
            <w:r w:rsidR="0064014C" w:rsidRPr="0048539C">
              <w:rPr>
                <w:spacing w:val="-4"/>
              </w:rPr>
              <w:t xml:space="preserve">estimates to stabilise over time. </w:t>
            </w:r>
            <w:r w:rsidR="00C433A7" w:rsidRPr="0048539C">
              <w:rPr>
                <w:spacing w:val="-4"/>
              </w:rPr>
              <w:t>O</w:t>
            </w:r>
            <w:r w:rsidR="0064014C" w:rsidRPr="0048539C">
              <w:rPr>
                <w:spacing w:val="-4"/>
              </w:rPr>
              <w:t>ur analysis</w:t>
            </w:r>
            <w:r w:rsidR="00C433A7" w:rsidRPr="0048539C">
              <w:rPr>
                <w:spacing w:val="-4"/>
              </w:rPr>
              <w:t>,</w:t>
            </w:r>
            <w:r w:rsidR="0064014C" w:rsidRPr="0048539C">
              <w:rPr>
                <w:spacing w:val="-4"/>
              </w:rPr>
              <w:t xml:space="preserve"> </w:t>
            </w:r>
            <w:r w:rsidR="00C433A7" w:rsidRPr="0048539C">
              <w:rPr>
                <w:spacing w:val="-4"/>
              </w:rPr>
              <w:t>however,</w:t>
            </w:r>
            <w:r w:rsidR="0064014C" w:rsidRPr="0048539C">
              <w:rPr>
                <w:spacing w:val="-4"/>
              </w:rPr>
              <w:t xml:space="preserve"> shows that </w:t>
            </w:r>
            <w:r w:rsidR="0009612C" w:rsidRPr="0048539C">
              <w:rPr>
                <w:spacing w:val="-4"/>
              </w:rPr>
              <w:t xml:space="preserve">measured </w:t>
            </w:r>
            <w:r w:rsidR="0064014C" w:rsidRPr="0048539C">
              <w:rPr>
                <w:spacing w:val="-4"/>
              </w:rPr>
              <w:t>labour productivity does not approach a ‘true’ estimate; rather, the figure is consistently changing</w:t>
            </w:r>
            <w:r w:rsidR="00E44B30" w:rsidRPr="0048539C">
              <w:rPr>
                <w:spacing w:val="-4"/>
              </w:rPr>
              <w:t>.</w:t>
            </w:r>
          </w:p>
        </w:tc>
      </w:tr>
      <w:tr w:rsidR="00E642E7" w14:paraId="44A84186" w14:textId="77777777" w:rsidTr="006E5E41">
        <w:tc>
          <w:tcPr>
            <w:tcW w:w="577" w:type="dxa"/>
            <w:shd w:val="clear" w:color="auto" w:fill="E7F6FD"/>
            <w:tcMar>
              <w:top w:w="0" w:type="dxa"/>
              <w:bottom w:w="0" w:type="dxa"/>
              <w:right w:w="113" w:type="dxa"/>
            </w:tcMar>
          </w:tcPr>
          <w:p w14:paraId="0075E5A5" w14:textId="77777777" w:rsidR="00E642E7" w:rsidRPr="00A51374" w:rsidRDefault="00E642E7" w:rsidP="000C6B77">
            <w:pPr>
              <w:pStyle w:val="KeyPointsicon"/>
            </w:pPr>
            <w:r w:rsidRPr="00F31E73">
              <w:rPr>
                <w:noProof/>
              </w:rPr>
              <w:drawing>
                <wp:inline distT="0" distB="0" distL="0" distR="0" wp14:anchorId="6D279A85" wp14:editId="235FDF66">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3" w:type="dxa"/>
            <w:shd w:val="clear" w:color="auto" w:fill="E7F6FD"/>
            <w:tcMar>
              <w:top w:w="28" w:type="dxa"/>
              <w:left w:w="28" w:type="dxa"/>
            </w:tcMar>
          </w:tcPr>
          <w:p w14:paraId="45F78B4F" w14:textId="1C671FD6" w:rsidR="007816C7" w:rsidRPr="00610627" w:rsidRDefault="003359E1" w:rsidP="00BE365C">
            <w:pPr>
              <w:pStyle w:val="KeyPoints-Bold"/>
            </w:pPr>
            <w:r>
              <w:t xml:space="preserve">The nature of the revisions means that the reliability of the original estimate is approximately the same for the estimate one year, </w:t>
            </w:r>
            <w:r w:rsidR="00A8492B">
              <w:t xml:space="preserve">or even </w:t>
            </w:r>
            <w:r w:rsidR="009115C7">
              <w:t xml:space="preserve">three and </w:t>
            </w:r>
            <w:r w:rsidR="00A8492B">
              <w:t xml:space="preserve">four years </w:t>
            </w:r>
            <w:r>
              <w:t xml:space="preserve">after its original release. </w:t>
            </w:r>
          </w:p>
        </w:tc>
      </w:tr>
      <w:tr w:rsidR="00CB181E" w14:paraId="2B11C914" w14:textId="77777777" w:rsidTr="006E5E41">
        <w:tc>
          <w:tcPr>
            <w:tcW w:w="577" w:type="dxa"/>
            <w:shd w:val="clear" w:color="auto" w:fill="E7F6FD"/>
            <w:tcMar>
              <w:top w:w="0" w:type="dxa"/>
              <w:bottom w:w="0" w:type="dxa"/>
              <w:right w:w="113" w:type="dxa"/>
            </w:tcMar>
          </w:tcPr>
          <w:p w14:paraId="00F34DB4" w14:textId="53986AEF" w:rsidR="00CB181E" w:rsidRPr="00F31E73" w:rsidRDefault="00CB181E" w:rsidP="000C6B77">
            <w:pPr>
              <w:pStyle w:val="KeyPointsicon"/>
              <w:rPr>
                <w:noProof/>
              </w:rPr>
            </w:pPr>
            <w:r w:rsidRPr="00F31E73">
              <w:rPr>
                <w:noProof/>
              </w:rPr>
              <w:drawing>
                <wp:inline distT="0" distB="0" distL="0" distR="0" wp14:anchorId="194B47A4" wp14:editId="780818DF">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3" w:type="dxa"/>
            <w:shd w:val="clear" w:color="auto" w:fill="E7F6FD"/>
            <w:tcMar>
              <w:top w:w="28" w:type="dxa"/>
              <w:left w:w="28" w:type="dxa"/>
            </w:tcMar>
          </w:tcPr>
          <w:p w14:paraId="3C33106B" w14:textId="6CCFCFFD" w:rsidR="006D134D" w:rsidRDefault="006D134D" w:rsidP="003359E1">
            <w:pPr>
              <w:pStyle w:val="KeyPoints-Bold"/>
            </w:pPr>
            <w:r>
              <w:t xml:space="preserve">This paper discusses two possible options </w:t>
            </w:r>
            <w:r w:rsidR="000E285A">
              <w:t xml:space="preserve">to assist </w:t>
            </w:r>
            <w:r>
              <w:t>in the interpretation of the labour productivity estimates</w:t>
            </w:r>
            <w:r w:rsidR="000E285A">
              <w:t>:</w:t>
            </w:r>
          </w:p>
          <w:p w14:paraId="2BEB60C2" w14:textId="3303B2FF" w:rsidR="000E285A" w:rsidRDefault="008E4B91" w:rsidP="000E285A">
            <w:pPr>
              <w:pStyle w:val="KeyPoints-Bullet"/>
            </w:pPr>
            <w:r>
              <w:t>a</w:t>
            </w:r>
            <w:r w:rsidR="00CB181E">
              <w:t>pplying confidence intervals helps inform the reliability of the quarterly estimates</w:t>
            </w:r>
          </w:p>
          <w:p w14:paraId="10F89250" w14:textId="3D6B66D0" w:rsidR="00CB181E" w:rsidRDefault="008E4B91" w:rsidP="000E285A">
            <w:pPr>
              <w:pStyle w:val="KeyPoints-Bullet"/>
            </w:pPr>
            <w:r>
              <w:t>r</w:t>
            </w:r>
            <w:r w:rsidR="00CB181E">
              <w:t xml:space="preserve">elying on </w:t>
            </w:r>
            <w:r w:rsidR="00654843">
              <w:t xml:space="preserve">the </w:t>
            </w:r>
            <w:r w:rsidR="00CB181E">
              <w:t>longer</w:t>
            </w:r>
            <w:r w:rsidR="00C17C78">
              <w:noBreakHyphen/>
            </w:r>
            <w:r w:rsidR="00CB181E">
              <w:t xml:space="preserve">term trend of productivity (such as productivity through the year) reduces the volatility </w:t>
            </w:r>
            <w:r w:rsidR="008C37D8">
              <w:t xml:space="preserve">and improves the reliability </w:t>
            </w:r>
            <w:r w:rsidR="00CB181E">
              <w:t>of the estimates.</w:t>
            </w:r>
          </w:p>
        </w:tc>
      </w:tr>
      <w:tr w:rsidR="00E642E7" w14:paraId="38F8733B" w14:textId="77777777" w:rsidTr="006E5E41">
        <w:tc>
          <w:tcPr>
            <w:tcW w:w="577" w:type="dxa"/>
            <w:shd w:val="clear" w:color="auto" w:fill="E7F6FD"/>
            <w:tcMar>
              <w:top w:w="0" w:type="dxa"/>
              <w:bottom w:w="0" w:type="dxa"/>
              <w:right w:w="113" w:type="dxa"/>
            </w:tcMar>
          </w:tcPr>
          <w:p w14:paraId="05E67F3C" w14:textId="77777777" w:rsidR="00E642E7" w:rsidRPr="00A51374" w:rsidRDefault="00E642E7" w:rsidP="000C6B77">
            <w:pPr>
              <w:pStyle w:val="KeyPointsicon"/>
            </w:pPr>
            <w:r w:rsidRPr="00F31E73">
              <w:rPr>
                <w:noProof/>
              </w:rPr>
              <w:drawing>
                <wp:inline distT="0" distB="0" distL="0" distR="0" wp14:anchorId="300A01EE" wp14:editId="0AF8D1F1">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3" w:type="dxa"/>
            <w:shd w:val="clear" w:color="auto" w:fill="E7F6FD"/>
            <w:tcMar>
              <w:top w:w="28" w:type="dxa"/>
              <w:left w:w="28" w:type="dxa"/>
            </w:tcMar>
          </w:tcPr>
          <w:p w14:paraId="76ABD432" w14:textId="7E304F38" w:rsidR="00E642E7" w:rsidRPr="00610627" w:rsidRDefault="003359E1" w:rsidP="00B86781">
            <w:pPr>
              <w:pStyle w:val="KeyPoints-Bold"/>
            </w:pPr>
            <w:r>
              <w:t xml:space="preserve">Approximately </w:t>
            </w:r>
            <w:r w:rsidRPr="00444505">
              <w:t xml:space="preserve">70% of estimates fall within </w:t>
            </w:r>
            <w:r w:rsidR="00C17C78">
              <w:noBreakHyphen/>
            </w:r>
            <w:r w:rsidRPr="00444505">
              <w:t xml:space="preserve">0.4 to 0.5 percentage points </w:t>
            </w:r>
            <w:r>
              <w:t xml:space="preserve">of </w:t>
            </w:r>
            <w:r w:rsidRPr="00444505">
              <w:t xml:space="preserve">the original </w:t>
            </w:r>
            <w:r w:rsidR="0009612C">
              <w:t xml:space="preserve">quarterly </w:t>
            </w:r>
            <w:r w:rsidRPr="00444505">
              <w:t>estimate three years after the original release</w:t>
            </w:r>
            <w:r w:rsidR="00B86781">
              <w:t xml:space="preserve">. </w:t>
            </w:r>
            <w:r>
              <w:t>This range holds relatively stable from three years after the original release onwards</w:t>
            </w:r>
            <w:r w:rsidR="00A42BF7">
              <w:t>.</w:t>
            </w:r>
          </w:p>
        </w:tc>
      </w:tr>
      <w:tr w:rsidR="00E642E7" w14:paraId="486A585E" w14:textId="77777777" w:rsidTr="006E5E41">
        <w:tc>
          <w:tcPr>
            <w:tcW w:w="577" w:type="dxa"/>
            <w:shd w:val="clear" w:color="auto" w:fill="E7F6FD"/>
            <w:tcMar>
              <w:top w:w="0" w:type="dxa"/>
              <w:bottom w:w="0" w:type="dxa"/>
              <w:right w:w="113" w:type="dxa"/>
            </w:tcMar>
          </w:tcPr>
          <w:p w14:paraId="2E697C05" w14:textId="77777777" w:rsidR="00E642E7" w:rsidRPr="00A51374" w:rsidRDefault="00E642E7" w:rsidP="000C6B77">
            <w:pPr>
              <w:pStyle w:val="KeyPointsicon"/>
            </w:pPr>
            <w:r w:rsidRPr="00F31E73">
              <w:rPr>
                <w:noProof/>
              </w:rPr>
              <w:drawing>
                <wp:inline distT="0" distB="0" distL="0" distR="0" wp14:anchorId="069AD329" wp14:editId="7CA37FBE">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3" w:type="dxa"/>
            <w:shd w:val="clear" w:color="auto" w:fill="E7F6FD"/>
            <w:tcMar>
              <w:top w:w="28" w:type="dxa"/>
              <w:left w:w="28" w:type="dxa"/>
            </w:tcMar>
          </w:tcPr>
          <w:p w14:paraId="4D4FDA17" w14:textId="1A52D560" w:rsidR="00E642E7" w:rsidRDefault="009E231E" w:rsidP="00610627">
            <w:pPr>
              <w:pStyle w:val="KeyPoints-Bold"/>
            </w:pPr>
            <w:r>
              <w:t>T</w:t>
            </w:r>
            <w:r w:rsidR="00716A23">
              <w:t>here are some patterns that emerge in the revisions:</w:t>
            </w:r>
          </w:p>
          <w:p w14:paraId="33A4E426" w14:textId="40671BEB" w:rsidR="00716A23" w:rsidRPr="00A0670F" w:rsidRDefault="00F72747" w:rsidP="00A0670F">
            <w:pPr>
              <w:pStyle w:val="KeyPoints-Bullet"/>
            </w:pPr>
            <w:r>
              <w:t>o</w:t>
            </w:r>
            <w:r w:rsidR="00716A23" w:rsidRPr="00A0670F">
              <w:t>n average, June figures are revised downward while September figures are revised upward</w:t>
            </w:r>
          </w:p>
          <w:p w14:paraId="28AA5BE0" w14:textId="6E9D3E49" w:rsidR="00DC3ACA" w:rsidRDefault="00F72747" w:rsidP="003C69BA">
            <w:pPr>
              <w:pStyle w:val="KeyPoints-Bullet"/>
            </w:pPr>
            <w:r>
              <w:t>t</w:t>
            </w:r>
            <w:r w:rsidR="00716A23" w:rsidRPr="00A0670F">
              <w:t>here is a tendency for larger estimates</w:t>
            </w:r>
            <w:r w:rsidR="41B4EDAB">
              <w:t>,</w:t>
            </w:r>
            <w:r w:rsidR="00716A23" w:rsidRPr="00A0670F">
              <w:t xml:space="preserve"> both positive and negative</w:t>
            </w:r>
            <w:r w:rsidR="6F8A1FC3">
              <w:t>,</w:t>
            </w:r>
            <w:r w:rsidR="00716A23" w:rsidRPr="00A0670F">
              <w:t xml:space="preserve"> to have a larger revision</w:t>
            </w:r>
          </w:p>
          <w:p w14:paraId="183F7275" w14:textId="2A8B769F" w:rsidR="00716A23" w:rsidRPr="0048539C" w:rsidRDefault="00F72747" w:rsidP="003C69BA">
            <w:pPr>
              <w:pStyle w:val="KeyPoints-Bullet"/>
              <w:rPr>
                <w:spacing w:val="-2"/>
              </w:rPr>
            </w:pPr>
            <w:r w:rsidRPr="0048539C">
              <w:rPr>
                <w:spacing w:val="-2"/>
              </w:rPr>
              <w:t>p</w:t>
            </w:r>
            <w:r w:rsidR="00716A23" w:rsidRPr="0048539C">
              <w:rPr>
                <w:spacing w:val="-2"/>
              </w:rPr>
              <w:t xml:space="preserve">ositive estimates </w:t>
            </w:r>
            <w:r w:rsidR="00C379E4" w:rsidRPr="0048539C">
              <w:rPr>
                <w:spacing w:val="-2"/>
              </w:rPr>
              <w:t xml:space="preserve">are more likely </w:t>
            </w:r>
            <w:r w:rsidR="00716A23" w:rsidRPr="0048539C">
              <w:rPr>
                <w:spacing w:val="-2"/>
              </w:rPr>
              <w:t>to be revised downward</w:t>
            </w:r>
            <w:r w:rsidR="00BA3E2E" w:rsidRPr="0048539C">
              <w:rPr>
                <w:spacing w:val="-2"/>
              </w:rPr>
              <w:t xml:space="preserve">, </w:t>
            </w:r>
            <w:r w:rsidR="009D6B90" w:rsidRPr="0048539C">
              <w:rPr>
                <w:spacing w:val="-2"/>
              </w:rPr>
              <w:t xml:space="preserve">and </w:t>
            </w:r>
            <w:r w:rsidR="00716A23" w:rsidRPr="0048539C">
              <w:rPr>
                <w:spacing w:val="-2"/>
              </w:rPr>
              <w:t xml:space="preserve">negative estimates </w:t>
            </w:r>
            <w:r w:rsidR="00C379E4" w:rsidRPr="0048539C">
              <w:rPr>
                <w:spacing w:val="-2"/>
              </w:rPr>
              <w:t xml:space="preserve">are more likely to </w:t>
            </w:r>
            <w:r w:rsidR="00C20BFF" w:rsidRPr="0048539C">
              <w:rPr>
                <w:spacing w:val="-2"/>
              </w:rPr>
              <w:t xml:space="preserve">be </w:t>
            </w:r>
            <w:r w:rsidR="00716A23" w:rsidRPr="0048539C">
              <w:rPr>
                <w:spacing w:val="-2"/>
              </w:rPr>
              <w:t>revised upward</w:t>
            </w:r>
            <w:r w:rsidR="66E103A8" w:rsidRPr="0048539C">
              <w:rPr>
                <w:spacing w:val="-2"/>
              </w:rPr>
              <w:t>.</w:t>
            </w:r>
            <w:r w:rsidR="00716A23" w:rsidRPr="0048539C">
              <w:rPr>
                <w:spacing w:val="-2"/>
              </w:rPr>
              <w:t xml:space="preserve"> </w:t>
            </w:r>
            <w:r w:rsidR="0D9E6F3A" w:rsidRPr="0048539C">
              <w:rPr>
                <w:spacing w:val="-2"/>
              </w:rPr>
              <w:t>I</w:t>
            </w:r>
            <w:r w:rsidR="00716A23" w:rsidRPr="0048539C">
              <w:rPr>
                <w:spacing w:val="-2"/>
              </w:rPr>
              <w:t xml:space="preserve">n other words, the original estimate tends to be more extreme, before being </w:t>
            </w:r>
            <w:r w:rsidR="00486D32" w:rsidRPr="0048539C">
              <w:rPr>
                <w:spacing w:val="-2"/>
              </w:rPr>
              <w:t>revised</w:t>
            </w:r>
            <w:r w:rsidR="00716A23" w:rsidRPr="0048539C">
              <w:rPr>
                <w:spacing w:val="-2"/>
              </w:rPr>
              <w:t xml:space="preserve"> towards </w:t>
            </w:r>
            <w:r w:rsidR="00715BAF" w:rsidRPr="0048539C">
              <w:rPr>
                <w:spacing w:val="-2"/>
              </w:rPr>
              <w:t>zero</w:t>
            </w:r>
          </w:p>
          <w:p w14:paraId="1FC7A0A3" w14:textId="2CA69BBB" w:rsidR="00BA3E2E" w:rsidRPr="00610627" w:rsidRDefault="00F72747" w:rsidP="00A0670F">
            <w:pPr>
              <w:pStyle w:val="KeyPoints-Bullet"/>
            </w:pPr>
            <w:r>
              <w:t>r</w:t>
            </w:r>
            <w:r w:rsidR="004967F9" w:rsidRPr="00A0670F">
              <w:t xml:space="preserve">evisions are largest in the September quarter, </w:t>
            </w:r>
            <w:r w:rsidR="002F6151">
              <w:t>when</w:t>
            </w:r>
            <w:r w:rsidR="00715BAF" w:rsidRPr="00A0670F">
              <w:t xml:space="preserve"> </w:t>
            </w:r>
            <w:r w:rsidR="004967F9" w:rsidRPr="00A0670F">
              <w:t xml:space="preserve">the ABS </w:t>
            </w:r>
            <w:r w:rsidR="0000460C" w:rsidRPr="00A0670F">
              <w:t>benchmarks their estimates.</w:t>
            </w:r>
          </w:p>
        </w:tc>
      </w:tr>
    </w:tbl>
    <w:p w14:paraId="5BBDF884" w14:textId="1B40618F" w:rsidR="00E642E7" w:rsidRDefault="00E642E7" w:rsidP="005F131F">
      <w:pPr>
        <w:pStyle w:val="NoSpacing"/>
        <w:spacing w:after="240"/>
      </w:pPr>
    </w:p>
    <w:p w14:paraId="05C1C9C8" w14:textId="4E3264ED" w:rsidR="006A2874" w:rsidRDefault="006A2874" w:rsidP="00F63334">
      <w:pPr>
        <w:pStyle w:val="Heading2-nonumber"/>
      </w:pPr>
      <w:bookmarkStart w:id="3" w:name="_Toc180336253"/>
      <w:r>
        <w:t>Introduction</w:t>
      </w:r>
      <w:bookmarkEnd w:id="3"/>
    </w:p>
    <w:p w14:paraId="2169B574" w14:textId="57201B3D" w:rsidR="000E2AD8" w:rsidRDefault="000E2AD8" w:rsidP="005F131F">
      <w:pPr>
        <w:pStyle w:val="PullQuote"/>
        <w:spacing w:after="240"/>
        <w:ind w:right="424"/>
      </w:pPr>
      <w:r>
        <w:t xml:space="preserve">Revision is one of the exquisite pleasures of writing </w:t>
      </w:r>
      <w:r w:rsidR="00F52FEC" w:rsidRPr="00F52FEC">
        <w:rPr>
          <w:rFonts w:ascii="Arial" w:hAnsi="Arial" w:cs="Arial"/>
        </w:rPr>
        <w:t>(Malamud 1988)</w:t>
      </w:r>
    </w:p>
    <w:p w14:paraId="26B70C5B" w14:textId="0E04DB3D" w:rsidR="009F51BD" w:rsidRPr="00DC4726" w:rsidRDefault="002824B6" w:rsidP="000D2EEE">
      <w:pPr>
        <w:pStyle w:val="BodyText"/>
        <w:rPr>
          <w:spacing w:val="2"/>
        </w:rPr>
      </w:pPr>
      <w:r w:rsidRPr="00DC4726">
        <w:rPr>
          <w:spacing w:val="2"/>
        </w:rPr>
        <w:t>A</w:t>
      </w:r>
      <w:r w:rsidR="00A93CA4" w:rsidRPr="00DC4726">
        <w:rPr>
          <w:spacing w:val="2"/>
        </w:rPr>
        <w:t xml:space="preserve">uthors </w:t>
      </w:r>
      <w:r w:rsidRPr="00DC4726">
        <w:rPr>
          <w:spacing w:val="2"/>
        </w:rPr>
        <w:t xml:space="preserve">tend to </w:t>
      </w:r>
      <w:r w:rsidR="00952CAF" w:rsidRPr="00DC4726">
        <w:rPr>
          <w:spacing w:val="2"/>
        </w:rPr>
        <w:t>delight</w:t>
      </w:r>
      <w:r w:rsidR="00A93CA4" w:rsidRPr="00DC4726">
        <w:rPr>
          <w:spacing w:val="2"/>
        </w:rPr>
        <w:t xml:space="preserve"> in </w:t>
      </w:r>
      <w:r w:rsidR="0020704E" w:rsidRPr="00DC4726">
        <w:rPr>
          <w:spacing w:val="2"/>
        </w:rPr>
        <w:t>revising their work</w:t>
      </w:r>
      <w:r w:rsidR="00EA74D1" w:rsidRPr="00DC4726">
        <w:rPr>
          <w:spacing w:val="2"/>
        </w:rPr>
        <w:t>.</w:t>
      </w:r>
      <w:r w:rsidR="0020704E" w:rsidRPr="00DC4726">
        <w:rPr>
          <w:spacing w:val="2"/>
        </w:rPr>
        <w:t xml:space="preserve"> </w:t>
      </w:r>
      <w:r w:rsidR="00EA74D1" w:rsidRPr="00DC4726">
        <w:rPr>
          <w:spacing w:val="2"/>
        </w:rPr>
        <w:t>R</w:t>
      </w:r>
      <w:r w:rsidR="002266CF" w:rsidRPr="00DC4726">
        <w:rPr>
          <w:spacing w:val="2"/>
        </w:rPr>
        <w:t xml:space="preserve">evisions </w:t>
      </w:r>
      <w:r w:rsidR="0020704E" w:rsidRPr="00DC4726">
        <w:rPr>
          <w:spacing w:val="2"/>
        </w:rPr>
        <w:t xml:space="preserve">to </w:t>
      </w:r>
      <w:r w:rsidR="00EA74D1" w:rsidRPr="00DC4726">
        <w:rPr>
          <w:spacing w:val="2"/>
        </w:rPr>
        <w:t xml:space="preserve">the </w:t>
      </w:r>
      <w:r w:rsidR="006C16DF" w:rsidRPr="00DC4726">
        <w:rPr>
          <w:spacing w:val="2"/>
        </w:rPr>
        <w:t xml:space="preserve">words on a page allow </w:t>
      </w:r>
      <w:r w:rsidR="00EF2E4C" w:rsidRPr="00DC4726">
        <w:rPr>
          <w:spacing w:val="2"/>
        </w:rPr>
        <w:t xml:space="preserve">authors to </w:t>
      </w:r>
      <w:r w:rsidR="00F65DB0" w:rsidRPr="00DC4726">
        <w:rPr>
          <w:spacing w:val="2"/>
        </w:rPr>
        <w:t xml:space="preserve">adjust </w:t>
      </w:r>
      <w:r w:rsidR="0020704E" w:rsidRPr="00DC4726">
        <w:rPr>
          <w:spacing w:val="2"/>
        </w:rPr>
        <w:t xml:space="preserve">their </w:t>
      </w:r>
      <w:r w:rsidR="00D46231" w:rsidRPr="00DC4726">
        <w:rPr>
          <w:spacing w:val="2"/>
        </w:rPr>
        <w:t>message</w:t>
      </w:r>
      <w:r w:rsidR="00F65DB0" w:rsidRPr="00DC4726">
        <w:rPr>
          <w:spacing w:val="2"/>
        </w:rPr>
        <w:t xml:space="preserve"> until they have perfected it</w:t>
      </w:r>
      <w:r w:rsidR="00237376" w:rsidRPr="00DC4726">
        <w:rPr>
          <w:spacing w:val="2"/>
        </w:rPr>
        <w:t>.</w:t>
      </w:r>
      <w:r w:rsidR="00454B1F" w:rsidRPr="00DC4726">
        <w:rPr>
          <w:spacing w:val="2"/>
        </w:rPr>
        <w:t xml:space="preserve"> </w:t>
      </w:r>
      <w:r w:rsidR="00453313" w:rsidRPr="00DC4726">
        <w:rPr>
          <w:spacing w:val="2"/>
        </w:rPr>
        <w:t>But</w:t>
      </w:r>
      <w:r w:rsidR="004044A1" w:rsidRPr="00DC4726">
        <w:rPr>
          <w:spacing w:val="2"/>
        </w:rPr>
        <w:t xml:space="preserve"> for </w:t>
      </w:r>
      <w:r w:rsidR="00126B83" w:rsidRPr="00DC4726">
        <w:rPr>
          <w:spacing w:val="2"/>
        </w:rPr>
        <w:t>those relying on data to make decisions</w:t>
      </w:r>
      <w:r w:rsidR="00453313" w:rsidRPr="00DC4726">
        <w:rPr>
          <w:spacing w:val="2"/>
        </w:rPr>
        <w:t xml:space="preserve">, </w:t>
      </w:r>
      <w:r w:rsidR="00EA6CD7" w:rsidRPr="00DC4726">
        <w:rPr>
          <w:spacing w:val="2"/>
        </w:rPr>
        <w:t xml:space="preserve">revisions </w:t>
      </w:r>
      <w:r w:rsidR="51B026E0" w:rsidRPr="00DC4726">
        <w:rPr>
          <w:spacing w:val="2"/>
        </w:rPr>
        <w:t>can</w:t>
      </w:r>
      <w:r w:rsidR="00F603B4" w:rsidRPr="00DC4726">
        <w:rPr>
          <w:spacing w:val="2"/>
        </w:rPr>
        <w:t xml:space="preserve"> be</w:t>
      </w:r>
      <w:r w:rsidR="0020704E" w:rsidRPr="00DC4726">
        <w:rPr>
          <w:spacing w:val="2"/>
        </w:rPr>
        <w:t xml:space="preserve"> problematic.</w:t>
      </w:r>
      <w:r w:rsidR="009F51BD" w:rsidRPr="00DC4726">
        <w:rPr>
          <w:spacing w:val="2"/>
        </w:rPr>
        <w:t xml:space="preserve"> </w:t>
      </w:r>
      <w:r w:rsidR="5D305E2B" w:rsidRPr="00DC4726">
        <w:rPr>
          <w:spacing w:val="2"/>
        </w:rPr>
        <w:t>Large</w:t>
      </w:r>
      <w:r w:rsidR="005C0F2D" w:rsidRPr="00DC4726">
        <w:rPr>
          <w:spacing w:val="2"/>
        </w:rPr>
        <w:t xml:space="preserve"> </w:t>
      </w:r>
      <w:r w:rsidR="00F664DB" w:rsidRPr="00DC4726" w:rsidDel="001C74F2">
        <w:rPr>
          <w:spacing w:val="2"/>
        </w:rPr>
        <w:t>r</w:t>
      </w:r>
      <w:r w:rsidR="001C74F2" w:rsidRPr="00DC4726">
        <w:rPr>
          <w:spacing w:val="2"/>
        </w:rPr>
        <w:t xml:space="preserve">evisions </w:t>
      </w:r>
      <w:r w:rsidR="001406A5" w:rsidRPr="00DC4726">
        <w:rPr>
          <w:spacing w:val="2"/>
        </w:rPr>
        <w:t xml:space="preserve">to data </w:t>
      </w:r>
      <w:r w:rsidR="001C74F2" w:rsidRPr="00DC4726">
        <w:rPr>
          <w:spacing w:val="2"/>
        </w:rPr>
        <w:t xml:space="preserve">can cause </w:t>
      </w:r>
      <w:r w:rsidR="00914456" w:rsidRPr="00DC4726">
        <w:rPr>
          <w:spacing w:val="2"/>
        </w:rPr>
        <w:t xml:space="preserve">decision </w:t>
      </w:r>
      <w:r w:rsidR="001C74F2" w:rsidRPr="00DC4726">
        <w:rPr>
          <w:spacing w:val="2"/>
        </w:rPr>
        <w:t xml:space="preserve">makers to lose confidence in </w:t>
      </w:r>
      <w:r w:rsidR="00B65D91" w:rsidRPr="00DC4726">
        <w:rPr>
          <w:spacing w:val="2"/>
        </w:rPr>
        <w:t xml:space="preserve">the </w:t>
      </w:r>
      <w:r w:rsidR="00CA75B1" w:rsidRPr="00DC4726">
        <w:rPr>
          <w:spacing w:val="2"/>
        </w:rPr>
        <w:t>data and to question data</w:t>
      </w:r>
      <w:r w:rsidR="00C36460" w:rsidRPr="00DC4726">
        <w:rPr>
          <w:spacing w:val="2"/>
        </w:rPr>
        <w:noBreakHyphen/>
      </w:r>
      <w:r w:rsidR="00CA75B1" w:rsidRPr="00DC4726">
        <w:rPr>
          <w:spacing w:val="2"/>
        </w:rPr>
        <w:t>based</w:t>
      </w:r>
      <w:r w:rsidR="00563CFB" w:rsidRPr="00DC4726">
        <w:rPr>
          <w:spacing w:val="2"/>
        </w:rPr>
        <w:t xml:space="preserve"> advice.</w:t>
      </w:r>
      <w:r w:rsidR="009666CF" w:rsidRPr="00DC4726">
        <w:rPr>
          <w:spacing w:val="2"/>
        </w:rPr>
        <w:t xml:space="preserve"> </w:t>
      </w:r>
      <w:r w:rsidR="006E50D8" w:rsidRPr="00DC4726">
        <w:rPr>
          <w:spacing w:val="2"/>
        </w:rPr>
        <w:t xml:space="preserve">Those relying on data </w:t>
      </w:r>
      <w:r w:rsidR="009666CF" w:rsidRPr="00DC4726">
        <w:rPr>
          <w:spacing w:val="2"/>
        </w:rPr>
        <w:t>prefer accurate, timely and stable data, to make informed policy decisions.</w:t>
      </w:r>
      <w:r w:rsidR="00563CFB" w:rsidRPr="00DC4726">
        <w:rPr>
          <w:spacing w:val="2"/>
        </w:rPr>
        <w:t xml:space="preserve"> </w:t>
      </w:r>
    </w:p>
    <w:p w14:paraId="142E2EE6" w14:textId="554440A1" w:rsidR="00044256" w:rsidRDefault="001452AF" w:rsidP="000D2EEE">
      <w:pPr>
        <w:pStyle w:val="BodyText"/>
      </w:pPr>
      <w:r>
        <w:t xml:space="preserve">Estimates of quarterly </w:t>
      </w:r>
      <w:r w:rsidR="00CD7628">
        <w:t xml:space="preserve">labour </w:t>
      </w:r>
      <w:r>
        <w:t>productivity growth are frequently used by decision makers in both the private and public sector.</w:t>
      </w:r>
      <w:r w:rsidR="00862BE8">
        <w:t xml:space="preserve"> </w:t>
      </w:r>
      <w:r w:rsidR="00044256">
        <w:t>Determining the size of typical revisions can provide a better understanding of how to use productivity estimates in making decisions</w:t>
      </w:r>
      <w:r w:rsidR="008703F9">
        <w:t>.</w:t>
      </w:r>
    </w:p>
    <w:p w14:paraId="43940AE3" w14:textId="304300A8" w:rsidR="0068198A" w:rsidRDefault="003B084C" w:rsidP="000D2EEE">
      <w:pPr>
        <w:pStyle w:val="BodyText"/>
      </w:pPr>
      <w:r>
        <w:t>P</w:t>
      </w:r>
      <w:r w:rsidR="002D3466">
        <w:t xml:space="preserve">roductivity </w:t>
      </w:r>
      <w:r>
        <w:t>data</w:t>
      </w:r>
      <w:r w:rsidR="002D3466">
        <w:t xml:space="preserve"> </w:t>
      </w:r>
      <w:r w:rsidR="00EC605D">
        <w:t>comes from t</w:t>
      </w:r>
      <w:r w:rsidR="00AA0CCB">
        <w:t>he ABS quarterly labour productivity estimates</w:t>
      </w:r>
      <w:r w:rsidR="00C918C0">
        <w:t xml:space="preserve"> – which, like any data series, </w:t>
      </w:r>
      <w:r w:rsidR="005E6649">
        <w:t>is</w:t>
      </w:r>
      <w:r w:rsidR="00C918C0">
        <w:t xml:space="preserve"> subject to revision</w:t>
      </w:r>
      <w:r w:rsidR="00F936EF">
        <w:t xml:space="preserve"> (box</w:t>
      </w:r>
      <w:r w:rsidR="00C17C78">
        <w:t> </w:t>
      </w:r>
      <w:r w:rsidR="00F936EF">
        <w:t>1)</w:t>
      </w:r>
      <w:r w:rsidR="00AA0CCB">
        <w:t>.</w:t>
      </w:r>
      <w:r w:rsidR="003D19FF">
        <w:t xml:space="preserve"> </w:t>
      </w:r>
      <w:r w:rsidR="00627FF6" w:rsidRPr="00627FF6">
        <w:t xml:space="preserve">Some caution </w:t>
      </w:r>
      <w:r w:rsidR="007A131E">
        <w:t xml:space="preserve">institutions and policymakers </w:t>
      </w:r>
      <w:r w:rsidR="00627FF6" w:rsidRPr="00627FF6">
        <w:t>against trusting the original estimate as revisions to the data could change the final outcome and interpretation of the data</w:t>
      </w:r>
      <w:r w:rsidR="00601EBD">
        <w:t xml:space="preserve"> </w:t>
      </w:r>
      <w:r w:rsidR="00077100" w:rsidRPr="00077100">
        <w:rPr>
          <w:rFonts w:ascii="Arial" w:hAnsi="Arial" w:cs="Arial"/>
        </w:rPr>
        <w:t>(Ellis 2023)</w:t>
      </w:r>
      <w:r w:rsidR="00947697">
        <w:t>.</w:t>
      </w:r>
      <w:r w:rsidR="7AE8D977">
        <w:t xml:space="preserve"> </w:t>
      </w:r>
    </w:p>
    <w:p w14:paraId="1B17D4FD" w14:textId="12514211" w:rsidR="00F230CF" w:rsidRDefault="00223B61" w:rsidP="000D2EEE">
      <w:pPr>
        <w:pStyle w:val="BodyText"/>
      </w:pPr>
      <w:r>
        <w:lastRenderedPageBreak/>
        <w:t xml:space="preserve">Underpinning this </w:t>
      </w:r>
      <w:r w:rsidR="1D06D698">
        <w:t>warning</w:t>
      </w:r>
      <w:r>
        <w:t xml:space="preserve"> is </w:t>
      </w:r>
      <w:r w:rsidR="006B3389">
        <w:t xml:space="preserve">the assumption that </w:t>
      </w:r>
      <w:r w:rsidR="00B212F5">
        <w:t xml:space="preserve">labour </w:t>
      </w:r>
      <w:r>
        <w:t xml:space="preserve">productivity </w:t>
      </w:r>
      <w:r w:rsidR="00B212F5">
        <w:t xml:space="preserve">estimates </w:t>
      </w:r>
      <w:r>
        <w:t>will be revis</w:t>
      </w:r>
      <w:r w:rsidR="00CA75B1">
        <w:t>ed</w:t>
      </w:r>
      <w:r>
        <w:t xml:space="preserve"> in the first few quarters </w:t>
      </w:r>
      <w:r w:rsidR="006B3389">
        <w:t>following the original release</w:t>
      </w:r>
      <w:r>
        <w:t xml:space="preserve">, </w:t>
      </w:r>
      <w:r w:rsidR="00CA75B1">
        <w:t xml:space="preserve">and then </w:t>
      </w:r>
      <w:r w:rsidR="006B3389">
        <w:t>stabilis</w:t>
      </w:r>
      <w:r w:rsidR="00CA75B1">
        <w:t>e</w:t>
      </w:r>
      <w:r>
        <w:t xml:space="preserve"> over </w:t>
      </w:r>
      <w:r w:rsidR="006B3389">
        <w:t xml:space="preserve">time. </w:t>
      </w:r>
    </w:p>
    <w:p w14:paraId="32394C9A" w14:textId="1CB3D253" w:rsidR="00FA7838" w:rsidRDefault="00747E5D" w:rsidP="000D2EEE">
      <w:pPr>
        <w:pStyle w:val="BodyText"/>
      </w:pPr>
      <w:r>
        <w:t>Our research</w:t>
      </w:r>
      <w:r w:rsidR="008224D8">
        <w:t xml:space="preserve"> </w:t>
      </w:r>
      <w:r w:rsidR="00D965FD">
        <w:t>supports the hypothesis</w:t>
      </w:r>
      <w:r w:rsidR="008224D8">
        <w:t xml:space="preserve"> that</w:t>
      </w:r>
      <w:r>
        <w:t xml:space="preserve"> </w:t>
      </w:r>
      <w:r w:rsidR="00CA5F04">
        <w:t>estim</w:t>
      </w:r>
      <w:r w:rsidR="00005683">
        <w:t xml:space="preserve">ates </w:t>
      </w:r>
      <w:r w:rsidR="008F4B3D">
        <w:t xml:space="preserve">are </w:t>
      </w:r>
      <w:r w:rsidR="00646CDF">
        <w:t>revised</w:t>
      </w:r>
      <w:r w:rsidR="00723ED8">
        <w:t>.</w:t>
      </w:r>
      <w:r w:rsidR="005B22C9">
        <w:t xml:space="preserve"> However,</w:t>
      </w:r>
      <w:r w:rsidR="00723ED8">
        <w:t xml:space="preserve"> </w:t>
      </w:r>
      <w:r w:rsidR="005B22C9">
        <w:t>c</w:t>
      </w:r>
      <w:r w:rsidR="00F230CF">
        <w:t xml:space="preserve">ontrary to our prior hypothesis, </w:t>
      </w:r>
      <w:r w:rsidR="00646CDF">
        <w:t xml:space="preserve">we find that </w:t>
      </w:r>
      <w:r w:rsidR="003B11CC">
        <w:t>revisions</w:t>
      </w:r>
      <w:r w:rsidR="008224D8">
        <w:t xml:space="preserve"> do not reach a ‘final’ value</w:t>
      </w:r>
      <w:r w:rsidR="00E65B1F">
        <w:t xml:space="preserve">. Rather, they </w:t>
      </w:r>
      <w:r w:rsidR="00005683">
        <w:t>are continuously revised</w:t>
      </w:r>
      <w:r w:rsidR="00835C27">
        <w:t>,</w:t>
      </w:r>
      <w:r w:rsidR="00C17A57">
        <w:t xml:space="preserve"> </w:t>
      </w:r>
      <w:r w:rsidR="004C769C">
        <w:t xml:space="preserve">with </w:t>
      </w:r>
      <w:r w:rsidR="00A20C1B">
        <w:t>each revision representing a small</w:t>
      </w:r>
      <w:r w:rsidR="00130CC6">
        <w:t xml:space="preserve"> </w:t>
      </w:r>
      <w:r w:rsidR="00A20C1B">
        <w:t xml:space="preserve">step </w:t>
      </w:r>
      <w:r w:rsidR="00DD6627">
        <w:t>away from (or, over time, back towards) the original estimate</w:t>
      </w:r>
      <w:r w:rsidR="00A20C1B">
        <w:t>.</w:t>
      </w:r>
      <w:r w:rsidR="00440C97">
        <w:t xml:space="preserve"> </w:t>
      </w:r>
    </w:p>
    <w:p w14:paraId="7D7ACA97" w14:textId="13492108" w:rsidR="005E43EF" w:rsidRDefault="00E55FBC" w:rsidP="000D2EEE">
      <w:pPr>
        <w:pStyle w:val="BodyText"/>
      </w:pPr>
      <w:r w:rsidRPr="00A42BF7">
        <w:t>Subsequently, the</w:t>
      </w:r>
      <w:r w:rsidR="005C0EB9" w:rsidRPr="00A42BF7">
        <w:t xml:space="preserve"> </w:t>
      </w:r>
      <w:r w:rsidRPr="00A42BF7">
        <w:t xml:space="preserve">reliability of the original estimate is approximately the same </w:t>
      </w:r>
      <w:r w:rsidR="006401B0" w:rsidRPr="00A42BF7">
        <w:t xml:space="preserve">for </w:t>
      </w:r>
      <w:r w:rsidRPr="00A42BF7">
        <w:t xml:space="preserve">the estimate </w:t>
      </w:r>
      <w:r w:rsidR="0006009A" w:rsidRPr="00A42BF7">
        <w:t>one</w:t>
      </w:r>
      <w:r w:rsidR="03CEE197" w:rsidRPr="00A42BF7">
        <w:t xml:space="preserve">, or </w:t>
      </w:r>
      <w:r w:rsidR="00A42BF7" w:rsidRPr="00A42BF7">
        <w:t>three</w:t>
      </w:r>
      <w:r w:rsidR="00B25335">
        <w:t>,</w:t>
      </w:r>
      <w:r w:rsidR="03CEE197" w:rsidRPr="00B62A94">
        <w:t xml:space="preserve"> years</w:t>
      </w:r>
      <w:r w:rsidR="0006009A" w:rsidRPr="00B62A94">
        <w:t xml:space="preserve"> after </w:t>
      </w:r>
      <w:r w:rsidR="005C0EB9" w:rsidRPr="00B62A94">
        <w:t>its</w:t>
      </w:r>
      <w:r w:rsidR="0006009A" w:rsidRPr="00B62A94">
        <w:t xml:space="preserve"> original release</w:t>
      </w:r>
      <w:r w:rsidR="0006009A">
        <w:t xml:space="preserve">. </w:t>
      </w:r>
      <w:r w:rsidR="00B86F3A">
        <w:t xml:space="preserve">In other words, </w:t>
      </w:r>
      <w:r w:rsidR="00A767D4">
        <w:t>policymakers should</w:t>
      </w:r>
      <w:r w:rsidR="007D07B2">
        <w:t xml:space="preserve"> trust original estimates as much as they trust figures </w:t>
      </w:r>
      <w:r w:rsidR="007316BD">
        <w:t>that have been revised</w:t>
      </w:r>
      <w:r w:rsidR="007D07B2">
        <w:t>. That level of trust can be informed by</w:t>
      </w:r>
      <w:r w:rsidR="009E394C">
        <w:t xml:space="preserve"> the confidence intervals mapped in this </w:t>
      </w:r>
      <w:r w:rsidR="00C37988">
        <w:t>paper</w:t>
      </w:r>
      <w:r w:rsidR="009E394C">
        <w:t>.</w:t>
      </w:r>
    </w:p>
    <w:p w14:paraId="28EAFFA8" w14:textId="26351885" w:rsidR="00D020E7" w:rsidRDefault="59CC7620" w:rsidP="000D2EEE">
      <w:pPr>
        <w:pStyle w:val="BodyText"/>
      </w:pPr>
      <w:r>
        <w:t>There are</w:t>
      </w:r>
      <w:r w:rsidR="005E43EF">
        <w:t xml:space="preserve"> </w:t>
      </w:r>
      <w:r w:rsidR="00B50090">
        <w:t xml:space="preserve">also </w:t>
      </w:r>
      <w:r w:rsidR="009A108C">
        <w:t xml:space="preserve">some patterns among the </w:t>
      </w:r>
      <w:r w:rsidR="004311AA">
        <w:t xml:space="preserve">revisions </w:t>
      </w:r>
      <w:r w:rsidR="009A108C">
        <w:t xml:space="preserve">which </w:t>
      </w:r>
      <w:r w:rsidR="006B3990">
        <w:t xml:space="preserve">help us </w:t>
      </w:r>
      <w:r w:rsidR="00D0216F">
        <w:t xml:space="preserve">further </w:t>
      </w:r>
      <w:r w:rsidR="006B3990">
        <w:t xml:space="preserve">understand </w:t>
      </w:r>
      <w:r w:rsidR="00D0216F">
        <w:t xml:space="preserve">the nature of the revisions to </w:t>
      </w:r>
      <w:r w:rsidR="00B50090">
        <w:t xml:space="preserve">the </w:t>
      </w:r>
      <w:r w:rsidR="00D0216F">
        <w:t>data.</w:t>
      </w:r>
    </w:p>
    <w:p w14:paraId="66F140C8" w14:textId="77777777" w:rsidR="00DC4726" w:rsidRDefault="00DC4726" w:rsidP="00DC4726">
      <w:pPr>
        <w:pStyle w:val="NoSpacing"/>
      </w:pPr>
    </w:p>
    <w:tbl>
      <w:tblPr>
        <w:tblStyle w:val="Boxtable"/>
        <w:tblW w:w="5000" w:type="pct"/>
        <w:tblLook w:val="04A0" w:firstRow="1" w:lastRow="0" w:firstColumn="1" w:lastColumn="0" w:noHBand="0" w:noVBand="1"/>
      </w:tblPr>
      <w:tblGrid>
        <w:gridCol w:w="9638"/>
      </w:tblGrid>
      <w:tr w:rsidR="009C1605" w14:paraId="74448D3C" w14:textId="77777777">
        <w:trPr>
          <w:tblHeader/>
        </w:trPr>
        <w:tc>
          <w:tcPr>
            <w:tcW w:w="9638" w:type="dxa"/>
            <w:shd w:val="clear" w:color="auto" w:fill="EBEBEB"/>
            <w:tcMar>
              <w:top w:w="170" w:type="dxa"/>
              <w:left w:w="170" w:type="dxa"/>
              <w:bottom w:w="113" w:type="dxa"/>
              <w:right w:w="170" w:type="dxa"/>
            </w:tcMar>
            <w:hideMark/>
          </w:tcPr>
          <w:p w14:paraId="0CE2CFA4" w14:textId="2CCAF05E" w:rsidR="009C1605" w:rsidRDefault="009C1605">
            <w:pPr>
              <w:pStyle w:val="BoxHeading1"/>
            </w:pPr>
            <w:bookmarkStart w:id="4" w:name="_Ref78902111"/>
            <w:r>
              <w:t>Box</w:t>
            </w:r>
            <w:r w:rsidR="00C17C78">
              <w:t> </w:t>
            </w:r>
            <w:r w:rsidR="00D45614">
              <w:rPr>
                <w:b/>
                <w:bCs/>
                <w:noProof/>
                <w:lang w:val="en-US"/>
              </w:rPr>
              <w:t>1</w:t>
            </w:r>
            <w:r>
              <w:t xml:space="preserve"> – </w:t>
            </w:r>
            <w:bookmarkEnd w:id="4"/>
            <w:r>
              <w:t>Why are there revisions to ABS data?</w:t>
            </w:r>
          </w:p>
        </w:tc>
      </w:tr>
      <w:tr w:rsidR="009C1605" w14:paraId="28BE8186" w14:textId="77777777">
        <w:tc>
          <w:tcPr>
            <w:tcW w:w="9638" w:type="dxa"/>
            <w:shd w:val="clear" w:color="auto" w:fill="EBEBEB"/>
            <w:tcMar>
              <w:top w:w="28" w:type="dxa"/>
              <w:left w:w="170" w:type="dxa"/>
              <w:bottom w:w="170" w:type="dxa"/>
              <w:right w:w="170" w:type="dxa"/>
            </w:tcMar>
            <w:hideMark/>
          </w:tcPr>
          <w:p w14:paraId="63D7701A" w14:textId="62A506CC" w:rsidR="00FE5CD8" w:rsidRDefault="0012641B" w:rsidP="001173F0">
            <w:pPr>
              <w:pStyle w:val="BodyText"/>
            </w:pPr>
            <w:r>
              <w:t xml:space="preserve">A revision is the difference between an initial labour productivity estimate and any updated estimate. </w:t>
            </w:r>
            <w:r w:rsidR="00FF387D">
              <w:t xml:space="preserve">The ABS identify </w:t>
            </w:r>
            <w:r w:rsidR="00CF2C2A">
              <w:t xml:space="preserve">three </w:t>
            </w:r>
            <w:r w:rsidR="009C1605">
              <w:t>key r</w:t>
            </w:r>
            <w:r w:rsidR="009C1605" w:rsidRPr="00E546D2">
              <w:t xml:space="preserve">easons </w:t>
            </w:r>
            <w:r w:rsidR="009C1605">
              <w:t xml:space="preserve">why revisions to </w:t>
            </w:r>
            <w:r w:rsidR="00FF387D">
              <w:t xml:space="preserve">data </w:t>
            </w:r>
            <w:r w:rsidR="009C1605">
              <w:t xml:space="preserve">occur: </w:t>
            </w:r>
            <w:r w:rsidR="00B2505A">
              <w:t>t</w:t>
            </w:r>
            <w:r w:rsidR="00B2505A" w:rsidRPr="00B2505A">
              <w:t xml:space="preserve">he incorporation of </w:t>
            </w:r>
            <w:r w:rsidR="003B6959">
              <w:t xml:space="preserve">new </w:t>
            </w:r>
            <w:r w:rsidR="00B2505A" w:rsidRPr="00B2505A">
              <w:t xml:space="preserve">data, </w:t>
            </w:r>
            <w:r w:rsidR="000C4A23">
              <w:t xml:space="preserve">adjustments to </w:t>
            </w:r>
            <w:r w:rsidR="00B2505A" w:rsidRPr="00B2505A">
              <w:t xml:space="preserve">chain volume series and seasonal factors, and </w:t>
            </w:r>
            <w:r w:rsidR="001073DD">
              <w:t xml:space="preserve">the introduction of new and </w:t>
            </w:r>
            <w:r w:rsidR="00B2505A" w:rsidRPr="00B2505A">
              <w:t xml:space="preserve">improved data sources </w:t>
            </w:r>
            <w:r w:rsidR="001073DD">
              <w:t xml:space="preserve">or </w:t>
            </w:r>
            <w:r w:rsidR="00B2505A" w:rsidRPr="00B2505A">
              <w:t>methods</w:t>
            </w:r>
            <w:r w:rsidR="001073DD">
              <w:t xml:space="preserve"> </w:t>
            </w:r>
            <w:r w:rsidR="00337137" w:rsidRPr="00337137">
              <w:rPr>
                <w:rFonts w:ascii="Arial" w:hAnsi="Arial" w:cs="Arial"/>
              </w:rPr>
              <w:t>(ABS 2021c)</w:t>
            </w:r>
            <w:r w:rsidR="00B93BB8">
              <w:t xml:space="preserve">. </w:t>
            </w:r>
          </w:p>
          <w:p w14:paraId="7836B117" w14:textId="5A2D7754" w:rsidR="00B2505A" w:rsidRDefault="00FE5CD8" w:rsidP="001173F0">
            <w:pPr>
              <w:pStyle w:val="BodyText"/>
            </w:pPr>
            <w:r>
              <w:t xml:space="preserve">GDP data </w:t>
            </w:r>
            <w:r w:rsidR="001B78D0">
              <w:t xml:space="preserve">is subject to </w:t>
            </w:r>
            <w:r w:rsidR="006F544A">
              <w:t xml:space="preserve">revision due to benchmarking for three years after publication. In addition, there is a ‘historical revisions’ program, </w:t>
            </w:r>
            <w:r w:rsidR="00A4299E">
              <w:t xml:space="preserve">which allows more </w:t>
            </w:r>
            <w:r w:rsidR="00A4299E" w:rsidRPr="00A4299E">
              <w:t>substantial updates to concepts, classifications, methods and data sources</w:t>
            </w:r>
            <w:r w:rsidR="00792F61">
              <w:t xml:space="preserve">. These revisions are </w:t>
            </w:r>
            <w:r w:rsidR="00A4299E" w:rsidRPr="00A4299E">
              <w:t xml:space="preserve">reflected </w:t>
            </w:r>
            <w:r w:rsidR="00792F61">
              <w:t xml:space="preserve">further back in time </w:t>
            </w:r>
            <w:r w:rsidR="00792F61" w:rsidRPr="00792F61">
              <w:rPr>
                <w:rFonts w:ascii="Arial" w:hAnsi="Arial" w:cs="Arial"/>
              </w:rPr>
              <w:t>(ABS 2021c)</w:t>
            </w:r>
            <w:r w:rsidR="00792F61">
              <w:t>.</w:t>
            </w:r>
            <w:r w:rsidR="00225F4B">
              <w:t xml:space="preserve"> </w:t>
            </w:r>
            <w:r w:rsidR="00A813AF">
              <w:t xml:space="preserve">It is also important to note that revisions do not imply an error in the original estimate. It simply reflects that improved information comes available over time </w:t>
            </w:r>
            <w:r w:rsidR="00A813AF" w:rsidRPr="00B600B2">
              <w:rPr>
                <w:rFonts w:ascii="Arial" w:hAnsi="Arial" w:cs="Arial"/>
              </w:rPr>
              <w:t>(ABS 2021c)</w:t>
            </w:r>
            <w:r w:rsidR="00A813AF">
              <w:t>.</w:t>
            </w:r>
          </w:p>
          <w:p w14:paraId="4A909C06" w14:textId="22D73ACF" w:rsidR="00126DB1" w:rsidRPr="00DC4726" w:rsidRDefault="001173F0" w:rsidP="003E26B7">
            <w:pPr>
              <w:pStyle w:val="BodyText"/>
              <w:rPr>
                <w:spacing w:val="-4"/>
              </w:rPr>
            </w:pPr>
            <w:r w:rsidRPr="00DC4726">
              <w:rPr>
                <w:spacing w:val="-4"/>
              </w:rPr>
              <w:t>A key challenge for the ABS in revising data is th</w:t>
            </w:r>
            <w:r w:rsidR="00551673" w:rsidRPr="00DC4726">
              <w:rPr>
                <w:spacing w:val="-4"/>
              </w:rPr>
              <w:t>e trade</w:t>
            </w:r>
            <w:r w:rsidR="00551673" w:rsidRPr="00DC4726">
              <w:rPr>
                <w:spacing w:val="-4"/>
              </w:rPr>
              <w:noBreakHyphen/>
              <w:t xml:space="preserve">off between </w:t>
            </w:r>
            <w:r w:rsidR="00551673" w:rsidRPr="00DC4726">
              <w:rPr>
                <w:b/>
                <w:bCs/>
                <w:spacing w:val="-4"/>
              </w:rPr>
              <w:t>accuracy and reliability</w:t>
            </w:r>
            <w:r w:rsidR="00551673" w:rsidRPr="00DC4726">
              <w:rPr>
                <w:spacing w:val="-4"/>
              </w:rPr>
              <w:t xml:space="preserve">. </w:t>
            </w:r>
            <w:r w:rsidR="008876A0" w:rsidRPr="00DC4726">
              <w:rPr>
                <w:spacing w:val="-4"/>
              </w:rPr>
              <w:t xml:space="preserve">Reliability refers to </w:t>
            </w:r>
            <w:r w:rsidR="001C21F2" w:rsidRPr="00DC4726">
              <w:rPr>
                <w:spacing w:val="-4"/>
              </w:rPr>
              <w:t xml:space="preserve">whether or not the data </w:t>
            </w:r>
            <w:r w:rsidR="00990404" w:rsidRPr="00DC4726">
              <w:rPr>
                <w:spacing w:val="-4"/>
              </w:rPr>
              <w:t>present a consistent, coherent picture of the Australian economy.</w:t>
            </w:r>
            <w:r w:rsidR="003E26B7" w:rsidRPr="00DC4726">
              <w:rPr>
                <w:spacing w:val="-4"/>
              </w:rPr>
              <w:t xml:space="preserve"> </w:t>
            </w:r>
            <w:r w:rsidR="00E74A10" w:rsidRPr="00DC4726">
              <w:rPr>
                <w:spacing w:val="-4"/>
              </w:rPr>
              <w:t>A g</w:t>
            </w:r>
            <w:r w:rsidR="00551673" w:rsidRPr="00DC4726">
              <w:rPr>
                <w:spacing w:val="-4"/>
              </w:rPr>
              <w:t xml:space="preserve">reater </w:t>
            </w:r>
            <w:r w:rsidR="00E74A10" w:rsidRPr="00DC4726">
              <w:rPr>
                <w:spacing w:val="-4"/>
              </w:rPr>
              <w:t xml:space="preserve">number of </w:t>
            </w:r>
            <w:r w:rsidR="00551673" w:rsidRPr="00DC4726">
              <w:rPr>
                <w:spacing w:val="-4"/>
              </w:rPr>
              <w:t xml:space="preserve">revisions </w:t>
            </w:r>
            <w:r w:rsidR="00E74A10" w:rsidRPr="00DC4726">
              <w:rPr>
                <w:spacing w:val="-4"/>
              </w:rPr>
              <w:t xml:space="preserve">can </w:t>
            </w:r>
            <w:r w:rsidR="003E26B7" w:rsidRPr="00DC4726">
              <w:rPr>
                <w:spacing w:val="-4"/>
              </w:rPr>
              <w:t xml:space="preserve">imply </w:t>
            </w:r>
            <w:r w:rsidR="00551673" w:rsidRPr="00DC4726">
              <w:rPr>
                <w:spacing w:val="-4"/>
              </w:rPr>
              <w:t xml:space="preserve">less reliability. </w:t>
            </w:r>
            <w:r w:rsidR="00E74A10" w:rsidRPr="00DC4726">
              <w:rPr>
                <w:spacing w:val="-4"/>
              </w:rPr>
              <w:t>However, t</w:t>
            </w:r>
            <w:r w:rsidR="00551673" w:rsidRPr="00DC4726">
              <w:rPr>
                <w:spacing w:val="-4"/>
              </w:rPr>
              <w:t xml:space="preserve">his </w:t>
            </w:r>
            <w:r w:rsidR="00E74A10" w:rsidRPr="00DC4726">
              <w:rPr>
                <w:spacing w:val="-4"/>
              </w:rPr>
              <w:t xml:space="preserve">must be weighed up against </w:t>
            </w:r>
            <w:r w:rsidR="00551673" w:rsidRPr="00DC4726">
              <w:rPr>
                <w:b/>
                <w:bCs/>
                <w:spacing w:val="-4"/>
              </w:rPr>
              <w:t>accuracy</w:t>
            </w:r>
            <w:r w:rsidR="00551673" w:rsidRPr="00DC4726">
              <w:rPr>
                <w:spacing w:val="-4"/>
              </w:rPr>
              <w:t xml:space="preserve">, which measures the proximity of an estimate to its desired concept and notional true value. That is, while revisions may improve accuracy of an estimate, they decrease reliability of the original estimate </w:t>
            </w:r>
            <w:r w:rsidR="00551673" w:rsidRPr="00DC4726">
              <w:rPr>
                <w:rFonts w:cs="Arial"/>
                <w:spacing w:val="-4"/>
              </w:rPr>
              <w:t>(ABS 2021a)</w:t>
            </w:r>
            <w:r w:rsidR="00551673" w:rsidRPr="00DC4726">
              <w:rPr>
                <w:spacing w:val="-4"/>
              </w:rPr>
              <w:t xml:space="preserve">. </w:t>
            </w:r>
          </w:p>
        </w:tc>
      </w:tr>
    </w:tbl>
    <w:p w14:paraId="0AF57283" w14:textId="132CB97A" w:rsidR="006231EA" w:rsidRPr="00F664DB" w:rsidRDefault="006231EA" w:rsidP="006231EA">
      <w:pPr>
        <w:pStyle w:val="NoSpacing"/>
      </w:pPr>
    </w:p>
    <w:tbl>
      <w:tblPr>
        <w:tblStyle w:val="Boxtable"/>
        <w:tblW w:w="5000" w:type="pct"/>
        <w:tblLayout w:type="fixed"/>
        <w:tblLook w:val="04A0" w:firstRow="1" w:lastRow="0" w:firstColumn="1" w:lastColumn="0" w:noHBand="0" w:noVBand="1"/>
      </w:tblPr>
      <w:tblGrid>
        <w:gridCol w:w="9638"/>
      </w:tblGrid>
      <w:tr w:rsidR="00EF3154" w14:paraId="697D48B9" w14:textId="77777777" w:rsidTr="00754683">
        <w:trPr>
          <w:tblHeader/>
        </w:trPr>
        <w:tc>
          <w:tcPr>
            <w:tcW w:w="9638" w:type="dxa"/>
            <w:shd w:val="clear" w:color="auto" w:fill="EBEBEB"/>
            <w:tcMar>
              <w:top w:w="170" w:type="dxa"/>
              <w:left w:w="170" w:type="dxa"/>
              <w:bottom w:w="113" w:type="dxa"/>
              <w:right w:w="170" w:type="dxa"/>
            </w:tcMar>
            <w:hideMark/>
          </w:tcPr>
          <w:p w14:paraId="40BE8EE9" w14:textId="39703DDF" w:rsidR="00EF3154" w:rsidRDefault="00C37988">
            <w:pPr>
              <w:pStyle w:val="BoxHeading1"/>
            </w:pPr>
            <w:r>
              <w:lastRenderedPageBreak/>
              <w:t>Box</w:t>
            </w:r>
            <w:r w:rsidR="00C17C78">
              <w:t> </w:t>
            </w:r>
            <w:r>
              <w:t xml:space="preserve">2 – </w:t>
            </w:r>
            <w:r w:rsidR="07499EA0">
              <w:t>Two types of revision</w:t>
            </w:r>
            <w:r w:rsidR="001E7DB0">
              <w:t>s</w:t>
            </w:r>
          </w:p>
        </w:tc>
      </w:tr>
      <w:tr w:rsidR="00EF3154" w14:paraId="7BCB0001" w14:textId="77777777" w:rsidTr="00754683">
        <w:tc>
          <w:tcPr>
            <w:tcW w:w="9638" w:type="dxa"/>
            <w:shd w:val="clear" w:color="auto" w:fill="EBEBEB"/>
            <w:tcMar>
              <w:top w:w="28" w:type="dxa"/>
              <w:left w:w="170" w:type="dxa"/>
              <w:bottom w:w="170" w:type="dxa"/>
              <w:right w:w="170" w:type="dxa"/>
            </w:tcMar>
            <w:hideMark/>
          </w:tcPr>
          <w:p w14:paraId="065BD75F" w14:textId="69242756" w:rsidR="00EF3154" w:rsidRDefault="00EF3154" w:rsidP="001A1F6B">
            <w:pPr>
              <w:pStyle w:val="BodyText"/>
              <w:keepNext/>
            </w:pPr>
            <w:r>
              <w:t>There are two types of revisions that are considered in this analysis:</w:t>
            </w:r>
          </w:p>
          <w:p w14:paraId="0C621C26" w14:textId="79040407" w:rsidR="00EF3154" w:rsidRPr="00532772" w:rsidRDefault="00AC251F" w:rsidP="00DB6FC6">
            <w:pPr>
              <w:pStyle w:val="ListBullet"/>
            </w:pPr>
            <w:r>
              <w:t xml:space="preserve">A </w:t>
            </w:r>
            <w:r w:rsidR="00781027" w:rsidRPr="00D35B06">
              <w:rPr>
                <w:b/>
                <w:bCs/>
              </w:rPr>
              <w:t>revision</w:t>
            </w:r>
            <w:r w:rsidRPr="00AC251F">
              <w:t xml:space="preserve"> </w:t>
            </w:r>
            <w:r w:rsidRPr="00D35B06">
              <w:rPr>
                <w:b/>
                <w:bCs/>
              </w:rPr>
              <w:t>from the original estimate</w:t>
            </w:r>
            <w:r w:rsidR="00781027">
              <w:t xml:space="preserve">: </w:t>
            </w:r>
            <w:r w:rsidR="009D3338">
              <w:t>the difference between the estimate for a given quarter and the</w:t>
            </w:r>
            <w:r w:rsidR="00EF3154" w:rsidRPr="00532772">
              <w:t xml:space="preserve"> </w:t>
            </w:r>
            <w:r w:rsidR="00526F33">
              <w:t xml:space="preserve">estimate at the </w:t>
            </w:r>
            <w:r w:rsidR="00EF3154" w:rsidRPr="00532772">
              <w:t xml:space="preserve">original release. For example, in </w:t>
            </w:r>
            <w:r w:rsidR="00326C53">
              <w:t xml:space="preserve">the </w:t>
            </w:r>
            <w:r w:rsidR="00EF3154" w:rsidRPr="00532772">
              <w:t>table</w:t>
            </w:r>
            <w:r w:rsidR="00FC4F68">
              <w:t xml:space="preserve"> below</w:t>
            </w:r>
            <w:r>
              <w:t xml:space="preserve"> </w:t>
            </w:r>
            <w:r w:rsidR="00EF3154" w:rsidRPr="00532772">
              <w:t xml:space="preserve">the revision 10 quarters since the original release is </w:t>
            </w:r>
            <w:r w:rsidR="00C17C78">
              <w:noBreakHyphen/>
            </w:r>
            <w:r w:rsidR="00EF3154" w:rsidRPr="00532772">
              <w:t>0.1</w:t>
            </w:r>
            <w:r w:rsidR="00454DBC">
              <w:t xml:space="preserve"> (depicted by the light blue line below)</w:t>
            </w:r>
            <w:r w:rsidR="00EF3154" w:rsidRPr="00532772">
              <w:t xml:space="preserve">. </w:t>
            </w:r>
          </w:p>
          <w:p w14:paraId="2ADE9FF8" w14:textId="6CB36B93" w:rsidR="00EF3154" w:rsidRPr="00532772" w:rsidRDefault="00EF3154" w:rsidP="00DB6FC6">
            <w:pPr>
              <w:pStyle w:val="ListBullet"/>
            </w:pPr>
            <w:r>
              <w:t xml:space="preserve">A </w:t>
            </w:r>
            <w:r w:rsidRPr="00EA733A">
              <w:rPr>
                <w:b/>
              </w:rPr>
              <w:t>period</w:t>
            </w:r>
            <w:r w:rsidR="00C17C78">
              <w:rPr>
                <w:b/>
              </w:rPr>
              <w:noBreakHyphen/>
            </w:r>
            <w:r w:rsidR="001326AC">
              <w:rPr>
                <w:b/>
              </w:rPr>
              <w:t>to</w:t>
            </w:r>
            <w:r w:rsidR="00C17C78">
              <w:rPr>
                <w:b/>
              </w:rPr>
              <w:noBreakHyphen/>
            </w:r>
            <w:r w:rsidRPr="00EA733A">
              <w:rPr>
                <w:b/>
              </w:rPr>
              <w:t xml:space="preserve">period </w:t>
            </w:r>
            <w:r w:rsidRPr="00D35B06">
              <w:rPr>
                <w:b/>
                <w:bCs/>
              </w:rPr>
              <w:t>revision</w:t>
            </w:r>
            <w:r w:rsidR="00EA733A">
              <w:t>:</w:t>
            </w:r>
            <w:r w:rsidRPr="00532772">
              <w:t xml:space="preserve"> the difference between the estimate for a given quarter and the </w:t>
            </w:r>
            <w:r w:rsidR="001326AC">
              <w:t xml:space="preserve">quarter </w:t>
            </w:r>
            <w:r w:rsidRPr="00532772">
              <w:t xml:space="preserve">before it. For example, in </w:t>
            </w:r>
            <w:r w:rsidR="00D720E1">
              <w:t xml:space="preserve">the </w:t>
            </w:r>
            <w:r w:rsidRPr="00532772">
              <w:t>table</w:t>
            </w:r>
            <w:r w:rsidR="00D720E1">
              <w:t xml:space="preserve"> below</w:t>
            </w:r>
            <w:r w:rsidRPr="00532772">
              <w:t xml:space="preserve"> the period</w:t>
            </w:r>
            <w:r w:rsidR="00C17C78">
              <w:noBreakHyphen/>
            </w:r>
            <w:r w:rsidR="00E528F2">
              <w:t>to</w:t>
            </w:r>
            <w:r w:rsidR="00C17C78">
              <w:noBreakHyphen/>
            </w:r>
            <w:r w:rsidR="00E528F2">
              <w:t>period</w:t>
            </w:r>
            <w:r w:rsidRPr="00532772">
              <w:t xml:space="preserve"> revision 10 quarters since the original release is 0.1</w:t>
            </w:r>
            <w:r w:rsidR="00454DBC">
              <w:t xml:space="preserve"> (depicted by the dark blue line below)</w:t>
            </w:r>
            <w:r w:rsidRPr="00532772">
              <w:t xml:space="preserve">. This gives insight into whether revisions stabilise. </w:t>
            </w:r>
          </w:p>
          <w:p w14:paraId="39ABAF7B" w14:textId="6A5F6E4C" w:rsidR="00EF3154" w:rsidRPr="009023EC" w:rsidRDefault="00EF3154">
            <w:pPr>
              <w:pStyle w:val="FigureTableHeading"/>
              <w:rPr>
                <w:vertAlign w:val="superscript"/>
              </w:rPr>
            </w:pPr>
            <w:r w:rsidRPr="002143D6">
              <w:rPr>
                <w:b/>
                <w:noProof/>
              </w:rPr>
              <w:t>Quarterly productivity estimate (</w:t>
            </w:r>
            <w:r w:rsidR="003D02E8">
              <w:rPr>
                <w:b/>
                <w:noProof/>
              </w:rPr>
              <w:t>%</w:t>
            </w:r>
            <w:r w:rsidRPr="002143D6">
              <w:rPr>
                <w:b/>
                <w:noProof/>
              </w:rPr>
              <w:t>)</w:t>
            </w:r>
          </w:p>
          <w:tbl>
            <w:tblPr>
              <w:tblW w:w="92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38"/>
              <w:gridCol w:w="1024"/>
              <w:gridCol w:w="586"/>
              <w:gridCol w:w="586"/>
              <w:gridCol w:w="587"/>
              <w:gridCol w:w="586"/>
              <w:gridCol w:w="586"/>
              <w:gridCol w:w="587"/>
              <w:gridCol w:w="586"/>
              <w:gridCol w:w="586"/>
              <w:gridCol w:w="587"/>
              <w:gridCol w:w="586"/>
              <w:gridCol w:w="586"/>
              <w:gridCol w:w="587"/>
            </w:tblGrid>
            <w:tr w:rsidR="00F30CF1" w:rsidRPr="005A2288" w14:paraId="02809AE0" w14:textId="77777777" w:rsidTr="00754683">
              <w:trPr>
                <w:trHeight w:val="249"/>
                <w:tblHeader/>
              </w:trPr>
              <w:tc>
                <w:tcPr>
                  <w:tcW w:w="1253" w:type="dxa"/>
                  <w:tcBorders>
                    <w:bottom w:val="single" w:sz="4" w:space="0" w:color="B3B3B3"/>
                  </w:tcBorders>
                  <w:shd w:val="clear" w:color="auto" w:fill="auto"/>
                  <w:noWrap/>
                  <w:vAlign w:val="bottom"/>
                </w:tcPr>
                <w:p w14:paraId="29FB52AB" w14:textId="77777777" w:rsidR="00F30CF1" w:rsidRPr="009023EC" w:rsidRDefault="00F30CF1" w:rsidP="00F30CF1">
                  <w:pPr>
                    <w:pStyle w:val="BodyText"/>
                    <w:spacing w:before="45" w:after="45"/>
                    <w:ind w:left="57" w:right="108"/>
                    <w:rPr>
                      <w:rFonts w:ascii="Arial (Body)" w:hAnsi="Arial (Body)"/>
                      <w:b/>
                      <w:color w:val="265A9A"/>
                      <w:sz w:val="18"/>
                      <w:lang w:eastAsia="en-AU"/>
                    </w:rPr>
                  </w:pPr>
                </w:p>
              </w:tc>
              <w:tc>
                <w:tcPr>
                  <w:tcW w:w="1033" w:type="dxa"/>
                  <w:tcBorders>
                    <w:bottom w:val="single" w:sz="4" w:space="0" w:color="B3B3B3"/>
                  </w:tcBorders>
                  <w:shd w:val="clear" w:color="auto" w:fill="auto"/>
                  <w:noWrap/>
                  <w:vAlign w:val="bottom"/>
                </w:tcPr>
                <w:p w14:paraId="299F2F82" w14:textId="77777777" w:rsidR="00F30CF1" w:rsidRPr="009023EC" w:rsidRDefault="00F30CF1" w:rsidP="00F30CF1">
                  <w:pPr>
                    <w:pStyle w:val="BodyText"/>
                    <w:spacing w:before="45" w:after="45"/>
                    <w:ind w:left="57" w:right="108"/>
                    <w:rPr>
                      <w:rFonts w:ascii="Arial (Body)" w:hAnsi="Arial (Body)"/>
                      <w:b/>
                      <w:color w:val="265A9A"/>
                      <w:sz w:val="18"/>
                      <w:lang w:eastAsia="en-AU"/>
                    </w:rPr>
                  </w:pPr>
                </w:p>
              </w:tc>
              <w:tc>
                <w:tcPr>
                  <w:tcW w:w="7012" w:type="dxa"/>
                  <w:gridSpan w:val="12"/>
                  <w:tcBorders>
                    <w:bottom w:val="single" w:sz="4" w:space="0" w:color="B3B3B3"/>
                  </w:tcBorders>
                  <w:shd w:val="clear" w:color="auto" w:fill="auto"/>
                  <w:noWrap/>
                  <w:vAlign w:val="bottom"/>
                </w:tcPr>
                <w:p w14:paraId="5AEE4958" w14:textId="199390FF" w:rsidR="00F30CF1" w:rsidRPr="009023EC" w:rsidRDefault="00F30CF1" w:rsidP="00F30CF1">
                  <w:pPr>
                    <w:pStyle w:val="BodyText"/>
                    <w:spacing w:before="45" w:after="45"/>
                    <w:ind w:left="57" w:right="108"/>
                    <w:rPr>
                      <w:rFonts w:ascii="Arial (Body)" w:hAnsi="Arial (Body)"/>
                      <w:b/>
                      <w:color w:val="265A9A"/>
                      <w:sz w:val="18"/>
                      <w:lang w:eastAsia="en-AU"/>
                    </w:rPr>
                  </w:pPr>
                  <w:r w:rsidRPr="009023EC">
                    <w:rPr>
                      <w:rFonts w:ascii="Arial (Body)" w:hAnsi="Arial (Body)"/>
                      <w:b/>
                      <w:color w:val="265A9A"/>
                      <w:sz w:val="18"/>
                      <w:lang w:eastAsia="en-AU"/>
                    </w:rPr>
                    <w:t>Quarters since original release</w:t>
                  </w:r>
                </w:p>
              </w:tc>
            </w:tr>
            <w:tr w:rsidR="00F30CF1" w:rsidRPr="005A2288" w14:paraId="10968426" w14:textId="77777777" w:rsidTr="00754683">
              <w:trPr>
                <w:trHeight w:val="249"/>
              </w:trPr>
              <w:tc>
                <w:tcPr>
                  <w:tcW w:w="1253" w:type="dxa"/>
                  <w:tcBorders>
                    <w:top w:val="single" w:sz="4" w:space="0" w:color="B3B3B3"/>
                    <w:bottom w:val="nil"/>
                  </w:tcBorders>
                  <w:shd w:val="clear" w:color="000000" w:fill="F2F2F2"/>
                  <w:noWrap/>
                  <w:hideMark/>
                </w:tcPr>
                <w:p w14:paraId="1AC2380D" w14:textId="77777777" w:rsidR="00F30CF1" w:rsidRPr="009023EC" w:rsidRDefault="00F30CF1" w:rsidP="00F30CF1">
                  <w:pPr>
                    <w:pStyle w:val="BodyText"/>
                    <w:spacing w:before="45" w:after="45"/>
                    <w:ind w:left="57" w:right="108"/>
                    <w:rPr>
                      <w:rFonts w:ascii="Arial (Body)" w:hAnsi="Arial (Body)"/>
                      <w:b/>
                      <w:color w:val="265A9A"/>
                      <w:sz w:val="18"/>
                      <w:lang w:eastAsia="en-AU"/>
                    </w:rPr>
                  </w:pPr>
                  <w:r w:rsidRPr="009023EC">
                    <w:rPr>
                      <w:rFonts w:ascii="Arial (Body)" w:hAnsi="Arial (Body)"/>
                      <w:b/>
                      <w:color w:val="265A9A"/>
                      <w:sz w:val="18"/>
                      <w:lang w:eastAsia="en-AU"/>
                    </w:rPr>
                    <w:t>Reference period</w:t>
                  </w:r>
                </w:p>
              </w:tc>
              <w:tc>
                <w:tcPr>
                  <w:tcW w:w="1033" w:type="dxa"/>
                  <w:tcBorders>
                    <w:top w:val="single" w:sz="4" w:space="0" w:color="B3B3B3"/>
                    <w:bottom w:val="nil"/>
                  </w:tcBorders>
                  <w:shd w:val="clear" w:color="000000" w:fill="F2F2F2"/>
                  <w:noWrap/>
                  <w:hideMark/>
                </w:tcPr>
                <w:p w14:paraId="27ED18CD" w14:textId="77777777" w:rsidR="00F30CF1" w:rsidRPr="009023EC" w:rsidRDefault="00F30CF1" w:rsidP="005413A6">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Original estimate</w:t>
                  </w:r>
                </w:p>
              </w:tc>
              <w:tc>
                <w:tcPr>
                  <w:tcW w:w="584" w:type="dxa"/>
                  <w:tcBorders>
                    <w:top w:val="single" w:sz="4" w:space="0" w:color="B3B3B3"/>
                    <w:bottom w:val="nil"/>
                  </w:tcBorders>
                  <w:shd w:val="clear" w:color="000000" w:fill="F2F2F2"/>
                  <w:noWrap/>
                  <w:hideMark/>
                </w:tcPr>
                <w:p w14:paraId="4DDD454A" w14:textId="77777777"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Q1</w:t>
                  </w:r>
                </w:p>
              </w:tc>
              <w:tc>
                <w:tcPr>
                  <w:tcW w:w="584" w:type="dxa"/>
                  <w:tcBorders>
                    <w:top w:val="single" w:sz="4" w:space="0" w:color="B3B3B3"/>
                    <w:bottom w:val="nil"/>
                  </w:tcBorders>
                  <w:shd w:val="clear" w:color="000000" w:fill="F2F2F2"/>
                  <w:noWrap/>
                  <w:hideMark/>
                </w:tcPr>
                <w:p w14:paraId="3CB81966" w14:textId="77777777"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Q2</w:t>
                  </w:r>
                </w:p>
              </w:tc>
              <w:tc>
                <w:tcPr>
                  <w:tcW w:w="585" w:type="dxa"/>
                  <w:tcBorders>
                    <w:top w:val="single" w:sz="4" w:space="0" w:color="B3B3B3"/>
                    <w:bottom w:val="nil"/>
                  </w:tcBorders>
                  <w:shd w:val="clear" w:color="000000" w:fill="F2F2F2"/>
                  <w:noWrap/>
                  <w:hideMark/>
                </w:tcPr>
                <w:p w14:paraId="7DB33F02" w14:textId="77777777"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Q3</w:t>
                  </w:r>
                </w:p>
              </w:tc>
              <w:tc>
                <w:tcPr>
                  <w:tcW w:w="584" w:type="dxa"/>
                  <w:tcBorders>
                    <w:top w:val="single" w:sz="4" w:space="0" w:color="B3B3B3"/>
                    <w:bottom w:val="nil"/>
                  </w:tcBorders>
                  <w:shd w:val="clear" w:color="000000" w:fill="F2F2F2"/>
                  <w:noWrap/>
                  <w:hideMark/>
                </w:tcPr>
                <w:p w14:paraId="60853193" w14:textId="787639F6"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Q4</w:t>
                  </w:r>
                </w:p>
              </w:tc>
              <w:tc>
                <w:tcPr>
                  <w:tcW w:w="584" w:type="dxa"/>
                  <w:tcBorders>
                    <w:top w:val="single" w:sz="4" w:space="0" w:color="B3B3B3"/>
                    <w:bottom w:val="nil"/>
                  </w:tcBorders>
                  <w:shd w:val="clear" w:color="000000" w:fill="F2F2F2"/>
                  <w:noWrap/>
                  <w:hideMark/>
                </w:tcPr>
                <w:p w14:paraId="70CBCC5C" w14:textId="3D488E3B"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Q5</w:t>
                  </w:r>
                </w:p>
              </w:tc>
              <w:tc>
                <w:tcPr>
                  <w:tcW w:w="585" w:type="dxa"/>
                  <w:tcBorders>
                    <w:top w:val="single" w:sz="4" w:space="0" w:color="B3B3B3"/>
                    <w:bottom w:val="nil"/>
                  </w:tcBorders>
                  <w:shd w:val="clear" w:color="000000" w:fill="F2F2F2"/>
                  <w:noWrap/>
                  <w:hideMark/>
                </w:tcPr>
                <w:p w14:paraId="556BDE35" w14:textId="3266B319"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Q6</w:t>
                  </w:r>
                </w:p>
              </w:tc>
              <w:tc>
                <w:tcPr>
                  <w:tcW w:w="584" w:type="dxa"/>
                  <w:tcBorders>
                    <w:top w:val="single" w:sz="4" w:space="0" w:color="B3B3B3"/>
                    <w:bottom w:val="nil"/>
                  </w:tcBorders>
                  <w:shd w:val="clear" w:color="000000" w:fill="F2F2F2"/>
                  <w:noWrap/>
                  <w:hideMark/>
                </w:tcPr>
                <w:p w14:paraId="2638699A" w14:textId="16B7757C"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Q7</w:t>
                  </w:r>
                </w:p>
              </w:tc>
              <w:tc>
                <w:tcPr>
                  <w:tcW w:w="584" w:type="dxa"/>
                  <w:tcBorders>
                    <w:top w:val="single" w:sz="4" w:space="0" w:color="B3B3B3"/>
                    <w:bottom w:val="nil"/>
                  </w:tcBorders>
                  <w:shd w:val="clear" w:color="000000" w:fill="F2F2F2"/>
                  <w:noWrap/>
                  <w:hideMark/>
                </w:tcPr>
                <w:p w14:paraId="5D380452" w14:textId="3B49CD12"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Q8</w:t>
                  </w:r>
                </w:p>
              </w:tc>
              <w:tc>
                <w:tcPr>
                  <w:tcW w:w="585" w:type="dxa"/>
                  <w:tcBorders>
                    <w:top w:val="single" w:sz="4" w:space="0" w:color="B3B3B3"/>
                    <w:bottom w:val="nil"/>
                  </w:tcBorders>
                  <w:shd w:val="clear" w:color="000000" w:fill="F2F2F2"/>
                  <w:noWrap/>
                  <w:hideMark/>
                </w:tcPr>
                <w:p w14:paraId="490AB3A7" w14:textId="719805C2" w:rsidR="00F30CF1" w:rsidRPr="009023EC" w:rsidRDefault="006B068C" w:rsidP="00C04C31">
                  <w:pPr>
                    <w:pStyle w:val="BodyText"/>
                    <w:spacing w:before="45" w:after="45"/>
                    <w:ind w:left="57" w:right="108"/>
                    <w:jc w:val="right"/>
                    <w:rPr>
                      <w:rFonts w:ascii="Arial (Body)" w:hAnsi="Arial (Body)"/>
                      <w:bCs/>
                      <w:color w:val="000000"/>
                      <w:sz w:val="18"/>
                      <w:lang w:eastAsia="en-AU"/>
                    </w:rPr>
                  </w:pPr>
                  <w:r w:rsidRPr="00EA5CA4">
                    <w:rPr>
                      <w:rFonts w:ascii="Arial (Body)" w:hAnsi="Arial (Body)"/>
                      <w:noProof/>
                      <w:color w:val="000000"/>
                      <w:sz w:val="18"/>
                    </w:rPr>
                    <mc:AlternateContent>
                      <mc:Choice Requires="wpg">
                        <w:drawing>
                          <wp:anchor distT="0" distB="0" distL="114300" distR="114300" simplePos="0" relativeHeight="251658242" behindDoc="0" locked="0" layoutInCell="1" allowOverlap="1" wp14:anchorId="64DF9D43" wp14:editId="6A88DBB4">
                            <wp:simplePos x="0" y="0"/>
                            <wp:positionH relativeFrom="column">
                              <wp:posOffset>211184</wp:posOffset>
                            </wp:positionH>
                            <wp:positionV relativeFrom="paragraph">
                              <wp:posOffset>336913</wp:posOffset>
                            </wp:positionV>
                            <wp:extent cx="424800" cy="158750"/>
                            <wp:effectExtent l="57150" t="0" r="13970" b="50800"/>
                            <wp:wrapNone/>
                            <wp:docPr id="14" name="Group 13">
                              <a:extLst xmlns:a="http://schemas.openxmlformats.org/drawingml/2006/main">
                                <a:ext uri="{FF2B5EF4-FFF2-40B4-BE49-F238E27FC236}">
                                  <a16:creationId xmlns:a16="http://schemas.microsoft.com/office/drawing/2014/main" id="{CB14BF6B-DC8E-AA00-CFC5-27576231460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4800" cy="158750"/>
                                      <a:chOff x="-4076" y="0"/>
                                      <a:chExt cx="258561" cy="252000"/>
                                    </a:xfrm>
                                  </wpg:grpSpPr>
                                  <wps:wsp>
                                    <wps:cNvPr id="1814491088" name="Straight Arrow Connector 1814491088">
                                      <a:extLst>
                                        <a:ext uri="{FF2B5EF4-FFF2-40B4-BE49-F238E27FC236}">
                                          <a16:creationId xmlns:a16="http://schemas.microsoft.com/office/drawing/2014/main" id="{62F8F291-DFA0-0A59-C1AF-32C11297BCB8}"/>
                                        </a:ext>
                                      </a:extLst>
                                    </wps:cNvPr>
                                    <wps:cNvCnPr>
                                      <a:cxnSpLocks/>
                                    </wps:cNvCnPr>
                                    <wps:spPr>
                                      <a:xfrm rot="5400000">
                                        <a:off x="-126000" y="126000"/>
                                        <a:ext cx="252000" cy="0"/>
                                      </a:xfrm>
                                      <a:prstGeom prst="straightConnector1">
                                        <a:avLst/>
                                      </a:prstGeom>
                                      <a:ln w="28575">
                                        <a:solidFill>
                                          <a:schemeClr val="bg2"/>
                                        </a:solidFill>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s:wsp>
                                    <wps:cNvPr id="933187052" name="Straight Arrow Connector 933187052">
                                      <a:extLst>
                                        <a:ext uri="{FF2B5EF4-FFF2-40B4-BE49-F238E27FC236}">
                                          <a16:creationId xmlns:a16="http://schemas.microsoft.com/office/drawing/2014/main" id="{DDA9E898-6F74-9A75-5A93-6A2ABA1C783F}"/>
                                        </a:ext>
                                      </a:extLst>
                                    </wps:cNvPr>
                                    <wps:cNvCnPr>
                                      <a:cxnSpLocks/>
                                    </wps:cNvCnPr>
                                    <wps:spPr>
                                      <a:xfrm rot="5400000">
                                        <a:off x="159496" y="99577"/>
                                        <a:ext cx="180000" cy="0"/>
                                      </a:xfrm>
                                      <a:prstGeom prst="straightConnector1">
                                        <a:avLst/>
                                      </a:prstGeom>
                                      <a:ln w="28575">
                                        <a:solidFill>
                                          <a:schemeClr val="bg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72588984" name="Straight Arrow Connector 1572588984">
                                      <a:extLst>
                                        <a:ext uri="{FF2B5EF4-FFF2-40B4-BE49-F238E27FC236}">
                                          <a16:creationId xmlns:a16="http://schemas.microsoft.com/office/drawing/2014/main" id="{10873897-D355-C6FB-5D1C-CDF7A2FF4E82}"/>
                                        </a:ext>
                                      </a:extLst>
                                    </wps:cNvPr>
                                    <wps:cNvCnPr>
                                      <a:cxnSpLocks/>
                                    </wps:cNvCnPr>
                                    <wps:spPr>
                                      <a:xfrm rot="10800000">
                                        <a:off x="-4076" y="22536"/>
                                        <a:ext cx="258561" cy="0"/>
                                      </a:xfrm>
                                      <a:prstGeom prst="straightConnector1">
                                        <a:avLst/>
                                      </a:prstGeom>
                                      <a:ln w="28575">
                                        <a:solidFill>
                                          <a:schemeClr val="bg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CA9ACD" id="Group 13" o:spid="_x0000_s1026" alt="&quot;&quot;" style="position:absolute;margin-left:16.65pt;margin-top:26.55pt;width:33.45pt;height:12.5pt;z-index:251658242;mso-width-relative:margin;mso-height-relative:margin" coordorigin="-4076" coordsize="258561,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">
                            <v:shapetype id="_x0000_t32" coordsize="21600,21600" o:spt="32" o:oned="t" path="m,l21600,21600e" filled="f">
                              <v:path arrowok="t" fillok="f" o:connecttype="none"/>
                              <o:lock v:ext="edit" shapetype="t"/>
                            </v:shapetype>
                            <v:shape id="Straight Arrow Connector 1814491088" o:spid="_x0000_s1027" type="#_x0000_t32" style="position:absolute;left:-126000;top:126000;width:25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" strokecolor="#265a9a [3214]" strokeweight="2.25pt">
                              <v:stroke endarrow="block" joinstyle="miter"/>
                              <o:lock v:ext="edit" shapetype="f"/>
                            </v:shape>
                            <v:shape id="Straight Arrow Connector 933187052" o:spid="_x0000_s1028" type="#_x0000_t32" style="position:absolute;left:159496;top:99577;width:180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" strokecolor="#265a9a [3214]" strokeweight="2.25pt">
                              <v:stroke joinstyle="miter"/>
                              <o:lock v:ext="edit" shapetype="f"/>
                            </v:shape>
                            <v:shape id="Straight Arrow Connector 1572588984" o:spid="_x0000_s1029" type="#_x0000_t32" style="position:absolute;left:-4076;top:22536;width:2585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" strokecolor="#265a9a [3214]" strokeweight="2.25pt">
                              <v:stroke joinstyle="miter"/>
                              <o:lock v:ext="edit" shapetype="f"/>
                            </v:shape>
                          </v:group>
                        </w:pict>
                      </mc:Fallback>
                    </mc:AlternateContent>
                  </w:r>
                  <w:r w:rsidR="009D5EC3">
                    <w:rPr>
                      <w:b/>
                      <w:bCs/>
                      <w:noProof/>
                    </w:rPr>
                    <mc:AlternateContent>
                      <mc:Choice Requires="wps">
                        <w:drawing>
                          <wp:anchor distT="0" distB="0" distL="114300" distR="114300" simplePos="0" relativeHeight="251658240" behindDoc="0" locked="0" layoutInCell="1" allowOverlap="1" wp14:anchorId="707F6A31" wp14:editId="1F2B2579">
                            <wp:simplePos x="0" y="0"/>
                            <wp:positionH relativeFrom="column">
                              <wp:posOffset>318971</wp:posOffset>
                            </wp:positionH>
                            <wp:positionV relativeFrom="paragraph">
                              <wp:posOffset>24163</wp:posOffset>
                            </wp:positionV>
                            <wp:extent cx="1355557" cy="401053"/>
                            <wp:effectExtent l="0" t="0" r="0" b="0"/>
                            <wp:wrapNone/>
                            <wp:docPr id="109512256" name="Text Box 6"/>
                            <wp:cNvGraphicFramePr/>
                            <a:graphic xmlns:a="http://schemas.openxmlformats.org/drawingml/2006/main">
                              <a:graphicData uri="http://schemas.microsoft.com/office/word/2010/wordprocessingShape">
                                <wps:wsp>
                                  <wps:cNvSpPr txBox="1"/>
                                  <wps:spPr>
                                    <a:xfrm>
                                      <a:off x="0" y="0"/>
                                      <a:ext cx="1355557" cy="401053"/>
                                    </a:xfrm>
                                    <a:prstGeom prst="rect">
                                      <a:avLst/>
                                    </a:prstGeom>
                                    <a:noFill/>
                                    <a:ln w="6350">
                                      <a:noFill/>
                                    </a:ln>
                                  </wps:spPr>
                                  <wps:txbx>
                                    <w:txbxContent>
                                      <w:p w14:paraId="0FFE4DCC" w14:textId="77777777" w:rsidR="00F30CF1" w:rsidRPr="0038210E" w:rsidRDefault="00F30CF1" w:rsidP="00F30CF1">
                                        <w:pPr>
                                          <w:rPr>
                                            <w:color w:val="265A9A" w:themeColor="background2"/>
                                            <w:sz w:val="16"/>
                                            <w:szCs w:val="16"/>
                                          </w:rPr>
                                        </w:pPr>
                                        <w:r>
                                          <w:rPr>
                                            <w:color w:val="265A9A" w:themeColor="background2"/>
                                            <w:sz w:val="16"/>
                                            <w:szCs w:val="16"/>
                                          </w:rPr>
                                          <w:t>Period-to</w:t>
                                        </w:r>
                                        <w:r w:rsidRPr="0038210E">
                                          <w:rPr>
                                            <w:color w:val="265A9A" w:themeColor="background2"/>
                                            <w:sz w:val="16"/>
                                            <w:szCs w:val="16"/>
                                          </w:rPr>
                                          <w:t>-period</w:t>
                                        </w:r>
                                        <w:r w:rsidRPr="0038210E" w:rsidDel="004A1C27">
                                          <w:rPr>
                                            <w:color w:val="265A9A" w:themeColor="background2"/>
                                            <w:sz w:val="16"/>
                                            <w:szCs w:val="16"/>
                                          </w:rPr>
                                          <w:t xml:space="preserve"> </w:t>
                                        </w:r>
                                        <w:r w:rsidRPr="0038210E">
                                          <w:rPr>
                                            <w:color w:val="265A9A" w:themeColor="background2"/>
                                            <w:sz w:val="16"/>
                                            <w:szCs w:val="16"/>
                                          </w:rPr>
                                          <w:t>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F6A31" id="_x0000_t202" coordsize="21600,21600" o:spt="202" path="m,l,21600r21600,l21600,xe">
                            <v:stroke joinstyle="miter"/>
                            <v:path gradientshapeok="t" o:connecttype="rect"/>
                          </v:shapetype>
                          <v:shape id="Text Box 6" o:spid="_x0000_s1026" type="#_x0000_t202" style="position:absolute;left:0;text-align:left;margin-left:25.1pt;margin-top:1.9pt;width:106.75pt;height:3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" filled="f" stroked="f" strokeweight=".5pt">
                            <v:textbox>
                              <w:txbxContent>
                                <w:p w14:paraId="0FFE4DCC" w14:textId="77777777" w:rsidR="00F30CF1" w:rsidRPr="0038210E" w:rsidRDefault="00F30CF1" w:rsidP="00F30CF1">
                                  <w:pPr>
                                    <w:rPr>
                                      <w:color w:val="265A9A" w:themeColor="background2"/>
                                      <w:sz w:val="16"/>
                                      <w:szCs w:val="16"/>
                                    </w:rPr>
                                  </w:pPr>
                                  <w:r>
                                    <w:rPr>
                                      <w:color w:val="265A9A" w:themeColor="background2"/>
                                      <w:sz w:val="16"/>
                                      <w:szCs w:val="16"/>
                                    </w:rPr>
                                    <w:t>Period-to</w:t>
                                  </w:r>
                                  <w:r w:rsidRPr="0038210E">
                                    <w:rPr>
                                      <w:color w:val="265A9A" w:themeColor="background2"/>
                                      <w:sz w:val="16"/>
                                      <w:szCs w:val="16"/>
                                    </w:rPr>
                                    <w:t>-period</w:t>
                                  </w:r>
                                  <w:r w:rsidRPr="0038210E" w:rsidDel="004A1C27">
                                    <w:rPr>
                                      <w:color w:val="265A9A" w:themeColor="background2"/>
                                      <w:sz w:val="16"/>
                                      <w:szCs w:val="16"/>
                                    </w:rPr>
                                    <w:t xml:space="preserve"> </w:t>
                                  </w:r>
                                  <w:r w:rsidRPr="0038210E">
                                    <w:rPr>
                                      <w:color w:val="265A9A" w:themeColor="background2"/>
                                      <w:sz w:val="16"/>
                                      <w:szCs w:val="16"/>
                                    </w:rPr>
                                    <w:t>revision</w:t>
                                  </w:r>
                                </w:p>
                              </w:txbxContent>
                            </v:textbox>
                          </v:shape>
                        </w:pict>
                      </mc:Fallback>
                    </mc:AlternateContent>
                  </w:r>
                  <w:r w:rsidR="00F30CF1" w:rsidRPr="009023EC">
                    <w:rPr>
                      <w:rFonts w:ascii="Arial (Body)" w:hAnsi="Arial (Body)"/>
                      <w:bCs/>
                      <w:color w:val="000000"/>
                      <w:sz w:val="18"/>
                      <w:lang w:eastAsia="en-AU"/>
                    </w:rPr>
                    <w:t xml:space="preserve">Q9 </w:t>
                  </w:r>
                </w:p>
              </w:tc>
              <w:tc>
                <w:tcPr>
                  <w:tcW w:w="584" w:type="dxa"/>
                  <w:tcBorders>
                    <w:top w:val="single" w:sz="4" w:space="0" w:color="B3B3B3"/>
                    <w:bottom w:val="nil"/>
                  </w:tcBorders>
                  <w:shd w:val="clear" w:color="000000" w:fill="F2F2F2"/>
                  <w:noWrap/>
                  <w:hideMark/>
                </w:tcPr>
                <w:p w14:paraId="3A9ADCCB" w14:textId="784FFE6F"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 xml:space="preserve">Q10 </w:t>
                  </w:r>
                </w:p>
              </w:tc>
              <w:tc>
                <w:tcPr>
                  <w:tcW w:w="584" w:type="dxa"/>
                  <w:tcBorders>
                    <w:top w:val="single" w:sz="4" w:space="0" w:color="B3B3B3"/>
                    <w:bottom w:val="nil"/>
                  </w:tcBorders>
                  <w:shd w:val="clear" w:color="000000" w:fill="F2F2F2"/>
                  <w:noWrap/>
                  <w:hideMark/>
                </w:tcPr>
                <w:p w14:paraId="62152A64" w14:textId="77777777"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Q11</w:t>
                  </w:r>
                </w:p>
              </w:tc>
              <w:tc>
                <w:tcPr>
                  <w:tcW w:w="585" w:type="dxa"/>
                  <w:tcBorders>
                    <w:top w:val="single" w:sz="4" w:space="0" w:color="B3B3B3"/>
                    <w:bottom w:val="nil"/>
                  </w:tcBorders>
                  <w:shd w:val="clear" w:color="000000" w:fill="F2F2F2"/>
                  <w:noWrap/>
                  <w:hideMark/>
                </w:tcPr>
                <w:p w14:paraId="61082594" w14:textId="77777777" w:rsidR="00F30CF1" w:rsidRPr="009023EC" w:rsidRDefault="00F30CF1" w:rsidP="00C04C31">
                  <w:pPr>
                    <w:pStyle w:val="BodyText"/>
                    <w:spacing w:before="45" w:after="45"/>
                    <w:ind w:left="57" w:right="108"/>
                    <w:jc w:val="right"/>
                    <w:rPr>
                      <w:rFonts w:ascii="Arial (Body)" w:hAnsi="Arial (Body)"/>
                      <w:bCs/>
                      <w:color w:val="000000"/>
                      <w:sz w:val="18"/>
                      <w:lang w:eastAsia="en-AU"/>
                    </w:rPr>
                  </w:pPr>
                  <w:r w:rsidRPr="009023EC">
                    <w:rPr>
                      <w:rFonts w:ascii="Arial (Body)" w:hAnsi="Arial (Body)"/>
                      <w:bCs/>
                      <w:color w:val="000000"/>
                      <w:sz w:val="18"/>
                      <w:lang w:eastAsia="en-AU"/>
                    </w:rPr>
                    <w:t>Q12</w:t>
                  </w:r>
                </w:p>
              </w:tc>
            </w:tr>
            <w:tr w:rsidR="00F30CF1" w:rsidRPr="005A2288" w14:paraId="6B479058" w14:textId="77777777" w:rsidTr="00754683">
              <w:trPr>
                <w:trHeight w:val="249"/>
              </w:trPr>
              <w:tc>
                <w:tcPr>
                  <w:tcW w:w="1253" w:type="dxa"/>
                  <w:tcBorders>
                    <w:top w:val="nil"/>
                  </w:tcBorders>
                  <w:shd w:val="clear" w:color="auto" w:fill="auto"/>
                  <w:noWrap/>
                  <w:hideMark/>
                </w:tcPr>
                <w:p w14:paraId="79585010" w14:textId="77777777" w:rsidR="00F30CF1" w:rsidRPr="009023EC" w:rsidRDefault="00F30CF1" w:rsidP="00F30CF1">
                  <w:pPr>
                    <w:pStyle w:val="BodyText"/>
                    <w:spacing w:before="45" w:after="45"/>
                    <w:ind w:left="57" w:right="108"/>
                    <w:rPr>
                      <w:rFonts w:ascii="Arial (Body)" w:hAnsi="Arial (Body)"/>
                      <w:bCs/>
                      <w:color w:val="265A9A"/>
                      <w:sz w:val="18"/>
                      <w:lang w:eastAsia="en-AU"/>
                    </w:rPr>
                  </w:pPr>
                  <w:r w:rsidRPr="00C04C31">
                    <w:rPr>
                      <w:rFonts w:ascii="Arial (Body)" w:hAnsi="Arial (Body)"/>
                      <w:bCs/>
                      <w:sz w:val="18"/>
                    </w:rPr>
                    <w:t>Dec</w:t>
                  </w:r>
                  <w:r w:rsidRPr="00C04C31">
                    <w:rPr>
                      <w:rFonts w:ascii="Arial (Body)" w:hAnsi="Arial (Body)"/>
                      <w:bCs/>
                      <w:sz w:val="18"/>
                    </w:rPr>
                    <w:noBreakHyphen/>
                    <w:t>2006</w:t>
                  </w:r>
                </w:p>
              </w:tc>
              <w:tc>
                <w:tcPr>
                  <w:tcW w:w="1033" w:type="dxa"/>
                  <w:tcBorders>
                    <w:top w:val="nil"/>
                  </w:tcBorders>
                  <w:shd w:val="clear" w:color="auto" w:fill="auto"/>
                  <w:noWrap/>
                  <w:hideMark/>
                </w:tcPr>
                <w:p w14:paraId="4C0460BC" w14:textId="77777777" w:rsidR="00F30CF1" w:rsidRPr="009023EC" w:rsidRDefault="00F30CF1" w:rsidP="005413A6">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1.1</w:t>
                  </w:r>
                </w:p>
              </w:tc>
              <w:tc>
                <w:tcPr>
                  <w:tcW w:w="584" w:type="dxa"/>
                  <w:tcBorders>
                    <w:top w:val="nil"/>
                  </w:tcBorders>
                  <w:shd w:val="clear" w:color="auto" w:fill="auto"/>
                  <w:noWrap/>
                  <w:hideMark/>
                </w:tcPr>
                <w:p w14:paraId="5EFFEDED" w14:textId="7777777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1.1</w:t>
                  </w:r>
                </w:p>
              </w:tc>
              <w:tc>
                <w:tcPr>
                  <w:tcW w:w="584" w:type="dxa"/>
                  <w:tcBorders>
                    <w:top w:val="nil"/>
                  </w:tcBorders>
                  <w:shd w:val="clear" w:color="auto" w:fill="auto"/>
                  <w:noWrap/>
                  <w:hideMark/>
                </w:tcPr>
                <w:p w14:paraId="1B5790F0" w14:textId="7777777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1.3</w:t>
                  </w:r>
                </w:p>
              </w:tc>
              <w:tc>
                <w:tcPr>
                  <w:tcW w:w="585" w:type="dxa"/>
                  <w:tcBorders>
                    <w:top w:val="nil"/>
                  </w:tcBorders>
                  <w:shd w:val="clear" w:color="auto" w:fill="auto"/>
                  <w:noWrap/>
                  <w:hideMark/>
                </w:tcPr>
                <w:p w14:paraId="096019FD" w14:textId="50F66C00"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0.7</w:t>
                  </w:r>
                </w:p>
              </w:tc>
              <w:tc>
                <w:tcPr>
                  <w:tcW w:w="584" w:type="dxa"/>
                  <w:tcBorders>
                    <w:top w:val="nil"/>
                  </w:tcBorders>
                  <w:shd w:val="clear" w:color="auto" w:fill="auto"/>
                  <w:noWrap/>
                  <w:hideMark/>
                </w:tcPr>
                <w:p w14:paraId="46D1A75F" w14:textId="7777777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w:t>
                  </w:r>
                </w:p>
              </w:tc>
              <w:tc>
                <w:tcPr>
                  <w:tcW w:w="584" w:type="dxa"/>
                  <w:tcBorders>
                    <w:top w:val="nil"/>
                  </w:tcBorders>
                  <w:shd w:val="clear" w:color="auto" w:fill="auto"/>
                  <w:noWrap/>
                  <w:hideMark/>
                </w:tcPr>
                <w:p w14:paraId="740EC4A5" w14:textId="7777777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w:t>
                  </w:r>
                </w:p>
              </w:tc>
              <w:tc>
                <w:tcPr>
                  <w:tcW w:w="585" w:type="dxa"/>
                  <w:tcBorders>
                    <w:top w:val="nil"/>
                  </w:tcBorders>
                  <w:shd w:val="clear" w:color="auto" w:fill="auto"/>
                  <w:noWrap/>
                  <w:hideMark/>
                </w:tcPr>
                <w:p w14:paraId="759AE5AD" w14:textId="516F7302"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w:t>
                  </w:r>
                </w:p>
              </w:tc>
              <w:tc>
                <w:tcPr>
                  <w:tcW w:w="584" w:type="dxa"/>
                  <w:tcBorders>
                    <w:top w:val="nil"/>
                  </w:tcBorders>
                  <w:shd w:val="clear" w:color="auto" w:fill="auto"/>
                  <w:noWrap/>
                  <w:hideMark/>
                </w:tcPr>
                <w:p w14:paraId="526A01E0" w14:textId="46C9871C"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0.8</w:t>
                  </w:r>
                </w:p>
              </w:tc>
              <w:tc>
                <w:tcPr>
                  <w:tcW w:w="584" w:type="dxa"/>
                  <w:tcBorders>
                    <w:top w:val="nil"/>
                  </w:tcBorders>
                  <w:shd w:val="clear" w:color="auto" w:fill="auto"/>
                  <w:noWrap/>
                  <w:hideMark/>
                </w:tcPr>
                <w:p w14:paraId="47D6DB19" w14:textId="7777777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0.9</w:t>
                  </w:r>
                </w:p>
              </w:tc>
              <w:tc>
                <w:tcPr>
                  <w:tcW w:w="585" w:type="dxa"/>
                  <w:tcBorders>
                    <w:top w:val="nil"/>
                  </w:tcBorders>
                  <w:shd w:val="clear" w:color="auto" w:fill="auto"/>
                  <w:noWrap/>
                  <w:hideMark/>
                </w:tcPr>
                <w:p w14:paraId="18A01711" w14:textId="44C2CD5A"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0.9</w:t>
                  </w:r>
                </w:p>
              </w:tc>
              <w:tc>
                <w:tcPr>
                  <w:tcW w:w="584" w:type="dxa"/>
                  <w:tcBorders>
                    <w:top w:val="nil"/>
                  </w:tcBorders>
                  <w:shd w:val="clear" w:color="auto" w:fill="auto"/>
                  <w:noWrap/>
                  <w:hideMark/>
                </w:tcPr>
                <w:p w14:paraId="50A19781" w14:textId="3A11D1CE"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w:t>
                  </w:r>
                </w:p>
              </w:tc>
              <w:tc>
                <w:tcPr>
                  <w:tcW w:w="584" w:type="dxa"/>
                  <w:tcBorders>
                    <w:top w:val="nil"/>
                  </w:tcBorders>
                  <w:shd w:val="clear" w:color="auto" w:fill="auto"/>
                  <w:noWrap/>
                  <w:hideMark/>
                </w:tcPr>
                <w:p w14:paraId="623E0FC5" w14:textId="7777777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0.8</w:t>
                  </w:r>
                </w:p>
              </w:tc>
              <w:tc>
                <w:tcPr>
                  <w:tcW w:w="585" w:type="dxa"/>
                  <w:tcBorders>
                    <w:top w:val="nil"/>
                  </w:tcBorders>
                  <w:shd w:val="clear" w:color="auto" w:fill="auto"/>
                  <w:noWrap/>
                  <w:hideMark/>
                </w:tcPr>
                <w:p w14:paraId="01EFE597" w14:textId="1CFA15B7" w:rsidR="00F30CF1" w:rsidRPr="009023EC" w:rsidRDefault="00F30CF1" w:rsidP="00C04C31">
                  <w:pPr>
                    <w:pStyle w:val="BodyText"/>
                    <w:spacing w:before="45" w:after="45"/>
                    <w:ind w:left="57" w:right="108"/>
                    <w:jc w:val="right"/>
                    <w:rPr>
                      <w:rFonts w:ascii="Arial (Body)" w:hAnsi="Arial (Body)"/>
                      <w:color w:val="000000"/>
                      <w:sz w:val="18"/>
                      <w:lang w:eastAsia="en-AU"/>
                    </w:rPr>
                  </w:pPr>
                  <w:r w:rsidRPr="009023EC">
                    <w:rPr>
                      <w:rFonts w:ascii="Arial (Body)" w:hAnsi="Arial (Body)"/>
                      <w:color w:val="000000"/>
                      <w:sz w:val="18"/>
                    </w:rPr>
                    <w:t>1.2</w:t>
                  </w:r>
                </w:p>
              </w:tc>
            </w:tr>
          </w:tbl>
          <w:p w14:paraId="48003E83" w14:textId="7EBC400F" w:rsidR="005C1957" w:rsidRDefault="005C1957">
            <w:pPr>
              <w:pStyle w:val="Note"/>
              <w:keepLines/>
              <w:rPr>
                <w:b/>
                <w:bCs/>
              </w:rPr>
            </w:pPr>
          </w:p>
          <w:p w14:paraId="7C5119ED" w14:textId="45747273" w:rsidR="00E85741" w:rsidRDefault="00E85741">
            <w:pPr>
              <w:pStyle w:val="Note"/>
              <w:keepLines/>
              <w:rPr>
                <w:b/>
                <w:bCs/>
              </w:rPr>
            </w:pPr>
          </w:p>
          <w:p w14:paraId="7D5688CC" w14:textId="2B254D0B" w:rsidR="00EF3154" w:rsidRDefault="00EF3154">
            <w:pPr>
              <w:pStyle w:val="Source"/>
            </w:pPr>
            <w:r w:rsidRPr="002143D6">
              <w:t xml:space="preserve">Source: </w:t>
            </w:r>
            <w:r w:rsidR="0042588D">
              <w:t xml:space="preserve">PC analysis of ABS (2010, Australian National Accounts: </w:t>
            </w:r>
            <w:r w:rsidR="0042588D" w:rsidRPr="00D359F4">
              <w:t>National Income, Expenditure and Product, Cat.</w:t>
            </w:r>
            <w:r w:rsidR="008F7905">
              <w:t> </w:t>
            </w:r>
            <w:r w:rsidR="0042588D" w:rsidRPr="00D359F4">
              <w:t>no. 5206.0, table</w:t>
            </w:r>
            <w:r w:rsidR="00C17C78">
              <w:t> </w:t>
            </w:r>
            <w:r w:rsidR="0042588D">
              <w:t>1).</w:t>
            </w:r>
          </w:p>
        </w:tc>
      </w:tr>
    </w:tbl>
    <w:p w14:paraId="74CE85FC" w14:textId="6A175BE8" w:rsidR="004C7338" w:rsidRPr="00F82BD9" w:rsidRDefault="0050238B" w:rsidP="00CF59FD">
      <w:pPr>
        <w:pStyle w:val="Heading2-nonumber"/>
      </w:pPr>
      <w:bookmarkStart w:id="5" w:name="_Toc180336254"/>
      <w:bookmarkStart w:id="6" w:name="_Ref172722558"/>
      <w:r>
        <w:rPr>
          <w:noProof/>
        </w:rPr>
        <mc:AlternateContent>
          <mc:Choice Requires="wps">
            <w:drawing>
              <wp:anchor distT="0" distB="0" distL="114300" distR="114300" simplePos="0" relativeHeight="251658241" behindDoc="0" locked="0" layoutInCell="1" allowOverlap="1" wp14:anchorId="1810C45E" wp14:editId="3453EC28">
                <wp:simplePos x="0" y="0"/>
                <wp:positionH relativeFrom="column">
                  <wp:posOffset>2174240</wp:posOffset>
                </wp:positionH>
                <wp:positionV relativeFrom="paragraph">
                  <wp:posOffset>-1085850</wp:posOffset>
                </wp:positionV>
                <wp:extent cx="2231390" cy="436880"/>
                <wp:effectExtent l="0" t="0" r="0" b="1270"/>
                <wp:wrapNone/>
                <wp:docPr id="1490388420" name="Text Box 1" descr="Table 1 shows the original estimate for June 2006 and its estimate in the following 12 quarters. The revision from the original estimate is shown as the difference between the estimate in quarter 10, 1%, and the original estimate 1.1%. The period-to-period revision is shown as the difference between the estimate in quarter 10, 1%, and the estimate in quarter 9, 0.9%."/>
                <wp:cNvGraphicFramePr/>
                <a:graphic xmlns:a="http://schemas.openxmlformats.org/drawingml/2006/main">
                  <a:graphicData uri="http://schemas.microsoft.com/office/word/2010/wordprocessingShape">
                    <wps:wsp>
                      <wps:cNvSpPr txBox="1"/>
                      <wps:spPr>
                        <a:xfrm>
                          <a:off x="0" y="0"/>
                          <a:ext cx="2231390" cy="436880"/>
                        </a:xfrm>
                        <a:prstGeom prst="rect">
                          <a:avLst/>
                        </a:prstGeom>
                        <a:noFill/>
                        <a:ln w="6350">
                          <a:noFill/>
                        </a:ln>
                      </wps:spPr>
                      <wps:txbx>
                        <w:txbxContent>
                          <w:p w14:paraId="2A656C73" w14:textId="143ADC2E" w:rsidR="00F30CF1" w:rsidRPr="0078497D" w:rsidRDefault="00F30CF1" w:rsidP="0050238B">
                            <w:pPr>
                              <w:jc w:val="center"/>
                              <w:rPr>
                                <w:color w:val="1E6782" w:themeColor="text2" w:themeShade="80"/>
                                <w:sz w:val="16"/>
                                <w:szCs w:val="16"/>
                              </w:rPr>
                            </w:pPr>
                            <w:r w:rsidRPr="0078497D">
                              <w:rPr>
                                <w:color w:val="1E6782" w:themeColor="text2" w:themeShade="80"/>
                                <w:sz w:val="16"/>
                                <w:szCs w:val="16"/>
                              </w:rPr>
                              <w:t>Revision from the original</w:t>
                            </w:r>
                            <w:r w:rsidR="0078497D">
                              <w:rPr>
                                <w:color w:val="1E6782" w:themeColor="text2" w:themeShade="80"/>
                                <w:sz w:val="16"/>
                                <w:szCs w:val="16"/>
                              </w:rPr>
                              <w:t xml:space="preserve"> </w:t>
                            </w:r>
                            <w:r w:rsidRPr="0078497D">
                              <w:rPr>
                                <w:color w:val="1E6782" w:themeColor="text2" w:themeShade="80"/>
                                <w:sz w:val="16"/>
                                <w:szCs w:val="16"/>
                              </w:rPr>
                              <w:t>estimate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C45E" id="Text Box 1" o:spid="_x0000_s1027" type="#_x0000_t202" alt="Table 1 shows the original estimate for June 2006 and its estimate in the following 12 quarters. The revision from the original estimate is shown as the difference between the estimate in quarter 10, 1%, and the original estimate 1.1%. The period-to-period revision is shown as the difference between the estimate in quarter 10, 1%, and the estimate in quarter 9, 0.9%." style="position:absolute;margin-left:171.2pt;margin-top:-85.5pt;width:175.7pt;height:3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YJ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OBwNRnfo4ugbjybTa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" filled="f" stroked="f" strokeweight=".5pt">
                <v:textbox>
                  <w:txbxContent>
                    <w:p w14:paraId="2A656C73" w14:textId="143ADC2E" w:rsidR="00F30CF1" w:rsidRPr="0078497D" w:rsidRDefault="00F30CF1" w:rsidP="0050238B">
                      <w:pPr>
                        <w:jc w:val="center"/>
                        <w:rPr>
                          <w:color w:val="1E6782" w:themeColor="text2" w:themeShade="80"/>
                          <w:sz w:val="16"/>
                          <w:szCs w:val="16"/>
                        </w:rPr>
                      </w:pPr>
                      <w:r w:rsidRPr="0078497D">
                        <w:rPr>
                          <w:color w:val="1E6782" w:themeColor="text2" w:themeShade="80"/>
                          <w:sz w:val="16"/>
                          <w:szCs w:val="16"/>
                        </w:rPr>
                        <w:t>Revision from the original</w:t>
                      </w:r>
                      <w:r w:rsidR="0078497D">
                        <w:rPr>
                          <w:color w:val="1E6782" w:themeColor="text2" w:themeShade="80"/>
                          <w:sz w:val="16"/>
                          <w:szCs w:val="16"/>
                        </w:rPr>
                        <w:t xml:space="preserve"> </w:t>
                      </w:r>
                      <w:r w:rsidRPr="0078497D">
                        <w:rPr>
                          <w:color w:val="1E6782" w:themeColor="text2" w:themeShade="80"/>
                          <w:sz w:val="16"/>
                          <w:szCs w:val="16"/>
                        </w:rPr>
                        <w:t>estimate</w:t>
                      </w:r>
                    </w:p>
                  </w:txbxContent>
                </v:textbox>
              </v:shape>
            </w:pict>
          </mc:Fallback>
        </mc:AlternateContent>
      </w:r>
      <w:r w:rsidR="002750A1" w:rsidRPr="002750A1">
        <w:rPr>
          <w:b/>
          <w:bCs/>
          <w:noProof/>
        </w:rPr>
        <mc:AlternateContent>
          <mc:Choice Requires="wpg">
            <w:drawing>
              <wp:anchor distT="0" distB="0" distL="114300" distR="114300" simplePos="0" relativeHeight="251658243" behindDoc="0" locked="0" layoutInCell="1" allowOverlap="1" wp14:anchorId="7F69A31A" wp14:editId="689F1329">
                <wp:simplePos x="0" y="0"/>
                <wp:positionH relativeFrom="column">
                  <wp:posOffset>1442720</wp:posOffset>
                </wp:positionH>
                <wp:positionV relativeFrom="paragraph">
                  <wp:posOffset>-952500</wp:posOffset>
                </wp:positionV>
                <wp:extent cx="3737306" cy="254000"/>
                <wp:effectExtent l="57150" t="38100" r="15875" b="12700"/>
                <wp:wrapNone/>
                <wp:docPr id="15" name="Group 14">
                  <a:extLst xmlns:a="http://schemas.openxmlformats.org/drawingml/2006/main">
                    <a:ext uri="{FF2B5EF4-FFF2-40B4-BE49-F238E27FC236}">
                      <a16:creationId xmlns:a16="http://schemas.microsoft.com/office/drawing/2014/main" id="{66FCD779-F27B-8027-3039-F34FAD5BDD1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737306" cy="254000"/>
                          <a:chOff x="0" y="0"/>
                          <a:chExt cx="252000" cy="252000"/>
                        </a:xfrm>
                      </wpg:grpSpPr>
                      <wps:wsp>
                        <wps:cNvPr id="520978958" name="Straight Arrow Connector 520978958">
                          <a:extLst>
                            <a:ext uri="{FF2B5EF4-FFF2-40B4-BE49-F238E27FC236}">
                              <a16:creationId xmlns:a16="http://schemas.microsoft.com/office/drawing/2014/main" id="{F5E58411-C22E-2B22-CE6E-4A265DAC3A51}"/>
                            </a:ext>
                          </a:extLst>
                        </wps:cNvPr>
                        <wps:cNvCnPr>
                          <a:cxnSpLocks/>
                        </wps:cNvCnPr>
                        <wps:spPr>
                          <a:xfrm rot="5400000">
                            <a:off x="-126000" y="126000"/>
                            <a:ext cx="252000" cy="0"/>
                          </a:xfrm>
                          <a:prstGeom prst="straightConnector1">
                            <a:avLst/>
                          </a:prstGeom>
                          <a:ln w="28575">
                            <a:solidFill>
                              <a:schemeClr val="tx2">
                                <a:lumMod val="75000"/>
                              </a:schemeClr>
                            </a:solidFill>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s:wsp>
                        <wps:cNvPr id="1272601371" name="Straight Arrow Connector 1272601371">
                          <a:extLst>
                            <a:ext uri="{FF2B5EF4-FFF2-40B4-BE49-F238E27FC236}">
                              <a16:creationId xmlns:a16="http://schemas.microsoft.com/office/drawing/2014/main" id="{703D3835-2BD6-6EC4-735A-6D92C1EFA76B}"/>
                            </a:ext>
                          </a:extLst>
                        </wps:cNvPr>
                        <wps:cNvCnPr>
                          <a:cxnSpLocks/>
                        </wps:cNvCnPr>
                        <wps:spPr>
                          <a:xfrm rot="5400000">
                            <a:off x="161001" y="99577"/>
                            <a:ext cx="180000" cy="0"/>
                          </a:xfrm>
                          <a:prstGeom prst="straightConnector1">
                            <a:avLst/>
                          </a:prstGeom>
                          <a:ln w="28575">
                            <a:solidFill>
                              <a:schemeClr val="tx2">
                                <a:lumMod val="7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74810605" name="Straight Arrow Connector 1374810605">
                          <a:extLst>
                            <a:ext uri="{FF2B5EF4-FFF2-40B4-BE49-F238E27FC236}">
                              <a16:creationId xmlns:a16="http://schemas.microsoft.com/office/drawing/2014/main" id="{DFC40C3E-D3AF-78D4-3968-5A6867BEDAC0}"/>
                            </a:ext>
                          </a:extLst>
                        </wps:cNvPr>
                        <wps:cNvCnPr>
                          <a:cxnSpLocks/>
                        </wps:cNvCnPr>
                        <wps:spPr>
                          <a:xfrm rot="10800000">
                            <a:off x="0" y="9577"/>
                            <a:ext cx="252000" cy="0"/>
                          </a:xfrm>
                          <a:prstGeom prst="straightConnector1">
                            <a:avLst/>
                          </a:prstGeom>
                          <a:ln w="28575">
                            <a:solidFill>
                              <a:schemeClr val="tx2">
                                <a:lumMod val="7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CDF604" id="Group 14" o:spid="_x0000_s1026" alt="&quot;&quot;" style="position:absolute;margin-left:113.6pt;margin-top:-75pt;width:294.3pt;height:20pt;flip:y;z-index:251658243;mso-width-relative:margin;mso-height-relative:margin"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">
                <v:shape id="Straight Arrow Connector 520978958" o:spid="_x0000_s1027" type="#_x0000_t32" style="position:absolute;left:-126000;top:126000;width:25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" strokecolor="#2d9ac2 [2415]" strokeweight="2.25pt">
                  <v:stroke endarrow="block" joinstyle="miter"/>
                  <o:lock v:ext="edit" shapetype="f"/>
                </v:shape>
                <v:shape id="Straight Arrow Connector 1272601371" o:spid="_x0000_s1028" type="#_x0000_t32" style="position:absolute;left:161001;top:99577;width:180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" strokecolor="#2d9ac2 [2415]" strokeweight="2.25pt">
                  <v:stroke joinstyle="miter"/>
                  <o:lock v:ext="edit" shapetype="f"/>
                </v:shape>
                <v:shape id="Straight Arrow Connector 1374810605" o:spid="_x0000_s1029" type="#_x0000_t32" style="position:absolute;top:9577;width:2520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" strokecolor="#2d9ac2 [2415]" strokeweight="2.25pt">
                  <v:stroke joinstyle="miter"/>
                  <o:lock v:ext="edit" shapetype="f"/>
                </v:shape>
              </v:group>
            </w:pict>
          </mc:Fallback>
        </mc:AlternateContent>
      </w:r>
      <w:r w:rsidR="00CE5A42">
        <w:t xml:space="preserve">Observations of </w:t>
      </w:r>
      <w:r w:rsidR="00294971">
        <w:t>labour productivity estimates</w:t>
      </w:r>
      <w:bookmarkEnd w:id="5"/>
    </w:p>
    <w:p w14:paraId="0F09D635" w14:textId="5B9DC69F" w:rsidR="00943626" w:rsidRDefault="001F6694" w:rsidP="00FA403B">
      <w:pPr>
        <w:pStyle w:val="Heading3"/>
      </w:pPr>
      <w:r>
        <w:t>Labour productivity r</w:t>
      </w:r>
      <w:r w:rsidR="00943626">
        <w:t xml:space="preserve">evisions </w:t>
      </w:r>
      <w:r>
        <w:t>do not stabilise</w:t>
      </w:r>
    </w:p>
    <w:p w14:paraId="225C114F" w14:textId="77777777" w:rsidR="00AF2C87" w:rsidRDefault="00530106" w:rsidP="003C4D5A">
      <w:pPr>
        <w:pStyle w:val="BodyText"/>
      </w:pPr>
      <w:r>
        <w:t>Contrary to our prior hypothesis, l</w:t>
      </w:r>
      <w:r w:rsidR="003C4D5A">
        <w:t>abour productivity estimates do not stabilise</w:t>
      </w:r>
      <w:r w:rsidR="00215BEC">
        <w:t>,</w:t>
      </w:r>
      <w:r w:rsidR="003C4D5A">
        <w:t xml:space="preserve"> and are revised</w:t>
      </w:r>
      <w:r w:rsidR="00C67ACD">
        <w:t xml:space="preserve"> </w:t>
      </w:r>
      <w:r w:rsidR="004E20EF">
        <w:t xml:space="preserve">for many </w:t>
      </w:r>
      <w:r w:rsidR="003C4D5A">
        <w:t xml:space="preserve">years after the original release </w:t>
      </w:r>
      <w:r w:rsidR="00DB03E4">
        <w:t>(figure</w:t>
      </w:r>
      <w:r w:rsidR="00215718">
        <w:t> </w:t>
      </w:r>
      <w:r w:rsidR="00DB03E4">
        <w:t>1)</w:t>
      </w:r>
      <w:r w:rsidR="003C4D5A">
        <w:t>.</w:t>
      </w:r>
      <w:r w:rsidR="00C475D0" w:rsidRPr="009611B3">
        <w:rPr>
          <w:rStyle w:val="FootnoteReference"/>
        </w:rPr>
        <w:footnoteReference w:id="2"/>
      </w:r>
      <w:r w:rsidR="00904898" w:rsidRPr="00904898">
        <w:t xml:space="preserve"> </w:t>
      </w:r>
    </w:p>
    <w:p w14:paraId="611DE2A1" w14:textId="0BFA74B6" w:rsidR="00051CC4" w:rsidRDefault="00663230" w:rsidP="003C4D5A">
      <w:pPr>
        <w:pStyle w:val="BodyText"/>
      </w:pPr>
      <w:r>
        <w:t xml:space="preserve">It is worth noting that </w:t>
      </w:r>
      <w:r w:rsidRPr="00663230">
        <w:t>labour productivity is a ratio of two very large numbers – GDP, and hours worked</w:t>
      </w:r>
      <w:r w:rsidR="00434A19">
        <w:t xml:space="preserve"> – and revisions to </w:t>
      </w:r>
      <w:r w:rsidR="00D16C73">
        <w:t>either</w:t>
      </w:r>
      <w:r w:rsidR="003A49D0">
        <w:t xml:space="preserve"> of these</w:t>
      </w:r>
      <w:r w:rsidR="00434A19">
        <w:t xml:space="preserve"> series could be the source of instability. </w:t>
      </w:r>
      <w:r w:rsidR="00243121">
        <w:t>Further research could decompose the contribution o</w:t>
      </w:r>
      <w:r w:rsidR="001E3A3B">
        <w:t>f revisions from hours growth and</w:t>
      </w:r>
      <w:r w:rsidR="00C4585C">
        <w:t xml:space="preserve"> output</w:t>
      </w:r>
      <w:r w:rsidR="001E3A3B">
        <w:t xml:space="preserve"> growth </w:t>
      </w:r>
      <w:r w:rsidR="00460073">
        <w:t>in the</w:t>
      </w:r>
      <w:r w:rsidR="001E3A3B">
        <w:t xml:space="preserve"> Australian data.</w:t>
      </w:r>
    </w:p>
    <w:p w14:paraId="5D839533" w14:textId="43E6CADE" w:rsidR="0026446D" w:rsidRDefault="00D05DD9" w:rsidP="003C4D5A">
      <w:pPr>
        <w:pStyle w:val="BodyText"/>
      </w:pPr>
      <w:r>
        <w:t>Figure</w:t>
      </w:r>
      <w:r w:rsidR="00C17C78">
        <w:t> </w:t>
      </w:r>
      <w:r>
        <w:t xml:space="preserve">1 shows </w:t>
      </w:r>
      <w:r w:rsidR="00CA4C85">
        <w:t>t</w:t>
      </w:r>
      <w:r w:rsidR="00756CCB">
        <w:t>he</w:t>
      </w:r>
      <w:r w:rsidR="00904898">
        <w:t xml:space="preserve"> </w:t>
      </w:r>
      <w:r w:rsidR="00CA4C85">
        <w:t>distribution of</w:t>
      </w:r>
      <w:r w:rsidR="00CE2626">
        <w:t xml:space="preserve"> period</w:t>
      </w:r>
      <w:r w:rsidR="00C17C78">
        <w:noBreakHyphen/>
      </w:r>
      <w:r w:rsidR="00121216">
        <w:t>to</w:t>
      </w:r>
      <w:r w:rsidR="00C17C78">
        <w:noBreakHyphen/>
      </w:r>
      <w:r w:rsidR="00CE2626">
        <w:t>period</w:t>
      </w:r>
      <w:r w:rsidR="00CE2626" w:rsidDel="004A1C27">
        <w:t xml:space="preserve"> </w:t>
      </w:r>
      <w:r w:rsidR="00CE2626">
        <w:t>revisions</w:t>
      </w:r>
      <w:r w:rsidR="005F55C0">
        <w:t xml:space="preserve"> over time</w:t>
      </w:r>
      <w:r w:rsidR="00121216">
        <w:t>.</w:t>
      </w:r>
      <w:r w:rsidR="0035312F" w:rsidRPr="009611B3">
        <w:rPr>
          <w:rStyle w:val="FootnoteReference"/>
        </w:rPr>
        <w:footnoteReference w:id="3"/>
      </w:r>
      <w:r w:rsidR="00F3241D">
        <w:t xml:space="preserve"> </w:t>
      </w:r>
      <w:r w:rsidR="00121216">
        <w:t>W</w:t>
      </w:r>
      <w:r w:rsidR="00AB6875">
        <w:t xml:space="preserve">e </w:t>
      </w:r>
      <w:r w:rsidR="00CE2626">
        <w:t>would</w:t>
      </w:r>
      <w:r w:rsidR="00904898">
        <w:t xml:space="preserve"> </w:t>
      </w:r>
      <w:r w:rsidR="00AB6875">
        <w:t xml:space="preserve">expect </w:t>
      </w:r>
      <w:r w:rsidR="00F744BA">
        <w:t xml:space="preserve">this </w:t>
      </w:r>
      <w:r w:rsidR="00AB6875">
        <w:t xml:space="preserve">distribution </w:t>
      </w:r>
      <w:r w:rsidR="00F744BA">
        <w:t xml:space="preserve">to </w:t>
      </w:r>
      <w:r w:rsidR="00904898">
        <w:t xml:space="preserve">converge </w:t>
      </w:r>
      <w:r w:rsidR="00FB05E1">
        <w:t>around</w:t>
      </w:r>
      <w:r w:rsidR="00904898">
        <w:t xml:space="preserve"> zero over time</w:t>
      </w:r>
      <w:r w:rsidR="00756CCB">
        <w:t xml:space="preserve"> if estimates were to stabilise and reach a ‘final’ value</w:t>
      </w:r>
      <w:r w:rsidR="00BB1C2C">
        <w:t xml:space="preserve"> (</w:t>
      </w:r>
      <w:r w:rsidR="00BA654B">
        <w:t>that is,</w:t>
      </w:r>
      <w:r w:rsidR="00BB1C2C">
        <w:t xml:space="preserve"> the change from quarter</w:t>
      </w:r>
      <w:r w:rsidR="00C17C78">
        <w:noBreakHyphen/>
      </w:r>
      <w:r w:rsidR="00BB1C2C">
        <w:t>to</w:t>
      </w:r>
      <w:r w:rsidR="00C17C78">
        <w:noBreakHyphen/>
      </w:r>
      <w:r w:rsidR="00BB1C2C">
        <w:t xml:space="preserve">quarter should be </w:t>
      </w:r>
      <w:r w:rsidR="00121216">
        <w:t>zero</w:t>
      </w:r>
      <w:r w:rsidR="00BB1C2C">
        <w:t xml:space="preserve"> percentage points)</w:t>
      </w:r>
      <w:r w:rsidR="00904898">
        <w:t xml:space="preserve">. </w:t>
      </w:r>
      <w:r w:rsidR="0038210E">
        <w:t>Instead</w:t>
      </w:r>
      <w:r w:rsidR="00754E21">
        <w:t>,</w:t>
      </w:r>
      <w:r w:rsidR="003244E0">
        <w:t xml:space="preserve"> the </w:t>
      </w:r>
      <w:r w:rsidR="00EA61BE">
        <w:t>distribution</w:t>
      </w:r>
      <w:r w:rsidR="003C4D5A">
        <w:t xml:space="preserve"> of the</w:t>
      </w:r>
      <w:r w:rsidR="0038210E">
        <w:t>se</w:t>
      </w:r>
      <w:r w:rsidR="003C4D5A">
        <w:t xml:space="preserve"> </w:t>
      </w:r>
      <w:r w:rsidR="00795F27">
        <w:t xml:space="preserve">revisions </w:t>
      </w:r>
      <w:r w:rsidR="003C4D5A">
        <w:t xml:space="preserve">only modestly </w:t>
      </w:r>
      <w:r w:rsidR="0088062D">
        <w:t>narrow</w:t>
      </w:r>
      <w:r w:rsidR="0035312F">
        <w:t>s</w:t>
      </w:r>
      <w:r w:rsidR="003C4D5A">
        <w:t xml:space="preserve"> over time. For example, the variance of the period</w:t>
      </w:r>
      <w:r w:rsidR="00C17C78">
        <w:noBreakHyphen/>
      </w:r>
      <w:r w:rsidR="003C4D5A">
        <w:t>to</w:t>
      </w:r>
      <w:r w:rsidR="00C17C78">
        <w:noBreakHyphen/>
      </w:r>
      <w:r w:rsidR="003C4D5A">
        <w:t>period revisions t</w:t>
      </w:r>
      <w:r w:rsidR="00D35FCD">
        <w:t>wo</w:t>
      </w:r>
      <w:r w:rsidR="003C4D5A">
        <w:t xml:space="preserve"> years</w:t>
      </w:r>
      <w:r w:rsidR="00FE1166">
        <w:t xml:space="preserve"> (</w:t>
      </w:r>
      <w:r w:rsidR="00D35FCD">
        <w:t>eight</w:t>
      </w:r>
      <w:r w:rsidR="00FE1166">
        <w:t xml:space="preserve"> quarters) </w:t>
      </w:r>
      <w:r w:rsidR="001920F8">
        <w:t xml:space="preserve">after </w:t>
      </w:r>
      <w:r w:rsidR="003C4D5A">
        <w:t xml:space="preserve">the original release is actually larger than the variance one period after the original </w:t>
      </w:r>
      <w:r w:rsidR="003C4D5A">
        <w:lastRenderedPageBreak/>
        <w:t>release</w:t>
      </w:r>
      <w:r w:rsidR="001151D8">
        <w:t xml:space="preserve"> – in other words, the changes that occur </w:t>
      </w:r>
      <w:r w:rsidR="000D618E">
        <w:t xml:space="preserve">to labour productivity data </w:t>
      </w:r>
      <w:r w:rsidR="00595D84">
        <w:t xml:space="preserve">between the seventh and </w:t>
      </w:r>
      <w:r w:rsidR="00D35FCD">
        <w:t>eighth</w:t>
      </w:r>
      <w:r w:rsidR="003434C6">
        <w:t xml:space="preserve"> </w:t>
      </w:r>
      <w:r w:rsidR="00AF1532">
        <w:t>q</w:t>
      </w:r>
      <w:r w:rsidR="1ACAC9C3">
        <w:t>uarter</w:t>
      </w:r>
      <w:r w:rsidR="00595D84">
        <w:t>s</w:t>
      </w:r>
      <w:r w:rsidR="001A7F3C">
        <w:t xml:space="preserve"> after the original release </w:t>
      </w:r>
      <w:r w:rsidR="25308967">
        <w:t>(</w:t>
      </w:r>
      <w:r w:rsidR="00435E03">
        <w:t>Q</w:t>
      </w:r>
      <w:r w:rsidR="00D35FCD">
        <w:t>8</w:t>
      </w:r>
      <w:r w:rsidR="003434C6">
        <w:t>)</w:t>
      </w:r>
      <w:r w:rsidR="00435E03">
        <w:t xml:space="preserve"> are larger than the changes </w:t>
      </w:r>
      <w:r w:rsidR="005E0C84">
        <w:t xml:space="preserve">from the original release to </w:t>
      </w:r>
      <w:r w:rsidR="00435E03">
        <w:t>Q1.</w:t>
      </w:r>
      <w:r w:rsidR="003C4D5A">
        <w:t xml:space="preserve"> </w:t>
      </w:r>
    </w:p>
    <w:p w14:paraId="3F274127" w14:textId="6AE423F3" w:rsidR="0059752E" w:rsidRPr="00146382" w:rsidRDefault="002C6240" w:rsidP="0059752E">
      <w:pPr>
        <w:pStyle w:val="FigureTableHeading"/>
      </w:pPr>
      <w:bookmarkStart w:id="7" w:name="_Ref174458140"/>
      <w:r>
        <w:t>Figure</w:t>
      </w:r>
      <w:r w:rsidR="00C17C78">
        <w:t> </w:t>
      </w:r>
      <w:r w:rsidR="001B60F7">
        <w:rPr>
          <w:noProof/>
        </w:rPr>
        <w:t>1</w:t>
      </w:r>
      <w:bookmarkEnd w:id="6"/>
      <w:bookmarkEnd w:id="7"/>
      <w:r>
        <w:rPr>
          <w:noProof/>
        </w:rPr>
        <w:t xml:space="preserve"> </w:t>
      </w:r>
      <w:r>
        <w:t xml:space="preserve">– </w:t>
      </w:r>
      <w:r w:rsidR="0059752E">
        <w:t xml:space="preserve">Revisions still occur </w:t>
      </w:r>
      <w:r w:rsidR="4F794D63">
        <w:t>six years (24 quarters)</w:t>
      </w:r>
      <w:r w:rsidR="0059752E">
        <w:t xml:space="preserve"> </w:t>
      </w:r>
      <w:r w:rsidR="1049FB30">
        <w:t>after</w:t>
      </w:r>
      <w:r w:rsidR="0059752E">
        <w:t xml:space="preserve"> </w:t>
      </w:r>
      <w:r w:rsidR="00BE2DC7">
        <w:t>the</w:t>
      </w:r>
      <w:r w:rsidR="0081240C">
        <w:t xml:space="preserve">ir </w:t>
      </w:r>
      <w:r w:rsidR="0059752E">
        <w:t xml:space="preserve">original release </w:t>
      </w:r>
    </w:p>
    <w:p w14:paraId="6DF287D7" w14:textId="0872EF93" w:rsidR="008D329C" w:rsidRDefault="00CC0F76" w:rsidP="008D329C">
      <w:pPr>
        <w:pStyle w:val="FigureTableSubheading"/>
      </w:pPr>
      <w:r>
        <w:t>P</w:t>
      </w:r>
      <w:r w:rsidR="0059752E">
        <w:t>robability density function</w:t>
      </w:r>
      <w:r w:rsidR="00C00550">
        <w:t>s</w:t>
      </w:r>
      <w:r w:rsidR="0059752E">
        <w:t xml:space="preserve"> for </w:t>
      </w:r>
      <w:r>
        <w:t xml:space="preserve">quarterly </w:t>
      </w:r>
      <w:r w:rsidR="00B81C41">
        <w:t>period</w:t>
      </w:r>
      <w:r w:rsidR="00C17C78">
        <w:noBreakHyphen/>
      </w:r>
      <w:r w:rsidR="00B81C41">
        <w:t>to</w:t>
      </w:r>
      <w:r w:rsidR="00C17C78">
        <w:noBreakHyphen/>
      </w:r>
      <w:r w:rsidR="00B81C41">
        <w:t xml:space="preserve">period </w:t>
      </w:r>
      <w:r w:rsidR="0059752E">
        <w:t>revisions</w:t>
      </w:r>
      <w:r w:rsidR="009723FD">
        <w:t>,</w:t>
      </w:r>
      <w:r w:rsidR="0059752E">
        <w:t xml:space="preserve"> 2006</w:t>
      </w:r>
      <w:r w:rsidR="00C17C78">
        <w:t>–</w:t>
      </w:r>
      <w:r w:rsidR="0059752E">
        <w:t>20</w:t>
      </w:r>
      <w:r w:rsidR="002A2605">
        <w:t>23</w:t>
      </w:r>
    </w:p>
    <w:p w14:paraId="766D3C59" w14:textId="63333CCA" w:rsidR="008D329C" w:rsidRDefault="00644D45" w:rsidP="008D329C">
      <w:pPr>
        <w:pStyle w:val="Note"/>
        <w:rPr>
          <w:b/>
          <w:bCs/>
        </w:rPr>
      </w:pPr>
      <w:r w:rsidRPr="00644D45">
        <w:rPr>
          <w:noProof/>
        </w:rPr>
        <w:drawing>
          <wp:inline distT="0" distB="0" distL="0" distR="0" wp14:anchorId="44195214" wp14:editId="22D8C5FF">
            <wp:extent cx="6120130" cy="4321810"/>
            <wp:effectExtent l="0" t="0" r="0" b="0"/>
            <wp:docPr id="1334676548" name="Picture 9" descr="Figure 1 has 24 stacked estimated density functions of the period-to-period revisions for each of the 24 quarters since the original release, with a range between -0.2 to 0.2 percentage points for each function. The estimated density functions only modestly narrow over time, with a substantial amount of non-zero density in the 24th quarter since the original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76548" name="Picture 9" descr="Figure 1 has 24 stacked estimated density functions of the period-to-period revisions for each of the 24 quarters since the original release, with a range between -0.2 to 0.2 percentage points for each function. The estimated density functions only modestly narrow over time, with a substantial amount of non-zero density in the 24th quarter since the original relea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321810"/>
                    </a:xfrm>
                    <a:prstGeom prst="rect">
                      <a:avLst/>
                    </a:prstGeom>
                    <a:noFill/>
                    <a:ln>
                      <a:noFill/>
                    </a:ln>
                  </pic:spPr>
                </pic:pic>
              </a:graphicData>
            </a:graphic>
          </wp:inline>
        </w:drawing>
      </w:r>
    </w:p>
    <w:p w14:paraId="55555718" w14:textId="3FF463DF" w:rsidR="0059752E" w:rsidRDefault="0059752E" w:rsidP="0059752E">
      <w:pPr>
        <w:pStyle w:val="Source"/>
      </w:pPr>
      <w:r w:rsidRPr="00696447">
        <w:t xml:space="preserve">Source: </w:t>
      </w:r>
      <w:r>
        <w:t>PC analysis of ABS (2023</w:t>
      </w:r>
      <w:r w:rsidR="00FF5D09">
        <w:t xml:space="preserve">, Australian National Accounts: </w:t>
      </w:r>
      <w:r w:rsidR="00D359F4" w:rsidRPr="00D359F4">
        <w:t>National Income, Expenditure and Product, Cat. no.</w:t>
      </w:r>
      <w:r w:rsidR="00A03E01">
        <w:t> </w:t>
      </w:r>
      <w:r w:rsidR="00D359F4" w:rsidRPr="00D359F4">
        <w:t>5206.0, table</w:t>
      </w:r>
      <w:r w:rsidR="00C17C78">
        <w:t> </w:t>
      </w:r>
      <w:r w:rsidR="007360AD">
        <w:t>1)</w:t>
      </w:r>
      <w:r w:rsidR="00B363EC">
        <w:t>.</w:t>
      </w:r>
    </w:p>
    <w:p w14:paraId="0B6D8D0A" w14:textId="04F3239B" w:rsidR="00FE7435" w:rsidRDefault="00C02527" w:rsidP="00BE250D">
      <w:pPr>
        <w:pStyle w:val="Heading2-nonumber"/>
      </w:pPr>
      <w:bookmarkStart w:id="8" w:name="_Toc180336255"/>
      <w:r>
        <w:t>Interpreting these revisions</w:t>
      </w:r>
      <w:bookmarkEnd w:id="8"/>
    </w:p>
    <w:p w14:paraId="75BF4CB5" w14:textId="7F914F64" w:rsidR="004124D3" w:rsidRDefault="00DE563D" w:rsidP="006E65E6">
      <w:pPr>
        <w:pStyle w:val="BodyText"/>
      </w:pPr>
      <w:r>
        <w:t xml:space="preserve">Decision makers and analysts need to </w:t>
      </w:r>
      <w:r w:rsidR="0009389F">
        <w:t xml:space="preserve">undertake </w:t>
      </w:r>
      <w:r w:rsidR="0009389F" w:rsidRPr="0009389F">
        <w:t>up</w:t>
      </w:r>
      <w:r w:rsidR="0009389F">
        <w:noBreakHyphen/>
      </w:r>
      <w:r w:rsidR="0009389F" w:rsidRPr="0009389F">
        <w:t>to</w:t>
      </w:r>
      <w:r w:rsidR="0009389F">
        <w:noBreakHyphen/>
        <w:t xml:space="preserve">date analysis of the economy, using </w:t>
      </w:r>
      <w:r w:rsidRPr="0009389F">
        <w:t>the</w:t>
      </w:r>
      <w:r>
        <w:t xml:space="preserve"> best information available, and productivity matters fundamentally for our understanding of the economy.</w:t>
      </w:r>
      <w:r w:rsidR="00E95ABB">
        <w:t xml:space="preserve"> </w:t>
      </w:r>
      <w:r w:rsidR="000919F0">
        <w:t xml:space="preserve">Decision makers and analysts therefore need a way to use and interpret the most recent </w:t>
      </w:r>
      <w:r w:rsidR="005D3C6B">
        <w:t xml:space="preserve">productivity </w:t>
      </w:r>
      <w:r w:rsidR="000919F0">
        <w:t>data, noting it will be subject to revisions for a number of years.</w:t>
      </w:r>
      <w:r w:rsidR="00DA6E8E">
        <w:t xml:space="preserve"> </w:t>
      </w:r>
      <w:r w:rsidR="006B4E84">
        <w:t xml:space="preserve">Importantly, a revision does not imply the original estimate is </w:t>
      </w:r>
      <w:r w:rsidR="00F325C7">
        <w:t xml:space="preserve">inaccurate </w:t>
      </w:r>
      <w:r w:rsidR="003E6AB1">
        <w:t xml:space="preserve">– it simply means that more information has become available. </w:t>
      </w:r>
    </w:p>
    <w:p w14:paraId="4318A2CD" w14:textId="1BD37DAE" w:rsidR="002E6898" w:rsidRDefault="001252FC" w:rsidP="006E65E6">
      <w:pPr>
        <w:pStyle w:val="BodyText"/>
      </w:pPr>
      <w:r>
        <w:t xml:space="preserve">This paper identifies </w:t>
      </w:r>
      <w:r w:rsidR="002E6898">
        <w:t>two possible options open to decision makers</w:t>
      </w:r>
      <w:r w:rsidR="00EE4025">
        <w:t xml:space="preserve"> to improve the efficacy and assist in the interpretation of the labour productivity estimates</w:t>
      </w:r>
      <w:r w:rsidR="00CE205A">
        <w:t>.</w:t>
      </w:r>
    </w:p>
    <w:p w14:paraId="232A7442" w14:textId="62AAC8E8" w:rsidR="002E6898" w:rsidRDefault="00BB06D0" w:rsidP="002E6898">
      <w:pPr>
        <w:pStyle w:val="ListNumber"/>
        <w:keepNext/>
      </w:pPr>
      <w:r>
        <w:t>U</w:t>
      </w:r>
      <w:r w:rsidR="002E6898">
        <w:t>se a confidence interval to inform their understanding of the reliability of the estimates</w:t>
      </w:r>
      <w:r>
        <w:t>.</w:t>
      </w:r>
      <w:r w:rsidR="00430EF8">
        <w:t xml:space="preserve"> Confidence intervals are </w:t>
      </w:r>
      <w:r w:rsidR="00430EF8" w:rsidRPr="00430EF8">
        <w:t>instructive to understand the magnitude of the revisions.</w:t>
      </w:r>
    </w:p>
    <w:p w14:paraId="2EBABD07" w14:textId="1CA13E4D" w:rsidR="002E6898" w:rsidRDefault="001C032E" w:rsidP="002E6898">
      <w:pPr>
        <w:pStyle w:val="ListNumber"/>
      </w:pPr>
      <w:r>
        <w:t>L</w:t>
      </w:r>
      <w:r w:rsidR="002E6898">
        <w:t>ook at productivity estimates over a longer period of time (such as productivity over a year) to reduce volatility.</w:t>
      </w:r>
    </w:p>
    <w:p w14:paraId="6CE21487" w14:textId="356FD8D7" w:rsidR="001E11B9" w:rsidRDefault="001E11B9" w:rsidP="001E11B9">
      <w:pPr>
        <w:pStyle w:val="Heading3"/>
      </w:pPr>
      <w:r>
        <w:lastRenderedPageBreak/>
        <w:t xml:space="preserve">Confidence intervals </w:t>
      </w:r>
      <w:r w:rsidR="003E192E">
        <w:t>can inform policymakers of the reliability of each estimate</w:t>
      </w:r>
    </w:p>
    <w:p w14:paraId="2A8DACDC" w14:textId="3EC527AC" w:rsidR="00210987" w:rsidRPr="00A03E01" w:rsidRDefault="00354F51" w:rsidP="00F968CB">
      <w:pPr>
        <w:pStyle w:val="BodyText"/>
        <w:rPr>
          <w:spacing w:val="-4"/>
        </w:rPr>
      </w:pPr>
      <w:r w:rsidRPr="00A03E01">
        <w:rPr>
          <w:spacing w:val="-4"/>
        </w:rPr>
        <w:t>A c</w:t>
      </w:r>
      <w:r w:rsidR="00DB2309" w:rsidRPr="00A03E01">
        <w:rPr>
          <w:spacing w:val="-4"/>
        </w:rPr>
        <w:t>onfidence interval</w:t>
      </w:r>
      <w:r w:rsidRPr="00A03E01">
        <w:rPr>
          <w:spacing w:val="-4"/>
        </w:rPr>
        <w:t xml:space="preserve"> – an estimate of the band within which an estimate is likely to land – </w:t>
      </w:r>
      <w:r w:rsidR="00B91555" w:rsidRPr="00A03E01">
        <w:rPr>
          <w:spacing w:val="-4"/>
        </w:rPr>
        <w:t xml:space="preserve">can </w:t>
      </w:r>
      <w:r w:rsidR="00DB2309" w:rsidRPr="00A03E01">
        <w:rPr>
          <w:spacing w:val="-4"/>
        </w:rPr>
        <w:t xml:space="preserve">provide </w:t>
      </w:r>
      <w:r w:rsidR="005D3FF2" w:rsidRPr="00A03E01">
        <w:rPr>
          <w:spacing w:val="-4"/>
        </w:rPr>
        <w:t>a tangib</w:t>
      </w:r>
      <w:r w:rsidR="001A44F1" w:rsidRPr="00A03E01">
        <w:rPr>
          <w:spacing w:val="-4"/>
        </w:rPr>
        <w:t>l</w:t>
      </w:r>
      <w:r w:rsidR="00362B13" w:rsidRPr="00A03E01">
        <w:rPr>
          <w:spacing w:val="-4"/>
        </w:rPr>
        <w:t xml:space="preserve">e </w:t>
      </w:r>
      <w:r w:rsidR="007157C7" w:rsidRPr="00A03E01">
        <w:rPr>
          <w:spacing w:val="-4"/>
        </w:rPr>
        <w:t xml:space="preserve">trust level </w:t>
      </w:r>
      <w:r w:rsidR="005D3FF2" w:rsidRPr="00A03E01">
        <w:rPr>
          <w:spacing w:val="-4"/>
        </w:rPr>
        <w:t>for</w:t>
      </w:r>
      <w:r w:rsidR="00DB2309" w:rsidRPr="00A03E01">
        <w:rPr>
          <w:spacing w:val="-4"/>
        </w:rPr>
        <w:t xml:space="preserve"> policymakers</w:t>
      </w:r>
      <w:r w:rsidR="007157C7" w:rsidRPr="00A03E01">
        <w:rPr>
          <w:spacing w:val="-4"/>
        </w:rPr>
        <w:t xml:space="preserve"> </w:t>
      </w:r>
      <w:r w:rsidR="003F27C2" w:rsidRPr="00A03E01">
        <w:rPr>
          <w:spacing w:val="-4"/>
        </w:rPr>
        <w:t>when</w:t>
      </w:r>
      <w:r w:rsidR="009E6388" w:rsidRPr="00A03E01">
        <w:rPr>
          <w:spacing w:val="-4"/>
        </w:rPr>
        <w:t xml:space="preserve"> they are interpreting</w:t>
      </w:r>
      <w:r w:rsidR="003F27C2" w:rsidRPr="00A03E01">
        <w:rPr>
          <w:spacing w:val="-4"/>
        </w:rPr>
        <w:t xml:space="preserve"> and using</w:t>
      </w:r>
      <w:r w:rsidR="009E6388" w:rsidRPr="00A03E01">
        <w:rPr>
          <w:spacing w:val="-4"/>
        </w:rPr>
        <w:t xml:space="preserve"> </w:t>
      </w:r>
      <w:r w:rsidR="009C76A5" w:rsidRPr="00A03E01">
        <w:rPr>
          <w:spacing w:val="-4"/>
        </w:rPr>
        <w:t xml:space="preserve">quarterly labour productivity </w:t>
      </w:r>
      <w:r w:rsidR="00B91555" w:rsidRPr="00A03E01">
        <w:rPr>
          <w:spacing w:val="-4"/>
        </w:rPr>
        <w:t>estimates</w:t>
      </w:r>
      <w:r w:rsidR="009C76A5" w:rsidRPr="00A03E01">
        <w:rPr>
          <w:spacing w:val="-4"/>
        </w:rPr>
        <w:t>.</w:t>
      </w:r>
      <w:r w:rsidR="00C97AE5" w:rsidRPr="00A03E01">
        <w:rPr>
          <w:spacing w:val="-4"/>
        </w:rPr>
        <w:t xml:space="preserve"> </w:t>
      </w:r>
      <w:r w:rsidR="00210987" w:rsidRPr="00A03E01">
        <w:rPr>
          <w:spacing w:val="-4"/>
        </w:rPr>
        <w:t xml:space="preserve">They can guide policymakers </w:t>
      </w:r>
      <w:r w:rsidR="00901B77" w:rsidRPr="00A03E01">
        <w:rPr>
          <w:spacing w:val="-4"/>
        </w:rPr>
        <w:t>by informing them of the reliability of any given estimate at any point in time.</w:t>
      </w:r>
    </w:p>
    <w:p w14:paraId="75441195" w14:textId="69E0744A" w:rsidR="003407CF" w:rsidRPr="00A03E01" w:rsidRDefault="003F27C2" w:rsidP="00F968CB">
      <w:pPr>
        <w:pStyle w:val="BodyText"/>
        <w:rPr>
          <w:spacing w:val="-2"/>
        </w:rPr>
      </w:pPr>
      <w:r w:rsidRPr="00A03E01">
        <w:rPr>
          <w:spacing w:val="-2"/>
        </w:rPr>
        <w:t xml:space="preserve">The </w:t>
      </w:r>
      <w:r w:rsidR="005579EB" w:rsidRPr="00A03E01">
        <w:rPr>
          <w:spacing w:val="-2"/>
        </w:rPr>
        <w:t xml:space="preserve">confidence </w:t>
      </w:r>
      <w:r w:rsidR="00320D68" w:rsidRPr="00A03E01">
        <w:rPr>
          <w:spacing w:val="-2"/>
        </w:rPr>
        <w:t>interval</w:t>
      </w:r>
      <w:r w:rsidRPr="00A03E01">
        <w:rPr>
          <w:spacing w:val="-2"/>
        </w:rPr>
        <w:t xml:space="preserve"> </w:t>
      </w:r>
      <w:r w:rsidR="00DC4051" w:rsidRPr="00A03E01">
        <w:rPr>
          <w:spacing w:val="-2"/>
        </w:rPr>
        <w:t>for</w:t>
      </w:r>
      <w:r w:rsidR="00210987" w:rsidRPr="00A03E01">
        <w:rPr>
          <w:spacing w:val="-2"/>
        </w:rPr>
        <w:t xml:space="preserve"> revisions </w:t>
      </w:r>
      <w:r w:rsidR="00DC4051" w:rsidRPr="00A03E01">
        <w:rPr>
          <w:spacing w:val="-2"/>
        </w:rPr>
        <w:t xml:space="preserve">to a </w:t>
      </w:r>
      <w:r w:rsidR="00CE0EB2" w:rsidRPr="00A03E01">
        <w:rPr>
          <w:spacing w:val="-2"/>
        </w:rPr>
        <w:t xml:space="preserve">single </w:t>
      </w:r>
      <w:r w:rsidR="00DC4051" w:rsidRPr="00A03E01">
        <w:rPr>
          <w:spacing w:val="-2"/>
        </w:rPr>
        <w:t xml:space="preserve">productivity estimate </w:t>
      </w:r>
      <w:r w:rsidR="005579EB" w:rsidRPr="00A03E01">
        <w:rPr>
          <w:spacing w:val="-2"/>
        </w:rPr>
        <w:t>increases most significantly in the first year following the original release</w:t>
      </w:r>
      <w:r w:rsidR="008E0F8C" w:rsidRPr="00A03E01">
        <w:rPr>
          <w:spacing w:val="-2"/>
        </w:rPr>
        <w:t>, before stabilising</w:t>
      </w:r>
      <w:r w:rsidR="00BF28A0" w:rsidRPr="00A03E01">
        <w:rPr>
          <w:spacing w:val="-2"/>
        </w:rPr>
        <w:t>.</w:t>
      </w:r>
      <w:r w:rsidR="008E0F8C" w:rsidRPr="00A03E01">
        <w:rPr>
          <w:spacing w:val="-2"/>
        </w:rPr>
        <w:t xml:space="preserve"> </w:t>
      </w:r>
      <w:r w:rsidR="00C24072" w:rsidRPr="00A03E01">
        <w:rPr>
          <w:spacing w:val="-2"/>
        </w:rPr>
        <w:t xml:space="preserve">Figure 2 </w:t>
      </w:r>
      <w:r w:rsidR="006C5BA6" w:rsidRPr="00A03E01">
        <w:rPr>
          <w:spacing w:val="-2"/>
        </w:rPr>
        <w:t>shows that</w:t>
      </w:r>
      <w:r w:rsidR="00574B50" w:rsidRPr="00A03E01">
        <w:rPr>
          <w:spacing w:val="-2"/>
        </w:rPr>
        <w:t xml:space="preserve"> </w:t>
      </w:r>
      <w:r w:rsidR="00BF28A0" w:rsidRPr="00A03E01">
        <w:rPr>
          <w:spacing w:val="-2"/>
        </w:rPr>
        <w:t>70% of estimates fall with</w:t>
      </w:r>
      <w:r w:rsidR="00320D68" w:rsidRPr="00A03E01">
        <w:rPr>
          <w:spacing w:val="-2"/>
        </w:rPr>
        <w:t xml:space="preserve">in </w:t>
      </w:r>
      <w:r w:rsidR="00C17C78" w:rsidRPr="00A03E01">
        <w:rPr>
          <w:spacing w:val="-2"/>
        </w:rPr>
        <w:noBreakHyphen/>
      </w:r>
      <w:r w:rsidR="00BF28A0" w:rsidRPr="00A03E01">
        <w:rPr>
          <w:spacing w:val="-2"/>
        </w:rPr>
        <w:t xml:space="preserve">0.4 to 0.5 percentage points relative to the original </w:t>
      </w:r>
      <w:r w:rsidR="00574B50" w:rsidRPr="00A03E01">
        <w:rPr>
          <w:spacing w:val="-2"/>
        </w:rPr>
        <w:t xml:space="preserve">estimate three years </w:t>
      </w:r>
      <w:r w:rsidR="007E2143" w:rsidRPr="00A03E01">
        <w:rPr>
          <w:spacing w:val="-2"/>
        </w:rPr>
        <w:t xml:space="preserve">after the </w:t>
      </w:r>
      <w:r w:rsidR="00EA0FAD" w:rsidRPr="00A03E01">
        <w:rPr>
          <w:spacing w:val="-2"/>
        </w:rPr>
        <w:t>original release</w:t>
      </w:r>
      <w:r w:rsidR="00BF28A0" w:rsidRPr="00A03E01">
        <w:rPr>
          <w:spacing w:val="-2"/>
        </w:rPr>
        <w:t>.</w:t>
      </w:r>
      <w:r w:rsidR="006F3511" w:rsidRPr="00A03E01">
        <w:rPr>
          <w:spacing w:val="-2"/>
        </w:rPr>
        <w:t xml:space="preserve"> </w:t>
      </w:r>
      <w:r w:rsidR="00270E42" w:rsidRPr="00A03E01">
        <w:rPr>
          <w:spacing w:val="-2"/>
        </w:rPr>
        <w:t xml:space="preserve">Applying that to the </w:t>
      </w:r>
      <w:r w:rsidR="00994C5A" w:rsidRPr="00A03E01">
        <w:rPr>
          <w:spacing w:val="-2"/>
        </w:rPr>
        <w:t>June</w:t>
      </w:r>
      <w:r w:rsidR="00D31DD3" w:rsidRPr="00A03E01">
        <w:rPr>
          <w:spacing w:val="-2"/>
        </w:rPr>
        <w:t xml:space="preserve"> 2024</w:t>
      </w:r>
      <w:r w:rsidR="00270E42" w:rsidRPr="00A03E01">
        <w:rPr>
          <w:spacing w:val="-2"/>
        </w:rPr>
        <w:t xml:space="preserve"> quarter productivity estimate (</w:t>
      </w:r>
      <w:r w:rsidR="00C17C78" w:rsidRPr="00A03E01">
        <w:rPr>
          <w:spacing w:val="-2"/>
        </w:rPr>
        <w:noBreakHyphen/>
      </w:r>
      <w:r w:rsidR="0035112E" w:rsidRPr="00A03E01">
        <w:rPr>
          <w:spacing w:val="-2"/>
        </w:rPr>
        <w:t>0</w:t>
      </w:r>
      <w:r w:rsidR="004E5745" w:rsidRPr="00A03E01">
        <w:rPr>
          <w:spacing w:val="-2"/>
        </w:rPr>
        <w:t>.8</w:t>
      </w:r>
      <w:r w:rsidR="0035112E" w:rsidRPr="00A03E01">
        <w:rPr>
          <w:spacing w:val="-2"/>
        </w:rPr>
        <w:t>%</w:t>
      </w:r>
      <w:r w:rsidR="00897163" w:rsidRPr="00A03E01">
        <w:rPr>
          <w:spacing w:val="-2"/>
        </w:rPr>
        <w:t> </w:t>
      </w:r>
      <w:r w:rsidR="0035112E" w:rsidRPr="00A03E01">
        <w:rPr>
          <w:spacing w:val="-2"/>
        </w:rPr>
        <w:t>productivity growth)</w:t>
      </w:r>
      <w:r w:rsidR="00270E42" w:rsidRPr="00A03E01">
        <w:rPr>
          <w:spacing w:val="-2"/>
        </w:rPr>
        <w:t xml:space="preserve">, </w:t>
      </w:r>
      <w:r w:rsidR="0035112E" w:rsidRPr="00A03E01">
        <w:rPr>
          <w:spacing w:val="-2"/>
        </w:rPr>
        <w:t xml:space="preserve">we can say that </w:t>
      </w:r>
      <w:r w:rsidR="00551CA0" w:rsidRPr="00A03E01">
        <w:rPr>
          <w:spacing w:val="-2"/>
        </w:rPr>
        <w:t>th</w:t>
      </w:r>
      <w:r w:rsidR="009D2E5C" w:rsidRPr="00A03E01">
        <w:rPr>
          <w:spacing w:val="-2"/>
        </w:rPr>
        <w:t>ere is</w:t>
      </w:r>
      <w:r w:rsidR="00A510B3" w:rsidRPr="00A03E01">
        <w:rPr>
          <w:spacing w:val="-2"/>
        </w:rPr>
        <w:t xml:space="preserve"> a</w:t>
      </w:r>
      <w:r w:rsidR="009D2E5C" w:rsidRPr="00A03E01">
        <w:rPr>
          <w:spacing w:val="-2"/>
        </w:rPr>
        <w:t xml:space="preserve"> 70% </w:t>
      </w:r>
      <w:r w:rsidR="00E86BEA" w:rsidRPr="00A03E01">
        <w:rPr>
          <w:spacing w:val="-2"/>
        </w:rPr>
        <w:t>likelihood</w:t>
      </w:r>
      <w:r w:rsidR="009D2E5C" w:rsidRPr="00A03E01">
        <w:rPr>
          <w:spacing w:val="-2"/>
        </w:rPr>
        <w:t xml:space="preserve"> that th</w:t>
      </w:r>
      <w:r w:rsidR="003B2B81" w:rsidRPr="00A03E01">
        <w:rPr>
          <w:spacing w:val="-2"/>
        </w:rPr>
        <w:t>is</w:t>
      </w:r>
      <w:r w:rsidR="004021D0" w:rsidRPr="00A03E01">
        <w:rPr>
          <w:spacing w:val="-2"/>
        </w:rPr>
        <w:t xml:space="preserve"> estimate</w:t>
      </w:r>
      <w:r w:rsidR="009D2E5C" w:rsidRPr="00A03E01">
        <w:rPr>
          <w:spacing w:val="-2"/>
        </w:rPr>
        <w:t xml:space="preserve"> will </w:t>
      </w:r>
      <w:r w:rsidR="0023341B" w:rsidRPr="00A03E01">
        <w:rPr>
          <w:spacing w:val="-2"/>
        </w:rPr>
        <w:t>be wit</w:t>
      </w:r>
      <w:r w:rsidR="00AB2BB0" w:rsidRPr="00A03E01">
        <w:rPr>
          <w:spacing w:val="-2"/>
        </w:rPr>
        <w:t>h</w:t>
      </w:r>
      <w:r w:rsidR="0023341B" w:rsidRPr="00A03E01">
        <w:rPr>
          <w:spacing w:val="-2"/>
        </w:rPr>
        <w:t>in</w:t>
      </w:r>
      <w:r w:rsidR="00862761" w:rsidRPr="00A03E01">
        <w:rPr>
          <w:spacing w:val="-2"/>
        </w:rPr>
        <w:t xml:space="preserve"> </w:t>
      </w:r>
      <w:r w:rsidR="00C17C78" w:rsidRPr="00A03E01">
        <w:rPr>
          <w:spacing w:val="-2"/>
        </w:rPr>
        <w:noBreakHyphen/>
      </w:r>
      <w:r w:rsidR="005568A8" w:rsidRPr="00A03E01">
        <w:rPr>
          <w:spacing w:val="-2"/>
        </w:rPr>
        <w:t>1.2</w:t>
      </w:r>
      <w:r w:rsidR="009D2E5C" w:rsidRPr="00A03E01">
        <w:rPr>
          <w:spacing w:val="-2"/>
        </w:rPr>
        <w:t xml:space="preserve">% to </w:t>
      </w:r>
      <w:r w:rsidR="00C17C78" w:rsidRPr="00A03E01">
        <w:rPr>
          <w:spacing w:val="-2"/>
        </w:rPr>
        <w:noBreakHyphen/>
      </w:r>
      <w:r w:rsidR="009D2E5C" w:rsidRPr="00A03E01">
        <w:rPr>
          <w:spacing w:val="-2"/>
        </w:rPr>
        <w:t>0.</w:t>
      </w:r>
      <w:r w:rsidR="005568A8" w:rsidRPr="00A03E01">
        <w:rPr>
          <w:spacing w:val="-2"/>
        </w:rPr>
        <w:t>3</w:t>
      </w:r>
      <w:r w:rsidR="009D2E5C" w:rsidRPr="00A03E01">
        <w:rPr>
          <w:spacing w:val="-2"/>
        </w:rPr>
        <w:t>% in three</w:t>
      </w:r>
      <w:r w:rsidR="003B75A8" w:rsidRPr="00A03E01">
        <w:rPr>
          <w:spacing w:val="-2"/>
        </w:rPr>
        <w:t xml:space="preserve"> </w:t>
      </w:r>
      <w:r w:rsidR="009D2E5C" w:rsidRPr="00A03E01">
        <w:rPr>
          <w:spacing w:val="-2"/>
        </w:rPr>
        <w:t>years’ time.</w:t>
      </w:r>
      <w:r w:rsidR="001D7147" w:rsidRPr="00A03E01">
        <w:rPr>
          <w:spacing w:val="-2"/>
        </w:rPr>
        <w:t xml:space="preserve"> Given the relatively flat upper and lower bounds of the confidence interval, it is likely that </w:t>
      </w:r>
      <w:r w:rsidR="003905B7" w:rsidRPr="00A03E01">
        <w:rPr>
          <w:spacing w:val="-2"/>
        </w:rPr>
        <w:t>estimates will remain within this bandwidth further out</w:t>
      </w:r>
      <w:r w:rsidR="006040F1" w:rsidRPr="00A03E01">
        <w:rPr>
          <w:spacing w:val="-2"/>
        </w:rPr>
        <w:t>.</w:t>
      </w:r>
      <w:r w:rsidR="006040F1" w:rsidRPr="00A03E01">
        <w:rPr>
          <w:rStyle w:val="FootnoteReference"/>
          <w:spacing w:val="-2"/>
        </w:rPr>
        <w:footnoteReference w:id="4"/>
      </w:r>
      <w:r w:rsidR="003905B7" w:rsidRPr="00A03E01">
        <w:rPr>
          <w:spacing w:val="-2"/>
        </w:rPr>
        <w:t xml:space="preserve"> </w:t>
      </w:r>
    </w:p>
    <w:p w14:paraId="1D8A23D5" w14:textId="661F7D96" w:rsidR="004F4B83" w:rsidRPr="00A03E01" w:rsidRDefault="002A4A3F" w:rsidP="004F4B83">
      <w:pPr>
        <w:pStyle w:val="FigureTableHeading"/>
        <w:rPr>
          <w:spacing w:val="-6"/>
        </w:rPr>
      </w:pPr>
      <w:bookmarkStart w:id="9" w:name="_Ref172733673"/>
      <w:r w:rsidRPr="00A03E01">
        <w:rPr>
          <w:spacing w:val="-6"/>
        </w:rPr>
        <w:t>Figure</w:t>
      </w:r>
      <w:r w:rsidR="00C17C78" w:rsidRPr="00A03E01">
        <w:rPr>
          <w:spacing w:val="-6"/>
        </w:rPr>
        <w:t> </w:t>
      </w:r>
      <w:r w:rsidR="001B60F7">
        <w:rPr>
          <w:noProof/>
          <w:spacing w:val="-6"/>
        </w:rPr>
        <w:t>2</w:t>
      </w:r>
      <w:bookmarkEnd w:id="9"/>
      <w:r w:rsidRPr="00A03E01">
        <w:rPr>
          <w:noProof/>
          <w:spacing w:val="-6"/>
        </w:rPr>
        <w:t xml:space="preserve"> </w:t>
      </w:r>
      <w:r w:rsidRPr="00A03E01">
        <w:rPr>
          <w:spacing w:val="-6"/>
        </w:rPr>
        <w:t xml:space="preserve">– </w:t>
      </w:r>
      <w:r w:rsidR="004F4B83" w:rsidRPr="00A03E01">
        <w:rPr>
          <w:spacing w:val="-6"/>
        </w:rPr>
        <w:t>The confidence interval</w:t>
      </w:r>
      <w:r w:rsidR="004E4DEC" w:rsidRPr="00A03E01">
        <w:rPr>
          <w:spacing w:val="-6"/>
        </w:rPr>
        <w:t xml:space="preserve"> </w:t>
      </w:r>
      <w:r w:rsidR="004F4B83" w:rsidRPr="00A03E01">
        <w:rPr>
          <w:spacing w:val="-6"/>
        </w:rPr>
        <w:t>for revision</w:t>
      </w:r>
      <w:r w:rsidR="00A20E02" w:rsidRPr="00A03E01">
        <w:rPr>
          <w:spacing w:val="-6"/>
        </w:rPr>
        <w:t>s</w:t>
      </w:r>
      <w:r w:rsidR="002E707A" w:rsidRPr="00A03E01">
        <w:rPr>
          <w:spacing w:val="-6"/>
        </w:rPr>
        <w:t xml:space="preserve"> </w:t>
      </w:r>
      <w:r w:rsidR="007A61E3" w:rsidRPr="00A03E01">
        <w:rPr>
          <w:spacing w:val="-6"/>
        </w:rPr>
        <w:t xml:space="preserve">grows for </w:t>
      </w:r>
      <w:r w:rsidR="00CD6EE4" w:rsidRPr="00A03E01">
        <w:rPr>
          <w:spacing w:val="-6"/>
        </w:rPr>
        <w:t>four</w:t>
      </w:r>
      <w:r w:rsidR="007A61E3" w:rsidRPr="00A03E01">
        <w:rPr>
          <w:spacing w:val="-6"/>
        </w:rPr>
        <w:t xml:space="preserve"> quarters before stabilising</w:t>
      </w:r>
    </w:p>
    <w:p w14:paraId="578D6224" w14:textId="69D1EA48" w:rsidR="004F4B83" w:rsidRDefault="002E707A" w:rsidP="004F4B83">
      <w:pPr>
        <w:pStyle w:val="FigureTableSubheading"/>
        <w:keepLines/>
      </w:pPr>
      <w:r>
        <w:t>7</w:t>
      </w:r>
      <w:r w:rsidR="004F4B83">
        <w:t>0</w:t>
      </w:r>
      <w:r w:rsidR="00301C2C">
        <w:t>%</w:t>
      </w:r>
      <w:r w:rsidR="004F4B83">
        <w:t xml:space="preserve"> and </w:t>
      </w:r>
      <w:r>
        <w:t>9</w:t>
      </w:r>
      <w:r w:rsidR="004F4B83">
        <w:t>0</w:t>
      </w:r>
      <w:r w:rsidR="001D2434">
        <w:t>%</w:t>
      </w:r>
      <w:r w:rsidR="004F4B83">
        <w:t xml:space="preserve"> confidence interval</w:t>
      </w:r>
      <w:r w:rsidR="00340D44">
        <w:t>s</w:t>
      </w:r>
      <w:r w:rsidR="004F4B83">
        <w:t xml:space="preserve"> for revisions from </w:t>
      </w:r>
      <w:proofErr w:type="spellStart"/>
      <w:proofErr w:type="gramStart"/>
      <w:r w:rsidR="004F4B83">
        <w:t>original</w:t>
      </w:r>
      <w:r w:rsidR="00AC3A0D" w:rsidRPr="00EA2E41">
        <w:rPr>
          <w:vertAlign w:val="superscript"/>
        </w:rPr>
        <w:t>a</w:t>
      </w:r>
      <w:r w:rsidR="00513EF9">
        <w:rPr>
          <w:vertAlign w:val="superscript"/>
        </w:rPr>
        <w:t>,</w:t>
      </w:r>
      <w:r w:rsidR="0033042A">
        <w:rPr>
          <w:vertAlign w:val="superscript"/>
        </w:rPr>
        <w:t>b</w:t>
      </w:r>
      <w:proofErr w:type="spellEnd"/>
      <w:proofErr w:type="gramEnd"/>
      <w:r w:rsidR="00513EF9">
        <w:t>,</w:t>
      </w:r>
      <w:r w:rsidR="004F4B83">
        <w:t xml:space="preserve"> 2006</w:t>
      </w:r>
      <w:r w:rsidR="00C17C78">
        <w:t>–</w:t>
      </w:r>
      <w:r w:rsidR="004F4B83">
        <w:t>20</w:t>
      </w:r>
      <w:r w:rsidR="0070371D">
        <w:t>2</w:t>
      </w:r>
      <w:r w:rsidR="002154EF">
        <w:t>3</w:t>
      </w:r>
    </w:p>
    <w:p w14:paraId="362A93D6" w14:textId="2F4F9CD3" w:rsidR="00F36F57" w:rsidRDefault="00104AE6" w:rsidP="00770FD0">
      <w:pPr>
        <w:pStyle w:val="BodyText"/>
      </w:pPr>
      <w:r w:rsidRPr="00104AE6">
        <w:rPr>
          <w:noProof/>
        </w:rPr>
        <w:drawing>
          <wp:inline distT="0" distB="0" distL="0" distR="0" wp14:anchorId="2E09F781" wp14:editId="61036A8A">
            <wp:extent cx="6120130" cy="2890520"/>
            <wp:effectExtent l="0" t="0" r="0" b="0"/>
            <wp:docPr id="515850950" name="Picture 6" descr="Figure 2 depicts a 70 and 90% confidence interval for revisions to quarterly productivity growth over the 12 quarters since the original release. The upper and lower bound are relatively symmetric over time, increasing most significantly away from zero in the first four quarters before stabilising to around plus and minus 0.5 percentage points for the 70% confidence interval and plus and minus 0.7 percentage points for the 90% confidence interval for the rest of th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50950" name="Picture 6" descr="Figure 2 depicts a 70 and 90% confidence interval for revisions to quarterly productivity growth over the 12 quarters since the original release. The upper and lower bound are relatively symmetric over time, increasing most significantly away from zero in the first four quarters before stabilising to around plus and minus 0.5 percentage points for the 70% confidence interval and plus and minus 0.7 percentage points for the 90% confidence interval for the rest of the quart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890520"/>
                    </a:xfrm>
                    <a:prstGeom prst="rect">
                      <a:avLst/>
                    </a:prstGeom>
                    <a:noFill/>
                    <a:ln>
                      <a:noFill/>
                    </a:ln>
                  </pic:spPr>
                </pic:pic>
              </a:graphicData>
            </a:graphic>
          </wp:inline>
        </w:drawing>
      </w:r>
    </w:p>
    <w:p w14:paraId="4AB60AF0" w14:textId="538ADD73" w:rsidR="009028DC" w:rsidRDefault="009028DC" w:rsidP="009028DC">
      <w:pPr>
        <w:pStyle w:val="Note"/>
        <w:keepLines/>
      </w:pPr>
      <w:r w:rsidRPr="00180E66">
        <w:rPr>
          <w:b/>
          <w:bCs/>
        </w:rPr>
        <w:t>a.</w:t>
      </w:r>
      <w:r>
        <w:t xml:space="preserve"> Confidence intervals for revisions for each quarter since the original release are estimated using a non</w:t>
      </w:r>
      <w:r w:rsidR="00C17C78">
        <w:noBreakHyphen/>
      </w:r>
      <w:r>
        <w:t xml:space="preserve">parametric cumulative density </w:t>
      </w:r>
      <w:r w:rsidR="0007344B">
        <w:t>function that u</w:t>
      </w:r>
      <w:r w:rsidR="00F6406B">
        <w:t>tilises</w:t>
      </w:r>
      <w:r w:rsidR="00F1513A">
        <w:t xml:space="preserve"> percentiles within the data. That is, t</w:t>
      </w:r>
      <w:r w:rsidR="00E53717" w:rsidRPr="00E53717">
        <w:t>he 5</w:t>
      </w:r>
      <w:r w:rsidR="00E53717" w:rsidRPr="00E53717">
        <w:rPr>
          <w:vertAlign w:val="superscript"/>
        </w:rPr>
        <w:t>th</w:t>
      </w:r>
      <w:r w:rsidR="00E53717" w:rsidRPr="00E53717">
        <w:t xml:space="preserve"> and 95</w:t>
      </w:r>
      <w:r w:rsidR="00E53717" w:rsidRPr="00E53717">
        <w:rPr>
          <w:vertAlign w:val="superscript"/>
        </w:rPr>
        <w:t>th</w:t>
      </w:r>
      <w:r w:rsidR="00E53717" w:rsidRPr="00E53717">
        <w:t xml:space="preserve"> percentile of the sample data </w:t>
      </w:r>
      <w:proofErr w:type="gramStart"/>
      <w:r w:rsidR="003775E2">
        <w:t>are</w:t>
      </w:r>
      <w:proofErr w:type="gramEnd"/>
      <w:r w:rsidR="003775E2">
        <w:t xml:space="preserve"> used to </w:t>
      </w:r>
      <w:r w:rsidR="00E53717" w:rsidRPr="00E53717">
        <w:t>estimate the 90</w:t>
      </w:r>
      <w:r w:rsidR="001D2434">
        <w:t>%</w:t>
      </w:r>
      <w:r w:rsidR="00E53717" w:rsidRPr="00E53717">
        <w:t xml:space="preserve"> confidence interval for revisions under the assumption that </w:t>
      </w:r>
      <w:r w:rsidR="00F6406B">
        <w:t>future revision</w:t>
      </w:r>
      <w:r w:rsidR="00135734">
        <w:t>s</w:t>
      </w:r>
      <w:r w:rsidR="00F6406B">
        <w:t xml:space="preserve"> will follow the same process as previous revisions</w:t>
      </w:r>
      <w:r w:rsidR="00E53717" w:rsidRPr="00E53717">
        <w:t xml:space="preserve">. </w:t>
      </w:r>
      <w:r w:rsidR="0033042A">
        <w:rPr>
          <w:b/>
          <w:bCs/>
        </w:rPr>
        <w:t xml:space="preserve">b. </w:t>
      </w:r>
      <w:r w:rsidR="009C7B32">
        <w:t xml:space="preserve">The confidence intervals </w:t>
      </w:r>
      <w:r w:rsidR="00736E9C">
        <w:t xml:space="preserve">are not sensitive to </w:t>
      </w:r>
      <w:r w:rsidR="0033042A">
        <w:t xml:space="preserve">outliers that occur as a result of </w:t>
      </w:r>
      <w:r w:rsidR="009C7B32">
        <w:t xml:space="preserve">conceptual or methodological </w:t>
      </w:r>
      <w:r w:rsidR="0033042A">
        <w:t xml:space="preserve">changes to </w:t>
      </w:r>
      <w:r w:rsidR="009C7B32">
        <w:t>productivity.</w:t>
      </w:r>
    </w:p>
    <w:p w14:paraId="7176BC9A" w14:textId="1EA8237E" w:rsidR="00F42506" w:rsidRDefault="009028DC" w:rsidP="00EA0FAD">
      <w:pPr>
        <w:pStyle w:val="Source"/>
      </w:pPr>
      <w:r w:rsidRPr="0072298E">
        <w:t xml:space="preserve">Source: </w:t>
      </w:r>
      <w:r w:rsidR="00F73858">
        <w:t xml:space="preserve">PC analysis of ABS (2023, Australian National Accounts: </w:t>
      </w:r>
      <w:r w:rsidR="00F73858" w:rsidRPr="00D359F4">
        <w:t>National Income, Expenditure and Product, Cat. no.</w:t>
      </w:r>
      <w:r w:rsidR="00B73AC8">
        <w:t> </w:t>
      </w:r>
      <w:r w:rsidR="00F73858" w:rsidRPr="00D359F4">
        <w:t>5206.0, table</w:t>
      </w:r>
      <w:r w:rsidR="00C17C78">
        <w:t> </w:t>
      </w:r>
      <w:r w:rsidR="00F73858">
        <w:t>1).</w:t>
      </w:r>
    </w:p>
    <w:p w14:paraId="28A13950" w14:textId="77777777" w:rsidR="00935AAE" w:rsidRDefault="00935AAE" w:rsidP="00935AAE">
      <w:pPr>
        <w:pStyle w:val="BodyText"/>
      </w:pPr>
      <w:r>
        <w:t>Going forward, quarterly productivity bulletins will consider how to include a confidence interval around quarterly estimates, to convey a sense of trust in the productivity estimate and to assist decision makers with understanding the latest revisions and releases.</w:t>
      </w:r>
      <w:r w:rsidRPr="009611B3">
        <w:rPr>
          <w:rStyle w:val="FootnoteReference"/>
        </w:rPr>
        <w:footnoteReference w:id="5"/>
      </w:r>
    </w:p>
    <w:p w14:paraId="798A1110" w14:textId="0DB4D0B6" w:rsidR="00B61F94" w:rsidRDefault="0027569D" w:rsidP="00B61F94">
      <w:pPr>
        <w:pStyle w:val="Heading4"/>
      </w:pPr>
      <w:r>
        <w:lastRenderedPageBreak/>
        <w:t xml:space="preserve">The confidence interval implies the reliability of the estimate does not </w:t>
      </w:r>
      <w:r w:rsidR="00882AC4">
        <w:t>improve after one year</w:t>
      </w:r>
    </w:p>
    <w:p w14:paraId="4B09642B" w14:textId="75AB41E0" w:rsidR="008E1C1F" w:rsidRPr="008E1C1F" w:rsidRDefault="00FD3A15" w:rsidP="008E1C1F">
      <w:pPr>
        <w:pStyle w:val="BodyText"/>
      </w:pPr>
      <w:r>
        <w:t xml:space="preserve">It is worth noting that the stabilising nature of the confidence interval </w:t>
      </w:r>
      <w:r w:rsidR="00747277">
        <w:t xml:space="preserve">does not imply that the reliability of the estimate improves after the original release. </w:t>
      </w:r>
      <w:r w:rsidR="00404689">
        <w:t>i</w:t>
      </w:r>
      <w:r w:rsidR="00005CE8">
        <w:t xml:space="preserve">f </w:t>
      </w:r>
      <w:r w:rsidR="534D298E">
        <w:t>one was</w:t>
      </w:r>
      <w:r w:rsidR="00005CE8">
        <w:t xml:space="preserve"> to redo th</w:t>
      </w:r>
      <w:r w:rsidR="003778C3">
        <w:t xml:space="preserve">e confidence intervals </w:t>
      </w:r>
      <w:r w:rsidR="11CA8D81">
        <w:t xml:space="preserve">- </w:t>
      </w:r>
      <w:r w:rsidR="003778C3">
        <w:t xml:space="preserve">setting the </w:t>
      </w:r>
      <w:r w:rsidR="00D82D78">
        <w:t xml:space="preserve">original </w:t>
      </w:r>
      <w:r w:rsidR="003778C3">
        <w:t xml:space="preserve">estimate </w:t>
      </w:r>
      <w:r w:rsidR="00CD2D21">
        <w:t xml:space="preserve">as the estimate </w:t>
      </w:r>
      <w:r w:rsidR="00D11363">
        <w:t>four</w:t>
      </w:r>
      <w:r w:rsidR="003778C3">
        <w:t xml:space="preserve"> quarters after release</w:t>
      </w:r>
      <w:r w:rsidR="54B2AB32">
        <w:t xml:space="preserve"> </w:t>
      </w:r>
      <w:proofErr w:type="gramStart"/>
      <w:r w:rsidR="54B2AB32">
        <w:t xml:space="preserve">- </w:t>
      </w:r>
      <w:r w:rsidR="00005CE8">
        <w:t xml:space="preserve"> </w:t>
      </w:r>
      <w:r w:rsidR="008E1C1F" w:rsidRPr="008E1C1F">
        <w:t>the</w:t>
      </w:r>
      <w:proofErr w:type="gramEnd"/>
      <w:r w:rsidR="008E1C1F" w:rsidRPr="008E1C1F">
        <w:t xml:space="preserve"> confidence interval bands follow the same pattern: it expands most significantly at the beginning</w:t>
      </w:r>
      <w:r w:rsidR="001263EF">
        <w:t xml:space="preserve"> before stabilising</w:t>
      </w:r>
      <w:r w:rsidR="008028DC">
        <w:t xml:space="preserve"> (</w:t>
      </w:r>
      <w:r w:rsidR="00D301D5">
        <w:t>figure</w:t>
      </w:r>
      <w:r w:rsidR="00C17C78">
        <w:t> </w:t>
      </w:r>
      <w:r w:rsidR="001819B5">
        <w:t>3</w:t>
      </w:r>
      <w:r w:rsidR="008028DC">
        <w:t>)</w:t>
      </w:r>
      <w:r w:rsidR="008E1C1F" w:rsidRPr="008E1C1F">
        <w:t>.</w:t>
      </w:r>
    </w:p>
    <w:p w14:paraId="3091FA1B" w14:textId="7D3FAFE4" w:rsidR="00FA39D6" w:rsidRPr="00146382" w:rsidRDefault="00856DF3" w:rsidP="00FA39D6">
      <w:pPr>
        <w:pStyle w:val="FigureTableHeading"/>
      </w:pPr>
      <w:bookmarkStart w:id="10" w:name="_Ref172732778"/>
      <w:r>
        <w:t>Figure</w:t>
      </w:r>
      <w:r w:rsidR="00C17C78">
        <w:t> </w:t>
      </w:r>
      <w:r w:rsidR="001B60F7">
        <w:rPr>
          <w:noProof/>
        </w:rPr>
        <w:t>3</w:t>
      </w:r>
      <w:bookmarkEnd w:id="10"/>
      <w:r>
        <w:rPr>
          <w:noProof/>
        </w:rPr>
        <w:t xml:space="preserve"> </w:t>
      </w:r>
      <w:r>
        <w:t xml:space="preserve">– </w:t>
      </w:r>
      <w:r w:rsidR="009C3D38">
        <w:t xml:space="preserve">The confidence interval for productivity estimates looks similar </w:t>
      </w:r>
      <w:r w:rsidR="00D915B6">
        <w:t xml:space="preserve">even </w:t>
      </w:r>
      <w:r w:rsidR="00F07DEE">
        <w:t xml:space="preserve">if </w:t>
      </w:r>
      <w:r w:rsidR="00D915B6">
        <w:t xml:space="preserve">the </w:t>
      </w:r>
      <w:r w:rsidR="00F07DEE">
        <w:t xml:space="preserve">observations </w:t>
      </w:r>
      <w:r w:rsidR="00D915B6">
        <w:t xml:space="preserve">start </w:t>
      </w:r>
      <w:r w:rsidR="00FA39D6">
        <w:t xml:space="preserve">one year </w:t>
      </w:r>
      <w:r w:rsidR="00F07DEE">
        <w:t>later</w:t>
      </w:r>
    </w:p>
    <w:p w14:paraId="24160A3A" w14:textId="4253B1A1" w:rsidR="00856DF3" w:rsidRDefault="00301C2C" w:rsidP="00FA39D6">
      <w:pPr>
        <w:pStyle w:val="FigureTableSubheading"/>
        <w:keepLines/>
        <w:rPr>
          <w:noProof/>
        </w:rPr>
      </w:pPr>
      <w:r>
        <w:t>7</w:t>
      </w:r>
      <w:r w:rsidR="00FA39D6">
        <w:t>0</w:t>
      </w:r>
      <w:r>
        <w:t>%</w:t>
      </w:r>
      <w:r w:rsidR="00FA39D6">
        <w:t xml:space="preserve"> and </w:t>
      </w:r>
      <w:r>
        <w:t>9</w:t>
      </w:r>
      <w:r w:rsidR="00FA39D6">
        <w:t>0</w:t>
      </w:r>
      <w:r w:rsidR="001D2434">
        <w:t>%</w:t>
      </w:r>
      <w:r w:rsidR="00FA39D6">
        <w:t xml:space="preserve"> confidence intervals for revision</w:t>
      </w:r>
      <w:r w:rsidR="006073B6">
        <w:t>s</w:t>
      </w:r>
      <w:r w:rsidR="00FA39D6">
        <w:t xml:space="preserve"> relative to the </w:t>
      </w:r>
      <w:r w:rsidR="00E01F8F">
        <w:t>one</w:t>
      </w:r>
      <w:r w:rsidR="003C7F6A">
        <w:t xml:space="preserve"> </w:t>
      </w:r>
      <w:r w:rsidR="00E01F8F">
        <w:t>year</w:t>
      </w:r>
      <w:r w:rsidR="00FA39D6">
        <w:t xml:space="preserve"> </w:t>
      </w:r>
      <w:proofErr w:type="spellStart"/>
      <w:proofErr w:type="gramStart"/>
      <w:r w:rsidR="00FA39D6">
        <w:t>estimate</w:t>
      </w:r>
      <w:r w:rsidR="00AC3A0D" w:rsidRPr="00EA2E41">
        <w:rPr>
          <w:vertAlign w:val="superscript"/>
        </w:rPr>
        <w:t>a</w:t>
      </w:r>
      <w:r w:rsidR="00513EF9">
        <w:rPr>
          <w:vertAlign w:val="superscript"/>
        </w:rPr>
        <w:t>,</w:t>
      </w:r>
      <w:r w:rsidR="009C7B32">
        <w:rPr>
          <w:vertAlign w:val="superscript"/>
        </w:rPr>
        <w:t>b</w:t>
      </w:r>
      <w:proofErr w:type="spellEnd"/>
      <w:proofErr w:type="gramEnd"/>
      <w:r w:rsidR="00513EF9">
        <w:t>,</w:t>
      </w:r>
      <w:r w:rsidR="007F3BD1">
        <w:t xml:space="preserve"> </w:t>
      </w:r>
      <w:r w:rsidR="00FA39D6">
        <w:t>2006</w:t>
      </w:r>
      <w:r w:rsidR="00C17C78">
        <w:t>–</w:t>
      </w:r>
      <w:r w:rsidR="00FA39D6">
        <w:t>20</w:t>
      </w:r>
      <w:r w:rsidR="002154EF">
        <w:t>22</w:t>
      </w:r>
    </w:p>
    <w:p w14:paraId="09AA3DE1" w14:textId="2CC40E29" w:rsidR="008A2F99" w:rsidRPr="00FA39D6" w:rsidRDefault="00137B81" w:rsidP="00F2052F">
      <w:pPr>
        <w:pStyle w:val="BodyText"/>
      </w:pPr>
      <w:r w:rsidRPr="00137B81">
        <w:rPr>
          <w:noProof/>
        </w:rPr>
        <w:drawing>
          <wp:inline distT="0" distB="0" distL="0" distR="0" wp14:anchorId="65242164" wp14:editId="2CE0B185">
            <wp:extent cx="6057900" cy="3086100"/>
            <wp:effectExtent l="0" t="0" r="0" b="0"/>
            <wp:docPr id="899044386" name="Picture 7" descr="Figure 3 depicts a 70 and 90% confidence interval for revisions for quarterly productivity growth over the 12 quarters since the one year on release, relative to the one year estimate. The interval is relatively symmetric, however, the upper bound is slightly further away from zero relative to the lower bound. The interval increases most significantly away from zero in the first four quarters. The figure then increases at a slower rate, with a 70% confidence interval between -0.3 and 0.5 percentage points and a 90% confidence interval between -0.5 and 0.7 percentage points 12 quarters since the original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4386" name="Picture 7" descr="Figure 3 depicts a 70 and 90% confidence interval for revisions for quarterly productivity growth over the 12 quarters since the one year on release, relative to the one year estimate. The interval is relatively symmetric, however, the upper bound is slightly further away from zero relative to the lower bound. The interval increases most significantly away from zero in the first four quarters. The figure then increases at a slower rate, with a 70% confidence interval between -0.3 and 0.5 percentage points and a 90% confidence interval between -0.5 and 0.7 percentage points 12 quarters since the original relea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3086100"/>
                    </a:xfrm>
                    <a:prstGeom prst="rect">
                      <a:avLst/>
                    </a:prstGeom>
                    <a:noFill/>
                    <a:ln>
                      <a:noFill/>
                    </a:ln>
                  </pic:spPr>
                </pic:pic>
              </a:graphicData>
            </a:graphic>
          </wp:inline>
        </w:drawing>
      </w:r>
    </w:p>
    <w:p w14:paraId="2990FC44" w14:textId="2F232FAD" w:rsidR="00F1513A" w:rsidRPr="00F2052F" w:rsidRDefault="00F1513A" w:rsidP="00F1513A">
      <w:pPr>
        <w:pStyle w:val="Note"/>
        <w:keepLines/>
      </w:pPr>
      <w:r w:rsidRPr="00180E66">
        <w:rPr>
          <w:b/>
          <w:bCs/>
        </w:rPr>
        <w:t>a.</w:t>
      </w:r>
      <w:r>
        <w:t xml:space="preserve"> Confidence intervals for revisions for each quarter since the original release are estimated using a non</w:t>
      </w:r>
      <w:r w:rsidR="00C17C78">
        <w:noBreakHyphen/>
      </w:r>
      <w:r>
        <w:t xml:space="preserve">parametric cumulative density function that uses percentiles within the data. </w:t>
      </w:r>
      <w:r w:rsidR="00794BCD">
        <w:t>That is, t</w:t>
      </w:r>
      <w:r w:rsidR="00794BCD" w:rsidRPr="00E53717">
        <w:t>he 5</w:t>
      </w:r>
      <w:r w:rsidR="00794BCD" w:rsidRPr="00E53717">
        <w:rPr>
          <w:vertAlign w:val="superscript"/>
        </w:rPr>
        <w:t>th</w:t>
      </w:r>
      <w:r w:rsidR="00794BCD" w:rsidRPr="00E53717">
        <w:t xml:space="preserve"> and 95</w:t>
      </w:r>
      <w:r w:rsidR="00794BCD" w:rsidRPr="00E53717">
        <w:rPr>
          <w:vertAlign w:val="superscript"/>
        </w:rPr>
        <w:t>th</w:t>
      </w:r>
      <w:r w:rsidR="00794BCD" w:rsidRPr="00E53717">
        <w:t xml:space="preserve"> percentile of the sample data </w:t>
      </w:r>
      <w:proofErr w:type="gramStart"/>
      <w:r w:rsidR="003775E2">
        <w:t>are</w:t>
      </w:r>
      <w:proofErr w:type="gramEnd"/>
      <w:r w:rsidR="003775E2">
        <w:t xml:space="preserve"> used to </w:t>
      </w:r>
      <w:r w:rsidR="00794BCD" w:rsidRPr="00E53717">
        <w:t>estimate the 90</w:t>
      </w:r>
      <w:r w:rsidR="001D2434">
        <w:t>%</w:t>
      </w:r>
      <w:r w:rsidR="00794BCD" w:rsidRPr="00E53717">
        <w:t xml:space="preserve"> confidence interval for revisions under the assumption that </w:t>
      </w:r>
      <w:r w:rsidR="00794BCD">
        <w:t xml:space="preserve">future </w:t>
      </w:r>
      <w:r w:rsidR="0091438E">
        <w:t>revisions</w:t>
      </w:r>
      <w:r w:rsidR="00794BCD">
        <w:t xml:space="preserve"> will follow the same process as previous revisions</w:t>
      </w:r>
      <w:r w:rsidR="00794BCD" w:rsidRPr="00E53717">
        <w:t>.</w:t>
      </w:r>
      <w:r w:rsidR="009C7B32">
        <w:t xml:space="preserve"> </w:t>
      </w:r>
      <w:r w:rsidR="009C7B32">
        <w:rPr>
          <w:b/>
          <w:bCs/>
        </w:rPr>
        <w:t xml:space="preserve">b. </w:t>
      </w:r>
      <w:r w:rsidR="009C7B32">
        <w:t xml:space="preserve">The confidence intervals </w:t>
      </w:r>
      <w:r w:rsidR="00736E9C">
        <w:t xml:space="preserve">are not sensitive to </w:t>
      </w:r>
      <w:r w:rsidR="009C7B32">
        <w:t>outliers that occur as a result of conceptual or methodological changes to productivity</w:t>
      </w:r>
      <w:r w:rsidR="009C7B32" w:rsidRPr="00F2052F">
        <w:t>.</w:t>
      </w:r>
    </w:p>
    <w:p w14:paraId="7B1FFA83" w14:textId="5ECC3C80" w:rsidR="006E05FB" w:rsidRDefault="00654AF3" w:rsidP="00F1513A">
      <w:pPr>
        <w:pStyle w:val="Source"/>
      </w:pPr>
      <w:r w:rsidRPr="00F1513A">
        <w:t xml:space="preserve">Source: </w:t>
      </w:r>
      <w:r w:rsidR="00F73858">
        <w:t xml:space="preserve">PC analysis of ABS (2023, Australian National Accounts: </w:t>
      </w:r>
      <w:r w:rsidR="00F73858" w:rsidRPr="00D359F4">
        <w:t>National Income, Expenditure and Product, Cat. no. 5206.0, table</w:t>
      </w:r>
      <w:r w:rsidR="00C17C78">
        <w:t> </w:t>
      </w:r>
      <w:r w:rsidR="00F73858">
        <w:t>1).</w:t>
      </w:r>
    </w:p>
    <w:p w14:paraId="7D354998" w14:textId="6827E358" w:rsidR="0053194A" w:rsidRDefault="00C246D7" w:rsidP="00C454D2">
      <w:pPr>
        <w:pStyle w:val="BodyText"/>
      </w:pPr>
      <w:r>
        <w:t xml:space="preserve">This </w:t>
      </w:r>
      <w:r w:rsidR="0053194A" w:rsidRPr="008E1C1F">
        <w:t xml:space="preserve">suggests </w:t>
      </w:r>
      <w:r w:rsidR="00F27E20">
        <w:t xml:space="preserve">that </w:t>
      </w:r>
      <w:r w:rsidR="0053194A">
        <w:t xml:space="preserve">the reliability of </w:t>
      </w:r>
      <w:r w:rsidR="0053194A" w:rsidRPr="008E1C1F">
        <w:t xml:space="preserve">the </w:t>
      </w:r>
      <w:r w:rsidR="0053194A">
        <w:t>initial</w:t>
      </w:r>
      <w:r w:rsidR="0053194A" w:rsidRPr="008E1C1F">
        <w:t xml:space="preserve"> quarterly labour productivity growth statistic </w:t>
      </w:r>
      <w:r w:rsidR="0053194A">
        <w:t xml:space="preserve">is </w:t>
      </w:r>
      <w:r w:rsidR="0073178B">
        <w:t>approximately equal to</w:t>
      </w:r>
      <w:r w:rsidR="0053194A" w:rsidRPr="008E1C1F">
        <w:t xml:space="preserve"> the </w:t>
      </w:r>
      <w:r w:rsidR="00672659">
        <w:t>estimate</w:t>
      </w:r>
      <w:r w:rsidR="004F44DD">
        <w:t xml:space="preserve"> </w:t>
      </w:r>
      <w:r w:rsidR="0073178B">
        <w:t>in one year</w:t>
      </w:r>
      <w:r>
        <w:t>. Further,</w:t>
      </w:r>
      <w:r w:rsidR="00BC0613">
        <w:t xml:space="preserve"> our analysis shows that this holds true for the estimate in three or four years as well</w:t>
      </w:r>
      <w:r w:rsidR="0053194A" w:rsidRPr="008E1C1F">
        <w:t xml:space="preserve">. </w:t>
      </w:r>
      <w:r w:rsidR="008D030B">
        <w:t xml:space="preserve">It follows that </w:t>
      </w:r>
      <w:r w:rsidR="409001BB">
        <w:t>any</w:t>
      </w:r>
      <w:r w:rsidR="008D030B">
        <w:t xml:space="preserve"> a</w:t>
      </w:r>
      <w:r w:rsidR="00AD43FF">
        <w:t xml:space="preserve">nalysis </w:t>
      </w:r>
      <w:r w:rsidR="0A72CB36">
        <w:t xml:space="preserve">which </w:t>
      </w:r>
      <w:r w:rsidR="00F751AB">
        <w:t>draw</w:t>
      </w:r>
      <w:r w:rsidR="5C6E047D">
        <w:t>s</w:t>
      </w:r>
      <w:r w:rsidR="00F751AB">
        <w:t xml:space="preserve"> </w:t>
      </w:r>
      <w:r w:rsidR="00AD43FF">
        <w:t xml:space="preserve">on </w:t>
      </w:r>
      <w:r w:rsidR="00C52350">
        <w:t xml:space="preserve">the initial estimate </w:t>
      </w:r>
      <w:r w:rsidR="2406AEC2">
        <w:t xml:space="preserve">would be </w:t>
      </w:r>
      <w:r w:rsidR="00AD43FF">
        <w:t>sound</w:t>
      </w:r>
      <w:r w:rsidR="00BB36AF">
        <w:t>,</w:t>
      </w:r>
      <w:r w:rsidR="00C52350">
        <w:t xml:space="preserve"> </w:t>
      </w:r>
      <w:r w:rsidR="00F4318D">
        <w:t xml:space="preserve">as </w:t>
      </w:r>
      <w:r w:rsidR="00B86B29">
        <w:t xml:space="preserve">the reliability of the </w:t>
      </w:r>
      <w:r w:rsidR="00AF39B2">
        <w:t>estimate</w:t>
      </w:r>
      <w:r w:rsidR="00B86B29">
        <w:t xml:space="preserve"> does not necessarily improve</w:t>
      </w:r>
      <w:r w:rsidR="00AF39B2">
        <w:t xml:space="preserve"> one year (or four years) into the future</w:t>
      </w:r>
      <w:r w:rsidR="00B86B29">
        <w:t>.</w:t>
      </w:r>
    </w:p>
    <w:p w14:paraId="2D82F559" w14:textId="3DC06089" w:rsidR="003E192E" w:rsidRDefault="003E192E" w:rsidP="003E192E">
      <w:pPr>
        <w:pStyle w:val="Heading3"/>
      </w:pPr>
      <w:r>
        <w:t xml:space="preserve">Using </w:t>
      </w:r>
      <w:r w:rsidR="008F14E0">
        <w:t>a longe</w:t>
      </w:r>
      <w:r w:rsidR="00201232">
        <w:t xml:space="preserve">r-term trend </w:t>
      </w:r>
      <w:r w:rsidR="008F14E0">
        <w:t xml:space="preserve">(such as </w:t>
      </w:r>
      <w:r w:rsidR="006525CF">
        <w:t xml:space="preserve">growth </w:t>
      </w:r>
      <w:r w:rsidR="00B635AD">
        <w:t xml:space="preserve">through </w:t>
      </w:r>
      <w:r w:rsidR="006525CF">
        <w:t xml:space="preserve">the year) </w:t>
      </w:r>
      <w:r w:rsidR="00A66878">
        <w:t>improve</w:t>
      </w:r>
      <w:r w:rsidR="003C2366">
        <w:t>s</w:t>
      </w:r>
      <w:r w:rsidR="00A66878">
        <w:t xml:space="preserve"> </w:t>
      </w:r>
      <w:r w:rsidR="003C2366">
        <w:t xml:space="preserve">the </w:t>
      </w:r>
      <w:r w:rsidR="00A66878">
        <w:t xml:space="preserve">reliability and </w:t>
      </w:r>
      <w:r w:rsidR="007532A0">
        <w:t>reduce</w:t>
      </w:r>
      <w:r w:rsidR="003C2366">
        <w:t>s</w:t>
      </w:r>
      <w:r>
        <w:t xml:space="preserve"> the </w:t>
      </w:r>
      <w:r w:rsidR="007532A0">
        <w:t>volatility</w:t>
      </w:r>
      <w:r w:rsidR="00E265C5">
        <w:t xml:space="preserve"> of estimates</w:t>
      </w:r>
    </w:p>
    <w:p w14:paraId="73FB54D2" w14:textId="19EF826F" w:rsidR="00AE7264" w:rsidRDefault="00A85060" w:rsidP="00E265C5">
      <w:pPr>
        <w:pStyle w:val="BodyText"/>
      </w:pPr>
      <w:r>
        <w:t xml:space="preserve">Taking productivity estimates over the </w:t>
      </w:r>
      <w:r>
        <w:rPr>
          <w:i/>
          <w:iCs/>
        </w:rPr>
        <w:t xml:space="preserve">year </w:t>
      </w:r>
      <w:r>
        <w:t xml:space="preserve">rather than the quarter </w:t>
      </w:r>
      <w:r w:rsidR="005B2700">
        <w:t xml:space="preserve">tends to </w:t>
      </w:r>
      <w:r w:rsidR="0095659C">
        <w:t>reduce</w:t>
      </w:r>
      <w:r w:rsidR="005B2700">
        <w:t xml:space="preserve"> the </w:t>
      </w:r>
      <w:r w:rsidR="0095659C">
        <w:t>volatility</w:t>
      </w:r>
      <w:r w:rsidR="00AE7264">
        <w:t xml:space="preserve"> and improve the reliability</w:t>
      </w:r>
      <w:r w:rsidR="005B2700">
        <w:t xml:space="preserve"> of the </w:t>
      </w:r>
      <w:r w:rsidR="00646794">
        <w:t>estimate</w:t>
      </w:r>
      <w:r w:rsidR="00AE7264">
        <w:t xml:space="preserve">. Such a practice is </w:t>
      </w:r>
      <w:r w:rsidR="002646DF">
        <w:t>consistent with ABS advice to consider data over a longer time horizon when considering their statistical releases</w:t>
      </w:r>
      <w:r w:rsidR="005B2700">
        <w:t xml:space="preserve">. </w:t>
      </w:r>
    </w:p>
    <w:p w14:paraId="6CC84A19" w14:textId="56B34CE2" w:rsidR="00F002A4" w:rsidRDefault="00F22F76" w:rsidP="00E265C5">
      <w:pPr>
        <w:pStyle w:val="BodyText"/>
      </w:pPr>
      <w:r>
        <w:lastRenderedPageBreak/>
        <w:t xml:space="preserve">When </w:t>
      </w:r>
      <w:r w:rsidR="002A02FD">
        <w:t xml:space="preserve">estimating </w:t>
      </w:r>
      <w:r>
        <w:t xml:space="preserve">confidence intervals </w:t>
      </w:r>
      <w:r w:rsidR="002A02FD">
        <w:t xml:space="preserve">to productivity estimates </w:t>
      </w:r>
      <w:r w:rsidR="002A02FD" w:rsidRPr="002A02FD">
        <w:rPr>
          <w:i/>
          <w:iCs/>
        </w:rPr>
        <w:t>over the year</w:t>
      </w:r>
      <w:r w:rsidR="002A02FD">
        <w:t>, t</w:t>
      </w:r>
      <w:r w:rsidR="002B190B">
        <w:t>he c</w:t>
      </w:r>
      <w:r w:rsidR="003A2A63">
        <w:t xml:space="preserve">onfidence </w:t>
      </w:r>
      <w:r w:rsidR="002B190B">
        <w:t xml:space="preserve">intervals </w:t>
      </w:r>
      <w:r w:rsidR="00A479CA">
        <w:t xml:space="preserve">for revisions </w:t>
      </w:r>
      <w:r w:rsidR="00E82684">
        <w:t>are</w:t>
      </w:r>
      <w:r w:rsidR="002B190B">
        <w:t xml:space="preserve"> </w:t>
      </w:r>
      <w:r w:rsidR="00E461C8">
        <w:t>similar</w:t>
      </w:r>
      <w:r w:rsidR="00C855A1">
        <w:t xml:space="preserve"> to confidence intervals for quarterly figures</w:t>
      </w:r>
      <w:r w:rsidR="00493709">
        <w:t>.</w:t>
      </w:r>
      <w:r w:rsidR="00691E18">
        <w:t xml:space="preserve"> Figure 4 shows that</w:t>
      </w:r>
      <w:r w:rsidR="00493709">
        <w:t xml:space="preserve"> </w:t>
      </w:r>
      <w:r w:rsidR="00691E18">
        <w:t xml:space="preserve">70% of estimates fall within </w:t>
      </w:r>
      <w:r w:rsidR="00691E18">
        <w:noBreakHyphen/>
        <w:t>0.5 to 0.5 percentage points relative to the original estimate three years after the original release.</w:t>
      </w:r>
    </w:p>
    <w:p w14:paraId="08B04986" w14:textId="227F30E0" w:rsidR="00E265C5" w:rsidRDefault="00493709" w:rsidP="00E265C5">
      <w:pPr>
        <w:pStyle w:val="BodyText"/>
      </w:pPr>
      <w:r>
        <w:t>H</w:t>
      </w:r>
      <w:r w:rsidR="00E461C8">
        <w:t xml:space="preserve">owever, </w:t>
      </w:r>
      <w:r w:rsidR="00C855A1">
        <w:t xml:space="preserve">the </w:t>
      </w:r>
      <w:r w:rsidR="001146D0">
        <w:t xml:space="preserve">annual </w:t>
      </w:r>
      <w:r w:rsidR="00780C24">
        <w:t xml:space="preserve">estimate </w:t>
      </w:r>
      <w:r w:rsidR="001146D0">
        <w:t>of productivity</w:t>
      </w:r>
      <w:r w:rsidR="00C855A1">
        <w:t xml:space="preserve"> is larger than the </w:t>
      </w:r>
      <w:r w:rsidR="00A55D84">
        <w:t xml:space="preserve">quarterly </w:t>
      </w:r>
      <w:r w:rsidR="005A5649">
        <w:t>figure</w:t>
      </w:r>
      <w:r w:rsidR="001146D0">
        <w:t xml:space="preserve"> </w:t>
      </w:r>
      <w:r w:rsidR="0064776B">
        <w:t>(</w:t>
      </w:r>
      <w:r>
        <w:t>f</w:t>
      </w:r>
      <w:r w:rsidR="009864C1">
        <w:t>or example, the average absolute original estimate for quarterly productivity is 0.</w:t>
      </w:r>
      <w:r w:rsidR="00D675B9">
        <w:t>7</w:t>
      </w:r>
      <w:r w:rsidR="001D2434">
        <w:t>%</w:t>
      </w:r>
      <w:r w:rsidR="009864C1">
        <w:t xml:space="preserve"> and 1.</w:t>
      </w:r>
      <w:r w:rsidR="00327AE9">
        <w:t>6</w:t>
      </w:r>
      <w:r w:rsidR="001D2434">
        <w:t>%</w:t>
      </w:r>
      <w:r w:rsidR="009864C1">
        <w:t xml:space="preserve"> for productivity over the year</w:t>
      </w:r>
      <w:r w:rsidR="0064776B">
        <w:t>)</w:t>
      </w:r>
      <w:r>
        <w:t>.</w:t>
      </w:r>
      <w:r w:rsidR="00024F62">
        <w:t xml:space="preserve"> A similarly sized </w:t>
      </w:r>
      <w:r w:rsidR="000437F4">
        <w:t xml:space="preserve">confidence interval over a larger </w:t>
      </w:r>
      <w:r w:rsidR="00DE761B">
        <w:t xml:space="preserve">productivity </w:t>
      </w:r>
      <w:r w:rsidR="000437F4">
        <w:t xml:space="preserve">estimate </w:t>
      </w:r>
      <w:r w:rsidR="00A04C8F">
        <w:t xml:space="preserve">would tend to indicate the estimate </w:t>
      </w:r>
      <w:r w:rsidR="00DE761B">
        <w:t>is more reliable</w:t>
      </w:r>
      <w:r w:rsidR="00CD46D8">
        <w:t>.</w:t>
      </w:r>
      <w:r w:rsidR="00DE761B">
        <w:t xml:space="preserve"> (</w:t>
      </w:r>
      <w:r w:rsidR="00CD46D8">
        <w:t xml:space="preserve">For example, </w:t>
      </w:r>
      <w:r w:rsidR="00860FA9">
        <w:t xml:space="preserve">consider a </w:t>
      </w:r>
      <w:r w:rsidR="009E1724">
        <w:t>1</w:t>
      </w:r>
      <w:r w:rsidR="00860FA9">
        <w:t xml:space="preserve"> percentage point confidence interval around an estimate of </w:t>
      </w:r>
      <w:r w:rsidR="000462F3">
        <w:t>1</w:t>
      </w:r>
      <w:r w:rsidR="001D2434">
        <w:t>%</w:t>
      </w:r>
      <w:r w:rsidR="000462F3">
        <w:t>, and an estimate of 50</w:t>
      </w:r>
      <w:r w:rsidR="001D2434">
        <w:t>%</w:t>
      </w:r>
      <w:r w:rsidR="000462F3">
        <w:t xml:space="preserve"> –</w:t>
      </w:r>
      <w:r w:rsidR="00C46B15">
        <w:t xml:space="preserve"> a policymaker should have more confidence in the accuracy of the 50</w:t>
      </w:r>
      <w:r w:rsidR="001D2434">
        <w:t>%</w:t>
      </w:r>
      <w:r w:rsidR="00C46B15">
        <w:t xml:space="preserve"> estimate, as</w:t>
      </w:r>
      <w:r w:rsidR="000462F3">
        <w:t xml:space="preserve"> </w:t>
      </w:r>
      <w:r w:rsidR="00F53D0C">
        <w:t xml:space="preserve">the confidence interval of the revision is smaller as </w:t>
      </w:r>
      <w:r w:rsidR="00A55D84">
        <w:t>a proportion</w:t>
      </w:r>
      <w:r w:rsidR="00FD4C2D">
        <w:t xml:space="preserve"> of the </w:t>
      </w:r>
      <w:r w:rsidR="00545A19">
        <w:t>larger estimate</w:t>
      </w:r>
      <w:r w:rsidR="00CD46D8">
        <w:t>.</w:t>
      </w:r>
      <w:r w:rsidR="0007230A">
        <w:t>)</w:t>
      </w:r>
      <w:r w:rsidR="00A55D84">
        <w:t xml:space="preserve"> </w:t>
      </w:r>
    </w:p>
    <w:p w14:paraId="0E8DA97D" w14:textId="6EFFD84B" w:rsidR="00FF3AA4" w:rsidRPr="00F2052F" w:rsidRDefault="00FF3AA4" w:rsidP="00E265C5">
      <w:pPr>
        <w:pStyle w:val="BodyText"/>
        <w:rPr>
          <w:spacing w:val="-4"/>
        </w:rPr>
      </w:pPr>
      <w:r w:rsidRPr="00F2052F">
        <w:rPr>
          <w:spacing w:val="-4"/>
        </w:rPr>
        <w:t xml:space="preserve">In sum, using the most recent four quarters of data to paint an annual picture of productivity, rather than focussing on the most recent quarterly figure, will </w:t>
      </w:r>
      <w:r w:rsidR="00235651" w:rsidRPr="00F2052F">
        <w:rPr>
          <w:spacing w:val="-4"/>
        </w:rPr>
        <w:t>reduce the impact revisions have on the productivity estimate.</w:t>
      </w:r>
    </w:p>
    <w:p w14:paraId="3C927A4B" w14:textId="1A8A950F" w:rsidR="006161D3" w:rsidRPr="00146382" w:rsidRDefault="006161D3" w:rsidP="006161D3">
      <w:pPr>
        <w:pStyle w:val="FigureTableHeading"/>
      </w:pPr>
      <w:bookmarkStart w:id="11" w:name="_Toc30502221"/>
      <w:r>
        <w:t>Figure</w:t>
      </w:r>
      <w:r w:rsidR="00C17C78">
        <w:t> </w:t>
      </w:r>
      <w:r w:rsidR="001B60F7">
        <w:rPr>
          <w:noProof/>
        </w:rPr>
        <w:t>4</w:t>
      </w:r>
      <w:r>
        <w:rPr>
          <w:noProof/>
        </w:rPr>
        <w:t xml:space="preserve"> </w:t>
      </w:r>
      <w:r>
        <w:t xml:space="preserve">– </w:t>
      </w:r>
      <w:r w:rsidR="005052C6">
        <w:t xml:space="preserve">Revisions </w:t>
      </w:r>
      <w:r w:rsidR="003C7ABE">
        <w:t>to annual productivity e</w:t>
      </w:r>
      <w:r>
        <w:t>stimate</w:t>
      </w:r>
      <w:r w:rsidR="00EA2E41">
        <w:t xml:space="preserve">s are </w:t>
      </w:r>
      <w:r w:rsidR="003C7ABE">
        <w:t>similar to revisions for quarterly estimates</w:t>
      </w:r>
    </w:p>
    <w:p w14:paraId="594AA724" w14:textId="760ACF29" w:rsidR="00525E8F" w:rsidRDefault="006161D3" w:rsidP="003C54A7">
      <w:pPr>
        <w:pStyle w:val="FigureTableSubheading"/>
      </w:pPr>
      <w:r>
        <w:t>90 and 70</w:t>
      </w:r>
      <w:r w:rsidR="001D2434">
        <w:t>%</w:t>
      </w:r>
      <w:r>
        <w:t xml:space="preserve"> confidence interval</w:t>
      </w:r>
      <w:r w:rsidR="003C54A7">
        <w:t>s</w:t>
      </w:r>
      <w:r w:rsidR="00D418A1">
        <w:t xml:space="preserve"> </w:t>
      </w:r>
      <w:r w:rsidR="00200849">
        <w:t xml:space="preserve">for revisions from </w:t>
      </w:r>
      <w:proofErr w:type="spellStart"/>
      <w:r w:rsidR="00200849">
        <w:t>original</w:t>
      </w:r>
      <w:r w:rsidR="00200849" w:rsidRPr="00EA2E41">
        <w:rPr>
          <w:vertAlign w:val="superscript"/>
        </w:rPr>
        <w:t>a</w:t>
      </w:r>
      <w:proofErr w:type="spellEnd"/>
      <w:r w:rsidR="00200849">
        <w:t>, annual data, 2006</w:t>
      </w:r>
      <w:r w:rsidR="00C17C78">
        <w:t>–</w:t>
      </w:r>
      <w:r w:rsidR="00200849">
        <w:t>2023</w:t>
      </w:r>
    </w:p>
    <w:p w14:paraId="4202F217" w14:textId="37E411D2" w:rsidR="002118C5" w:rsidRDefault="00F964CD" w:rsidP="00F2052F">
      <w:pPr>
        <w:pStyle w:val="BodyText"/>
      </w:pPr>
      <w:r w:rsidRPr="00F964CD">
        <w:rPr>
          <w:noProof/>
        </w:rPr>
        <w:drawing>
          <wp:inline distT="0" distB="0" distL="0" distR="0" wp14:anchorId="042F8C7C" wp14:editId="4D6D337D">
            <wp:extent cx="6120130" cy="3085465"/>
            <wp:effectExtent l="0" t="0" r="0" b="635"/>
            <wp:docPr id="1002684190" name="Picture 11" descr="Figure 4 depicts a 70 and 90% confidence interval for revisions for productivity over the year over the 12 quarters since the original release. The upper and lower bound are relatively symmetric over time, increasing most significantly away from zero in the first four quarters before increasing at a slower rate. The 70% confidence interval is between -0.6 to 0.7 percentage points and the 90% confidence interval is -0.9 and 1.1 percentage points 12 quarters since the original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84190" name="Picture 11" descr="Figure 4 depicts a 70 and 90% confidence interval for revisions for productivity over the year over the 12 quarters since the original release. The upper and lower bound are relatively symmetric over time, increasing most significantly away from zero in the first four quarters before increasing at a slower rate. The 70% confidence interval is between -0.6 to 0.7 percentage points and the 90% confidence interval is -0.9 and 1.1 percentage points 12 quarters since the original relea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085465"/>
                    </a:xfrm>
                    <a:prstGeom prst="rect">
                      <a:avLst/>
                    </a:prstGeom>
                    <a:noFill/>
                    <a:ln>
                      <a:noFill/>
                    </a:ln>
                  </pic:spPr>
                </pic:pic>
              </a:graphicData>
            </a:graphic>
          </wp:inline>
        </w:drawing>
      </w:r>
    </w:p>
    <w:p w14:paraId="060AB7F6" w14:textId="644468FF" w:rsidR="00525E8F" w:rsidRDefault="00525E8F">
      <w:pPr>
        <w:pStyle w:val="Note"/>
        <w:keepLines/>
      </w:pPr>
      <w:r w:rsidRPr="00180E66">
        <w:rPr>
          <w:b/>
          <w:bCs/>
        </w:rPr>
        <w:t>a.</w:t>
      </w:r>
      <w:r w:rsidR="00866E88" w:rsidRPr="00866E88">
        <w:t xml:space="preserve"> </w:t>
      </w:r>
      <w:r w:rsidR="00866E88">
        <w:t>Confidence intervals for revisions for each quarter since the original release are estimated using a non</w:t>
      </w:r>
      <w:r w:rsidR="00C17C78">
        <w:noBreakHyphen/>
      </w:r>
      <w:r w:rsidR="00866E88">
        <w:t>parametric cumulative density function that uses percentiles within the data. That is, t</w:t>
      </w:r>
      <w:r w:rsidR="00866E88" w:rsidRPr="00E53717">
        <w:t>he 5</w:t>
      </w:r>
      <w:r w:rsidR="00866E88" w:rsidRPr="00E53717">
        <w:rPr>
          <w:vertAlign w:val="superscript"/>
        </w:rPr>
        <w:t>th</w:t>
      </w:r>
      <w:r w:rsidR="00866E88" w:rsidRPr="00E53717">
        <w:t xml:space="preserve"> and 95</w:t>
      </w:r>
      <w:r w:rsidR="00866E88" w:rsidRPr="00E53717">
        <w:rPr>
          <w:vertAlign w:val="superscript"/>
        </w:rPr>
        <w:t>th</w:t>
      </w:r>
      <w:r w:rsidR="00866E88" w:rsidRPr="00E53717">
        <w:t xml:space="preserve"> percentile of the sample data </w:t>
      </w:r>
      <w:proofErr w:type="gramStart"/>
      <w:r w:rsidR="00950F27">
        <w:t>are</w:t>
      </w:r>
      <w:proofErr w:type="gramEnd"/>
      <w:r w:rsidR="00950F27">
        <w:t xml:space="preserve"> used to</w:t>
      </w:r>
      <w:r w:rsidR="00866E88" w:rsidRPr="00E53717">
        <w:t xml:space="preserve"> estimate the 90</w:t>
      </w:r>
      <w:r w:rsidR="001D2434">
        <w:t>%</w:t>
      </w:r>
      <w:r w:rsidR="00866E88" w:rsidRPr="00E53717">
        <w:t xml:space="preserve"> confidence interval for revisions under the assumption that </w:t>
      </w:r>
      <w:r w:rsidR="00866E88">
        <w:t xml:space="preserve">future </w:t>
      </w:r>
      <w:r w:rsidR="00950F27">
        <w:t>revisions</w:t>
      </w:r>
      <w:r w:rsidR="00866E88">
        <w:t xml:space="preserve"> will follow the same process as previous revisions</w:t>
      </w:r>
      <w:r w:rsidR="00866E88" w:rsidRPr="00E53717">
        <w:t>.</w:t>
      </w:r>
      <w:r>
        <w:t xml:space="preserve"> </w:t>
      </w:r>
    </w:p>
    <w:bookmarkEnd w:id="11"/>
    <w:p w14:paraId="1B925782" w14:textId="6D158286" w:rsidR="00D45614" w:rsidRDefault="00525E8F" w:rsidP="005903A3">
      <w:pPr>
        <w:pStyle w:val="Source"/>
      </w:pPr>
      <w:r w:rsidRPr="00696447">
        <w:t xml:space="preserve">Source: </w:t>
      </w:r>
      <w:r w:rsidR="00F73858">
        <w:t xml:space="preserve">PC analysis of ABS (2023, Australian National Accounts: </w:t>
      </w:r>
      <w:r w:rsidR="00F73858" w:rsidRPr="00D359F4">
        <w:t>National Income, Expenditure and Product, Cat. no.</w:t>
      </w:r>
      <w:r w:rsidR="00F2052F">
        <w:t> </w:t>
      </w:r>
      <w:r w:rsidR="00F73858" w:rsidRPr="00D359F4">
        <w:t>5206.0, table</w:t>
      </w:r>
      <w:r w:rsidR="00C17C78">
        <w:t> </w:t>
      </w:r>
      <w:r w:rsidR="00F73858">
        <w:t>1).</w:t>
      </w:r>
    </w:p>
    <w:p w14:paraId="6D3D3A47" w14:textId="77777777" w:rsidR="00D45614" w:rsidRDefault="00D45614">
      <w:pPr>
        <w:spacing w:before="0" w:after="160" w:line="259" w:lineRule="auto"/>
        <w:rPr>
          <w:sz w:val="18"/>
        </w:rPr>
      </w:pPr>
      <w:r>
        <w:br w:type="page"/>
      </w:r>
    </w:p>
    <w:p w14:paraId="38E683FF" w14:textId="56328022" w:rsidR="00FE7435" w:rsidRDefault="00FE7435" w:rsidP="00BE250D">
      <w:pPr>
        <w:pStyle w:val="Heading2-nonumber"/>
      </w:pPr>
      <w:bookmarkStart w:id="12" w:name="_Toc180336256"/>
      <w:r>
        <w:lastRenderedPageBreak/>
        <w:t xml:space="preserve">Patterns among the </w:t>
      </w:r>
      <w:r w:rsidR="00BD7269">
        <w:t>revisions</w:t>
      </w:r>
      <w:bookmarkEnd w:id="12"/>
    </w:p>
    <w:p w14:paraId="05A5BA18" w14:textId="48D8E096" w:rsidR="001C09EE" w:rsidRDefault="00B72D2F" w:rsidP="008B2488">
      <w:pPr>
        <w:pStyle w:val="BodyText"/>
      </w:pPr>
      <w:r>
        <w:t>T</w:t>
      </w:r>
      <w:r w:rsidR="008B2488">
        <w:t xml:space="preserve">here are </w:t>
      </w:r>
      <w:r>
        <w:t xml:space="preserve">also </w:t>
      </w:r>
      <w:r w:rsidR="008B2488">
        <w:t xml:space="preserve">some patterns </w:t>
      </w:r>
      <w:r w:rsidR="00024809">
        <w:t xml:space="preserve">that become evident </w:t>
      </w:r>
      <w:r w:rsidR="008B2488">
        <w:t>when the sample is broken down into subsamples.</w:t>
      </w:r>
    </w:p>
    <w:p w14:paraId="78F25EE3" w14:textId="4B25F863" w:rsidR="001C09EE" w:rsidRPr="001B60F7" w:rsidRDefault="00A2448C" w:rsidP="008B2488">
      <w:pPr>
        <w:pStyle w:val="BodyText"/>
        <w:rPr>
          <w:spacing w:val="-2"/>
        </w:rPr>
      </w:pPr>
      <w:r w:rsidRPr="001B60F7">
        <w:rPr>
          <w:spacing w:val="-2"/>
        </w:rPr>
        <w:t>F</w:t>
      </w:r>
      <w:r w:rsidR="00D77E40" w:rsidRPr="001B60F7">
        <w:rPr>
          <w:spacing w:val="-2"/>
        </w:rPr>
        <w:t xml:space="preserve">or example, </w:t>
      </w:r>
      <w:r w:rsidR="002333A7" w:rsidRPr="001B60F7">
        <w:rPr>
          <w:spacing w:val="-2"/>
        </w:rPr>
        <w:t xml:space="preserve">revisions are equally likely to be either upward or downward. However, </w:t>
      </w:r>
      <w:r w:rsidR="009E28DA" w:rsidRPr="001B60F7">
        <w:rPr>
          <w:spacing w:val="-2"/>
        </w:rPr>
        <w:t xml:space="preserve">original </w:t>
      </w:r>
      <w:r w:rsidR="008B2488" w:rsidRPr="001B60F7">
        <w:rPr>
          <w:spacing w:val="-2"/>
        </w:rPr>
        <w:t>June</w:t>
      </w:r>
      <w:r w:rsidR="00AF082F" w:rsidRPr="001B60F7">
        <w:rPr>
          <w:spacing w:val="-2"/>
        </w:rPr>
        <w:t xml:space="preserve"> </w:t>
      </w:r>
      <w:r w:rsidR="008B2488" w:rsidRPr="001B60F7">
        <w:rPr>
          <w:spacing w:val="-2"/>
        </w:rPr>
        <w:t xml:space="preserve">quarter estimates </w:t>
      </w:r>
      <w:r w:rsidR="00C9701C" w:rsidRPr="001B60F7">
        <w:rPr>
          <w:spacing w:val="-2"/>
        </w:rPr>
        <w:t xml:space="preserve">are, on average, </w:t>
      </w:r>
      <w:r w:rsidR="00CA652A" w:rsidRPr="001B60F7">
        <w:rPr>
          <w:spacing w:val="-2"/>
        </w:rPr>
        <w:t xml:space="preserve">revised </w:t>
      </w:r>
      <w:r w:rsidR="00E350F9" w:rsidRPr="001B60F7">
        <w:rPr>
          <w:spacing w:val="-2"/>
        </w:rPr>
        <w:t>downward</w:t>
      </w:r>
      <w:r w:rsidR="007247A9" w:rsidRPr="001B60F7">
        <w:rPr>
          <w:spacing w:val="-2"/>
        </w:rPr>
        <w:t xml:space="preserve"> </w:t>
      </w:r>
      <w:r w:rsidR="00CA652A" w:rsidRPr="001B60F7">
        <w:rPr>
          <w:spacing w:val="-2"/>
        </w:rPr>
        <w:t>and</w:t>
      </w:r>
      <w:r w:rsidR="009E28DA" w:rsidRPr="001B60F7">
        <w:rPr>
          <w:spacing w:val="-2"/>
        </w:rPr>
        <w:t xml:space="preserve"> original</w:t>
      </w:r>
      <w:r w:rsidR="00CA652A" w:rsidRPr="001B60F7">
        <w:rPr>
          <w:spacing w:val="-2"/>
        </w:rPr>
        <w:t xml:space="preserve"> September quarter</w:t>
      </w:r>
      <w:r w:rsidR="00D60AA6" w:rsidRPr="001B60F7">
        <w:rPr>
          <w:spacing w:val="-2"/>
        </w:rPr>
        <w:t xml:space="preserve"> estimates</w:t>
      </w:r>
      <w:r w:rsidR="007247A9" w:rsidRPr="001B60F7">
        <w:rPr>
          <w:spacing w:val="-2"/>
        </w:rPr>
        <w:t xml:space="preserve"> </w:t>
      </w:r>
      <w:r w:rsidR="00C9701C" w:rsidRPr="001B60F7">
        <w:rPr>
          <w:spacing w:val="-2"/>
        </w:rPr>
        <w:t xml:space="preserve">are, on average, </w:t>
      </w:r>
      <w:r w:rsidR="00CA652A" w:rsidRPr="001B60F7">
        <w:rPr>
          <w:spacing w:val="-2"/>
        </w:rPr>
        <w:t xml:space="preserve">revised </w:t>
      </w:r>
      <w:r w:rsidR="00E350F9" w:rsidRPr="001B60F7">
        <w:rPr>
          <w:spacing w:val="-2"/>
        </w:rPr>
        <w:t>upward</w:t>
      </w:r>
      <w:r w:rsidR="00B109C7" w:rsidRPr="001B60F7">
        <w:rPr>
          <w:spacing w:val="-2"/>
        </w:rPr>
        <w:t xml:space="preserve"> </w:t>
      </w:r>
      <w:r w:rsidR="00F35FB7" w:rsidRPr="001B60F7">
        <w:rPr>
          <w:spacing w:val="-2"/>
        </w:rPr>
        <w:t>(figure</w:t>
      </w:r>
      <w:r w:rsidR="00C17C78" w:rsidRPr="001B60F7">
        <w:rPr>
          <w:spacing w:val="-2"/>
        </w:rPr>
        <w:t> </w:t>
      </w:r>
      <w:r w:rsidR="00D763E8" w:rsidRPr="001B60F7">
        <w:rPr>
          <w:spacing w:val="-2"/>
        </w:rPr>
        <w:t>5</w:t>
      </w:r>
      <w:r w:rsidR="00F35FB7" w:rsidRPr="001B60F7">
        <w:rPr>
          <w:spacing w:val="-2"/>
        </w:rPr>
        <w:t>)</w:t>
      </w:r>
      <w:r w:rsidR="00D21BD2" w:rsidRPr="001B60F7">
        <w:rPr>
          <w:spacing w:val="-2"/>
        </w:rPr>
        <w:t>.</w:t>
      </w:r>
      <w:r w:rsidR="00B109C7" w:rsidRPr="001B60F7">
        <w:rPr>
          <w:spacing w:val="-2"/>
        </w:rPr>
        <w:t xml:space="preserve"> </w:t>
      </w:r>
      <w:r w:rsidR="00D21BD2" w:rsidRPr="001B60F7">
        <w:rPr>
          <w:spacing w:val="-2"/>
        </w:rPr>
        <w:t>T</w:t>
      </w:r>
      <w:r w:rsidR="00B109C7" w:rsidRPr="001B60F7">
        <w:rPr>
          <w:spacing w:val="-2"/>
        </w:rPr>
        <w:t>he reasons for this are not immediately clear</w:t>
      </w:r>
      <w:r w:rsidR="00CA652A" w:rsidRPr="001B60F7">
        <w:rPr>
          <w:spacing w:val="-2"/>
        </w:rPr>
        <w:t>.</w:t>
      </w:r>
    </w:p>
    <w:p w14:paraId="0E4D4327" w14:textId="77949124" w:rsidR="001C09EE" w:rsidRPr="00146382" w:rsidRDefault="001C09EE" w:rsidP="001C09EE">
      <w:pPr>
        <w:pStyle w:val="FigureTableHeading"/>
      </w:pPr>
      <w:bookmarkStart w:id="13" w:name="_Ref167364896"/>
      <w:r>
        <w:t>Figure</w:t>
      </w:r>
      <w:r w:rsidR="00C17C78">
        <w:t> </w:t>
      </w:r>
      <w:r w:rsidR="001B60F7">
        <w:rPr>
          <w:noProof/>
        </w:rPr>
        <w:t>5</w:t>
      </w:r>
      <w:bookmarkEnd w:id="13"/>
      <w:r>
        <w:rPr>
          <w:noProof/>
        </w:rPr>
        <w:t xml:space="preserve"> </w:t>
      </w:r>
      <w:r w:rsidR="008A4FD6">
        <w:rPr>
          <w:noProof/>
        </w:rPr>
        <w:t>–</w:t>
      </w:r>
      <w:r>
        <w:t xml:space="preserve"> On average, June </w:t>
      </w:r>
      <w:r w:rsidR="00D34C1E">
        <w:t xml:space="preserve">estimates </w:t>
      </w:r>
      <w:r>
        <w:t xml:space="preserve">are revised downward while September </w:t>
      </w:r>
      <w:r w:rsidR="00D34C1E">
        <w:t xml:space="preserve">estimates </w:t>
      </w:r>
      <w:r>
        <w:t>are revised upward</w:t>
      </w:r>
    </w:p>
    <w:p w14:paraId="4515FAFF" w14:textId="0D54FDCD" w:rsidR="001C09EE" w:rsidRDefault="001C09EE" w:rsidP="001C09EE">
      <w:pPr>
        <w:pStyle w:val="FigureTableSubheading"/>
        <w:keepLines/>
      </w:pPr>
      <w:r>
        <w:t xml:space="preserve">Average revision from original, subsampled by reference period </w:t>
      </w:r>
      <w:proofErr w:type="spellStart"/>
      <w:proofErr w:type="gramStart"/>
      <w:r>
        <w:t>quarter</w:t>
      </w:r>
      <w:r w:rsidRPr="00512374">
        <w:rPr>
          <w:vertAlign w:val="superscript"/>
        </w:rPr>
        <w:t>a</w:t>
      </w:r>
      <w:r>
        <w:rPr>
          <w:vertAlign w:val="superscript"/>
        </w:rPr>
        <w:t>,b</w:t>
      </w:r>
      <w:proofErr w:type="spellEnd"/>
      <w:proofErr w:type="gramEnd"/>
      <w:r w:rsidR="00D418A1">
        <w:t>,</w:t>
      </w:r>
      <w:r>
        <w:t xml:space="preserve"> 2006</w:t>
      </w:r>
      <w:r w:rsidR="00C17C78">
        <w:t>–</w:t>
      </w:r>
      <w:r>
        <w:t>202</w:t>
      </w:r>
      <w:r w:rsidR="001C238B">
        <w:t>3</w:t>
      </w:r>
    </w:p>
    <w:p w14:paraId="774ADB94" w14:textId="29E19497" w:rsidR="001C09EE" w:rsidRDefault="005E74D4" w:rsidP="001C09EE">
      <w:pPr>
        <w:pStyle w:val="Note"/>
        <w:keepLines/>
      </w:pPr>
      <w:r w:rsidRPr="005E74D4">
        <w:rPr>
          <w:noProof/>
        </w:rPr>
        <w:drawing>
          <wp:inline distT="0" distB="0" distL="0" distR="0" wp14:anchorId="50B016B1" wp14:editId="27D7B2EA">
            <wp:extent cx="6120130" cy="2781300"/>
            <wp:effectExtent l="0" t="0" r="0" b="0"/>
            <wp:docPr id="2131934168" name="Picture 8" descr="Figure 5 shows the average revision from the original release for each reference period quarter for the 12 questers since the original release and whether they are statistically significantly different from zero. June quarter estimates are, on average, revised downward, with five of the 12 being statistically significantly different from zero and September quarter estimates are, on average, revised upward, with the ninth to twelfth quarters being statistically significantly different from zero. December figures are generally positive and not statistically significantly different from zero. March figures have no clear tre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34168" name="Picture 8" descr="Figure 5 shows the average revision from the original release for each reference period quarter for the 12 questers since the original release and whether they are statistically significantly different from zero. June quarter estimates are, on average, revised downward, with five of the 12 being statistically significantly different from zero and September quarter estimates are, on average, revised upward, with the ninth to twelfth quarters being statistically significantly different from zero. December figures are generally positive and not statistically significantly different from zero. March figures have no clear trend over time."/>
                    <pic:cNvPicPr>
                      <a:picLocks noChangeAspect="1" noChangeArrowheads="1"/>
                    </pic:cNvPicPr>
                  </pic:nvPicPr>
                  <pic:blipFill rotWithShape="1">
                    <a:blip r:embed="rId35">
                      <a:extLst>
                        <a:ext uri="{28A0092B-C50C-407E-A947-70E740481C1C}">
                          <a14:useLocalDpi xmlns:a14="http://schemas.microsoft.com/office/drawing/2010/main" val="0"/>
                        </a:ext>
                      </a:extLst>
                    </a:blip>
                    <a:srcRect b="3503"/>
                    <a:stretch/>
                  </pic:blipFill>
                  <pic:spPr bwMode="auto">
                    <a:xfrm>
                      <a:off x="0" y="0"/>
                      <a:ext cx="612013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0DD6BFE5" w14:textId="3BBACCDE" w:rsidR="001C09EE" w:rsidRPr="00E124AD" w:rsidRDefault="001C09EE" w:rsidP="001C09EE">
      <w:pPr>
        <w:pStyle w:val="Note"/>
        <w:keepLines/>
      </w:pPr>
      <w:r w:rsidRPr="00D35B29">
        <w:rPr>
          <w:b/>
        </w:rPr>
        <w:t>a.</w:t>
      </w:r>
      <w:r>
        <w:t xml:space="preserve"> For example, the navy dot for the third quarter represents the average revision for the subsample of June quarter figures three quarters since the original release. </w:t>
      </w:r>
      <w:r w:rsidRPr="00180E66">
        <w:rPr>
          <w:b/>
          <w:bCs/>
        </w:rPr>
        <w:t>b.</w:t>
      </w:r>
      <w:r>
        <w:t xml:space="preserve"> </w:t>
      </w:r>
      <w:r w:rsidR="00822470">
        <w:t>C</w:t>
      </w:r>
      <w:r w:rsidR="00B766C1">
        <w:t>rosses</w:t>
      </w:r>
      <w:r>
        <w:t xml:space="preserve"> represent averages that are statistically significantly different from zero, circles represent averages that are not (at the 5% level of significance).</w:t>
      </w:r>
    </w:p>
    <w:p w14:paraId="0041C53A" w14:textId="18310972" w:rsidR="00F73858" w:rsidRDefault="001C09EE" w:rsidP="001C09EE">
      <w:pPr>
        <w:pStyle w:val="Source"/>
      </w:pPr>
      <w:r w:rsidRPr="00696447">
        <w:t>Source:</w:t>
      </w:r>
      <w:r>
        <w:t xml:space="preserve"> </w:t>
      </w:r>
      <w:r w:rsidR="00F73858">
        <w:t xml:space="preserve">PC analysis of ABS (2023, Australian National Accounts: </w:t>
      </w:r>
      <w:r w:rsidR="00F73858" w:rsidRPr="00D359F4">
        <w:t>National Income, Expenditure and Product, Cat. no.</w:t>
      </w:r>
      <w:r w:rsidR="00436E0A">
        <w:t> </w:t>
      </w:r>
      <w:r w:rsidR="00F73858" w:rsidRPr="00D359F4">
        <w:t>5206.0, table</w:t>
      </w:r>
      <w:r w:rsidR="00C17C78">
        <w:t> </w:t>
      </w:r>
      <w:r w:rsidR="00F73858">
        <w:t>1).</w:t>
      </w:r>
    </w:p>
    <w:p w14:paraId="453B31DB" w14:textId="13B801F7" w:rsidR="00161FDA" w:rsidRDefault="00435AC0" w:rsidP="008B2488">
      <w:pPr>
        <w:pStyle w:val="BodyText"/>
      </w:pPr>
      <w:r>
        <w:t>There is also a tendency for larger estimates (both positive and negative) to have a larger revision</w:t>
      </w:r>
      <w:r w:rsidR="00BD2E2D">
        <w:t xml:space="preserve">. Further, </w:t>
      </w:r>
      <w:r>
        <w:t>positive estimates to be revised downward</w:t>
      </w:r>
      <w:r w:rsidR="003224D7">
        <w:t>, while</w:t>
      </w:r>
      <w:r>
        <w:t xml:space="preserve"> negative estimates </w:t>
      </w:r>
      <w:r w:rsidR="004F55B5">
        <w:t>tend</w:t>
      </w:r>
      <w:r>
        <w:t xml:space="preserve"> to be revised upward</w:t>
      </w:r>
      <w:r w:rsidR="00541E54">
        <w:t>.</w:t>
      </w:r>
      <w:r>
        <w:t xml:space="preserve"> </w:t>
      </w:r>
      <w:r w:rsidR="00541E54">
        <w:t>I</w:t>
      </w:r>
      <w:r>
        <w:t xml:space="preserve">n other words, the original estimate tends to be more extreme, before being </w:t>
      </w:r>
      <w:r w:rsidR="00F75944">
        <w:t>revised</w:t>
      </w:r>
      <w:r>
        <w:t xml:space="preserve"> towards </w:t>
      </w:r>
      <w:r w:rsidR="008D7854">
        <w:t>zero</w:t>
      </w:r>
      <w:r w:rsidR="00541E54">
        <w:t xml:space="preserve"> (figure</w:t>
      </w:r>
      <w:r w:rsidR="00C17C78">
        <w:t> </w:t>
      </w:r>
      <w:r w:rsidR="00EF6209">
        <w:t>6</w:t>
      </w:r>
      <w:r w:rsidR="00541E54">
        <w:t>)</w:t>
      </w:r>
      <w:r>
        <w:t>.</w:t>
      </w:r>
      <w:r w:rsidRPr="009611B3">
        <w:rPr>
          <w:rStyle w:val="FootnoteReference"/>
        </w:rPr>
        <w:footnoteReference w:id="6"/>
      </w:r>
      <w:r w:rsidR="00D04AB0">
        <w:t xml:space="preserve"> </w:t>
      </w:r>
    </w:p>
    <w:p w14:paraId="16AC7E07" w14:textId="6AD9E767" w:rsidR="00435AC0" w:rsidRDefault="002B6598" w:rsidP="008B2488">
      <w:pPr>
        <w:pStyle w:val="BodyText"/>
      </w:pPr>
      <w:r>
        <w:t xml:space="preserve">The latter finding is the opposite relationship </w:t>
      </w:r>
      <w:r w:rsidR="00E513CE">
        <w:t xml:space="preserve">to that </w:t>
      </w:r>
      <w:r>
        <w:t xml:space="preserve">found by Bishop et al. </w:t>
      </w:r>
      <w:r w:rsidRPr="00BF5574">
        <w:rPr>
          <w:rFonts w:ascii="Arial" w:hAnsi="Arial" w:cs="Arial"/>
        </w:rPr>
        <w:t>(2013, pp. 14–15)</w:t>
      </w:r>
      <w:r>
        <w:t xml:space="preserve"> </w:t>
      </w:r>
      <w:r w:rsidR="00E513CE">
        <w:t xml:space="preserve">for </w:t>
      </w:r>
      <w:r>
        <w:t>GDP revisions</w:t>
      </w:r>
      <w:r w:rsidR="00A91BEE">
        <w:t>. They</w:t>
      </w:r>
      <w:r w:rsidR="00FE6474">
        <w:t xml:space="preserve"> </w:t>
      </w:r>
      <w:r>
        <w:t>find that GDP estimates</w:t>
      </w:r>
      <w:r w:rsidR="00EA485D">
        <w:t xml:space="preserve"> </w:t>
      </w:r>
      <w:r w:rsidR="00801AB0">
        <w:t>in downturns</w:t>
      </w:r>
      <w:r>
        <w:t xml:space="preserve"> </w:t>
      </w:r>
      <w:r w:rsidR="006E2B02">
        <w:t xml:space="preserve">tend </w:t>
      </w:r>
      <w:r>
        <w:t xml:space="preserve">to be revised </w:t>
      </w:r>
      <w:r w:rsidR="00EA485D">
        <w:t>downward</w:t>
      </w:r>
      <w:r>
        <w:t xml:space="preserve"> and </w:t>
      </w:r>
      <w:r w:rsidR="00801AB0">
        <w:t>in up</w:t>
      </w:r>
      <w:r w:rsidR="006E1D59">
        <w:t>swings</w:t>
      </w:r>
      <w:r>
        <w:t xml:space="preserve"> </w:t>
      </w:r>
      <w:r w:rsidR="000D2EA1">
        <w:t>tend</w:t>
      </w:r>
      <w:r>
        <w:t xml:space="preserve"> to be revised </w:t>
      </w:r>
      <w:r w:rsidR="00EA485D">
        <w:t>upward</w:t>
      </w:r>
      <w:r w:rsidR="00085AA8">
        <w:t>.</w:t>
      </w:r>
    </w:p>
    <w:p w14:paraId="7C920621" w14:textId="0AB340CF" w:rsidR="008B6EEA" w:rsidRPr="00146382" w:rsidRDefault="008B6EEA">
      <w:pPr>
        <w:pStyle w:val="FigureTableHeading"/>
      </w:pPr>
      <w:bookmarkStart w:id="14" w:name="_Ref173847932"/>
      <w:r>
        <w:lastRenderedPageBreak/>
        <w:t>Figure</w:t>
      </w:r>
      <w:r w:rsidR="00C17C78">
        <w:t> </w:t>
      </w:r>
      <w:r w:rsidR="001B60F7">
        <w:rPr>
          <w:noProof/>
        </w:rPr>
        <w:t>6</w:t>
      </w:r>
      <w:bookmarkEnd w:id="14"/>
      <w:r>
        <w:rPr>
          <w:noProof/>
        </w:rPr>
        <w:t xml:space="preserve"> </w:t>
      </w:r>
      <w:r>
        <w:t>–</w:t>
      </w:r>
      <w:r w:rsidR="000269FD">
        <w:t xml:space="preserve"> Revisions tend to </w:t>
      </w:r>
      <w:r w:rsidR="00D866C8">
        <w:t>attenuate the estimate</w:t>
      </w:r>
      <w:r w:rsidR="0013260C">
        <w:t>s</w:t>
      </w:r>
    </w:p>
    <w:p w14:paraId="0902091E" w14:textId="791DECBB" w:rsidR="008B6EEA" w:rsidRDefault="00954BA0">
      <w:pPr>
        <w:pStyle w:val="FigureTableSubheading"/>
        <w:keepLines/>
      </w:pPr>
      <w:r>
        <w:t>Scatter plot o</w:t>
      </w:r>
      <w:r w:rsidR="00F658A5">
        <w:t>f</w:t>
      </w:r>
      <w:r>
        <w:t xml:space="preserve"> revision</w:t>
      </w:r>
      <w:r w:rsidR="00F658A5">
        <w:t>s</w:t>
      </w:r>
      <w:r>
        <w:t xml:space="preserve"> three </w:t>
      </w:r>
      <w:r w:rsidR="0013260C">
        <w:t>years since the original release and the</w:t>
      </w:r>
      <w:r w:rsidR="00F658A5">
        <w:t>ir</w:t>
      </w:r>
      <w:r w:rsidR="0013260C">
        <w:t xml:space="preserve"> original </w:t>
      </w:r>
      <w:proofErr w:type="spellStart"/>
      <w:proofErr w:type="gramStart"/>
      <w:r w:rsidR="0013260C">
        <w:t>estimate</w:t>
      </w:r>
      <w:r w:rsidR="00477E0A" w:rsidRPr="00512374">
        <w:rPr>
          <w:vertAlign w:val="superscript"/>
        </w:rPr>
        <w:t>a</w:t>
      </w:r>
      <w:r w:rsidR="00477E0A">
        <w:rPr>
          <w:vertAlign w:val="superscript"/>
        </w:rPr>
        <w:t>,b</w:t>
      </w:r>
      <w:proofErr w:type="spellEnd"/>
      <w:proofErr w:type="gramEnd"/>
      <w:r w:rsidR="00D418A1">
        <w:t>,</w:t>
      </w:r>
      <w:r w:rsidR="00477E0A">
        <w:t xml:space="preserve"> 2006</w:t>
      </w:r>
      <w:r w:rsidR="00C17C78">
        <w:t>–</w:t>
      </w:r>
      <w:r w:rsidR="00477E0A">
        <w:t>202</w:t>
      </w:r>
      <w:r w:rsidR="006F2948">
        <w:t>0</w:t>
      </w:r>
    </w:p>
    <w:p w14:paraId="20EB558F" w14:textId="04CBDFD5" w:rsidR="000250D7" w:rsidRDefault="00457C45" w:rsidP="00A273E5">
      <w:pPr>
        <w:pStyle w:val="BodyText"/>
      </w:pPr>
      <w:r w:rsidRPr="00457C45">
        <w:rPr>
          <w:noProof/>
        </w:rPr>
        <w:drawing>
          <wp:inline distT="0" distB="0" distL="0" distR="0" wp14:anchorId="7A2136F3" wp14:editId="0E7E38EA">
            <wp:extent cx="6120130" cy="2882265"/>
            <wp:effectExtent l="0" t="0" r="0" b="0"/>
            <wp:docPr id="1624440011" name="Picture 9" descr="Figure 6 is a scatter plot of revisions three years since the original release on the y-axis, their original estimate on the x-axis and a trend line that is derived from an ordinary least squares regression. The line has an intercept of 0.09 and a coefficient of -0.29. The domain for the scatter plot is from -1 to 2 and the range is from -1 to 1. The r-squared of the line i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40011" name="Picture 9" descr="Figure 6 is a scatter plot of revisions three years since the original release on the y-axis, their original estimate on the x-axis and a trend line that is derived from an ordinary least squares regression. The line has an intercept of 0.09 and a coefficient of -0.29. The domain for the scatter plot is from -1 to 2 and the range is from -1 to 1. The r-squared of the line is 0.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882265"/>
                    </a:xfrm>
                    <a:prstGeom prst="rect">
                      <a:avLst/>
                    </a:prstGeom>
                    <a:noFill/>
                    <a:ln>
                      <a:noFill/>
                    </a:ln>
                  </pic:spPr>
                </pic:pic>
              </a:graphicData>
            </a:graphic>
          </wp:inline>
        </w:drawing>
      </w:r>
    </w:p>
    <w:p w14:paraId="5C168A58" w14:textId="34D9A5CC" w:rsidR="009D3584" w:rsidRPr="00A273E5" w:rsidRDefault="009D3584" w:rsidP="009D3584">
      <w:pPr>
        <w:pStyle w:val="Note"/>
        <w:keepLines/>
        <w:rPr>
          <w:spacing w:val="-4"/>
        </w:rPr>
      </w:pPr>
      <w:r w:rsidRPr="00A273E5">
        <w:rPr>
          <w:b/>
          <w:spacing w:val="-4"/>
        </w:rPr>
        <w:t>a.</w:t>
      </w:r>
      <w:r w:rsidRPr="00A273E5">
        <w:rPr>
          <w:spacing w:val="-4"/>
        </w:rPr>
        <w:t xml:space="preserve"> Each blue dot represents a given reference period’s original estimate and revision three years since the original release. </w:t>
      </w:r>
      <w:r w:rsidRPr="00A273E5">
        <w:rPr>
          <w:b/>
          <w:bCs/>
          <w:spacing w:val="-4"/>
        </w:rPr>
        <w:t>b.</w:t>
      </w:r>
      <w:r w:rsidR="00A273E5">
        <w:rPr>
          <w:spacing w:val="-4"/>
        </w:rPr>
        <w:t> </w:t>
      </w:r>
      <w:r w:rsidRPr="00A273E5">
        <w:rPr>
          <w:spacing w:val="-4"/>
        </w:rPr>
        <w:t xml:space="preserve">The trend line is the line of best fit, that is, </w:t>
      </w:r>
      <w:r w:rsidR="00AE7860" w:rsidRPr="00A273E5">
        <w:rPr>
          <w:spacing w:val="-4"/>
        </w:rPr>
        <w:t xml:space="preserve">the slope </w:t>
      </w:r>
      <w:r w:rsidR="0067148E" w:rsidRPr="00A273E5">
        <w:rPr>
          <w:spacing w:val="-4"/>
        </w:rPr>
        <w:t xml:space="preserve">and constant are derived from an </w:t>
      </w:r>
      <w:r w:rsidR="00C00550" w:rsidRPr="00A273E5">
        <w:rPr>
          <w:spacing w:val="-4"/>
        </w:rPr>
        <w:t>ordinary least squares</w:t>
      </w:r>
      <w:r w:rsidR="0067148E" w:rsidRPr="00A273E5">
        <w:rPr>
          <w:spacing w:val="-4"/>
        </w:rPr>
        <w:t xml:space="preserve"> regression.</w:t>
      </w:r>
    </w:p>
    <w:p w14:paraId="2BE394CC" w14:textId="6214F8E2" w:rsidR="009D3584" w:rsidRDefault="009D3584" w:rsidP="009D3584">
      <w:pPr>
        <w:pStyle w:val="Source"/>
      </w:pPr>
      <w:r w:rsidRPr="00696447">
        <w:t>Source:</w:t>
      </w:r>
      <w:r>
        <w:t xml:space="preserve"> </w:t>
      </w:r>
      <w:r w:rsidR="00F73858">
        <w:t xml:space="preserve">PC analysis of ABS (2023, Australian National Accounts: </w:t>
      </w:r>
      <w:r w:rsidR="00F73858" w:rsidRPr="00D359F4">
        <w:t>National Income, Expenditure and Product, Cat. no.</w:t>
      </w:r>
      <w:r w:rsidR="00A273E5">
        <w:t> </w:t>
      </w:r>
      <w:r w:rsidR="00F73858" w:rsidRPr="00D359F4">
        <w:t>5206.0, table</w:t>
      </w:r>
      <w:r w:rsidR="00C17C78">
        <w:t> </w:t>
      </w:r>
      <w:r w:rsidR="00F73858">
        <w:t>1).</w:t>
      </w:r>
    </w:p>
    <w:p w14:paraId="75966D69" w14:textId="5AF7E05A" w:rsidR="00AE0027" w:rsidRDefault="00647EAE" w:rsidP="00BC67F7">
      <w:pPr>
        <w:pStyle w:val="BodyText"/>
      </w:pPr>
      <w:r>
        <w:t xml:space="preserve">Finally, </w:t>
      </w:r>
      <w:r w:rsidR="002066F8">
        <w:t xml:space="preserve">changes to </w:t>
      </w:r>
      <w:r w:rsidR="00EE31D4">
        <w:t xml:space="preserve">estimates are </w:t>
      </w:r>
      <w:r w:rsidR="002066F8">
        <w:t xml:space="preserve">largest in </w:t>
      </w:r>
      <w:r w:rsidR="009538FC">
        <w:t xml:space="preserve">the </w:t>
      </w:r>
      <w:r w:rsidR="00C1412F">
        <w:t>September quarter</w:t>
      </w:r>
      <w:r w:rsidR="009538FC">
        <w:t xml:space="preserve"> releas</w:t>
      </w:r>
      <w:r w:rsidR="006F5622">
        <w:t>e</w:t>
      </w:r>
      <w:r w:rsidR="00CD6C61">
        <w:t xml:space="preserve"> </w:t>
      </w:r>
      <w:r w:rsidR="005243BA">
        <w:t>(figure</w:t>
      </w:r>
      <w:r w:rsidR="001E7095">
        <w:t> 7</w:t>
      </w:r>
      <w:r w:rsidR="005243BA">
        <w:t>)</w:t>
      </w:r>
      <w:r w:rsidR="00CD6C61">
        <w:t xml:space="preserve">. </w:t>
      </w:r>
      <w:r w:rsidR="00390777">
        <w:t xml:space="preserve">This </w:t>
      </w:r>
      <w:r w:rsidR="00863BBD">
        <w:t>coincides with the</w:t>
      </w:r>
      <w:r w:rsidR="00CD6C61">
        <w:t xml:space="preserve"> </w:t>
      </w:r>
      <w:r w:rsidR="00863BBD">
        <w:t xml:space="preserve">time that </w:t>
      </w:r>
      <w:r w:rsidR="00CD6C61">
        <w:t xml:space="preserve">the </w:t>
      </w:r>
      <w:r w:rsidR="00CD6C61" w:rsidRPr="00B3243E">
        <w:t xml:space="preserve">ABS update </w:t>
      </w:r>
      <w:r w:rsidR="00863BBD">
        <w:t>the</w:t>
      </w:r>
      <w:r w:rsidR="00CD6C61" w:rsidRPr="00B3243E">
        <w:t xml:space="preserve"> quarterly estimates to align with benchmarks </w:t>
      </w:r>
      <w:r w:rsidR="00CD6C61" w:rsidRPr="00A87FDC">
        <w:rPr>
          <w:rFonts w:ascii="Arial" w:hAnsi="Arial" w:cs="Arial"/>
        </w:rPr>
        <w:t>(ABS 2021b)</w:t>
      </w:r>
      <w:r w:rsidR="00390777">
        <w:t xml:space="preserve">, </w:t>
      </w:r>
      <w:r w:rsidR="00DC2002">
        <w:t>where</w:t>
      </w:r>
      <w:r w:rsidR="006F5622">
        <w:t xml:space="preserve"> </w:t>
      </w:r>
      <w:r w:rsidR="00390777">
        <w:t xml:space="preserve">the whole </w:t>
      </w:r>
      <w:r w:rsidR="006A5B4D">
        <w:t>set</w:t>
      </w:r>
      <w:r w:rsidR="00CD6C61">
        <w:t xml:space="preserve"> of </w:t>
      </w:r>
      <w:r w:rsidR="006A5B4D">
        <w:t>estimates</w:t>
      </w:r>
      <w:r w:rsidR="00CD6C61">
        <w:t xml:space="preserve"> </w:t>
      </w:r>
      <w:r w:rsidR="006F5622">
        <w:t xml:space="preserve">are </w:t>
      </w:r>
      <w:r w:rsidR="006A5B4D">
        <w:t>revised</w:t>
      </w:r>
      <w:r w:rsidR="00CD6C61">
        <w:t>.</w:t>
      </w:r>
      <w:r w:rsidR="00390777" w:rsidRPr="009611B3">
        <w:rPr>
          <w:rStyle w:val="FootnoteReference"/>
        </w:rPr>
        <w:footnoteReference w:id="7"/>
      </w:r>
      <w:r w:rsidR="00CD6C61">
        <w:t xml:space="preserve"> </w:t>
      </w:r>
    </w:p>
    <w:p w14:paraId="5AEEE826" w14:textId="5FF7CC8E" w:rsidR="00143A09" w:rsidRDefault="00143A09" w:rsidP="00143A09">
      <w:pPr>
        <w:pStyle w:val="FigureTableHeading"/>
        <w:rPr>
          <w:noProof/>
        </w:rPr>
      </w:pPr>
      <w:bookmarkStart w:id="15" w:name="_Ref173847951"/>
      <w:r>
        <w:lastRenderedPageBreak/>
        <w:t>Figure</w:t>
      </w:r>
      <w:r w:rsidR="00C17C78">
        <w:t> </w:t>
      </w:r>
      <w:r w:rsidR="001B60F7">
        <w:rPr>
          <w:noProof/>
        </w:rPr>
        <w:t>7</w:t>
      </w:r>
      <w:bookmarkEnd w:id="15"/>
      <w:r>
        <w:rPr>
          <w:noProof/>
        </w:rPr>
        <w:t xml:space="preserve"> </w:t>
      </w:r>
      <w:r>
        <w:t xml:space="preserve">– </w:t>
      </w:r>
      <w:r>
        <w:rPr>
          <w:noProof/>
        </w:rPr>
        <w:t>The September quarter update has the largest average absolute period</w:t>
      </w:r>
      <w:r w:rsidR="00C17C78">
        <w:rPr>
          <w:noProof/>
        </w:rPr>
        <w:noBreakHyphen/>
      </w:r>
      <w:r>
        <w:rPr>
          <w:noProof/>
        </w:rPr>
        <w:t>to</w:t>
      </w:r>
      <w:r w:rsidR="00C17C78">
        <w:rPr>
          <w:noProof/>
        </w:rPr>
        <w:noBreakHyphen/>
      </w:r>
      <w:r>
        <w:rPr>
          <w:noProof/>
        </w:rPr>
        <w:t>period revision</w:t>
      </w:r>
    </w:p>
    <w:p w14:paraId="1A4CE76D" w14:textId="0135EAF6" w:rsidR="00143A09" w:rsidRDefault="00143A09" w:rsidP="00143A09">
      <w:pPr>
        <w:pStyle w:val="FigureTableSubheading"/>
        <w:rPr>
          <w:noProof/>
        </w:rPr>
      </w:pPr>
      <w:r>
        <w:rPr>
          <w:noProof/>
        </w:rPr>
        <w:t xml:space="preserve">Average absolute </w:t>
      </w:r>
      <w:r w:rsidR="001C238B">
        <w:rPr>
          <w:noProof/>
        </w:rPr>
        <w:t>period</w:t>
      </w:r>
      <w:r w:rsidR="00C17C78">
        <w:rPr>
          <w:noProof/>
        </w:rPr>
        <w:noBreakHyphen/>
      </w:r>
      <w:r w:rsidR="001C238B">
        <w:rPr>
          <w:noProof/>
        </w:rPr>
        <w:t>to</w:t>
      </w:r>
      <w:r w:rsidR="00C17C78">
        <w:rPr>
          <w:noProof/>
        </w:rPr>
        <w:noBreakHyphen/>
      </w:r>
      <w:r w:rsidR="001C238B">
        <w:rPr>
          <w:noProof/>
        </w:rPr>
        <w:t>period</w:t>
      </w:r>
      <w:r>
        <w:rPr>
          <w:noProof/>
        </w:rPr>
        <w:t xml:space="preserve"> revision, by quarter of update</w:t>
      </w:r>
      <w:r>
        <w:rPr>
          <w:noProof/>
          <w:vertAlign w:val="superscript"/>
        </w:rPr>
        <w:t>a</w:t>
      </w:r>
      <w:r w:rsidR="00CF367B">
        <w:rPr>
          <w:noProof/>
          <w:vertAlign w:val="superscript"/>
        </w:rPr>
        <w:t>,b</w:t>
      </w:r>
      <w:r w:rsidR="00D418A1">
        <w:rPr>
          <w:noProof/>
        </w:rPr>
        <w:t>,</w:t>
      </w:r>
      <w:r>
        <w:rPr>
          <w:noProof/>
        </w:rPr>
        <w:t xml:space="preserve"> 2006</w:t>
      </w:r>
      <w:r w:rsidR="00C17C78">
        <w:rPr>
          <w:noProof/>
        </w:rPr>
        <w:t>–</w:t>
      </w:r>
      <w:r>
        <w:rPr>
          <w:noProof/>
        </w:rPr>
        <w:t>202</w:t>
      </w:r>
      <w:r w:rsidR="001C238B">
        <w:rPr>
          <w:noProof/>
        </w:rPr>
        <w:t>3</w:t>
      </w:r>
    </w:p>
    <w:p w14:paraId="13571079" w14:textId="3FE421FB" w:rsidR="00143A09" w:rsidRPr="005E1C7A" w:rsidRDefault="002C33F0" w:rsidP="00A273E5">
      <w:pPr>
        <w:pStyle w:val="BodyText"/>
        <w:rPr>
          <w:vertAlign w:val="superscript"/>
        </w:rPr>
      </w:pPr>
      <w:r w:rsidRPr="002C33F0">
        <w:rPr>
          <w:noProof/>
        </w:rPr>
        <w:drawing>
          <wp:inline distT="0" distB="0" distL="0" distR="0" wp14:anchorId="2C4163BA" wp14:editId="62ACAA89">
            <wp:extent cx="6120130" cy="2819400"/>
            <wp:effectExtent l="0" t="0" r="0" b="0"/>
            <wp:docPr id="758525446" name="Picture 10" descr="Figure 7 is a column chart with the average absolute period-to-period revision, by quarter of update for each column. The September quarter update has an average of 0.25 percentage points and the other three quarters have an average between 0.11 to 0.13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25446" name="Picture 10" descr="Figure 7 is a column chart with the average absolute period-to-period revision, by quarter of update for each column. The September quarter update has an average of 0.25 percentage points and the other three quarters have an average between 0.11 to 0.13 percentage points."/>
                    <pic:cNvPicPr>
                      <a:picLocks noChangeAspect="1" noChangeArrowheads="1"/>
                    </pic:cNvPicPr>
                  </pic:nvPicPr>
                  <pic:blipFill rotWithShape="1">
                    <a:blip r:embed="rId37">
                      <a:extLst>
                        <a:ext uri="{28A0092B-C50C-407E-A947-70E740481C1C}">
                          <a14:useLocalDpi xmlns:a14="http://schemas.microsoft.com/office/drawing/2010/main" val="0"/>
                        </a:ext>
                      </a:extLst>
                    </a:blip>
                    <a:srcRect b="3479"/>
                    <a:stretch/>
                  </pic:blipFill>
                  <pic:spPr bwMode="auto">
                    <a:xfrm>
                      <a:off x="0" y="0"/>
                      <a:ext cx="612013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0E1FBD90" w14:textId="66BAB3DB" w:rsidR="00143A09" w:rsidRPr="00B3243E" w:rsidRDefault="00143A09" w:rsidP="00143A09">
      <w:pPr>
        <w:pStyle w:val="Source"/>
        <w:spacing w:after="0"/>
      </w:pPr>
      <w:r w:rsidRPr="00B3243E">
        <w:rPr>
          <w:b/>
          <w:bCs/>
        </w:rPr>
        <w:t>a.</w:t>
      </w:r>
      <w:r w:rsidRPr="00B3243E">
        <w:t xml:space="preserve"> The absolute period</w:t>
      </w:r>
      <w:r w:rsidR="00C17C78">
        <w:noBreakHyphen/>
      </w:r>
      <w:r w:rsidR="00E528F2">
        <w:t>to</w:t>
      </w:r>
      <w:r w:rsidR="00C17C78">
        <w:noBreakHyphen/>
      </w:r>
      <w:r w:rsidR="00E528F2">
        <w:t>period</w:t>
      </w:r>
      <w:r w:rsidRPr="00B3243E">
        <w:t xml:space="preserve"> revisions are broken down by the quarter of the update period. That is, the sample of the September quarter includes any revision that occurs </w:t>
      </w:r>
      <w:r w:rsidR="00E21F74">
        <w:t>with</w:t>
      </w:r>
      <w:r w:rsidRPr="00B3243E">
        <w:t xml:space="preserve"> the September quarter</w:t>
      </w:r>
      <w:r w:rsidR="00E21F74">
        <w:t xml:space="preserve"> release</w:t>
      </w:r>
      <w:r w:rsidRPr="00B3243E">
        <w:t>.</w:t>
      </w:r>
      <w:r w:rsidR="00CF367B" w:rsidRPr="00B3243E">
        <w:rPr>
          <w:b/>
          <w:bCs/>
        </w:rPr>
        <w:t xml:space="preserve"> </w:t>
      </w:r>
      <w:r w:rsidR="00CF367B">
        <w:rPr>
          <w:b/>
          <w:bCs/>
        </w:rPr>
        <w:t>b</w:t>
      </w:r>
      <w:r w:rsidR="00CF367B" w:rsidRPr="00B3243E">
        <w:rPr>
          <w:b/>
          <w:bCs/>
        </w:rPr>
        <w:t>.</w:t>
      </w:r>
      <w:r w:rsidR="00CF367B">
        <w:rPr>
          <w:b/>
          <w:bCs/>
        </w:rPr>
        <w:t xml:space="preserve"> </w:t>
      </w:r>
      <w:r w:rsidR="00CF367B">
        <w:t>The sample includes revisions that occur within the first three years of the original release.</w:t>
      </w:r>
    </w:p>
    <w:p w14:paraId="374F2236" w14:textId="60C09AFD" w:rsidR="001B60F7" w:rsidRDefault="00143A09" w:rsidP="009C7BDC">
      <w:pPr>
        <w:spacing w:before="80" w:after="240" w:line="216" w:lineRule="atLeast"/>
        <w:rPr>
          <w:sz w:val="18"/>
        </w:rPr>
      </w:pPr>
      <w:r w:rsidRPr="00B3243E">
        <w:rPr>
          <w:sz w:val="18"/>
        </w:rPr>
        <w:t xml:space="preserve">Source: </w:t>
      </w:r>
      <w:r w:rsidR="00BC70F3" w:rsidRPr="00BC70F3">
        <w:rPr>
          <w:sz w:val="18"/>
        </w:rPr>
        <w:t>PC analysis of ABS (2023, Australian National Accounts: National Income, Expenditure and Product, Cat. no.</w:t>
      </w:r>
      <w:r w:rsidR="00A273E5">
        <w:rPr>
          <w:sz w:val="18"/>
        </w:rPr>
        <w:t> </w:t>
      </w:r>
      <w:r w:rsidR="00BC70F3" w:rsidRPr="00BC70F3">
        <w:rPr>
          <w:sz w:val="18"/>
        </w:rPr>
        <w:t>5206.0, table</w:t>
      </w:r>
      <w:r w:rsidR="00C17C78">
        <w:rPr>
          <w:sz w:val="18"/>
        </w:rPr>
        <w:t> </w:t>
      </w:r>
      <w:r w:rsidR="00BC70F3" w:rsidRPr="00BC70F3">
        <w:rPr>
          <w:sz w:val="18"/>
        </w:rPr>
        <w:t>1).</w:t>
      </w:r>
    </w:p>
    <w:p w14:paraId="5806D452" w14:textId="77777777" w:rsidR="001B60F7" w:rsidRDefault="001B60F7">
      <w:pPr>
        <w:spacing w:before="0" w:after="160" w:line="259" w:lineRule="auto"/>
        <w:rPr>
          <w:sz w:val="18"/>
        </w:rPr>
      </w:pPr>
      <w:r>
        <w:rPr>
          <w:sz w:val="18"/>
        </w:rPr>
        <w:br w:type="page"/>
      </w:r>
    </w:p>
    <w:p w14:paraId="758F24C0" w14:textId="60EABDAC" w:rsidR="00005FF9" w:rsidRDefault="00005FF9" w:rsidP="00A03605">
      <w:pPr>
        <w:pStyle w:val="Heading2-nonumber"/>
      </w:pPr>
      <w:bookmarkStart w:id="16" w:name="_Toc180336257"/>
      <w:r>
        <w:lastRenderedPageBreak/>
        <w:t>Appendix</w:t>
      </w:r>
      <w:bookmarkEnd w:id="16"/>
    </w:p>
    <w:p w14:paraId="3C5AB1C4" w14:textId="40FA0071" w:rsidR="00AA1C3E" w:rsidRDefault="00AA1C3E" w:rsidP="00016068">
      <w:pPr>
        <w:pStyle w:val="Heading3"/>
      </w:pPr>
      <w:r>
        <w:t>Regression analysis</w:t>
      </w:r>
    </w:p>
    <w:p w14:paraId="74FB859A" w14:textId="7BD1EA38" w:rsidR="00A60694" w:rsidRDefault="00A60694" w:rsidP="00AD0C6A">
      <w:pPr>
        <w:pStyle w:val="BodyText"/>
      </w:pPr>
      <w:r>
        <w:t xml:space="preserve">To determine if there was a relationship between </w:t>
      </w:r>
      <w:r w:rsidR="007D67F1">
        <w:t xml:space="preserve">revisions and the original estimate, the following </w:t>
      </w:r>
      <w:r w:rsidR="00467257">
        <w:t>regression was undertaken:</w:t>
      </w:r>
    </w:p>
    <w:p w14:paraId="424AA8BD" w14:textId="3C451E00" w:rsidR="009A1B58" w:rsidRDefault="009A1B58" w:rsidP="00AD0C6A">
      <w:pPr>
        <w:pStyle w:val="BodyText"/>
      </w:pPr>
      <m:oMathPara>
        <m:oMath>
          <m:r>
            <w:rPr>
              <w:rFonts w:ascii="Cambria Math" w:hAnsi="Cambria Math"/>
            </w:rPr>
            <m:t>Revisio</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Original estimat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14:paraId="08860BE7" w14:textId="2277F623" w:rsidR="00AD0C6A" w:rsidRPr="00A273E5" w:rsidRDefault="00AD0C6A" w:rsidP="00AD0C6A">
      <w:pPr>
        <w:pStyle w:val="BodyText"/>
        <w:rPr>
          <w:spacing w:val="-2"/>
        </w:rPr>
      </w:pPr>
      <w:r w:rsidRPr="00A273E5">
        <w:rPr>
          <w:spacing w:val="-2"/>
        </w:rPr>
        <w:t>Regression results</w:t>
      </w:r>
      <w:r w:rsidR="00467257" w:rsidRPr="00A273E5">
        <w:rPr>
          <w:spacing w:val="-2"/>
        </w:rPr>
        <w:t xml:space="preserve"> are shown </w:t>
      </w:r>
      <w:r w:rsidR="007B764B" w:rsidRPr="00A273E5">
        <w:rPr>
          <w:spacing w:val="-2"/>
        </w:rPr>
        <w:t>in table</w:t>
      </w:r>
      <w:r w:rsidR="00C17C78" w:rsidRPr="00A273E5">
        <w:rPr>
          <w:spacing w:val="-2"/>
        </w:rPr>
        <w:t> </w:t>
      </w:r>
      <w:r w:rsidR="00760B13">
        <w:rPr>
          <w:spacing w:val="-2"/>
        </w:rPr>
        <w:t>1</w:t>
      </w:r>
      <w:r w:rsidR="007B764B" w:rsidRPr="00A273E5">
        <w:rPr>
          <w:spacing w:val="-2"/>
        </w:rPr>
        <w:t xml:space="preserve"> (</w:t>
      </w:r>
      <w:r w:rsidR="00F33581" w:rsidRPr="00A273E5">
        <w:rPr>
          <w:spacing w:val="-2"/>
        </w:rPr>
        <w:t>revision regressed against the original estimate) and table</w:t>
      </w:r>
      <w:r w:rsidR="00C17C78" w:rsidRPr="00A273E5">
        <w:rPr>
          <w:spacing w:val="-2"/>
        </w:rPr>
        <w:t> </w:t>
      </w:r>
      <w:r w:rsidR="00FC56A0">
        <w:rPr>
          <w:spacing w:val="-2"/>
        </w:rPr>
        <w:t>2</w:t>
      </w:r>
      <w:r w:rsidR="00F33581" w:rsidRPr="00A273E5">
        <w:rPr>
          <w:spacing w:val="-2"/>
        </w:rPr>
        <w:t xml:space="preserve"> (the absolute revision regressed against the </w:t>
      </w:r>
      <w:r w:rsidR="008465A0" w:rsidRPr="00A273E5">
        <w:rPr>
          <w:spacing w:val="-2"/>
        </w:rPr>
        <w:t xml:space="preserve">absolute </w:t>
      </w:r>
      <w:r w:rsidR="00F33581" w:rsidRPr="00A273E5">
        <w:rPr>
          <w:spacing w:val="-2"/>
        </w:rPr>
        <w:t>original estimate)</w:t>
      </w:r>
      <w:r w:rsidR="00467257" w:rsidRPr="00A273E5">
        <w:rPr>
          <w:spacing w:val="-2"/>
        </w:rPr>
        <w:t>.</w:t>
      </w:r>
      <w:r w:rsidR="00C22BF9" w:rsidRPr="00A273E5">
        <w:rPr>
          <w:spacing w:val="-2"/>
        </w:rPr>
        <w:t xml:space="preserve"> The </w:t>
      </w:r>
      <w:r w:rsidR="00FA16DD" w:rsidRPr="00A273E5">
        <w:rPr>
          <w:spacing w:val="-2"/>
        </w:rPr>
        <w:t xml:space="preserve">results </w:t>
      </w:r>
      <w:r w:rsidR="00C22BF9" w:rsidRPr="00A273E5">
        <w:rPr>
          <w:spacing w:val="-2"/>
        </w:rPr>
        <w:t>in table</w:t>
      </w:r>
      <w:r w:rsidR="00C17C78" w:rsidRPr="00A273E5">
        <w:rPr>
          <w:spacing w:val="-2"/>
        </w:rPr>
        <w:t> </w:t>
      </w:r>
      <w:r w:rsidR="009F1F4A">
        <w:rPr>
          <w:spacing w:val="-2"/>
        </w:rPr>
        <w:t>1</w:t>
      </w:r>
      <w:r w:rsidR="00C22BF9" w:rsidRPr="00A273E5">
        <w:rPr>
          <w:spacing w:val="-2"/>
        </w:rPr>
        <w:t xml:space="preserve"> </w:t>
      </w:r>
      <w:r w:rsidR="00FA16DD" w:rsidRPr="00A273E5">
        <w:rPr>
          <w:spacing w:val="-2"/>
        </w:rPr>
        <w:t xml:space="preserve">show </w:t>
      </w:r>
      <w:r w:rsidR="003125FF" w:rsidRPr="00A273E5">
        <w:rPr>
          <w:spacing w:val="-2"/>
        </w:rPr>
        <w:t xml:space="preserve">whether there is an association between the </w:t>
      </w:r>
      <w:r w:rsidR="00052E37" w:rsidRPr="00A273E5">
        <w:rPr>
          <w:spacing w:val="-2"/>
        </w:rPr>
        <w:t xml:space="preserve">sign </w:t>
      </w:r>
      <w:r w:rsidR="003125FF" w:rsidRPr="00A273E5">
        <w:rPr>
          <w:spacing w:val="-2"/>
        </w:rPr>
        <w:t xml:space="preserve">of the original estimate and the </w:t>
      </w:r>
      <w:r w:rsidR="00052E37" w:rsidRPr="00A273E5">
        <w:rPr>
          <w:spacing w:val="-2"/>
        </w:rPr>
        <w:t>direction</w:t>
      </w:r>
      <w:r w:rsidR="003125FF" w:rsidRPr="00A273E5">
        <w:rPr>
          <w:spacing w:val="-2"/>
        </w:rPr>
        <w:t xml:space="preserve"> of the revisions. For example, </w:t>
      </w:r>
      <w:r w:rsidR="00C53D7F" w:rsidRPr="00A273E5">
        <w:rPr>
          <w:spacing w:val="-2"/>
        </w:rPr>
        <w:t xml:space="preserve">whether or not a </w:t>
      </w:r>
      <w:r w:rsidR="003125FF" w:rsidRPr="00A273E5">
        <w:rPr>
          <w:spacing w:val="-2"/>
        </w:rPr>
        <w:t xml:space="preserve">positive </w:t>
      </w:r>
      <w:r w:rsidR="003B7FCC" w:rsidRPr="00A273E5">
        <w:rPr>
          <w:spacing w:val="-2"/>
        </w:rPr>
        <w:t xml:space="preserve">(or negative) </w:t>
      </w:r>
      <w:r w:rsidR="003125FF" w:rsidRPr="00A273E5">
        <w:rPr>
          <w:spacing w:val="-2"/>
        </w:rPr>
        <w:t>estimate</w:t>
      </w:r>
      <w:r w:rsidR="00C53D7F" w:rsidRPr="00A273E5">
        <w:rPr>
          <w:spacing w:val="-2"/>
        </w:rPr>
        <w:t xml:space="preserve"> is more likely to be revised </w:t>
      </w:r>
      <w:r w:rsidR="003125FF" w:rsidRPr="00A273E5">
        <w:rPr>
          <w:spacing w:val="-2"/>
        </w:rPr>
        <w:t>up</w:t>
      </w:r>
      <w:r w:rsidR="00C53D7F" w:rsidRPr="00A273E5">
        <w:rPr>
          <w:spacing w:val="-2"/>
        </w:rPr>
        <w:t xml:space="preserve"> </w:t>
      </w:r>
      <w:r w:rsidR="003125FF" w:rsidRPr="00A273E5">
        <w:rPr>
          <w:spacing w:val="-2"/>
        </w:rPr>
        <w:t>or down</w:t>
      </w:r>
      <w:r w:rsidR="00C53D7F" w:rsidRPr="00A273E5">
        <w:rPr>
          <w:spacing w:val="-2"/>
        </w:rPr>
        <w:t>.</w:t>
      </w:r>
      <w:r w:rsidR="00052E37" w:rsidRPr="00A273E5">
        <w:rPr>
          <w:spacing w:val="-2"/>
        </w:rPr>
        <w:t xml:space="preserve"> </w:t>
      </w:r>
      <w:r w:rsidR="00210608" w:rsidRPr="00A273E5">
        <w:rPr>
          <w:spacing w:val="-2"/>
        </w:rPr>
        <w:t>The results in t</w:t>
      </w:r>
      <w:r w:rsidR="004965E7" w:rsidRPr="00A273E5">
        <w:rPr>
          <w:spacing w:val="-2"/>
        </w:rPr>
        <w:t>able</w:t>
      </w:r>
      <w:r w:rsidR="00C17C78" w:rsidRPr="00A273E5">
        <w:rPr>
          <w:spacing w:val="-2"/>
        </w:rPr>
        <w:t> </w:t>
      </w:r>
      <w:r w:rsidR="00DE6402">
        <w:rPr>
          <w:spacing w:val="-2"/>
        </w:rPr>
        <w:t>2</w:t>
      </w:r>
      <w:r w:rsidR="004965E7" w:rsidRPr="00A273E5">
        <w:rPr>
          <w:spacing w:val="-2"/>
        </w:rPr>
        <w:t xml:space="preserve"> </w:t>
      </w:r>
      <w:r w:rsidR="00210608" w:rsidRPr="00A273E5">
        <w:rPr>
          <w:spacing w:val="-2"/>
        </w:rPr>
        <w:t xml:space="preserve">show </w:t>
      </w:r>
      <w:r w:rsidR="004965E7" w:rsidRPr="00A273E5">
        <w:rPr>
          <w:spacing w:val="-2"/>
        </w:rPr>
        <w:t xml:space="preserve">whether there is an association between </w:t>
      </w:r>
      <w:r w:rsidR="00EF4CFB" w:rsidRPr="00A273E5">
        <w:rPr>
          <w:spacing w:val="-2"/>
        </w:rPr>
        <w:t xml:space="preserve">the </w:t>
      </w:r>
      <w:r w:rsidR="004E7B67" w:rsidRPr="00A273E5">
        <w:rPr>
          <w:spacing w:val="-2"/>
        </w:rPr>
        <w:t xml:space="preserve">absolute size of the original estimate and the absolute size of the revision. For example, </w:t>
      </w:r>
      <w:r w:rsidR="00210608" w:rsidRPr="00A273E5">
        <w:rPr>
          <w:spacing w:val="-2"/>
        </w:rPr>
        <w:t xml:space="preserve">whether </w:t>
      </w:r>
      <w:r w:rsidR="004E7B67" w:rsidRPr="00A273E5">
        <w:rPr>
          <w:spacing w:val="-2"/>
        </w:rPr>
        <w:t xml:space="preserve">larger </w:t>
      </w:r>
      <w:r w:rsidR="00210608" w:rsidRPr="00A273E5">
        <w:rPr>
          <w:spacing w:val="-2"/>
        </w:rPr>
        <w:t xml:space="preserve">productivity </w:t>
      </w:r>
      <w:r w:rsidR="004E7B67" w:rsidRPr="00A273E5">
        <w:rPr>
          <w:spacing w:val="-2"/>
        </w:rPr>
        <w:t xml:space="preserve">estimates </w:t>
      </w:r>
      <w:r w:rsidR="00210608" w:rsidRPr="00A273E5">
        <w:rPr>
          <w:spacing w:val="-2"/>
        </w:rPr>
        <w:t xml:space="preserve">are </w:t>
      </w:r>
      <w:r w:rsidR="004E7B67" w:rsidRPr="00A273E5">
        <w:rPr>
          <w:spacing w:val="-2"/>
        </w:rPr>
        <w:t>associated with a larger revision</w:t>
      </w:r>
      <w:r w:rsidR="007B47FE" w:rsidRPr="00A273E5">
        <w:rPr>
          <w:spacing w:val="-2"/>
        </w:rPr>
        <w:t>.</w:t>
      </w:r>
      <w:r w:rsidR="00046F5A" w:rsidRPr="00A273E5">
        <w:rPr>
          <w:spacing w:val="-2"/>
        </w:rPr>
        <w:t xml:space="preserve"> </w:t>
      </w:r>
    </w:p>
    <w:p w14:paraId="212BE99D" w14:textId="77B41276" w:rsidR="005644C9" w:rsidRDefault="002227A5" w:rsidP="00D96B5E">
      <w:pPr>
        <w:pStyle w:val="FigureTableHeading"/>
      </w:pPr>
      <w:r>
        <w:t>Table</w:t>
      </w:r>
      <w:r w:rsidR="00C17C78">
        <w:t> </w:t>
      </w:r>
      <w:r w:rsidR="001B60F7">
        <w:rPr>
          <w:noProof/>
        </w:rPr>
        <w:t>1</w:t>
      </w:r>
      <w:r>
        <w:rPr>
          <w:noProof/>
        </w:rPr>
        <w:t xml:space="preserve"> – </w:t>
      </w:r>
      <w:r w:rsidR="00B32DC6">
        <w:rPr>
          <w:noProof/>
        </w:rPr>
        <w:t xml:space="preserve">Regression results </w:t>
      </w:r>
      <w:r w:rsidR="00F33581">
        <w:rPr>
          <w:noProof/>
        </w:rPr>
        <w:t>(revision)</w:t>
      </w:r>
      <w:r w:rsidR="008348DB">
        <w:rPr>
          <w:noProof/>
          <w:vertAlign w:val="superscript"/>
        </w:rPr>
        <w:t>a</w:t>
      </w:r>
    </w:p>
    <w:tbl>
      <w:tblPr>
        <w:tblW w:w="7655"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992"/>
        <w:gridCol w:w="532"/>
        <w:gridCol w:w="1382"/>
        <w:gridCol w:w="71"/>
        <w:gridCol w:w="1311"/>
        <w:gridCol w:w="1382"/>
      </w:tblGrid>
      <w:tr w:rsidR="00326244" w:rsidRPr="00326244" w14:paraId="04CFE770" w14:textId="77777777" w:rsidTr="005C3CD2">
        <w:trPr>
          <w:gridAfter w:val="2"/>
          <w:wAfter w:w="2693" w:type="dxa"/>
          <w:trHeight w:val="255"/>
          <w:tblHeader/>
        </w:trPr>
        <w:tc>
          <w:tcPr>
            <w:tcW w:w="2977" w:type="dxa"/>
            <w:gridSpan w:val="2"/>
            <w:tcBorders>
              <w:bottom w:val="single" w:sz="4" w:space="0" w:color="B3B3B3"/>
            </w:tcBorders>
            <w:shd w:val="clear" w:color="auto" w:fill="auto"/>
            <w:noWrap/>
            <w:vAlign w:val="bottom"/>
            <w:hideMark/>
          </w:tcPr>
          <w:p w14:paraId="446B1015" w14:textId="2D3EEE21" w:rsidR="00B370A7" w:rsidRPr="00B370A7" w:rsidRDefault="00B370A7" w:rsidP="00D959DB">
            <w:pPr>
              <w:pStyle w:val="TableHeading"/>
              <w:rPr>
                <w:lang w:eastAsia="en-AU"/>
              </w:rPr>
            </w:pPr>
            <w:r w:rsidRPr="00B370A7">
              <w:rPr>
                <w:lang w:eastAsia="en-AU"/>
              </w:rPr>
              <w:t>R</w:t>
            </w:r>
            <w:r w:rsidR="00C17C78">
              <w:rPr>
                <w:lang w:eastAsia="en-AU"/>
              </w:rPr>
              <w:noBreakHyphen/>
            </w:r>
            <w:r w:rsidR="00DE2CFA">
              <w:rPr>
                <w:lang w:eastAsia="en-AU"/>
              </w:rPr>
              <w:t>s</w:t>
            </w:r>
            <w:r w:rsidRPr="00B370A7">
              <w:rPr>
                <w:lang w:eastAsia="en-AU"/>
              </w:rPr>
              <w:t>quare</w:t>
            </w:r>
            <w:r w:rsidR="00DE2CFA">
              <w:rPr>
                <w:lang w:eastAsia="en-AU"/>
              </w:rPr>
              <w:t>d</w:t>
            </w:r>
          </w:p>
        </w:tc>
        <w:tc>
          <w:tcPr>
            <w:tcW w:w="1985" w:type="dxa"/>
            <w:gridSpan w:val="3"/>
            <w:tcBorders>
              <w:bottom w:val="single" w:sz="4" w:space="0" w:color="B3B3B3"/>
            </w:tcBorders>
            <w:shd w:val="clear" w:color="auto" w:fill="auto"/>
            <w:noWrap/>
            <w:vAlign w:val="bottom"/>
            <w:hideMark/>
          </w:tcPr>
          <w:p w14:paraId="5A54DDDA" w14:textId="4521DC84" w:rsidR="00B370A7" w:rsidRPr="00B370A7" w:rsidRDefault="00B370A7" w:rsidP="00FB0F7D">
            <w:pPr>
              <w:pStyle w:val="TableBody"/>
              <w:ind w:right="1531"/>
              <w:jc w:val="right"/>
              <w:rPr>
                <w:lang w:eastAsia="en-AU"/>
              </w:rPr>
            </w:pPr>
            <w:r w:rsidRPr="00B370A7">
              <w:rPr>
                <w:lang w:eastAsia="en-AU"/>
              </w:rPr>
              <w:t>0.2</w:t>
            </w:r>
            <w:r w:rsidR="00F47F2F">
              <w:rPr>
                <w:lang w:eastAsia="en-AU"/>
              </w:rPr>
              <w:t>7</w:t>
            </w:r>
          </w:p>
        </w:tc>
      </w:tr>
      <w:tr w:rsidR="00326244" w:rsidRPr="00B370A7" w14:paraId="10844F25" w14:textId="77777777" w:rsidTr="005C3CD2">
        <w:trPr>
          <w:gridAfter w:val="2"/>
          <w:wAfter w:w="2693" w:type="dxa"/>
          <w:trHeight w:val="263"/>
        </w:trPr>
        <w:tc>
          <w:tcPr>
            <w:tcW w:w="2977" w:type="dxa"/>
            <w:gridSpan w:val="2"/>
            <w:tcBorders>
              <w:bottom w:val="single" w:sz="4" w:space="0" w:color="B3B3B3"/>
            </w:tcBorders>
            <w:shd w:val="clear" w:color="auto" w:fill="F2F2F2"/>
            <w:noWrap/>
            <w:hideMark/>
          </w:tcPr>
          <w:p w14:paraId="3E1F2848" w14:textId="77777777" w:rsidR="00B370A7" w:rsidRPr="00B370A7" w:rsidRDefault="00B370A7" w:rsidP="00D959DB">
            <w:pPr>
              <w:pStyle w:val="TableHeading"/>
              <w:rPr>
                <w:lang w:eastAsia="en-AU"/>
              </w:rPr>
            </w:pPr>
            <w:r w:rsidRPr="00B370A7">
              <w:rPr>
                <w:lang w:eastAsia="en-AU"/>
              </w:rPr>
              <w:t>Observations</w:t>
            </w:r>
          </w:p>
        </w:tc>
        <w:tc>
          <w:tcPr>
            <w:tcW w:w="1985" w:type="dxa"/>
            <w:gridSpan w:val="3"/>
            <w:tcBorders>
              <w:bottom w:val="single" w:sz="4" w:space="0" w:color="B3B3B3"/>
            </w:tcBorders>
            <w:shd w:val="clear" w:color="auto" w:fill="F2F2F2"/>
            <w:noWrap/>
            <w:hideMark/>
          </w:tcPr>
          <w:p w14:paraId="4C5914EB" w14:textId="77777777" w:rsidR="00B370A7" w:rsidRPr="00B370A7" w:rsidRDefault="00B370A7" w:rsidP="00FB0F7D">
            <w:pPr>
              <w:pStyle w:val="TableBody"/>
              <w:ind w:right="1531"/>
              <w:jc w:val="right"/>
              <w:rPr>
                <w:color w:val="000000"/>
                <w:lang w:eastAsia="en-AU"/>
              </w:rPr>
            </w:pPr>
            <w:r w:rsidRPr="00B370A7">
              <w:rPr>
                <w:color w:val="000000"/>
                <w:lang w:eastAsia="en-AU"/>
              </w:rPr>
              <w:t>58</w:t>
            </w:r>
          </w:p>
        </w:tc>
      </w:tr>
      <w:tr w:rsidR="00AA1C3E" w:rsidRPr="008D329C" w14:paraId="12668917" w14:textId="77777777" w:rsidTr="005C3CD2">
        <w:tblPrEx>
          <w:shd w:val="clear" w:color="000000" w:fill="auto"/>
        </w:tblPrEx>
        <w:trPr>
          <w:trHeight w:val="283"/>
          <w:tblHeader/>
        </w:trPr>
        <w:tc>
          <w:tcPr>
            <w:tcW w:w="1985" w:type="dxa"/>
            <w:tcBorders>
              <w:bottom w:val="single" w:sz="4" w:space="0" w:color="B3B3B3"/>
            </w:tcBorders>
            <w:shd w:val="clear" w:color="000000" w:fill="auto"/>
            <w:noWrap/>
            <w:vAlign w:val="bottom"/>
            <w:hideMark/>
          </w:tcPr>
          <w:p w14:paraId="4AFFC280" w14:textId="77777777" w:rsidR="00AA1C3E" w:rsidRPr="008D329C" w:rsidRDefault="00AA1C3E" w:rsidP="003416C6">
            <w:pPr>
              <w:pStyle w:val="TableHeading"/>
              <w:rPr>
                <w:lang w:eastAsia="en-AU"/>
              </w:rPr>
            </w:pPr>
            <w:r w:rsidRPr="008D329C">
              <w:rPr>
                <w:lang w:eastAsia="en-AU"/>
              </w:rPr>
              <w:t> </w:t>
            </w:r>
          </w:p>
        </w:tc>
        <w:tc>
          <w:tcPr>
            <w:tcW w:w="1524" w:type="dxa"/>
            <w:gridSpan w:val="2"/>
            <w:tcBorders>
              <w:bottom w:val="single" w:sz="4" w:space="0" w:color="B3B3B3"/>
            </w:tcBorders>
            <w:shd w:val="clear" w:color="000000" w:fill="auto"/>
            <w:noWrap/>
            <w:vAlign w:val="bottom"/>
            <w:hideMark/>
          </w:tcPr>
          <w:p w14:paraId="50D58C61" w14:textId="77777777" w:rsidR="00AA1C3E" w:rsidRPr="008D329C" w:rsidRDefault="00AA1C3E" w:rsidP="003416C6">
            <w:pPr>
              <w:pStyle w:val="TableHeading"/>
              <w:rPr>
                <w:lang w:eastAsia="en-AU"/>
              </w:rPr>
            </w:pPr>
            <w:r w:rsidRPr="008D329C">
              <w:rPr>
                <w:lang w:eastAsia="en-AU"/>
              </w:rPr>
              <w:t>Coefficients</w:t>
            </w:r>
          </w:p>
        </w:tc>
        <w:tc>
          <w:tcPr>
            <w:tcW w:w="1382" w:type="dxa"/>
            <w:tcBorders>
              <w:bottom w:val="single" w:sz="4" w:space="0" w:color="B3B3B3"/>
            </w:tcBorders>
            <w:shd w:val="clear" w:color="000000" w:fill="auto"/>
            <w:noWrap/>
            <w:vAlign w:val="bottom"/>
            <w:hideMark/>
          </w:tcPr>
          <w:p w14:paraId="2B7743F3" w14:textId="35C6CD91" w:rsidR="00AA1C3E" w:rsidRPr="008D329C" w:rsidRDefault="00AA1C3E" w:rsidP="003416C6">
            <w:pPr>
              <w:pStyle w:val="TableHeading"/>
              <w:rPr>
                <w:lang w:eastAsia="en-AU"/>
              </w:rPr>
            </w:pPr>
            <w:r w:rsidRPr="008D329C">
              <w:rPr>
                <w:lang w:eastAsia="en-AU"/>
              </w:rPr>
              <w:t xml:space="preserve">Standard </w:t>
            </w:r>
            <w:r w:rsidR="00910579">
              <w:rPr>
                <w:lang w:eastAsia="en-AU"/>
              </w:rPr>
              <w:t>e</w:t>
            </w:r>
            <w:r w:rsidRPr="008D329C">
              <w:rPr>
                <w:lang w:eastAsia="en-AU"/>
              </w:rPr>
              <w:t>rror</w:t>
            </w:r>
          </w:p>
        </w:tc>
        <w:tc>
          <w:tcPr>
            <w:tcW w:w="1382" w:type="dxa"/>
            <w:gridSpan w:val="2"/>
            <w:tcBorders>
              <w:bottom w:val="single" w:sz="4" w:space="0" w:color="B3B3B3"/>
            </w:tcBorders>
            <w:shd w:val="clear" w:color="000000" w:fill="auto"/>
            <w:noWrap/>
            <w:vAlign w:val="bottom"/>
            <w:hideMark/>
          </w:tcPr>
          <w:p w14:paraId="19768B89" w14:textId="44D06DEE" w:rsidR="00AA1C3E" w:rsidRPr="008D329C" w:rsidRDefault="00AA1C3E" w:rsidP="003416C6">
            <w:pPr>
              <w:pStyle w:val="TableHeading"/>
              <w:rPr>
                <w:lang w:eastAsia="en-AU"/>
              </w:rPr>
            </w:pPr>
            <w:r w:rsidRPr="008D329C">
              <w:rPr>
                <w:lang w:eastAsia="en-AU"/>
              </w:rPr>
              <w:t>t</w:t>
            </w:r>
            <w:r w:rsidR="00C17C78">
              <w:rPr>
                <w:lang w:eastAsia="en-AU"/>
              </w:rPr>
              <w:noBreakHyphen/>
            </w:r>
            <w:r w:rsidR="00910579">
              <w:rPr>
                <w:lang w:eastAsia="en-AU"/>
              </w:rPr>
              <w:t>s</w:t>
            </w:r>
            <w:r w:rsidRPr="008D329C">
              <w:rPr>
                <w:lang w:eastAsia="en-AU"/>
              </w:rPr>
              <w:t>tat</w:t>
            </w:r>
          </w:p>
        </w:tc>
        <w:tc>
          <w:tcPr>
            <w:tcW w:w="1382" w:type="dxa"/>
            <w:tcBorders>
              <w:bottom w:val="single" w:sz="4" w:space="0" w:color="B3B3B3"/>
            </w:tcBorders>
            <w:shd w:val="clear" w:color="000000" w:fill="auto"/>
            <w:noWrap/>
            <w:vAlign w:val="bottom"/>
            <w:hideMark/>
          </w:tcPr>
          <w:p w14:paraId="1CA5742C" w14:textId="40DEF2BF" w:rsidR="00AA1C3E" w:rsidRPr="008D329C" w:rsidRDefault="00AA1C3E" w:rsidP="003416C6">
            <w:pPr>
              <w:pStyle w:val="TableHeading"/>
              <w:rPr>
                <w:lang w:eastAsia="en-AU"/>
              </w:rPr>
            </w:pPr>
            <w:r w:rsidRPr="008D329C">
              <w:rPr>
                <w:lang w:eastAsia="en-AU"/>
              </w:rPr>
              <w:t>P</w:t>
            </w:r>
            <w:r w:rsidR="00C17C78">
              <w:rPr>
                <w:lang w:eastAsia="en-AU"/>
              </w:rPr>
              <w:noBreakHyphen/>
            </w:r>
            <w:r w:rsidRPr="008D329C">
              <w:rPr>
                <w:lang w:eastAsia="en-AU"/>
              </w:rPr>
              <w:t>value</w:t>
            </w:r>
          </w:p>
        </w:tc>
      </w:tr>
      <w:tr w:rsidR="00AA1C3E" w:rsidRPr="008D329C" w14:paraId="5534CDE8" w14:textId="77777777" w:rsidTr="005C3CD2">
        <w:tblPrEx>
          <w:shd w:val="clear" w:color="000000" w:fill="auto"/>
        </w:tblPrEx>
        <w:trPr>
          <w:trHeight w:val="266"/>
        </w:trPr>
        <w:tc>
          <w:tcPr>
            <w:tcW w:w="1985" w:type="dxa"/>
            <w:tcBorders>
              <w:top w:val="single" w:sz="4" w:space="0" w:color="B3B3B3"/>
              <w:bottom w:val="nil"/>
            </w:tcBorders>
            <w:shd w:val="clear" w:color="000000" w:fill="F2F2F2"/>
            <w:noWrap/>
            <w:hideMark/>
          </w:tcPr>
          <w:p w14:paraId="02A5E750" w14:textId="77777777" w:rsidR="00AA1C3E" w:rsidRPr="008D329C" w:rsidRDefault="00AA1C3E" w:rsidP="003416C6">
            <w:pPr>
              <w:pStyle w:val="TableHeading"/>
              <w:rPr>
                <w:lang w:eastAsia="en-AU"/>
              </w:rPr>
            </w:pPr>
            <w:r w:rsidRPr="008D329C">
              <w:rPr>
                <w:lang w:eastAsia="en-AU"/>
              </w:rPr>
              <w:t>Intercept</w:t>
            </w:r>
          </w:p>
        </w:tc>
        <w:tc>
          <w:tcPr>
            <w:tcW w:w="1524" w:type="dxa"/>
            <w:gridSpan w:val="2"/>
            <w:tcBorders>
              <w:top w:val="single" w:sz="4" w:space="0" w:color="B3B3B3"/>
              <w:bottom w:val="nil"/>
            </w:tcBorders>
            <w:shd w:val="clear" w:color="000000" w:fill="F2F2F2"/>
            <w:noWrap/>
            <w:hideMark/>
          </w:tcPr>
          <w:p w14:paraId="31A7A521" w14:textId="77777777" w:rsidR="00AA1C3E" w:rsidRPr="008D329C" w:rsidRDefault="00AA1C3E" w:rsidP="003416C6">
            <w:pPr>
              <w:pStyle w:val="TableBody"/>
              <w:rPr>
                <w:lang w:eastAsia="en-AU"/>
              </w:rPr>
            </w:pPr>
            <w:r w:rsidRPr="008D329C">
              <w:rPr>
                <w:lang w:eastAsia="en-AU"/>
              </w:rPr>
              <w:t>0.</w:t>
            </w:r>
            <w:r>
              <w:rPr>
                <w:lang w:eastAsia="en-AU"/>
              </w:rPr>
              <w:t>09</w:t>
            </w:r>
          </w:p>
        </w:tc>
        <w:tc>
          <w:tcPr>
            <w:tcW w:w="1382" w:type="dxa"/>
            <w:tcBorders>
              <w:top w:val="single" w:sz="4" w:space="0" w:color="B3B3B3"/>
              <w:bottom w:val="nil"/>
            </w:tcBorders>
            <w:shd w:val="clear" w:color="000000" w:fill="F2F2F2"/>
            <w:noWrap/>
            <w:hideMark/>
          </w:tcPr>
          <w:p w14:paraId="0776BE42" w14:textId="0A28E4E1" w:rsidR="00AA1C3E" w:rsidRPr="008D329C" w:rsidRDefault="00AA1C3E" w:rsidP="003416C6">
            <w:pPr>
              <w:pStyle w:val="TableBody"/>
              <w:rPr>
                <w:lang w:eastAsia="en-AU"/>
              </w:rPr>
            </w:pPr>
            <w:r w:rsidRPr="008D329C">
              <w:rPr>
                <w:lang w:eastAsia="en-AU"/>
              </w:rPr>
              <w:t>0.0</w:t>
            </w:r>
            <w:r w:rsidR="001A2237">
              <w:rPr>
                <w:lang w:eastAsia="en-AU"/>
              </w:rPr>
              <w:t>5</w:t>
            </w:r>
          </w:p>
        </w:tc>
        <w:tc>
          <w:tcPr>
            <w:tcW w:w="1382" w:type="dxa"/>
            <w:gridSpan w:val="2"/>
            <w:tcBorders>
              <w:top w:val="single" w:sz="4" w:space="0" w:color="B3B3B3"/>
              <w:bottom w:val="nil"/>
            </w:tcBorders>
            <w:shd w:val="clear" w:color="000000" w:fill="F2F2F2"/>
            <w:noWrap/>
            <w:hideMark/>
          </w:tcPr>
          <w:p w14:paraId="716D973B" w14:textId="474F4319" w:rsidR="00AA1C3E" w:rsidRPr="008D329C" w:rsidRDefault="00AA1C3E" w:rsidP="003416C6">
            <w:pPr>
              <w:pStyle w:val="TableBody"/>
              <w:rPr>
                <w:lang w:eastAsia="en-AU"/>
              </w:rPr>
            </w:pPr>
            <w:r w:rsidRPr="008D329C">
              <w:rPr>
                <w:lang w:eastAsia="en-AU"/>
              </w:rPr>
              <w:t>1.6</w:t>
            </w:r>
            <w:r w:rsidR="001A2237">
              <w:rPr>
                <w:lang w:eastAsia="en-AU"/>
              </w:rPr>
              <w:t>2</w:t>
            </w:r>
          </w:p>
        </w:tc>
        <w:tc>
          <w:tcPr>
            <w:tcW w:w="1382" w:type="dxa"/>
            <w:tcBorders>
              <w:top w:val="single" w:sz="4" w:space="0" w:color="B3B3B3"/>
              <w:bottom w:val="nil"/>
            </w:tcBorders>
            <w:shd w:val="clear" w:color="000000" w:fill="F2F2F2"/>
            <w:noWrap/>
            <w:hideMark/>
          </w:tcPr>
          <w:p w14:paraId="4EDB7C1A" w14:textId="77777777" w:rsidR="00AA1C3E" w:rsidRPr="008D329C" w:rsidRDefault="00AA1C3E" w:rsidP="003416C6">
            <w:pPr>
              <w:pStyle w:val="TableBody"/>
              <w:rPr>
                <w:lang w:eastAsia="en-AU"/>
              </w:rPr>
            </w:pPr>
            <w:r w:rsidRPr="008D329C">
              <w:rPr>
                <w:lang w:eastAsia="en-AU"/>
              </w:rPr>
              <w:t>0.11</w:t>
            </w:r>
          </w:p>
        </w:tc>
      </w:tr>
      <w:tr w:rsidR="00AA1C3E" w:rsidRPr="008D329C" w14:paraId="3AA505B4" w14:textId="77777777" w:rsidTr="005C3CD2">
        <w:tblPrEx>
          <w:shd w:val="clear" w:color="000000" w:fill="auto"/>
        </w:tblPrEx>
        <w:trPr>
          <w:trHeight w:val="275"/>
        </w:trPr>
        <w:tc>
          <w:tcPr>
            <w:tcW w:w="1985" w:type="dxa"/>
            <w:tcBorders>
              <w:top w:val="nil"/>
            </w:tcBorders>
            <w:shd w:val="clear" w:color="000000" w:fill="auto"/>
            <w:noWrap/>
            <w:hideMark/>
          </w:tcPr>
          <w:p w14:paraId="65CC1CAA" w14:textId="77777777" w:rsidR="00AA1C3E" w:rsidRPr="008D329C" w:rsidRDefault="00AA1C3E" w:rsidP="003416C6">
            <w:pPr>
              <w:pStyle w:val="TableHeading"/>
              <w:rPr>
                <w:lang w:eastAsia="en-AU"/>
              </w:rPr>
            </w:pPr>
            <w:r>
              <w:rPr>
                <w:lang w:eastAsia="en-AU"/>
              </w:rPr>
              <w:t>Original estimate</w:t>
            </w:r>
          </w:p>
        </w:tc>
        <w:tc>
          <w:tcPr>
            <w:tcW w:w="1524" w:type="dxa"/>
            <w:gridSpan w:val="2"/>
            <w:tcBorders>
              <w:top w:val="nil"/>
            </w:tcBorders>
            <w:shd w:val="clear" w:color="000000" w:fill="auto"/>
            <w:noWrap/>
            <w:hideMark/>
          </w:tcPr>
          <w:p w14:paraId="6274885D" w14:textId="0CDF9B85" w:rsidR="00AA1C3E" w:rsidRPr="008D329C" w:rsidRDefault="00C17C78" w:rsidP="003416C6">
            <w:pPr>
              <w:pStyle w:val="TableBody"/>
              <w:rPr>
                <w:lang w:eastAsia="en-AU"/>
              </w:rPr>
            </w:pPr>
            <w:r>
              <w:rPr>
                <w:lang w:eastAsia="en-AU"/>
              </w:rPr>
              <w:noBreakHyphen/>
            </w:r>
            <w:r w:rsidR="00AA1C3E" w:rsidRPr="008D329C">
              <w:rPr>
                <w:lang w:eastAsia="en-AU"/>
              </w:rPr>
              <w:t>0.29</w:t>
            </w:r>
            <w:r w:rsidR="00BA0A49">
              <w:rPr>
                <w:lang w:eastAsia="en-AU"/>
              </w:rPr>
              <w:t>***</w:t>
            </w:r>
          </w:p>
        </w:tc>
        <w:tc>
          <w:tcPr>
            <w:tcW w:w="1382" w:type="dxa"/>
            <w:tcBorders>
              <w:top w:val="nil"/>
            </w:tcBorders>
            <w:shd w:val="clear" w:color="000000" w:fill="auto"/>
            <w:noWrap/>
            <w:hideMark/>
          </w:tcPr>
          <w:p w14:paraId="2BA03320" w14:textId="4803C1C2" w:rsidR="00AA1C3E" w:rsidRPr="008D329C" w:rsidRDefault="00AA1C3E" w:rsidP="003416C6">
            <w:pPr>
              <w:pStyle w:val="TableBody"/>
              <w:rPr>
                <w:lang w:eastAsia="en-AU"/>
              </w:rPr>
            </w:pPr>
            <w:r w:rsidRPr="008D329C">
              <w:rPr>
                <w:lang w:eastAsia="en-AU"/>
              </w:rPr>
              <w:t>0.0</w:t>
            </w:r>
            <w:r w:rsidR="001A2237">
              <w:rPr>
                <w:lang w:eastAsia="en-AU"/>
              </w:rPr>
              <w:t>7</w:t>
            </w:r>
          </w:p>
        </w:tc>
        <w:tc>
          <w:tcPr>
            <w:tcW w:w="1382" w:type="dxa"/>
            <w:gridSpan w:val="2"/>
            <w:tcBorders>
              <w:top w:val="nil"/>
            </w:tcBorders>
            <w:shd w:val="clear" w:color="000000" w:fill="auto"/>
            <w:noWrap/>
            <w:hideMark/>
          </w:tcPr>
          <w:p w14:paraId="3BD61636" w14:textId="7B7F6478" w:rsidR="00AA1C3E" w:rsidRPr="008D329C" w:rsidRDefault="00C17C78" w:rsidP="003416C6">
            <w:pPr>
              <w:pStyle w:val="TableBody"/>
              <w:rPr>
                <w:lang w:eastAsia="en-AU"/>
              </w:rPr>
            </w:pPr>
            <w:r>
              <w:rPr>
                <w:lang w:eastAsia="en-AU"/>
              </w:rPr>
              <w:noBreakHyphen/>
            </w:r>
            <w:r w:rsidR="00343278">
              <w:rPr>
                <w:lang w:eastAsia="en-AU"/>
              </w:rPr>
              <w:t>3.98</w:t>
            </w:r>
          </w:p>
        </w:tc>
        <w:tc>
          <w:tcPr>
            <w:tcW w:w="1382" w:type="dxa"/>
            <w:tcBorders>
              <w:top w:val="nil"/>
            </w:tcBorders>
            <w:shd w:val="clear" w:color="000000" w:fill="auto"/>
            <w:noWrap/>
            <w:hideMark/>
          </w:tcPr>
          <w:p w14:paraId="7FE977C7" w14:textId="4B6195CA" w:rsidR="00AA1C3E" w:rsidRPr="008D329C" w:rsidRDefault="00FF4248" w:rsidP="003416C6">
            <w:pPr>
              <w:pStyle w:val="TableBody"/>
              <w:rPr>
                <w:lang w:eastAsia="en-AU"/>
              </w:rPr>
            </w:pPr>
            <w:r>
              <w:rPr>
                <w:lang w:eastAsia="en-AU"/>
              </w:rPr>
              <w:t>0.00</w:t>
            </w:r>
          </w:p>
        </w:tc>
      </w:tr>
    </w:tbl>
    <w:p w14:paraId="38B4E394" w14:textId="2351DB43" w:rsidR="009B4DDA" w:rsidRPr="008348DB" w:rsidRDefault="003B7256" w:rsidP="00174B3D">
      <w:pPr>
        <w:pStyle w:val="Note"/>
        <w:spacing w:before="120"/>
      </w:pPr>
      <w:r>
        <w:rPr>
          <w:b/>
          <w:bCs/>
        </w:rPr>
        <w:t xml:space="preserve">a. </w:t>
      </w:r>
      <w:r w:rsidR="008348DB" w:rsidRPr="008348DB">
        <w:t>*p&lt;0.10; *</w:t>
      </w:r>
      <w:r w:rsidRPr="008348DB">
        <w:t>*p&lt;0.05</w:t>
      </w:r>
      <w:r w:rsidR="008348DB" w:rsidRPr="008348DB">
        <w:t>; ***</w:t>
      </w:r>
      <w:r w:rsidR="009B4DDA" w:rsidRPr="008348DB">
        <w:t>p&lt;0.01</w:t>
      </w:r>
      <w:r w:rsidR="008348DB" w:rsidRPr="008348DB">
        <w:t>.</w:t>
      </w:r>
    </w:p>
    <w:p w14:paraId="07A8A898" w14:textId="7095D1D0" w:rsidR="00B370A7" w:rsidRDefault="00D604C6" w:rsidP="00D96B5E">
      <w:pPr>
        <w:pStyle w:val="FigureTableHeading"/>
      </w:pPr>
      <w:r>
        <w:t>Table</w:t>
      </w:r>
      <w:r w:rsidR="00C17C78">
        <w:t> </w:t>
      </w:r>
      <w:r w:rsidR="001B60F7">
        <w:rPr>
          <w:noProof/>
        </w:rPr>
        <w:t>2</w:t>
      </w:r>
      <w:r>
        <w:rPr>
          <w:noProof/>
        </w:rPr>
        <w:t xml:space="preserve"> – </w:t>
      </w:r>
      <w:r w:rsidR="00F33581">
        <w:rPr>
          <w:noProof/>
        </w:rPr>
        <w:t>R</w:t>
      </w:r>
      <w:r w:rsidR="00F33581">
        <w:t xml:space="preserve">egression results (absolute </w:t>
      </w:r>
      <w:proofErr w:type="gramStart"/>
      <w:r w:rsidR="00F33581">
        <w:t>revision)</w:t>
      </w:r>
      <w:r w:rsidR="008348DB">
        <w:rPr>
          <w:noProof/>
          <w:vertAlign w:val="superscript"/>
        </w:rPr>
        <w:t>a</w:t>
      </w:r>
      <w:proofErr w:type="gramEnd"/>
    </w:p>
    <w:tbl>
      <w:tblPr>
        <w:tblW w:w="7655"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992"/>
        <w:gridCol w:w="567"/>
        <w:gridCol w:w="1418"/>
        <w:gridCol w:w="1275"/>
        <w:gridCol w:w="1418"/>
      </w:tblGrid>
      <w:tr w:rsidR="002B030A" w:rsidRPr="002B030A" w14:paraId="26FD462A" w14:textId="77777777" w:rsidTr="00174B3D">
        <w:trPr>
          <w:gridAfter w:val="2"/>
          <w:wAfter w:w="2693" w:type="dxa"/>
          <w:trHeight w:val="265"/>
          <w:tblHeader/>
        </w:trPr>
        <w:tc>
          <w:tcPr>
            <w:tcW w:w="2977" w:type="dxa"/>
            <w:gridSpan w:val="2"/>
            <w:tcBorders>
              <w:bottom w:val="single" w:sz="4" w:space="0" w:color="B3B3B3"/>
            </w:tcBorders>
            <w:shd w:val="clear" w:color="auto" w:fill="auto"/>
            <w:noWrap/>
            <w:vAlign w:val="bottom"/>
            <w:hideMark/>
          </w:tcPr>
          <w:p w14:paraId="4EBF41A9" w14:textId="647C42CD" w:rsidR="002B030A" w:rsidRPr="002B030A" w:rsidRDefault="002B030A" w:rsidP="00D959DB">
            <w:pPr>
              <w:pStyle w:val="TableHeading"/>
              <w:rPr>
                <w:lang w:eastAsia="en-AU"/>
              </w:rPr>
            </w:pPr>
            <w:r w:rsidRPr="002B030A">
              <w:rPr>
                <w:lang w:eastAsia="en-AU"/>
              </w:rPr>
              <w:t>R</w:t>
            </w:r>
            <w:r w:rsidR="00C17C78">
              <w:rPr>
                <w:lang w:eastAsia="en-AU"/>
              </w:rPr>
              <w:noBreakHyphen/>
            </w:r>
            <w:r w:rsidR="00DE2CFA">
              <w:rPr>
                <w:lang w:eastAsia="en-AU"/>
              </w:rPr>
              <w:t>s</w:t>
            </w:r>
            <w:r w:rsidRPr="002B030A">
              <w:rPr>
                <w:lang w:eastAsia="en-AU"/>
              </w:rPr>
              <w:t>quare</w:t>
            </w:r>
            <w:r w:rsidR="00DE2CFA">
              <w:rPr>
                <w:lang w:eastAsia="en-AU"/>
              </w:rPr>
              <w:t>d</w:t>
            </w:r>
          </w:p>
        </w:tc>
        <w:tc>
          <w:tcPr>
            <w:tcW w:w="1985" w:type="dxa"/>
            <w:gridSpan w:val="2"/>
            <w:tcBorders>
              <w:bottom w:val="single" w:sz="4" w:space="0" w:color="B3B3B3"/>
            </w:tcBorders>
            <w:shd w:val="clear" w:color="auto" w:fill="auto"/>
            <w:noWrap/>
            <w:vAlign w:val="bottom"/>
            <w:hideMark/>
          </w:tcPr>
          <w:p w14:paraId="1A46BE3F" w14:textId="24592E40" w:rsidR="002B030A" w:rsidRPr="002B030A" w:rsidRDefault="002B030A" w:rsidP="00FB0F7D">
            <w:pPr>
              <w:pStyle w:val="TableBody"/>
              <w:ind w:right="1531"/>
              <w:jc w:val="right"/>
              <w:rPr>
                <w:lang w:eastAsia="en-AU"/>
              </w:rPr>
            </w:pPr>
            <w:r w:rsidRPr="002B030A">
              <w:rPr>
                <w:lang w:eastAsia="en-AU"/>
              </w:rPr>
              <w:t>0.19</w:t>
            </w:r>
          </w:p>
        </w:tc>
      </w:tr>
      <w:tr w:rsidR="002B030A" w:rsidRPr="002B030A" w14:paraId="5A6D3F33" w14:textId="77777777" w:rsidTr="00174B3D">
        <w:trPr>
          <w:gridAfter w:val="2"/>
          <w:wAfter w:w="2693" w:type="dxa"/>
          <w:trHeight w:val="274"/>
        </w:trPr>
        <w:tc>
          <w:tcPr>
            <w:tcW w:w="2977" w:type="dxa"/>
            <w:gridSpan w:val="2"/>
            <w:tcBorders>
              <w:bottom w:val="single" w:sz="4" w:space="0" w:color="B3B3B3"/>
            </w:tcBorders>
            <w:shd w:val="clear" w:color="auto" w:fill="F2F2F2"/>
            <w:noWrap/>
            <w:hideMark/>
          </w:tcPr>
          <w:p w14:paraId="648BC849" w14:textId="77777777" w:rsidR="002B030A" w:rsidRPr="002B030A" w:rsidRDefault="002B030A" w:rsidP="00D959DB">
            <w:pPr>
              <w:pStyle w:val="TableHeading"/>
              <w:rPr>
                <w:lang w:eastAsia="en-AU"/>
              </w:rPr>
            </w:pPr>
            <w:r w:rsidRPr="002B030A">
              <w:rPr>
                <w:lang w:eastAsia="en-AU"/>
              </w:rPr>
              <w:t>Observations</w:t>
            </w:r>
          </w:p>
        </w:tc>
        <w:tc>
          <w:tcPr>
            <w:tcW w:w="1985" w:type="dxa"/>
            <w:gridSpan w:val="2"/>
            <w:tcBorders>
              <w:bottom w:val="single" w:sz="4" w:space="0" w:color="B3B3B3"/>
            </w:tcBorders>
            <w:shd w:val="clear" w:color="auto" w:fill="F2F2F2"/>
            <w:noWrap/>
            <w:hideMark/>
          </w:tcPr>
          <w:p w14:paraId="618F8850" w14:textId="77777777" w:rsidR="002B030A" w:rsidRPr="002B030A" w:rsidRDefault="002B030A" w:rsidP="00FB0F7D">
            <w:pPr>
              <w:pStyle w:val="TableBody"/>
              <w:ind w:right="1531"/>
              <w:jc w:val="right"/>
              <w:rPr>
                <w:color w:val="000000"/>
                <w:lang w:eastAsia="en-AU"/>
              </w:rPr>
            </w:pPr>
            <w:r w:rsidRPr="002B030A">
              <w:rPr>
                <w:color w:val="000000"/>
                <w:lang w:eastAsia="en-AU"/>
              </w:rPr>
              <w:t>58</w:t>
            </w:r>
          </w:p>
        </w:tc>
      </w:tr>
      <w:tr w:rsidR="00AA1C3E" w:rsidRPr="00B759C0" w14:paraId="49330021" w14:textId="77777777" w:rsidTr="00FA23E5">
        <w:trPr>
          <w:trHeight w:val="285"/>
          <w:tblHeader/>
        </w:trPr>
        <w:tc>
          <w:tcPr>
            <w:tcW w:w="1985" w:type="dxa"/>
            <w:tcBorders>
              <w:bottom w:val="single" w:sz="4" w:space="0" w:color="B3B3B3"/>
            </w:tcBorders>
            <w:shd w:val="clear" w:color="auto" w:fill="auto"/>
            <w:noWrap/>
            <w:vAlign w:val="bottom"/>
            <w:hideMark/>
          </w:tcPr>
          <w:p w14:paraId="0E510F56" w14:textId="77777777" w:rsidR="00AA1C3E" w:rsidRPr="005E7BDF" w:rsidRDefault="00AA1C3E" w:rsidP="00174B3D">
            <w:pPr>
              <w:spacing w:before="45" w:after="45" w:line="240" w:lineRule="auto"/>
              <w:ind w:left="57" w:right="108"/>
              <w:rPr>
                <w:rFonts w:ascii="Arial (Body)" w:eastAsia="Times New Roman" w:hAnsi="Arial (Body)" w:cs="Arial"/>
                <w:b/>
                <w:iCs/>
                <w:color w:val="265A9A"/>
                <w:sz w:val="18"/>
                <w:lang w:eastAsia="en-AU"/>
              </w:rPr>
            </w:pPr>
            <w:r w:rsidRPr="005E7BDF">
              <w:rPr>
                <w:rFonts w:ascii="Arial (Body)" w:eastAsia="Times New Roman" w:hAnsi="Arial (Body)" w:cs="Arial"/>
                <w:b/>
                <w:iCs/>
                <w:color w:val="265A9A"/>
                <w:sz w:val="18"/>
                <w:lang w:eastAsia="en-AU"/>
              </w:rPr>
              <w:t> </w:t>
            </w:r>
          </w:p>
        </w:tc>
        <w:tc>
          <w:tcPr>
            <w:tcW w:w="1559" w:type="dxa"/>
            <w:gridSpan w:val="2"/>
            <w:tcBorders>
              <w:bottom w:val="single" w:sz="4" w:space="0" w:color="B3B3B3"/>
            </w:tcBorders>
            <w:shd w:val="clear" w:color="auto" w:fill="auto"/>
            <w:noWrap/>
            <w:vAlign w:val="bottom"/>
            <w:hideMark/>
          </w:tcPr>
          <w:p w14:paraId="56C5FC28" w14:textId="77777777" w:rsidR="00AA1C3E" w:rsidRPr="005E7BDF" w:rsidRDefault="00AA1C3E" w:rsidP="00174B3D">
            <w:pPr>
              <w:pStyle w:val="TableHeading"/>
              <w:rPr>
                <w:lang w:eastAsia="en-AU"/>
              </w:rPr>
            </w:pPr>
            <w:r w:rsidRPr="005E7BDF">
              <w:rPr>
                <w:lang w:eastAsia="en-AU"/>
              </w:rPr>
              <w:t>Coefficients</w:t>
            </w:r>
          </w:p>
        </w:tc>
        <w:tc>
          <w:tcPr>
            <w:tcW w:w="1418" w:type="dxa"/>
            <w:tcBorders>
              <w:bottom w:val="single" w:sz="4" w:space="0" w:color="B3B3B3"/>
            </w:tcBorders>
            <w:shd w:val="clear" w:color="auto" w:fill="auto"/>
            <w:noWrap/>
            <w:vAlign w:val="bottom"/>
            <w:hideMark/>
          </w:tcPr>
          <w:p w14:paraId="046760ED" w14:textId="146D20B4" w:rsidR="00AA1C3E" w:rsidRPr="005E7BDF" w:rsidRDefault="00AA1C3E" w:rsidP="00174B3D">
            <w:pPr>
              <w:pStyle w:val="TableHeading"/>
              <w:rPr>
                <w:lang w:eastAsia="en-AU"/>
              </w:rPr>
            </w:pPr>
            <w:r w:rsidRPr="005E7BDF">
              <w:rPr>
                <w:lang w:eastAsia="en-AU"/>
              </w:rPr>
              <w:t xml:space="preserve">Standard </w:t>
            </w:r>
            <w:r w:rsidR="00910579">
              <w:rPr>
                <w:lang w:eastAsia="en-AU"/>
              </w:rPr>
              <w:t>e</w:t>
            </w:r>
            <w:r w:rsidRPr="005E7BDF">
              <w:rPr>
                <w:lang w:eastAsia="en-AU"/>
              </w:rPr>
              <w:t>rror</w:t>
            </w:r>
          </w:p>
        </w:tc>
        <w:tc>
          <w:tcPr>
            <w:tcW w:w="1275" w:type="dxa"/>
            <w:tcBorders>
              <w:bottom w:val="single" w:sz="4" w:space="0" w:color="B3B3B3"/>
            </w:tcBorders>
            <w:shd w:val="clear" w:color="auto" w:fill="auto"/>
            <w:noWrap/>
            <w:vAlign w:val="bottom"/>
            <w:hideMark/>
          </w:tcPr>
          <w:p w14:paraId="0CFE2823" w14:textId="63E50993" w:rsidR="00AA1C3E" w:rsidRPr="005E7BDF" w:rsidRDefault="00AA1C3E" w:rsidP="00174B3D">
            <w:pPr>
              <w:pStyle w:val="TableHeading"/>
              <w:rPr>
                <w:lang w:eastAsia="en-AU"/>
              </w:rPr>
            </w:pPr>
            <w:r w:rsidRPr="005E7BDF">
              <w:rPr>
                <w:lang w:eastAsia="en-AU"/>
              </w:rPr>
              <w:t>t</w:t>
            </w:r>
            <w:r w:rsidR="00C17C78">
              <w:rPr>
                <w:lang w:eastAsia="en-AU"/>
              </w:rPr>
              <w:noBreakHyphen/>
            </w:r>
            <w:r w:rsidR="00910579">
              <w:rPr>
                <w:lang w:eastAsia="en-AU"/>
              </w:rPr>
              <w:t>s</w:t>
            </w:r>
            <w:r w:rsidRPr="005E7BDF">
              <w:rPr>
                <w:lang w:eastAsia="en-AU"/>
              </w:rPr>
              <w:t>tat</w:t>
            </w:r>
          </w:p>
        </w:tc>
        <w:tc>
          <w:tcPr>
            <w:tcW w:w="1418" w:type="dxa"/>
            <w:tcBorders>
              <w:bottom w:val="single" w:sz="4" w:space="0" w:color="B3B3B3"/>
            </w:tcBorders>
            <w:shd w:val="clear" w:color="auto" w:fill="auto"/>
            <w:noWrap/>
            <w:vAlign w:val="bottom"/>
            <w:hideMark/>
          </w:tcPr>
          <w:p w14:paraId="0D56777F" w14:textId="24312A46" w:rsidR="00AA1C3E" w:rsidRPr="005E7BDF" w:rsidRDefault="00AA1C3E" w:rsidP="00174B3D">
            <w:pPr>
              <w:pStyle w:val="TableHeading"/>
              <w:rPr>
                <w:lang w:eastAsia="en-AU"/>
              </w:rPr>
            </w:pPr>
            <w:r w:rsidRPr="005E7BDF">
              <w:rPr>
                <w:lang w:eastAsia="en-AU"/>
              </w:rPr>
              <w:t>P</w:t>
            </w:r>
            <w:r w:rsidR="00C17C78">
              <w:rPr>
                <w:lang w:eastAsia="en-AU"/>
              </w:rPr>
              <w:noBreakHyphen/>
            </w:r>
            <w:r w:rsidRPr="005E7BDF">
              <w:rPr>
                <w:lang w:eastAsia="en-AU"/>
              </w:rPr>
              <w:t>value</w:t>
            </w:r>
          </w:p>
        </w:tc>
      </w:tr>
      <w:tr w:rsidR="00AA1C3E" w:rsidRPr="00B759C0" w14:paraId="05090133" w14:textId="77777777" w:rsidTr="00FA23E5">
        <w:trPr>
          <w:trHeight w:val="293"/>
        </w:trPr>
        <w:tc>
          <w:tcPr>
            <w:tcW w:w="1985" w:type="dxa"/>
            <w:tcBorders>
              <w:top w:val="single" w:sz="4" w:space="0" w:color="B3B3B3"/>
              <w:bottom w:val="nil"/>
            </w:tcBorders>
            <w:shd w:val="clear" w:color="auto" w:fill="F2F2F2"/>
            <w:noWrap/>
            <w:hideMark/>
          </w:tcPr>
          <w:p w14:paraId="4498C648" w14:textId="77777777" w:rsidR="00AA1C3E" w:rsidRPr="005E7BDF" w:rsidRDefault="00AA1C3E" w:rsidP="00174B3D">
            <w:pPr>
              <w:pStyle w:val="TableHeading"/>
              <w:rPr>
                <w:lang w:eastAsia="en-AU"/>
              </w:rPr>
            </w:pPr>
            <w:r w:rsidRPr="005E7BDF">
              <w:rPr>
                <w:lang w:eastAsia="en-AU"/>
              </w:rPr>
              <w:t>Intercept</w:t>
            </w:r>
          </w:p>
        </w:tc>
        <w:tc>
          <w:tcPr>
            <w:tcW w:w="1559" w:type="dxa"/>
            <w:gridSpan w:val="2"/>
            <w:tcBorders>
              <w:top w:val="single" w:sz="4" w:space="0" w:color="B3B3B3"/>
              <w:bottom w:val="nil"/>
            </w:tcBorders>
            <w:shd w:val="clear" w:color="auto" w:fill="F2F2F2"/>
            <w:noWrap/>
            <w:hideMark/>
          </w:tcPr>
          <w:p w14:paraId="33FB9F42" w14:textId="19FFB335" w:rsidR="00AA1C3E" w:rsidRPr="005E7BDF" w:rsidRDefault="00AA1C3E" w:rsidP="00174B3D">
            <w:pPr>
              <w:pStyle w:val="TableBody"/>
              <w:rPr>
                <w:lang w:eastAsia="en-AU"/>
              </w:rPr>
            </w:pPr>
            <w:r w:rsidRPr="005E7BDF">
              <w:rPr>
                <w:lang w:eastAsia="en-AU"/>
              </w:rPr>
              <w:t>0.2</w:t>
            </w:r>
            <w:r w:rsidRPr="00B759C0">
              <w:rPr>
                <w:lang w:eastAsia="en-AU"/>
              </w:rPr>
              <w:t>3</w:t>
            </w:r>
            <w:r w:rsidR="009B4DDA">
              <w:rPr>
                <w:lang w:eastAsia="en-AU"/>
              </w:rPr>
              <w:t>***</w:t>
            </w:r>
          </w:p>
        </w:tc>
        <w:tc>
          <w:tcPr>
            <w:tcW w:w="1418" w:type="dxa"/>
            <w:tcBorders>
              <w:top w:val="single" w:sz="4" w:space="0" w:color="B3B3B3"/>
              <w:bottom w:val="nil"/>
            </w:tcBorders>
            <w:shd w:val="clear" w:color="auto" w:fill="F2F2F2"/>
            <w:noWrap/>
            <w:hideMark/>
          </w:tcPr>
          <w:p w14:paraId="57197E6B" w14:textId="630207D5" w:rsidR="00AA1C3E" w:rsidRPr="005E7BDF" w:rsidRDefault="00AA1C3E" w:rsidP="00174B3D">
            <w:pPr>
              <w:pStyle w:val="TableBody"/>
              <w:rPr>
                <w:lang w:eastAsia="en-AU"/>
              </w:rPr>
            </w:pPr>
            <w:r w:rsidRPr="005E7BDF">
              <w:rPr>
                <w:lang w:eastAsia="en-AU"/>
              </w:rPr>
              <w:t>0.0</w:t>
            </w:r>
            <w:r w:rsidR="007232FB">
              <w:rPr>
                <w:lang w:eastAsia="en-AU"/>
              </w:rPr>
              <w:t>7</w:t>
            </w:r>
          </w:p>
        </w:tc>
        <w:tc>
          <w:tcPr>
            <w:tcW w:w="1275" w:type="dxa"/>
            <w:tcBorders>
              <w:top w:val="single" w:sz="4" w:space="0" w:color="B3B3B3"/>
              <w:bottom w:val="nil"/>
            </w:tcBorders>
            <w:shd w:val="clear" w:color="auto" w:fill="F2F2F2"/>
            <w:noWrap/>
            <w:hideMark/>
          </w:tcPr>
          <w:p w14:paraId="0813A7BD" w14:textId="32DB32B9" w:rsidR="00AA1C3E" w:rsidRPr="005E7BDF" w:rsidRDefault="002E4A96" w:rsidP="00174B3D">
            <w:pPr>
              <w:pStyle w:val="TableBody"/>
              <w:rPr>
                <w:lang w:eastAsia="en-AU"/>
              </w:rPr>
            </w:pPr>
            <w:r>
              <w:rPr>
                <w:lang w:eastAsia="en-AU"/>
              </w:rPr>
              <w:t>3.46</w:t>
            </w:r>
          </w:p>
        </w:tc>
        <w:tc>
          <w:tcPr>
            <w:tcW w:w="1418" w:type="dxa"/>
            <w:tcBorders>
              <w:top w:val="single" w:sz="4" w:space="0" w:color="B3B3B3"/>
              <w:bottom w:val="nil"/>
            </w:tcBorders>
            <w:shd w:val="clear" w:color="auto" w:fill="F2F2F2"/>
            <w:noWrap/>
            <w:hideMark/>
          </w:tcPr>
          <w:p w14:paraId="7516C178" w14:textId="240B701A" w:rsidR="00AA1C3E" w:rsidRPr="005E7BDF" w:rsidRDefault="00FF4248" w:rsidP="00174B3D">
            <w:pPr>
              <w:pStyle w:val="TableBody"/>
              <w:rPr>
                <w:lang w:eastAsia="en-AU"/>
              </w:rPr>
            </w:pPr>
            <w:r>
              <w:rPr>
                <w:lang w:eastAsia="en-AU"/>
              </w:rPr>
              <w:t>0.00</w:t>
            </w:r>
          </w:p>
        </w:tc>
      </w:tr>
      <w:tr w:rsidR="00AA1C3E" w:rsidRPr="00B759C0" w14:paraId="0D4FC384" w14:textId="77777777" w:rsidTr="00FA23E5">
        <w:trPr>
          <w:trHeight w:val="293"/>
        </w:trPr>
        <w:tc>
          <w:tcPr>
            <w:tcW w:w="1985" w:type="dxa"/>
            <w:tcBorders>
              <w:top w:val="nil"/>
            </w:tcBorders>
            <w:shd w:val="clear" w:color="auto" w:fill="auto"/>
            <w:noWrap/>
            <w:hideMark/>
          </w:tcPr>
          <w:p w14:paraId="457FA485" w14:textId="77777777" w:rsidR="00AA1C3E" w:rsidRPr="005E7BDF" w:rsidRDefault="00AA1C3E" w:rsidP="00174B3D">
            <w:pPr>
              <w:pStyle w:val="TableHeading"/>
              <w:rPr>
                <w:lang w:eastAsia="en-AU"/>
              </w:rPr>
            </w:pPr>
            <w:r>
              <w:rPr>
                <w:lang w:eastAsia="en-AU"/>
              </w:rPr>
              <w:t>Absolute original estimate</w:t>
            </w:r>
          </w:p>
        </w:tc>
        <w:tc>
          <w:tcPr>
            <w:tcW w:w="1559" w:type="dxa"/>
            <w:gridSpan w:val="2"/>
            <w:tcBorders>
              <w:top w:val="nil"/>
            </w:tcBorders>
            <w:shd w:val="clear" w:color="auto" w:fill="auto"/>
            <w:noWrap/>
            <w:hideMark/>
          </w:tcPr>
          <w:p w14:paraId="4CD7557D" w14:textId="675A792B" w:rsidR="00AA1C3E" w:rsidRPr="005E7BDF" w:rsidRDefault="00AA1C3E" w:rsidP="00174B3D">
            <w:pPr>
              <w:pStyle w:val="TableBody"/>
              <w:rPr>
                <w:lang w:eastAsia="en-AU"/>
              </w:rPr>
            </w:pPr>
            <w:r w:rsidRPr="005E7BDF">
              <w:rPr>
                <w:lang w:eastAsia="en-AU"/>
              </w:rPr>
              <w:t>0.2</w:t>
            </w:r>
            <w:r w:rsidRPr="00B759C0">
              <w:rPr>
                <w:lang w:eastAsia="en-AU"/>
              </w:rPr>
              <w:t>2</w:t>
            </w:r>
            <w:r w:rsidR="00BA0A49">
              <w:rPr>
                <w:lang w:eastAsia="en-AU"/>
              </w:rPr>
              <w:t>**</w:t>
            </w:r>
          </w:p>
        </w:tc>
        <w:tc>
          <w:tcPr>
            <w:tcW w:w="1418" w:type="dxa"/>
            <w:tcBorders>
              <w:top w:val="nil"/>
            </w:tcBorders>
            <w:shd w:val="clear" w:color="auto" w:fill="auto"/>
            <w:noWrap/>
            <w:hideMark/>
          </w:tcPr>
          <w:p w14:paraId="7BF767B6" w14:textId="71D4EA00" w:rsidR="00AA1C3E" w:rsidRPr="005E7BDF" w:rsidRDefault="00AA1C3E" w:rsidP="00174B3D">
            <w:pPr>
              <w:pStyle w:val="TableBody"/>
              <w:rPr>
                <w:lang w:eastAsia="en-AU"/>
              </w:rPr>
            </w:pPr>
            <w:r w:rsidRPr="005E7BDF">
              <w:rPr>
                <w:lang w:eastAsia="en-AU"/>
              </w:rPr>
              <w:t>0.</w:t>
            </w:r>
            <w:r w:rsidR="002E4A96">
              <w:rPr>
                <w:lang w:eastAsia="en-AU"/>
              </w:rPr>
              <w:t>10</w:t>
            </w:r>
          </w:p>
        </w:tc>
        <w:tc>
          <w:tcPr>
            <w:tcW w:w="1275" w:type="dxa"/>
            <w:tcBorders>
              <w:top w:val="nil"/>
            </w:tcBorders>
            <w:shd w:val="clear" w:color="auto" w:fill="auto"/>
            <w:noWrap/>
            <w:hideMark/>
          </w:tcPr>
          <w:p w14:paraId="5D52A002" w14:textId="2F7610E5" w:rsidR="00AA1C3E" w:rsidRPr="005E7BDF" w:rsidRDefault="002E4A96" w:rsidP="00174B3D">
            <w:pPr>
              <w:pStyle w:val="TableBody"/>
              <w:rPr>
                <w:lang w:eastAsia="en-AU"/>
              </w:rPr>
            </w:pPr>
            <w:r>
              <w:rPr>
                <w:lang w:eastAsia="en-AU"/>
              </w:rPr>
              <w:t>2.2</w:t>
            </w:r>
            <w:r w:rsidR="00A2113E">
              <w:rPr>
                <w:lang w:eastAsia="en-AU"/>
              </w:rPr>
              <w:t>1</w:t>
            </w:r>
          </w:p>
        </w:tc>
        <w:tc>
          <w:tcPr>
            <w:tcW w:w="1418" w:type="dxa"/>
            <w:tcBorders>
              <w:top w:val="nil"/>
            </w:tcBorders>
            <w:shd w:val="clear" w:color="auto" w:fill="auto"/>
            <w:noWrap/>
            <w:hideMark/>
          </w:tcPr>
          <w:p w14:paraId="45D16656" w14:textId="6FE8D133" w:rsidR="00AA1C3E" w:rsidRPr="005E7BDF" w:rsidRDefault="00AA1C3E" w:rsidP="00174B3D">
            <w:pPr>
              <w:pStyle w:val="TableBody"/>
              <w:rPr>
                <w:lang w:eastAsia="en-AU"/>
              </w:rPr>
            </w:pPr>
            <w:r w:rsidRPr="005E7BDF">
              <w:rPr>
                <w:lang w:eastAsia="en-AU"/>
              </w:rPr>
              <w:t>0.0</w:t>
            </w:r>
            <w:r w:rsidR="00A2113E">
              <w:rPr>
                <w:lang w:eastAsia="en-AU"/>
              </w:rPr>
              <w:t>3</w:t>
            </w:r>
          </w:p>
        </w:tc>
      </w:tr>
    </w:tbl>
    <w:p w14:paraId="01CA99F9" w14:textId="16D7CD8D" w:rsidR="001B60F7" w:rsidRDefault="008348DB" w:rsidP="00FA23E5">
      <w:pPr>
        <w:pStyle w:val="Note"/>
        <w:spacing w:before="120"/>
      </w:pPr>
      <w:r>
        <w:rPr>
          <w:b/>
          <w:bCs/>
        </w:rPr>
        <w:t xml:space="preserve">a. </w:t>
      </w:r>
      <w:r w:rsidRPr="008348DB">
        <w:t>*p&lt;0.10; **p&lt;0.05; ***p&lt;0.01.</w:t>
      </w:r>
    </w:p>
    <w:p w14:paraId="6FF56047" w14:textId="77777777" w:rsidR="001B60F7" w:rsidRDefault="001B60F7">
      <w:pPr>
        <w:spacing w:before="0" w:after="160" w:line="259" w:lineRule="auto"/>
        <w:rPr>
          <w:sz w:val="18"/>
        </w:rPr>
      </w:pPr>
      <w:r>
        <w:br w:type="page"/>
      </w:r>
    </w:p>
    <w:p w14:paraId="1C37B5CD" w14:textId="77777777" w:rsidR="00A95285" w:rsidRPr="00610627" w:rsidRDefault="00A95285" w:rsidP="00A03605">
      <w:pPr>
        <w:pStyle w:val="Heading2-nonumber"/>
      </w:pPr>
      <w:bookmarkStart w:id="17" w:name="_Toc78901540"/>
      <w:bookmarkStart w:id="18" w:name="_Toc171350316"/>
      <w:bookmarkStart w:id="19" w:name="_Toc172553014"/>
      <w:bookmarkStart w:id="20" w:name="_Toc180336258"/>
      <w:r w:rsidRPr="00610627">
        <w:lastRenderedPageBreak/>
        <w:t>Abbreviations</w:t>
      </w:r>
      <w:bookmarkEnd w:id="17"/>
      <w:bookmarkEnd w:id="18"/>
      <w:bookmarkEnd w:id="19"/>
      <w:bookmarkEnd w:id="20"/>
    </w:p>
    <w:tbl>
      <w:tblPr>
        <w:tblW w:w="5000" w:type="pct"/>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A95285" w:rsidRPr="00A576A1" w14:paraId="5297BB24" w14:textId="77777777" w:rsidTr="00A82326">
        <w:trPr>
          <w:trHeight w:val="374"/>
        </w:trPr>
        <w:tc>
          <w:tcPr>
            <w:tcW w:w="882" w:type="pct"/>
            <w:shd w:val="clear" w:color="auto" w:fill="F1F1F1"/>
            <w:vAlign w:val="bottom"/>
          </w:tcPr>
          <w:p w14:paraId="2E4EF0BF" w14:textId="77777777" w:rsidR="00A95285" w:rsidRPr="007C21C8" w:rsidRDefault="00A95285" w:rsidP="00A82326">
            <w:pPr>
              <w:spacing w:before="45" w:after="45"/>
              <w:ind w:left="57" w:right="108"/>
              <w:rPr>
                <w:rFonts w:cstheme="minorHAnsi"/>
                <w:b/>
                <w:bCs/>
                <w:color w:val="265999"/>
                <w:sz w:val="18"/>
                <w:szCs w:val="18"/>
              </w:rPr>
            </w:pPr>
            <w:r w:rsidRPr="007C21C8">
              <w:rPr>
                <w:rFonts w:cstheme="minorHAnsi"/>
                <w:b/>
                <w:bCs/>
                <w:color w:val="265999"/>
                <w:sz w:val="18"/>
                <w:szCs w:val="18"/>
              </w:rPr>
              <w:t>ABS</w:t>
            </w:r>
          </w:p>
        </w:tc>
        <w:tc>
          <w:tcPr>
            <w:tcW w:w="4118" w:type="pct"/>
            <w:shd w:val="clear" w:color="auto" w:fill="F1F1F1"/>
            <w:vAlign w:val="bottom"/>
          </w:tcPr>
          <w:p w14:paraId="25769DFD" w14:textId="77777777" w:rsidR="00A95285" w:rsidRPr="007C21C8" w:rsidRDefault="00A95285" w:rsidP="00A82326">
            <w:pPr>
              <w:spacing w:before="45" w:after="45"/>
              <w:ind w:left="57"/>
              <w:rPr>
                <w:sz w:val="18"/>
                <w:szCs w:val="18"/>
              </w:rPr>
            </w:pPr>
            <w:r w:rsidRPr="007C21C8">
              <w:rPr>
                <w:sz w:val="18"/>
                <w:szCs w:val="18"/>
              </w:rPr>
              <w:t>Australian Bureau of Statistics</w:t>
            </w:r>
          </w:p>
        </w:tc>
      </w:tr>
      <w:tr w:rsidR="00A95285" w:rsidRPr="00A576A1" w14:paraId="464C9BB3" w14:textId="77777777" w:rsidTr="00A82326">
        <w:trPr>
          <w:trHeight w:val="374"/>
        </w:trPr>
        <w:tc>
          <w:tcPr>
            <w:tcW w:w="882" w:type="pct"/>
            <w:shd w:val="clear" w:color="auto" w:fill="auto"/>
            <w:vAlign w:val="bottom"/>
          </w:tcPr>
          <w:p w14:paraId="21F331D1" w14:textId="6752977D" w:rsidR="00A95285" w:rsidRPr="007C21C8" w:rsidRDefault="0092097C" w:rsidP="00A82326">
            <w:pPr>
              <w:spacing w:before="45" w:after="45"/>
              <w:ind w:left="57" w:right="108"/>
              <w:rPr>
                <w:rFonts w:cstheme="minorHAnsi"/>
                <w:b/>
                <w:bCs/>
                <w:color w:val="265999"/>
                <w:sz w:val="18"/>
                <w:szCs w:val="18"/>
              </w:rPr>
            </w:pPr>
            <w:r>
              <w:rPr>
                <w:rFonts w:cstheme="minorHAnsi"/>
                <w:b/>
                <w:bCs/>
                <w:color w:val="265999"/>
                <w:sz w:val="18"/>
                <w:szCs w:val="18"/>
              </w:rPr>
              <w:t>GDP</w:t>
            </w:r>
          </w:p>
        </w:tc>
        <w:tc>
          <w:tcPr>
            <w:tcW w:w="4118" w:type="pct"/>
            <w:shd w:val="clear" w:color="auto" w:fill="auto"/>
            <w:vAlign w:val="bottom"/>
          </w:tcPr>
          <w:p w14:paraId="09CADB52" w14:textId="3926393C" w:rsidR="00A95285" w:rsidRPr="007C21C8" w:rsidRDefault="0092097C" w:rsidP="00A82326">
            <w:pPr>
              <w:spacing w:before="45" w:after="45"/>
              <w:ind w:left="57"/>
              <w:rPr>
                <w:sz w:val="18"/>
                <w:szCs w:val="18"/>
              </w:rPr>
            </w:pPr>
            <w:r>
              <w:rPr>
                <w:sz w:val="18"/>
                <w:szCs w:val="18"/>
              </w:rPr>
              <w:t>Gross Domestic Product</w:t>
            </w:r>
          </w:p>
        </w:tc>
      </w:tr>
      <w:tr w:rsidR="004A5731" w:rsidRPr="00A576A1" w14:paraId="597645EA" w14:textId="77777777" w:rsidTr="00A82326">
        <w:trPr>
          <w:trHeight w:val="374"/>
        </w:trPr>
        <w:tc>
          <w:tcPr>
            <w:tcW w:w="882" w:type="pct"/>
            <w:shd w:val="clear" w:color="auto" w:fill="F1F1F1"/>
            <w:vAlign w:val="bottom"/>
          </w:tcPr>
          <w:p w14:paraId="477B25C2" w14:textId="6C2247BE" w:rsidR="004A5731" w:rsidRDefault="004A5731" w:rsidP="004A5731">
            <w:pPr>
              <w:spacing w:before="45" w:after="45"/>
              <w:ind w:left="57" w:right="108"/>
              <w:rPr>
                <w:rFonts w:cstheme="minorHAnsi"/>
                <w:b/>
                <w:bCs/>
                <w:color w:val="265999"/>
                <w:sz w:val="18"/>
                <w:szCs w:val="18"/>
              </w:rPr>
            </w:pPr>
            <w:r>
              <w:rPr>
                <w:rFonts w:cstheme="minorHAnsi"/>
                <w:b/>
                <w:bCs/>
                <w:color w:val="265999"/>
                <w:sz w:val="18"/>
                <w:szCs w:val="18"/>
              </w:rPr>
              <w:t>PC</w:t>
            </w:r>
          </w:p>
        </w:tc>
        <w:tc>
          <w:tcPr>
            <w:tcW w:w="4118" w:type="pct"/>
            <w:shd w:val="clear" w:color="auto" w:fill="F1F1F1"/>
            <w:vAlign w:val="bottom"/>
          </w:tcPr>
          <w:p w14:paraId="5A646B53" w14:textId="7A272ECB" w:rsidR="004A5731" w:rsidRDefault="004A5731" w:rsidP="004A5731">
            <w:pPr>
              <w:spacing w:before="45" w:after="45"/>
              <w:ind w:left="57"/>
              <w:rPr>
                <w:sz w:val="18"/>
                <w:szCs w:val="18"/>
              </w:rPr>
            </w:pPr>
            <w:r>
              <w:rPr>
                <w:sz w:val="18"/>
                <w:szCs w:val="18"/>
              </w:rPr>
              <w:t>Productivity Commission</w:t>
            </w:r>
          </w:p>
        </w:tc>
      </w:tr>
    </w:tbl>
    <w:p w14:paraId="533E6058" w14:textId="5147587C" w:rsidR="00A91551" w:rsidRDefault="008A691A" w:rsidP="00A03605">
      <w:pPr>
        <w:pStyle w:val="Heading2-nonumber"/>
      </w:pPr>
      <w:bookmarkStart w:id="21" w:name="_Toc180336259"/>
      <w:r>
        <w:t>R</w:t>
      </w:r>
      <w:r w:rsidR="00A91551">
        <w:t>eference</w:t>
      </w:r>
      <w:r w:rsidR="000C5F87">
        <w:t>s</w:t>
      </w:r>
      <w:bookmarkEnd w:id="21"/>
      <w:r w:rsidR="00A91551">
        <w:t xml:space="preserve"> </w:t>
      </w:r>
    </w:p>
    <w:p w14:paraId="29DF14D3" w14:textId="77777777" w:rsidR="00E44E05" w:rsidRDefault="00E44E05" w:rsidP="008A691A">
      <w:pPr>
        <w:pStyle w:val="Reference"/>
        <w:sectPr w:rsidR="00E44E05" w:rsidSect="002E3F19">
          <w:pgSz w:w="11906" w:h="16838" w:code="9"/>
          <w:pgMar w:top="1134" w:right="1134" w:bottom="1134" w:left="1134" w:header="794" w:footer="510" w:gutter="0"/>
          <w:cols w:space="708"/>
          <w:docGrid w:linePitch="360"/>
        </w:sectPr>
      </w:pPr>
    </w:p>
    <w:p w14:paraId="0E457A77" w14:textId="5742066F" w:rsidR="00190557" w:rsidRPr="00190557" w:rsidRDefault="00190557" w:rsidP="008A691A">
      <w:pPr>
        <w:pStyle w:val="Reference"/>
      </w:pPr>
      <w:r w:rsidRPr="00190557">
        <w:t xml:space="preserve">ABS (Australian Bureau of Statistics) 2010, </w:t>
      </w:r>
      <w:r w:rsidRPr="00190557">
        <w:rPr>
          <w:i/>
          <w:iCs/>
        </w:rPr>
        <w:t>Australian national accounts: national income, expenditure and product</w:t>
      </w:r>
      <w:r w:rsidRPr="00190557">
        <w:t xml:space="preserve">, December 2006 </w:t>
      </w:r>
      <w:r w:rsidR="00940480">
        <w:t>–</w:t>
      </w:r>
      <w:r w:rsidRPr="00190557">
        <w:t xml:space="preserve"> December 2009.</w:t>
      </w:r>
    </w:p>
    <w:p w14:paraId="1A77CEA5" w14:textId="758F9B2B" w:rsidR="00190557" w:rsidRPr="00190557" w:rsidRDefault="00190557" w:rsidP="008A691A">
      <w:pPr>
        <w:pStyle w:val="Reference"/>
      </w:pPr>
      <w:r w:rsidRPr="00190557">
        <w:t>——</w:t>
      </w:r>
      <w:r w:rsidR="00E6652A">
        <w:t> </w:t>
      </w:r>
      <w:r w:rsidRPr="00190557">
        <w:t xml:space="preserve">2021a, </w:t>
      </w:r>
      <w:r w:rsidRPr="00190557">
        <w:rPr>
          <w:i/>
          <w:iCs/>
        </w:rPr>
        <w:t>Accuracy | Australian Bureau of Statistics</w:t>
      </w:r>
      <w:r w:rsidRPr="00190557">
        <w:t>, https://www.abs.gov.au/statistics/detailed-methodology-information/concepts-sources-methods/australian-system-national-accounts-concepts-sources-and-methods/2020-21/chapter-24-quality-national-accounts/accuracy (accessed 14 May 2024).</w:t>
      </w:r>
    </w:p>
    <w:p w14:paraId="013F5840" w14:textId="4D40643E" w:rsidR="00190557" w:rsidRPr="00190557" w:rsidRDefault="00190557" w:rsidP="008A691A">
      <w:pPr>
        <w:pStyle w:val="Reference"/>
      </w:pPr>
      <w:r w:rsidRPr="00190557">
        <w:t>——</w:t>
      </w:r>
      <w:r w:rsidR="00E6652A">
        <w:t> </w:t>
      </w:r>
      <w:r w:rsidRPr="00190557">
        <w:t xml:space="preserve">2021b, </w:t>
      </w:r>
      <w:r w:rsidRPr="00190557">
        <w:rPr>
          <w:i/>
          <w:iCs/>
        </w:rPr>
        <w:t>Analysis of Revisions to Gross Domestic Product | Australian Bureau of Statistics</w:t>
      </w:r>
      <w:r w:rsidRPr="00190557">
        <w:t>, https://www.abs.gov.au/statistics/research/analysis-revisions-gross-domestic-product (accessed 27 February 2024).</w:t>
      </w:r>
    </w:p>
    <w:p w14:paraId="76294D96" w14:textId="14C88D24" w:rsidR="00190557" w:rsidRPr="00190557" w:rsidRDefault="00190557" w:rsidP="008A691A">
      <w:pPr>
        <w:pStyle w:val="Reference"/>
      </w:pPr>
      <w:r w:rsidRPr="00190557">
        <w:t>——</w:t>
      </w:r>
      <w:r w:rsidR="00E6652A">
        <w:t> </w:t>
      </w:r>
      <w:r w:rsidRPr="00190557">
        <w:t xml:space="preserve">2021c, </w:t>
      </w:r>
      <w:r w:rsidRPr="00190557">
        <w:rPr>
          <w:i/>
          <w:iCs/>
        </w:rPr>
        <w:t>Australian System of National Accounts: Concepts, Sources and Methods, 2020-21 Chapter 24 Quality of the National Accounts, Revisions</w:t>
      </w:r>
      <w:r w:rsidRPr="00190557">
        <w:t>, 9 July, https://www.abs.gov.au/statistics/detailed-methodology-information/concepts-sources-methods/australian-system-national-accounts-concepts-sources-and-methods/2020-21/chapter-24-quality-national-accounts/revisions (accessed 3</w:t>
      </w:r>
      <w:r w:rsidR="00940480">
        <w:t> </w:t>
      </w:r>
      <w:r w:rsidRPr="00190557">
        <w:t>April 2024).</w:t>
      </w:r>
    </w:p>
    <w:p w14:paraId="2992787E" w14:textId="7280D4EB" w:rsidR="00190557" w:rsidRPr="00190557" w:rsidRDefault="00190557" w:rsidP="008A691A">
      <w:pPr>
        <w:pStyle w:val="Reference"/>
      </w:pPr>
      <w:r w:rsidRPr="00190557">
        <w:t>——</w:t>
      </w:r>
      <w:r w:rsidR="00E6652A">
        <w:t> </w:t>
      </w:r>
      <w:r w:rsidRPr="00190557">
        <w:t xml:space="preserve">2021d, </w:t>
      </w:r>
      <w:r w:rsidRPr="00190557">
        <w:rPr>
          <w:i/>
          <w:iCs/>
        </w:rPr>
        <w:t>Quarterly estimation methods | Australian Bureau of Statistics</w:t>
      </w:r>
      <w:r w:rsidRPr="00190557">
        <w:t>, https://www.abs.gov.au/statistics/detailed-methodology-information/concepts-sources-methods/australian-system-national-accounts-concepts-sources-and-methods/2020-21/chapter-7-annual-benchmarks-and-quarterly-estimates/quarterly-estimation-methods (accessed 21 May 2024).</w:t>
      </w:r>
    </w:p>
    <w:p w14:paraId="732548AC" w14:textId="4F175AA4" w:rsidR="00190557" w:rsidRPr="00190557" w:rsidRDefault="00190557" w:rsidP="008A691A">
      <w:pPr>
        <w:pStyle w:val="Reference"/>
      </w:pPr>
      <w:r w:rsidRPr="00190557">
        <w:t>——</w:t>
      </w:r>
      <w:r w:rsidR="00E6652A">
        <w:t> </w:t>
      </w:r>
      <w:r w:rsidRPr="00190557">
        <w:t xml:space="preserve">2023, </w:t>
      </w:r>
      <w:r w:rsidRPr="00190557">
        <w:rPr>
          <w:i/>
          <w:iCs/>
        </w:rPr>
        <w:t>Australian national accounts: national income, expenditure and product</w:t>
      </w:r>
      <w:r w:rsidRPr="00190557">
        <w:t xml:space="preserve">, June 2006 - </w:t>
      </w:r>
      <w:r w:rsidR="002F7F6E">
        <w:t>December</w:t>
      </w:r>
      <w:r w:rsidRPr="00190557">
        <w:t xml:space="preserve"> 2023.</w:t>
      </w:r>
    </w:p>
    <w:p w14:paraId="7861D296" w14:textId="77777777" w:rsidR="00190557" w:rsidRPr="00190557" w:rsidRDefault="00190557" w:rsidP="008A691A">
      <w:pPr>
        <w:pStyle w:val="Reference"/>
      </w:pPr>
      <w:r w:rsidRPr="00190557">
        <w:t xml:space="preserve">Bishop, J, Gill, T and Lancaster, D 2013, </w:t>
      </w:r>
      <w:r w:rsidRPr="00190557">
        <w:rPr>
          <w:i/>
          <w:iCs/>
        </w:rPr>
        <w:t>GDP revisions: measurement and implications</w:t>
      </w:r>
      <w:r w:rsidRPr="00190557">
        <w:t>, Reserve Bank of Australia.</w:t>
      </w:r>
    </w:p>
    <w:p w14:paraId="5BD8B81B" w14:textId="77777777" w:rsidR="00190557" w:rsidRPr="00190557" w:rsidRDefault="00190557" w:rsidP="008A691A">
      <w:pPr>
        <w:pStyle w:val="Reference"/>
      </w:pPr>
      <w:r w:rsidRPr="00190557">
        <w:t xml:space="preserve">Ellis, L 2023, </w:t>
      </w:r>
      <w:r w:rsidRPr="00190557">
        <w:rPr>
          <w:i/>
          <w:iCs/>
        </w:rPr>
        <w:t>Perspectives on Australia’s recent poor productivity performance</w:t>
      </w:r>
      <w:r w:rsidRPr="00190557">
        <w:t>, 24 November.</w:t>
      </w:r>
    </w:p>
    <w:p w14:paraId="241BC824" w14:textId="77777777" w:rsidR="00190557" w:rsidRPr="00190557" w:rsidRDefault="00190557" w:rsidP="008A691A">
      <w:pPr>
        <w:pStyle w:val="Reference"/>
      </w:pPr>
      <w:r w:rsidRPr="00190557">
        <w:t xml:space="preserve">Glaser, J, Meyer, Peter, Stewart, Jay, and Varghese, Jerin 2024, </w:t>
      </w:r>
      <w:r w:rsidRPr="00190557">
        <w:rPr>
          <w:i/>
          <w:iCs/>
        </w:rPr>
        <w:t xml:space="preserve">How large are long-run revisions to estimates of U.S. </w:t>
      </w:r>
      <w:proofErr w:type="spellStart"/>
      <w:r w:rsidRPr="00190557">
        <w:rPr>
          <w:i/>
          <w:iCs/>
        </w:rPr>
        <w:t>labor</w:t>
      </w:r>
      <w:proofErr w:type="spellEnd"/>
      <w:r w:rsidRPr="00190557">
        <w:rPr>
          <w:i/>
          <w:iCs/>
        </w:rPr>
        <w:t xml:space="preserve"> productivity </w:t>
      </w:r>
      <w:proofErr w:type="gramStart"/>
      <w:r w:rsidRPr="00190557">
        <w:rPr>
          <w:i/>
          <w:iCs/>
        </w:rPr>
        <w:t>growth?</w:t>
      </w:r>
      <w:r w:rsidRPr="00190557">
        <w:t>,</w:t>
      </w:r>
      <w:proofErr w:type="gramEnd"/>
      <w:r w:rsidRPr="00190557">
        <w:t xml:space="preserve"> BLS Working Papers, U.S. Bureau of Labor Statistics.</w:t>
      </w:r>
    </w:p>
    <w:p w14:paraId="58D9C8DF" w14:textId="77777777" w:rsidR="00190557" w:rsidRPr="00190557" w:rsidRDefault="00190557" w:rsidP="008A691A">
      <w:pPr>
        <w:pStyle w:val="Reference"/>
      </w:pPr>
      <w:r w:rsidRPr="00190557">
        <w:t xml:space="preserve">Malamud, B 1988, ‘Reflections of a writer: long work, short life’, </w:t>
      </w:r>
      <w:r w:rsidRPr="00190557">
        <w:rPr>
          <w:i/>
          <w:iCs/>
        </w:rPr>
        <w:t>The New York Times</w:t>
      </w:r>
      <w:r w:rsidRPr="00190557">
        <w:t>, 20 March, https://www.nytimes.com/1988/03/20/books/reflections-of-a-writer-long-work-short-life.html (accessed 16 August 2024).</w:t>
      </w:r>
    </w:p>
    <w:p w14:paraId="6E2EB871" w14:textId="77777777" w:rsidR="00E44E05" w:rsidRDefault="00E44E05" w:rsidP="00A91551">
      <w:pPr>
        <w:pStyle w:val="BodyText"/>
        <w:sectPr w:rsidR="00E44E05" w:rsidSect="00E44E05">
          <w:type w:val="continuous"/>
          <w:pgSz w:w="11906" w:h="16838" w:code="9"/>
          <w:pgMar w:top="1134" w:right="1134" w:bottom="1134" w:left="1134" w:header="794" w:footer="510" w:gutter="0"/>
          <w:cols w:num="2" w:space="708"/>
          <w:docGrid w:linePitch="360"/>
        </w:sectPr>
      </w:pPr>
    </w:p>
    <w:p w14:paraId="1B02EBFC" w14:textId="4F1428C0" w:rsidR="00A91551" w:rsidRPr="00A91551" w:rsidRDefault="00A91551" w:rsidP="00A91551">
      <w:pPr>
        <w:pStyle w:val="BodyText"/>
      </w:pPr>
    </w:p>
    <w:sectPr w:rsidR="00A91551" w:rsidRPr="00A91551" w:rsidSect="00E44E05">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A9CE0" w14:textId="77777777" w:rsidR="0089435C" w:rsidRDefault="0089435C" w:rsidP="008017BC">
      <w:r>
        <w:separator/>
      </w:r>
    </w:p>
    <w:p w14:paraId="6030FFE9" w14:textId="77777777" w:rsidR="0089435C" w:rsidRDefault="0089435C"/>
  </w:endnote>
  <w:endnote w:type="continuationSeparator" w:id="0">
    <w:p w14:paraId="0801BE11" w14:textId="77777777" w:rsidR="0089435C" w:rsidRDefault="0089435C" w:rsidP="008017BC">
      <w:r>
        <w:continuationSeparator/>
      </w:r>
    </w:p>
    <w:p w14:paraId="45E5389D" w14:textId="77777777" w:rsidR="0089435C" w:rsidRDefault="0089435C"/>
  </w:endnote>
  <w:endnote w:type="continuationNotice" w:id="1">
    <w:p w14:paraId="42018F05" w14:textId="77777777" w:rsidR="0089435C" w:rsidRDefault="008943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FE883" w14:textId="77777777" w:rsidR="000D2BA9" w:rsidRPr="00187F05" w:rsidRDefault="000D2BA9"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51E5E" w14:textId="77777777" w:rsidR="000D2BA9" w:rsidRDefault="000D2BA9">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BBFA8" w14:textId="77777777" w:rsidR="000D2BA9" w:rsidRDefault="000D2BA9">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73D90693" wp14:editId="67DE31B5">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2B46D" w14:textId="77777777" w:rsidR="000D2BA9" w:rsidRDefault="000D2BA9" w:rsidP="00B938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0693" id="Rectangle 11" o:spid="_x0000_s1028"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" fillcolor="#2c9bc2" stroked="f" strokeweight="1pt">
              <v:textbox>
                <w:txbxContent>
                  <w:p w14:paraId="57E2B46D" w14:textId="77777777" w:rsidR="000D2BA9" w:rsidRDefault="000D2BA9" w:rsidP="00B938AB"/>
                </w:txbxContent>
              </v:textbox>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83DE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E4566B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BB815" w14:textId="77777777" w:rsidR="0089435C" w:rsidRPr="00C238D1" w:rsidRDefault="0089435C" w:rsidP="00273E86">
      <w:pPr>
        <w:spacing w:after="0" w:line="240" w:lineRule="auto"/>
        <w:rPr>
          <w:rStyle w:val="ColourDarkBlue"/>
        </w:rPr>
      </w:pPr>
      <w:r w:rsidRPr="00C238D1">
        <w:rPr>
          <w:rStyle w:val="ColourDarkBlue"/>
        </w:rPr>
        <w:continuationSeparator/>
      </w:r>
    </w:p>
  </w:footnote>
  <w:footnote w:type="continuationSeparator" w:id="0">
    <w:p w14:paraId="56E862A1" w14:textId="77777777" w:rsidR="0089435C" w:rsidRPr="001D7D9B" w:rsidRDefault="0089435C" w:rsidP="001D7D9B">
      <w:pPr>
        <w:spacing w:after="0" w:line="240" w:lineRule="auto"/>
        <w:rPr>
          <w:color w:val="265A9A" w:themeColor="background2"/>
        </w:rPr>
      </w:pPr>
      <w:r w:rsidRPr="00C238D1">
        <w:rPr>
          <w:rStyle w:val="ColourDarkBlue"/>
        </w:rPr>
        <w:continuationSeparator/>
      </w:r>
    </w:p>
  </w:footnote>
  <w:footnote w:type="continuationNotice" w:id="1">
    <w:p w14:paraId="63A35BF2" w14:textId="77777777" w:rsidR="0089435C" w:rsidRDefault="0089435C"/>
  </w:footnote>
  <w:footnote w:id="2">
    <w:p w14:paraId="1DCDC426" w14:textId="15050089" w:rsidR="00C475D0" w:rsidRDefault="00C475D0">
      <w:pPr>
        <w:pStyle w:val="FootnoteText"/>
      </w:pPr>
      <w:r w:rsidRPr="009611B3">
        <w:rPr>
          <w:rStyle w:val="FootnoteReference"/>
        </w:rPr>
        <w:footnoteRef/>
      </w:r>
      <w:r>
        <w:t xml:space="preserve"> </w:t>
      </w:r>
      <w:r w:rsidR="00883A3B">
        <w:t>This is consistent with overseas data. For example, a</w:t>
      </w:r>
      <w:r>
        <w:t xml:space="preserve">n extended period of revisions was found in the United States </w:t>
      </w:r>
      <w:r w:rsidRPr="0004009C">
        <w:rPr>
          <w:rFonts w:ascii="Arial" w:hAnsi="Arial" w:cs="Arial"/>
        </w:rPr>
        <w:t>(Glaser et al. 2024)</w:t>
      </w:r>
      <w:r>
        <w:t>. They determined that the change was driven by non-trivial revisions to output growth that occurred up to 10 years after the original release of an estimate.</w:t>
      </w:r>
    </w:p>
  </w:footnote>
  <w:footnote w:id="3">
    <w:p w14:paraId="14C80F92" w14:textId="647A4ECA" w:rsidR="0035312F" w:rsidRDefault="0035312F">
      <w:pPr>
        <w:pStyle w:val="FootnoteText"/>
      </w:pPr>
      <w:r w:rsidRPr="009611B3">
        <w:rPr>
          <w:rStyle w:val="FootnoteReference"/>
        </w:rPr>
        <w:footnoteRef/>
      </w:r>
      <w:r>
        <w:t xml:space="preserve"> </w:t>
      </w:r>
      <w:r w:rsidR="00FB5B36">
        <w:t>The distributions are</w:t>
      </w:r>
      <w:r w:rsidR="00627C6E">
        <w:t xml:space="preserve"> estimated probability density functions that </w:t>
      </w:r>
      <w:r w:rsidR="006A382A">
        <w:t>provide t</w:t>
      </w:r>
      <w:r w:rsidR="00784D96">
        <w:t xml:space="preserve">he probability that a revision will be within a given range of </w:t>
      </w:r>
      <w:r w:rsidR="002E58B6">
        <w:t>values</w:t>
      </w:r>
      <w:r w:rsidR="00B45E07">
        <w:t xml:space="preserve">, where </w:t>
      </w:r>
      <w:r w:rsidR="00A06A96">
        <w:t>greater</w:t>
      </w:r>
      <w:r w:rsidR="001A1AAE">
        <w:t xml:space="preserve"> density signal</w:t>
      </w:r>
      <w:r w:rsidR="00B45E07">
        <w:t>s</w:t>
      </w:r>
      <w:r w:rsidR="001A1AAE">
        <w:t xml:space="preserve"> greater </w:t>
      </w:r>
      <w:r w:rsidR="00A06A96">
        <w:t xml:space="preserve">probability. </w:t>
      </w:r>
    </w:p>
  </w:footnote>
  <w:footnote w:id="4">
    <w:p w14:paraId="0A1FCACE" w14:textId="48B16D3C" w:rsidR="006040F1" w:rsidRPr="00B73AC8" w:rsidRDefault="006040F1">
      <w:pPr>
        <w:pStyle w:val="FootnoteText"/>
        <w:rPr>
          <w:spacing w:val="-2"/>
        </w:rPr>
      </w:pPr>
      <w:r w:rsidRPr="00B73AC8">
        <w:rPr>
          <w:rStyle w:val="FootnoteReference"/>
          <w:spacing w:val="-2"/>
        </w:rPr>
        <w:footnoteRef/>
      </w:r>
      <w:r w:rsidRPr="00B73AC8">
        <w:rPr>
          <w:spacing w:val="-2"/>
        </w:rPr>
        <w:t xml:space="preserve"> Bishop et al. </w:t>
      </w:r>
      <w:r w:rsidRPr="00B73AC8">
        <w:rPr>
          <w:rFonts w:cs="Arial"/>
          <w:spacing w:val="-2"/>
        </w:rPr>
        <w:t>(2013)</w:t>
      </w:r>
      <w:r w:rsidRPr="00B73AC8">
        <w:rPr>
          <w:spacing w:val="-2"/>
        </w:rPr>
        <w:t xml:space="preserve"> use data that includes four years of revisions after the original release. The results of the analysis remain consistent if we extend our data analysis from three to four years after the original release for figure 1 and figure</w:t>
      </w:r>
      <w:r w:rsidR="008E328A" w:rsidRPr="00B73AC8">
        <w:rPr>
          <w:spacing w:val="-2"/>
        </w:rPr>
        <w:t> </w:t>
      </w:r>
      <w:r w:rsidRPr="00B73AC8">
        <w:rPr>
          <w:spacing w:val="-2"/>
        </w:rPr>
        <w:t>2.</w:t>
      </w:r>
    </w:p>
  </w:footnote>
  <w:footnote w:id="5">
    <w:p w14:paraId="4C207559" w14:textId="77777777" w:rsidR="00935AAE" w:rsidRDefault="00935AAE" w:rsidP="00935AAE">
      <w:pPr>
        <w:pStyle w:val="FootnoteText"/>
      </w:pPr>
      <w:r w:rsidRPr="009611B3">
        <w:rPr>
          <w:rStyle w:val="FootnoteReference"/>
        </w:rPr>
        <w:footnoteRef/>
      </w:r>
      <w:r>
        <w:t xml:space="preserve"> It would also be instructive to consider how the confidence intervals change depending on the size and magnitude of the original estimate. This sample size was deemed inadequate to meaningfully conduct this analysis at this point in time.</w:t>
      </w:r>
    </w:p>
  </w:footnote>
  <w:footnote w:id="6">
    <w:p w14:paraId="2EE5571B" w14:textId="05B2F446" w:rsidR="00435AC0" w:rsidRDefault="00435AC0" w:rsidP="00435AC0">
      <w:pPr>
        <w:pStyle w:val="FootnoteText"/>
      </w:pPr>
      <w:r w:rsidRPr="009611B3">
        <w:rPr>
          <w:rStyle w:val="FootnoteReference"/>
        </w:rPr>
        <w:footnoteRef/>
      </w:r>
      <w:r>
        <w:t xml:space="preserve"> The revision specified is the revision relative to the original estimate three years since the original release. The regression results </w:t>
      </w:r>
      <w:r w:rsidR="006D4E18">
        <w:t>are</w:t>
      </w:r>
      <w:r>
        <w:t xml:space="preserve"> in the appendix.</w:t>
      </w:r>
    </w:p>
  </w:footnote>
  <w:footnote w:id="7">
    <w:p w14:paraId="11D19B52" w14:textId="163ADC4E" w:rsidR="00390777" w:rsidRDefault="00390777">
      <w:pPr>
        <w:pStyle w:val="FootnoteText"/>
      </w:pPr>
      <w:r w:rsidRPr="009611B3">
        <w:rPr>
          <w:rStyle w:val="FootnoteReference"/>
        </w:rPr>
        <w:footnoteRef/>
      </w:r>
      <w:r>
        <w:t xml:space="preserve"> </w:t>
      </w:r>
      <w:r w:rsidR="006A5B4D">
        <w:t xml:space="preserve">The process of benchmarking is where the quarterly figures undergo a mathematical procedure to ensure that they are temporally consistent with annual figures </w:t>
      </w:r>
      <w:r w:rsidR="00337137" w:rsidRPr="00337137">
        <w:rPr>
          <w:rFonts w:ascii="Arial" w:hAnsi="Arial" w:cs="Arial"/>
        </w:rPr>
        <w:t>(ABS 2021d)</w:t>
      </w:r>
      <w:r w:rsidR="006A5B4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2A844" w14:textId="77777777" w:rsidR="000D2BA9" w:rsidRDefault="000D2BA9" w:rsidP="00A31831">
    <w:pPr>
      <w:pStyle w:val="Header-Keyline"/>
    </w:pPr>
    <w:r>
      <w:rPr>
        <w:rStyle w:val="Strong"/>
      </w:rPr>
      <w:t>PC productivity insights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46432" w14:textId="77777777" w:rsidR="000D2BA9" w:rsidRDefault="000D2BA9" w:rsidP="00B24DA5">
    <w:pPr>
      <w:pStyle w:val="Header-KeylineRight"/>
    </w:pPr>
    <w:r>
      <w:t>Productivity growth and wages – a forensic look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9A48D" w14:textId="77777777" w:rsidR="000D2BA9" w:rsidRPr="007215EF" w:rsidRDefault="000D2BA9" w:rsidP="007215EF">
    <w:r w:rsidRPr="007215EF">
      <w:rPr>
        <w:noProof/>
      </w:rPr>
      <w:drawing>
        <wp:anchor distT="0" distB="0" distL="114300" distR="114300" simplePos="0" relativeHeight="251658240" behindDoc="0" locked="1" layoutInCell="1" allowOverlap="1" wp14:anchorId="68A560A6" wp14:editId="2B799F17">
          <wp:simplePos x="0" y="0"/>
          <wp:positionH relativeFrom="margin">
            <wp:align>left</wp:align>
          </wp:positionH>
          <wp:positionV relativeFrom="page">
            <wp:align>top</wp:align>
          </wp:positionV>
          <wp:extent cx="2235600" cy="1058400"/>
          <wp:effectExtent l="0" t="0" r="0" b="8890"/>
          <wp:wrapNone/>
          <wp:docPr id="1280042015" name="Graphic 1280042015"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A72D1" w14:textId="77777777" w:rsidR="000D2BA9" w:rsidRPr="005965BC" w:rsidRDefault="000D2BA9"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C876E" w14:textId="0C209C3A" w:rsidR="00F173EF" w:rsidRDefault="00154D78" w:rsidP="00F173EF">
    <w:pPr>
      <w:pStyle w:val="Header-Keyline"/>
    </w:pPr>
    <w:r>
      <w:t>PC productivity insights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C1937" w14:textId="7C21FD1E" w:rsidR="00F173EF" w:rsidRDefault="00774A5C" w:rsidP="00F173EF">
    <w:pPr>
      <w:pStyle w:val="Header-KeylineRight"/>
    </w:pPr>
    <w:fldSimple w:instr=" STYLEREF  Title  \* MERGEFORMAT ">
      <w:r w:rsidR="00845C4A">
        <w:rPr>
          <w:noProof/>
        </w:rPr>
        <w:t>Revisions to quarterly labour productivity growth</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376B9" w14:textId="57686099" w:rsidR="00FE7435" w:rsidRDefault="00FE7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9B26CD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04CFAB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299235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5F3AE9"/>
    <w:multiLevelType w:val="hybridMultilevel"/>
    <w:tmpl w:val="955425D8"/>
    <w:lvl w:ilvl="0" w:tplc="5F3C1E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E5CA2A7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993"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9566C9"/>
    <w:multiLevelType w:val="hybridMultilevel"/>
    <w:tmpl w:val="F126049C"/>
    <w:lvl w:ilvl="0" w:tplc="94F037B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257465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61B4A1B"/>
    <w:multiLevelType w:val="multilevel"/>
    <w:tmpl w:val="4F48000A"/>
    <w:numStyleLink w:val="Alphalist"/>
  </w:abstractNum>
  <w:num w:numId="1" w16cid:durableId="1835417846">
    <w:abstractNumId w:val="9"/>
  </w:num>
  <w:num w:numId="2" w16cid:durableId="1519077027">
    <w:abstractNumId w:val="5"/>
  </w:num>
  <w:num w:numId="3" w16cid:durableId="1468549479">
    <w:abstractNumId w:val="12"/>
  </w:num>
  <w:num w:numId="4" w16cid:durableId="915166386">
    <w:abstractNumId w:val="18"/>
  </w:num>
  <w:num w:numId="5" w16cid:durableId="1510681289">
    <w:abstractNumId w:val="19"/>
  </w:num>
  <w:num w:numId="6" w16cid:durableId="912081833">
    <w:abstractNumId w:val="17"/>
  </w:num>
  <w:num w:numId="7" w16cid:durableId="2023432934">
    <w:abstractNumId w:val="14"/>
  </w:num>
  <w:num w:numId="8" w16cid:durableId="192770611">
    <w:abstractNumId w:val="10"/>
  </w:num>
  <w:num w:numId="9" w16cid:durableId="485167421">
    <w:abstractNumId w:val="13"/>
  </w:num>
  <w:num w:numId="10" w16cid:durableId="775756382">
    <w:abstractNumId w:val="21"/>
  </w:num>
  <w:num w:numId="11" w16cid:durableId="1975406722">
    <w:abstractNumId w:val="0"/>
  </w:num>
  <w:num w:numId="12" w16cid:durableId="2055227720">
    <w:abstractNumId w:val="6"/>
  </w:num>
  <w:num w:numId="13" w16cid:durableId="432627348">
    <w:abstractNumId w:val="11"/>
  </w:num>
  <w:num w:numId="14" w16cid:durableId="1889947188">
    <w:abstractNumId w:val="8"/>
  </w:num>
  <w:num w:numId="15" w16cid:durableId="818545292">
    <w:abstractNumId w:val="3"/>
  </w:num>
  <w:num w:numId="16" w16cid:durableId="561333589">
    <w:abstractNumId w:val="15"/>
  </w:num>
  <w:num w:numId="17" w16cid:durableId="267082509">
    <w:abstractNumId w:val="7"/>
  </w:num>
  <w:num w:numId="18" w16cid:durableId="1168835983">
    <w:abstractNumId w:val="2"/>
  </w:num>
  <w:num w:numId="19" w16cid:durableId="1989432763">
    <w:abstractNumId w:val="4"/>
  </w:num>
  <w:num w:numId="20" w16cid:durableId="1812359356">
    <w:abstractNumId w:val="16"/>
  </w:num>
  <w:num w:numId="21" w16cid:durableId="463812601">
    <w:abstractNumId w:val="9"/>
  </w:num>
  <w:num w:numId="22" w16cid:durableId="318653565">
    <w:abstractNumId w:val="5"/>
  </w:num>
  <w:num w:numId="23" w16cid:durableId="928973722">
    <w:abstractNumId w:val="12"/>
  </w:num>
  <w:num w:numId="24" w16cid:durableId="1343817576">
    <w:abstractNumId w:val="18"/>
  </w:num>
  <w:num w:numId="25" w16cid:durableId="1162698590">
    <w:abstractNumId w:val="19"/>
  </w:num>
  <w:num w:numId="26" w16cid:durableId="1561133210">
    <w:abstractNumId w:val="17"/>
  </w:num>
  <w:num w:numId="27" w16cid:durableId="882988364">
    <w:abstractNumId w:val="11"/>
  </w:num>
  <w:num w:numId="28" w16cid:durableId="1904175203">
    <w:abstractNumId w:val="11"/>
  </w:num>
  <w:num w:numId="29" w16cid:durableId="1770854846">
    <w:abstractNumId w:val="14"/>
  </w:num>
  <w:num w:numId="30" w16cid:durableId="1437599175">
    <w:abstractNumId w:val="14"/>
  </w:num>
  <w:num w:numId="31" w16cid:durableId="2042322738">
    <w:abstractNumId w:val="7"/>
  </w:num>
  <w:num w:numId="32" w16cid:durableId="765349371">
    <w:abstractNumId w:val="7"/>
  </w:num>
  <w:num w:numId="33" w16cid:durableId="1583565612">
    <w:abstractNumId w:val="10"/>
  </w:num>
  <w:num w:numId="34" w16cid:durableId="239605533">
    <w:abstractNumId w:val="13"/>
  </w:num>
  <w:num w:numId="35" w16cid:durableId="2015837606">
    <w:abstractNumId w:val="13"/>
  </w:num>
  <w:num w:numId="36" w16cid:durableId="369188806">
    <w:abstractNumId w:val="13"/>
  </w:num>
  <w:num w:numId="37" w16cid:durableId="1144930124">
    <w:abstractNumId w:val="13"/>
  </w:num>
  <w:num w:numId="38" w16cid:durableId="1343891764">
    <w:abstractNumId w:val="21"/>
  </w:num>
  <w:num w:numId="39" w16cid:durableId="294026337">
    <w:abstractNumId w:val="21"/>
  </w:num>
  <w:num w:numId="40" w16cid:durableId="1822385332">
    <w:abstractNumId w:val="21"/>
  </w:num>
  <w:num w:numId="41" w16cid:durableId="737940379">
    <w:abstractNumId w:val="21"/>
  </w:num>
  <w:num w:numId="42" w16cid:durableId="1133408149">
    <w:abstractNumId w:val="7"/>
  </w:num>
  <w:num w:numId="43" w16cid:durableId="1208764745">
    <w:abstractNumId w:val="7"/>
  </w:num>
  <w:num w:numId="44" w16cid:durableId="1170755242">
    <w:abstractNumId w:val="0"/>
  </w:num>
  <w:num w:numId="45" w16cid:durableId="936866043">
    <w:abstractNumId w:val="6"/>
  </w:num>
  <w:num w:numId="46" w16cid:durableId="679501544">
    <w:abstractNumId w:val="8"/>
  </w:num>
  <w:num w:numId="47" w16cid:durableId="692616381">
    <w:abstractNumId w:val="8"/>
  </w:num>
  <w:num w:numId="48" w16cid:durableId="621377056">
    <w:abstractNumId w:val="8"/>
  </w:num>
  <w:num w:numId="49" w16cid:durableId="110128472">
    <w:abstractNumId w:val="8"/>
  </w:num>
  <w:num w:numId="50" w16cid:durableId="274757371">
    <w:abstractNumId w:val="8"/>
  </w:num>
  <w:num w:numId="51" w16cid:durableId="1154568980">
    <w:abstractNumId w:val="11"/>
  </w:num>
  <w:num w:numId="52" w16cid:durableId="2054697600">
    <w:abstractNumId w:val="11"/>
  </w:num>
  <w:num w:numId="53" w16cid:durableId="677585644">
    <w:abstractNumId w:val="8"/>
  </w:num>
  <w:num w:numId="54" w16cid:durableId="1816679804">
    <w:abstractNumId w:val="7"/>
  </w:num>
  <w:num w:numId="55" w16cid:durableId="1052266081">
    <w:abstractNumId w:val="3"/>
  </w:num>
  <w:num w:numId="56" w16cid:durableId="883567897">
    <w:abstractNumId w:val="7"/>
  </w:num>
  <w:num w:numId="57" w16cid:durableId="1331643849">
    <w:abstractNumId w:val="3"/>
  </w:num>
  <w:num w:numId="58" w16cid:durableId="2049798291">
    <w:abstractNumId w:val="15"/>
  </w:num>
  <w:num w:numId="59" w16cid:durableId="1314606476">
    <w:abstractNumId w:val="20"/>
  </w:num>
  <w:num w:numId="60" w16cid:durableId="13189335">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D85"/>
    <w:rsid w:val="00000075"/>
    <w:rsid w:val="00000F3C"/>
    <w:rsid w:val="00001331"/>
    <w:rsid w:val="0000143E"/>
    <w:rsid w:val="00001C18"/>
    <w:rsid w:val="00001E12"/>
    <w:rsid w:val="00001EC7"/>
    <w:rsid w:val="00002172"/>
    <w:rsid w:val="00002192"/>
    <w:rsid w:val="00002884"/>
    <w:rsid w:val="000030FC"/>
    <w:rsid w:val="0000377E"/>
    <w:rsid w:val="00003BBF"/>
    <w:rsid w:val="00004489"/>
    <w:rsid w:val="00004552"/>
    <w:rsid w:val="00004582"/>
    <w:rsid w:val="0000460C"/>
    <w:rsid w:val="00004E36"/>
    <w:rsid w:val="0000543C"/>
    <w:rsid w:val="000054BC"/>
    <w:rsid w:val="00005683"/>
    <w:rsid w:val="00005C79"/>
    <w:rsid w:val="00005CE8"/>
    <w:rsid w:val="00005FF9"/>
    <w:rsid w:val="0000611A"/>
    <w:rsid w:val="0000616B"/>
    <w:rsid w:val="00006406"/>
    <w:rsid w:val="000064D0"/>
    <w:rsid w:val="00006644"/>
    <w:rsid w:val="00007DE1"/>
    <w:rsid w:val="00010779"/>
    <w:rsid w:val="000107CB"/>
    <w:rsid w:val="00010BD9"/>
    <w:rsid w:val="00010F83"/>
    <w:rsid w:val="00011688"/>
    <w:rsid w:val="00011828"/>
    <w:rsid w:val="00011A3E"/>
    <w:rsid w:val="00012276"/>
    <w:rsid w:val="00012CD8"/>
    <w:rsid w:val="0001308B"/>
    <w:rsid w:val="00013897"/>
    <w:rsid w:val="00013C5F"/>
    <w:rsid w:val="00014553"/>
    <w:rsid w:val="0001479C"/>
    <w:rsid w:val="00014F3D"/>
    <w:rsid w:val="000153D2"/>
    <w:rsid w:val="0001576D"/>
    <w:rsid w:val="0001579D"/>
    <w:rsid w:val="00015C44"/>
    <w:rsid w:val="00015CC7"/>
    <w:rsid w:val="00016068"/>
    <w:rsid w:val="00016325"/>
    <w:rsid w:val="000164A9"/>
    <w:rsid w:val="00017080"/>
    <w:rsid w:val="0001769A"/>
    <w:rsid w:val="0001781D"/>
    <w:rsid w:val="00017D0E"/>
    <w:rsid w:val="0002029C"/>
    <w:rsid w:val="00020A89"/>
    <w:rsid w:val="00020ABF"/>
    <w:rsid w:val="000220AD"/>
    <w:rsid w:val="00022A7F"/>
    <w:rsid w:val="00022ED5"/>
    <w:rsid w:val="00022FA1"/>
    <w:rsid w:val="00023143"/>
    <w:rsid w:val="000231D3"/>
    <w:rsid w:val="000233A9"/>
    <w:rsid w:val="00023BB3"/>
    <w:rsid w:val="000241F0"/>
    <w:rsid w:val="00024809"/>
    <w:rsid w:val="00024CAD"/>
    <w:rsid w:val="00024F62"/>
    <w:rsid w:val="000250D7"/>
    <w:rsid w:val="00025178"/>
    <w:rsid w:val="00025184"/>
    <w:rsid w:val="00025366"/>
    <w:rsid w:val="0002559C"/>
    <w:rsid w:val="000259B8"/>
    <w:rsid w:val="000259CF"/>
    <w:rsid w:val="000269FD"/>
    <w:rsid w:val="00026C04"/>
    <w:rsid w:val="00027D47"/>
    <w:rsid w:val="000300AF"/>
    <w:rsid w:val="00030AEB"/>
    <w:rsid w:val="00030F49"/>
    <w:rsid w:val="00031128"/>
    <w:rsid w:val="00031179"/>
    <w:rsid w:val="000314F8"/>
    <w:rsid w:val="00031666"/>
    <w:rsid w:val="00031A2B"/>
    <w:rsid w:val="00031F9C"/>
    <w:rsid w:val="00032BE4"/>
    <w:rsid w:val="000331E4"/>
    <w:rsid w:val="000332B5"/>
    <w:rsid w:val="0003338D"/>
    <w:rsid w:val="00033619"/>
    <w:rsid w:val="0003413A"/>
    <w:rsid w:val="00034A6B"/>
    <w:rsid w:val="0003558C"/>
    <w:rsid w:val="000355A7"/>
    <w:rsid w:val="00035C8A"/>
    <w:rsid w:val="0003707D"/>
    <w:rsid w:val="000375EF"/>
    <w:rsid w:val="00037E7B"/>
    <w:rsid w:val="0004009C"/>
    <w:rsid w:val="0004098C"/>
    <w:rsid w:val="00040B98"/>
    <w:rsid w:val="00041435"/>
    <w:rsid w:val="000420DE"/>
    <w:rsid w:val="00043213"/>
    <w:rsid w:val="000437F4"/>
    <w:rsid w:val="00043A76"/>
    <w:rsid w:val="00043AFA"/>
    <w:rsid w:val="00043C68"/>
    <w:rsid w:val="00044256"/>
    <w:rsid w:val="000442BD"/>
    <w:rsid w:val="00044665"/>
    <w:rsid w:val="000451BD"/>
    <w:rsid w:val="00045330"/>
    <w:rsid w:val="00046061"/>
    <w:rsid w:val="000462F3"/>
    <w:rsid w:val="00046900"/>
    <w:rsid w:val="00046A69"/>
    <w:rsid w:val="00046B4F"/>
    <w:rsid w:val="00046F5A"/>
    <w:rsid w:val="0004708B"/>
    <w:rsid w:val="0004727A"/>
    <w:rsid w:val="0004757D"/>
    <w:rsid w:val="00047894"/>
    <w:rsid w:val="00047CCC"/>
    <w:rsid w:val="00047FC0"/>
    <w:rsid w:val="00050224"/>
    <w:rsid w:val="00050BEF"/>
    <w:rsid w:val="0005151B"/>
    <w:rsid w:val="00051805"/>
    <w:rsid w:val="00051B2F"/>
    <w:rsid w:val="00051C85"/>
    <w:rsid w:val="00051CC4"/>
    <w:rsid w:val="00051D78"/>
    <w:rsid w:val="00051F07"/>
    <w:rsid w:val="00051F64"/>
    <w:rsid w:val="00052380"/>
    <w:rsid w:val="000524AB"/>
    <w:rsid w:val="00052E36"/>
    <w:rsid w:val="00052E37"/>
    <w:rsid w:val="00053B1F"/>
    <w:rsid w:val="000549C3"/>
    <w:rsid w:val="00054A4C"/>
    <w:rsid w:val="00054C95"/>
    <w:rsid w:val="00054F86"/>
    <w:rsid w:val="00055D40"/>
    <w:rsid w:val="000561CF"/>
    <w:rsid w:val="0005657E"/>
    <w:rsid w:val="00056676"/>
    <w:rsid w:val="000569C6"/>
    <w:rsid w:val="000576C3"/>
    <w:rsid w:val="0005774F"/>
    <w:rsid w:val="00057838"/>
    <w:rsid w:val="0006009A"/>
    <w:rsid w:val="00060532"/>
    <w:rsid w:val="00060B53"/>
    <w:rsid w:val="00061023"/>
    <w:rsid w:val="00061681"/>
    <w:rsid w:val="000617CA"/>
    <w:rsid w:val="000622C7"/>
    <w:rsid w:val="00062747"/>
    <w:rsid w:val="00062A44"/>
    <w:rsid w:val="00062D82"/>
    <w:rsid w:val="00063360"/>
    <w:rsid w:val="0006361B"/>
    <w:rsid w:val="00063EF4"/>
    <w:rsid w:val="00064317"/>
    <w:rsid w:val="00064421"/>
    <w:rsid w:val="00065F0A"/>
    <w:rsid w:val="000664F3"/>
    <w:rsid w:val="00066D9D"/>
    <w:rsid w:val="000672AB"/>
    <w:rsid w:val="000679A7"/>
    <w:rsid w:val="00067FAC"/>
    <w:rsid w:val="00070019"/>
    <w:rsid w:val="000707B0"/>
    <w:rsid w:val="00071586"/>
    <w:rsid w:val="00071D85"/>
    <w:rsid w:val="00072091"/>
    <w:rsid w:val="0007230A"/>
    <w:rsid w:val="000724A5"/>
    <w:rsid w:val="000724AE"/>
    <w:rsid w:val="00072544"/>
    <w:rsid w:val="000726CF"/>
    <w:rsid w:val="0007344B"/>
    <w:rsid w:val="00073A44"/>
    <w:rsid w:val="00073E18"/>
    <w:rsid w:val="000743BC"/>
    <w:rsid w:val="00074486"/>
    <w:rsid w:val="00074E0F"/>
    <w:rsid w:val="00074E4D"/>
    <w:rsid w:val="00074E99"/>
    <w:rsid w:val="00075053"/>
    <w:rsid w:val="000751E1"/>
    <w:rsid w:val="0007524D"/>
    <w:rsid w:val="000757A2"/>
    <w:rsid w:val="00077100"/>
    <w:rsid w:val="0007776A"/>
    <w:rsid w:val="0007797B"/>
    <w:rsid w:val="00077A76"/>
    <w:rsid w:val="0008001D"/>
    <w:rsid w:val="00080156"/>
    <w:rsid w:val="0008037D"/>
    <w:rsid w:val="0008138B"/>
    <w:rsid w:val="00081B3D"/>
    <w:rsid w:val="00081D3D"/>
    <w:rsid w:val="00082D0E"/>
    <w:rsid w:val="000830C8"/>
    <w:rsid w:val="000830E2"/>
    <w:rsid w:val="000834F9"/>
    <w:rsid w:val="00083BEC"/>
    <w:rsid w:val="00084196"/>
    <w:rsid w:val="000844BC"/>
    <w:rsid w:val="000844CF"/>
    <w:rsid w:val="00084660"/>
    <w:rsid w:val="00084A3A"/>
    <w:rsid w:val="00084D5C"/>
    <w:rsid w:val="000857B8"/>
    <w:rsid w:val="0008599A"/>
    <w:rsid w:val="00085AA8"/>
    <w:rsid w:val="00085FB9"/>
    <w:rsid w:val="0008610E"/>
    <w:rsid w:val="000866AE"/>
    <w:rsid w:val="00086884"/>
    <w:rsid w:val="00087129"/>
    <w:rsid w:val="00087272"/>
    <w:rsid w:val="00087529"/>
    <w:rsid w:val="0008773B"/>
    <w:rsid w:val="0008774D"/>
    <w:rsid w:val="00087919"/>
    <w:rsid w:val="00087CEE"/>
    <w:rsid w:val="000901E1"/>
    <w:rsid w:val="000902DF"/>
    <w:rsid w:val="00090B05"/>
    <w:rsid w:val="00091286"/>
    <w:rsid w:val="00091782"/>
    <w:rsid w:val="000919BB"/>
    <w:rsid w:val="000919F0"/>
    <w:rsid w:val="00091D51"/>
    <w:rsid w:val="00091D99"/>
    <w:rsid w:val="00092083"/>
    <w:rsid w:val="000923A3"/>
    <w:rsid w:val="00092E80"/>
    <w:rsid w:val="000935B7"/>
    <w:rsid w:val="0009380C"/>
    <w:rsid w:val="0009389F"/>
    <w:rsid w:val="00093DA7"/>
    <w:rsid w:val="00093E91"/>
    <w:rsid w:val="00094883"/>
    <w:rsid w:val="00094ABD"/>
    <w:rsid w:val="00094E68"/>
    <w:rsid w:val="00095CF5"/>
    <w:rsid w:val="0009612C"/>
    <w:rsid w:val="00096314"/>
    <w:rsid w:val="00096AD9"/>
    <w:rsid w:val="00096DE4"/>
    <w:rsid w:val="0009712B"/>
    <w:rsid w:val="000975EA"/>
    <w:rsid w:val="00097928"/>
    <w:rsid w:val="00097BD4"/>
    <w:rsid w:val="000A0B91"/>
    <w:rsid w:val="000A0CC7"/>
    <w:rsid w:val="000A0F08"/>
    <w:rsid w:val="000A10B4"/>
    <w:rsid w:val="000A173A"/>
    <w:rsid w:val="000A2588"/>
    <w:rsid w:val="000A3122"/>
    <w:rsid w:val="000A388A"/>
    <w:rsid w:val="000A38AA"/>
    <w:rsid w:val="000A3914"/>
    <w:rsid w:val="000A53D0"/>
    <w:rsid w:val="000A58A0"/>
    <w:rsid w:val="000A60B1"/>
    <w:rsid w:val="000A6251"/>
    <w:rsid w:val="000A6268"/>
    <w:rsid w:val="000A6960"/>
    <w:rsid w:val="000A6B2E"/>
    <w:rsid w:val="000A7549"/>
    <w:rsid w:val="000A7C88"/>
    <w:rsid w:val="000B0535"/>
    <w:rsid w:val="000B0A13"/>
    <w:rsid w:val="000B1462"/>
    <w:rsid w:val="000B1540"/>
    <w:rsid w:val="000B175F"/>
    <w:rsid w:val="000B2562"/>
    <w:rsid w:val="000B2994"/>
    <w:rsid w:val="000B2B7D"/>
    <w:rsid w:val="000B3649"/>
    <w:rsid w:val="000B4101"/>
    <w:rsid w:val="000B44AE"/>
    <w:rsid w:val="000B497F"/>
    <w:rsid w:val="000B4A72"/>
    <w:rsid w:val="000B4D21"/>
    <w:rsid w:val="000B4DEB"/>
    <w:rsid w:val="000B5105"/>
    <w:rsid w:val="000B551A"/>
    <w:rsid w:val="000B6468"/>
    <w:rsid w:val="000B6A4A"/>
    <w:rsid w:val="000B6D9A"/>
    <w:rsid w:val="000B73B7"/>
    <w:rsid w:val="000B7764"/>
    <w:rsid w:val="000B7CA8"/>
    <w:rsid w:val="000C0667"/>
    <w:rsid w:val="000C0B20"/>
    <w:rsid w:val="000C1A17"/>
    <w:rsid w:val="000C2290"/>
    <w:rsid w:val="000C2DD4"/>
    <w:rsid w:val="000C32A1"/>
    <w:rsid w:val="000C33C1"/>
    <w:rsid w:val="000C3BAA"/>
    <w:rsid w:val="000C3BC2"/>
    <w:rsid w:val="000C4286"/>
    <w:rsid w:val="000C4A23"/>
    <w:rsid w:val="000C50E0"/>
    <w:rsid w:val="000C56DB"/>
    <w:rsid w:val="000C5731"/>
    <w:rsid w:val="000C5AE0"/>
    <w:rsid w:val="000C5F87"/>
    <w:rsid w:val="000C6B77"/>
    <w:rsid w:val="000C7009"/>
    <w:rsid w:val="000C73CF"/>
    <w:rsid w:val="000D0079"/>
    <w:rsid w:val="000D0145"/>
    <w:rsid w:val="000D0596"/>
    <w:rsid w:val="000D12A1"/>
    <w:rsid w:val="000D1553"/>
    <w:rsid w:val="000D1B7D"/>
    <w:rsid w:val="000D1E50"/>
    <w:rsid w:val="000D1F20"/>
    <w:rsid w:val="000D1F52"/>
    <w:rsid w:val="000D22A3"/>
    <w:rsid w:val="000D2397"/>
    <w:rsid w:val="000D2B35"/>
    <w:rsid w:val="000D2BA9"/>
    <w:rsid w:val="000D2EA1"/>
    <w:rsid w:val="000D2EEE"/>
    <w:rsid w:val="000D3224"/>
    <w:rsid w:val="000D3BC1"/>
    <w:rsid w:val="000D4C29"/>
    <w:rsid w:val="000D50F6"/>
    <w:rsid w:val="000D57B4"/>
    <w:rsid w:val="000D5B4E"/>
    <w:rsid w:val="000D6164"/>
    <w:rsid w:val="000D618E"/>
    <w:rsid w:val="000D6C78"/>
    <w:rsid w:val="000D6CB7"/>
    <w:rsid w:val="000D72B7"/>
    <w:rsid w:val="000D777D"/>
    <w:rsid w:val="000D77CC"/>
    <w:rsid w:val="000E023D"/>
    <w:rsid w:val="000E0434"/>
    <w:rsid w:val="000E0959"/>
    <w:rsid w:val="000E0A91"/>
    <w:rsid w:val="000E0C86"/>
    <w:rsid w:val="000E0CC6"/>
    <w:rsid w:val="000E1C94"/>
    <w:rsid w:val="000E250E"/>
    <w:rsid w:val="000E25ED"/>
    <w:rsid w:val="000E285A"/>
    <w:rsid w:val="000E29E4"/>
    <w:rsid w:val="000E2AD8"/>
    <w:rsid w:val="000E2EB0"/>
    <w:rsid w:val="000E2FC4"/>
    <w:rsid w:val="000E316C"/>
    <w:rsid w:val="000E3285"/>
    <w:rsid w:val="000E32A9"/>
    <w:rsid w:val="000E35D1"/>
    <w:rsid w:val="000E367A"/>
    <w:rsid w:val="000E378F"/>
    <w:rsid w:val="000E3E10"/>
    <w:rsid w:val="000E40B4"/>
    <w:rsid w:val="000E43B0"/>
    <w:rsid w:val="000E483D"/>
    <w:rsid w:val="000E493C"/>
    <w:rsid w:val="000E522C"/>
    <w:rsid w:val="000E55EF"/>
    <w:rsid w:val="000E5A24"/>
    <w:rsid w:val="000E63AE"/>
    <w:rsid w:val="000E659F"/>
    <w:rsid w:val="000E6B58"/>
    <w:rsid w:val="000E6D73"/>
    <w:rsid w:val="000E6E03"/>
    <w:rsid w:val="000E70BE"/>
    <w:rsid w:val="000E75D5"/>
    <w:rsid w:val="000E7A71"/>
    <w:rsid w:val="000E7E5F"/>
    <w:rsid w:val="000E7EF5"/>
    <w:rsid w:val="000F0414"/>
    <w:rsid w:val="000F1CA9"/>
    <w:rsid w:val="000F1CEF"/>
    <w:rsid w:val="000F1E66"/>
    <w:rsid w:val="000F33A6"/>
    <w:rsid w:val="000F34BB"/>
    <w:rsid w:val="000F391F"/>
    <w:rsid w:val="000F3980"/>
    <w:rsid w:val="000F4488"/>
    <w:rsid w:val="000F4F98"/>
    <w:rsid w:val="000F621D"/>
    <w:rsid w:val="000F6852"/>
    <w:rsid w:val="000F6A02"/>
    <w:rsid w:val="000F6C34"/>
    <w:rsid w:val="000F79C1"/>
    <w:rsid w:val="000F7C26"/>
    <w:rsid w:val="00100FAB"/>
    <w:rsid w:val="0010139B"/>
    <w:rsid w:val="001015C7"/>
    <w:rsid w:val="00101A84"/>
    <w:rsid w:val="001020C3"/>
    <w:rsid w:val="0010297A"/>
    <w:rsid w:val="00102A2E"/>
    <w:rsid w:val="00102C74"/>
    <w:rsid w:val="00102D44"/>
    <w:rsid w:val="00103115"/>
    <w:rsid w:val="001042B2"/>
    <w:rsid w:val="00104AE6"/>
    <w:rsid w:val="00104B6F"/>
    <w:rsid w:val="00104CAC"/>
    <w:rsid w:val="00104FD9"/>
    <w:rsid w:val="0010501A"/>
    <w:rsid w:val="00106329"/>
    <w:rsid w:val="0010645B"/>
    <w:rsid w:val="00106C81"/>
    <w:rsid w:val="00107100"/>
    <w:rsid w:val="0010736C"/>
    <w:rsid w:val="0010738B"/>
    <w:rsid w:val="001073C4"/>
    <w:rsid w:val="001073DD"/>
    <w:rsid w:val="0010748F"/>
    <w:rsid w:val="00107B0F"/>
    <w:rsid w:val="00110488"/>
    <w:rsid w:val="00110B1A"/>
    <w:rsid w:val="0011157A"/>
    <w:rsid w:val="00111E76"/>
    <w:rsid w:val="0011217E"/>
    <w:rsid w:val="00112384"/>
    <w:rsid w:val="001124F5"/>
    <w:rsid w:val="0011266F"/>
    <w:rsid w:val="00112999"/>
    <w:rsid w:val="00112DAC"/>
    <w:rsid w:val="00112E8F"/>
    <w:rsid w:val="00112F7F"/>
    <w:rsid w:val="001134E3"/>
    <w:rsid w:val="001136D7"/>
    <w:rsid w:val="00113999"/>
    <w:rsid w:val="00113A21"/>
    <w:rsid w:val="00113BD1"/>
    <w:rsid w:val="00113E92"/>
    <w:rsid w:val="00114003"/>
    <w:rsid w:val="001140C7"/>
    <w:rsid w:val="00114234"/>
    <w:rsid w:val="001142E8"/>
    <w:rsid w:val="001146D0"/>
    <w:rsid w:val="001146F6"/>
    <w:rsid w:val="00114A35"/>
    <w:rsid w:val="001151D8"/>
    <w:rsid w:val="00116190"/>
    <w:rsid w:val="00116D99"/>
    <w:rsid w:val="00117069"/>
    <w:rsid w:val="001170DF"/>
    <w:rsid w:val="001173F0"/>
    <w:rsid w:val="001173F7"/>
    <w:rsid w:val="00117488"/>
    <w:rsid w:val="001176A2"/>
    <w:rsid w:val="00117A4A"/>
    <w:rsid w:val="00120085"/>
    <w:rsid w:val="00120225"/>
    <w:rsid w:val="001205F3"/>
    <w:rsid w:val="00120739"/>
    <w:rsid w:val="00120792"/>
    <w:rsid w:val="001207A6"/>
    <w:rsid w:val="00120843"/>
    <w:rsid w:val="001209FA"/>
    <w:rsid w:val="00120D83"/>
    <w:rsid w:val="00121216"/>
    <w:rsid w:val="001219B7"/>
    <w:rsid w:val="00121A41"/>
    <w:rsid w:val="0012216D"/>
    <w:rsid w:val="001225DC"/>
    <w:rsid w:val="001225E1"/>
    <w:rsid w:val="001230D2"/>
    <w:rsid w:val="00124603"/>
    <w:rsid w:val="001252FC"/>
    <w:rsid w:val="001260A3"/>
    <w:rsid w:val="001263EF"/>
    <w:rsid w:val="0012641B"/>
    <w:rsid w:val="00126598"/>
    <w:rsid w:val="001268BC"/>
    <w:rsid w:val="00126B83"/>
    <w:rsid w:val="00126DB1"/>
    <w:rsid w:val="001273A5"/>
    <w:rsid w:val="001275C3"/>
    <w:rsid w:val="0013094B"/>
    <w:rsid w:val="00130CC6"/>
    <w:rsid w:val="00130CDE"/>
    <w:rsid w:val="0013136D"/>
    <w:rsid w:val="001318A6"/>
    <w:rsid w:val="00131A07"/>
    <w:rsid w:val="00131FFC"/>
    <w:rsid w:val="0013244D"/>
    <w:rsid w:val="0013260C"/>
    <w:rsid w:val="001326AC"/>
    <w:rsid w:val="001327EC"/>
    <w:rsid w:val="001338E1"/>
    <w:rsid w:val="001349FC"/>
    <w:rsid w:val="00134AD8"/>
    <w:rsid w:val="00134F36"/>
    <w:rsid w:val="001355F6"/>
    <w:rsid w:val="00135734"/>
    <w:rsid w:val="00135739"/>
    <w:rsid w:val="00136B83"/>
    <w:rsid w:val="00136E87"/>
    <w:rsid w:val="0013722E"/>
    <w:rsid w:val="00137415"/>
    <w:rsid w:val="00137B81"/>
    <w:rsid w:val="00137EA4"/>
    <w:rsid w:val="00137F60"/>
    <w:rsid w:val="00137FAB"/>
    <w:rsid w:val="001401E6"/>
    <w:rsid w:val="001406A5"/>
    <w:rsid w:val="00140C0E"/>
    <w:rsid w:val="001410B5"/>
    <w:rsid w:val="001412CE"/>
    <w:rsid w:val="00141A42"/>
    <w:rsid w:val="00141BE6"/>
    <w:rsid w:val="001429C3"/>
    <w:rsid w:val="00142A41"/>
    <w:rsid w:val="00142BC6"/>
    <w:rsid w:val="0014319F"/>
    <w:rsid w:val="00143767"/>
    <w:rsid w:val="00143817"/>
    <w:rsid w:val="00143962"/>
    <w:rsid w:val="00143A09"/>
    <w:rsid w:val="00143E68"/>
    <w:rsid w:val="00143E7C"/>
    <w:rsid w:val="001442F8"/>
    <w:rsid w:val="00144E0C"/>
    <w:rsid w:val="001452A7"/>
    <w:rsid w:val="001452AF"/>
    <w:rsid w:val="001453E2"/>
    <w:rsid w:val="00145F44"/>
    <w:rsid w:val="0014632F"/>
    <w:rsid w:val="00146338"/>
    <w:rsid w:val="0014647A"/>
    <w:rsid w:val="00146561"/>
    <w:rsid w:val="00146B39"/>
    <w:rsid w:val="00146EDA"/>
    <w:rsid w:val="001477C9"/>
    <w:rsid w:val="00147D38"/>
    <w:rsid w:val="00147E6B"/>
    <w:rsid w:val="00150435"/>
    <w:rsid w:val="00150580"/>
    <w:rsid w:val="00150987"/>
    <w:rsid w:val="00150B74"/>
    <w:rsid w:val="00150CFD"/>
    <w:rsid w:val="00150F2B"/>
    <w:rsid w:val="00150F58"/>
    <w:rsid w:val="00151096"/>
    <w:rsid w:val="00151C04"/>
    <w:rsid w:val="00151E2C"/>
    <w:rsid w:val="001522BF"/>
    <w:rsid w:val="001526A5"/>
    <w:rsid w:val="00152FD8"/>
    <w:rsid w:val="00153338"/>
    <w:rsid w:val="00153546"/>
    <w:rsid w:val="00153651"/>
    <w:rsid w:val="00153737"/>
    <w:rsid w:val="0015379B"/>
    <w:rsid w:val="00153860"/>
    <w:rsid w:val="00153EE4"/>
    <w:rsid w:val="001545D3"/>
    <w:rsid w:val="001546B0"/>
    <w:rsid w:val="00154D78"/>
    <w:rsid w:val="00154E0D"/>
    <w:rsid w:val="00154F4B"/>
    <w:rsid w:val="001551DC"/>
    <w:rsid w:val="00155333"/>
    <w:rsid w:val="0015551C"/>
    <w:rsid w:val="001555F8"/>
    <w:rsid w:val="00155782"/>
    <w:rsid w:val="00155E10"/>
    <w:rsid w:val="00156B93"/>
    <w:rsid w:val="00157CDC"/>
    <w:rsid w:val="001600E9"/>
    <w:rsid w:val="00160B54"/>
    <w:rsid w:val="00160F8E"/>
    <w:rsid w:val="00160FEC"/>
    <w:rsid w:val="00161037"/>
    <w:rsid w:val="001610E5"/>
    <w:rsid w:val="0016165F"/>
    <w:rsid w:val="00161A09"/>
    <w:rsid w:val="00161BC8"/>
    <w:rsid w:val="00161D70"/>
    <w:rsid w:val="00161FDA"/>
    <w:rsid w:val="001622C9"/>
    <w:rsid w:val="00163039"/>
    <w:rsid w:val="0016336C"/>
    <w:rsid w:val="00163BF6"/>
    <w:rsid w:val="00163C71"/>
    <w:rsid w:val="00164132"/>
    <w:rsid w:val="001643B6"/>
    <w:rsid w:val="001647F9"/>
    <w:rsid w:val="00164DF7"/>
    <w:rsid w:val="001651F1"/>
    <w:rsid w:val="001652F6"/>
    <w:rsid w:val="0016535A"/>
    <w:rsid w:val="00165852"/>
    <w:rsid w:val="0016595E"/>
    <w:rsid w:val="00165C75"/>
    <w:rsid w:val="00165ED6"/>
    <w:rsid w:val="00165FAB"/>
    <w:rsid w:val="001669CB"/>
    <w:rsid w:val="00166A0C"/>
    <w:rsid w:val="00166B2E"/>
    <w:rsid w:val="00166CF9"/>
    <w:rsid w:val="00167499"/>
    <w:rsid w:val="00167E2B"/>
    <w:rsid w:val="00171072"/>
    <w:rsid w:val="001714F3"/>
    <w:rsid w:val="00171F0F"/>
    <w:rsid w:val="00171FB1"/>
    <w:rsid w:val="0017247E"/>
    <w:rsid w:val="00172E52"/>
    <w:rsid w:val="00173228"/>
    <w:rsid w:val="00173E60"/>
    <w:rsid w:val="00174047"/>
    <w:rsid w:val="0017465F"/>
    <w:rsid w:val="00174B3D"/>
    <w:rsid w:val="00174E3E"/>
    <w:rsid w:val="00174EB1"/>
    <w:rsid w:val="00175639"/>
    <w:rsid w:val="00175815"/>
    <w:rsid w:val="00175CA9"/>
    <w:rsid w:val="00175DFB"/>
    <w:rsid w:val="00176010"/>
    <w:rsid w:val="00176566"/>
    <w:rsid w:val="001766D4"/>
    <w:rsid w:val="001767E5"/>
    <w:rsid w:val="00176C84"/>
    <w:rsid w:val="00176E4D"/>
    <w:rsid w:val="0017725E"/>
    <w:rsid w:val="00177F93"/>
    <w:rsid w:val="001808FF"/>
    <w:rsid w:val="00180E82"/>
    <w:rsid w:val="00181136"/>
    <w:rsid w:val="001819B5"/>
    <w:rsid w:val="00181A44"/>
    <w:rsid w:val="0018291E"/>
    <w:rsid w:val="00182A32"/>
    <w:rsid w:val="00182EAC"/>
    <w:rsid w:val="00183726"/>
    <w:rsid w:val="00183C3E"/>
    <w:rsid w:val="001854F9"/>
    <w:rsid w:val="00185C1D"/>
    <w:rsid w:val="00185C3F"/>
    <w:rsid w:val="0018603C"/>
    <w:rsid w:val="001862A1"/>
    <w:rsid w:val="00187156"/>
    <w:rsid w:val="00187CB9"/>
    <w:rsid w:val="00187E84"/>
    <w:rsid w:val="00187F05"/>
    <w:rsid w:val="00187F14"/>
    <w:rsid w:val="00190557"/>
    <w:rsid w:val="00191193"/>
    <w:rsid w:val="001911C4"/>
    <w:rsid w:val="001912FF"/>
    <w:rsid w:val="00191EE1"/>
    <w:rsid w:val="001920F8"/>
    <w:rsid w:val="00192C8F"/>
    <w:rsid w:val="00194304"/>
    <w:rsid w:val="00194453"/>
    <w:rsid w:val="001957BF"/>
    <w:rsid w:val="001970B9"/>
    <w:rsid w:val="0019727E"/>
    <w:rsid w:val="001976E8"/>
    <w:rsid w:val="00197A13"/>
    <w:rsid w:val="00197C80"/>
    <w:rsid w:val="001A0CE6"/>
    <w:rsid w:val="001A0D77"/>
    <w:rsid w:val="001A1048"/>
    <w:rsid w:val="001A1217"/>
    <w:rsid w:val="001A196A"/>
    <w:rsid w:val="001A1AAE"/>
    <w:rsid w:val="001A1C68"/>
    <w:rsid w:val="001A1D95"/>
    <w:rsid w:val="001A1F6B"/>
    <w:rsid w:val="001A2173"/>
    <w:rsid w:val="001A2237"/>
    <w:rsid w:val="001A2565"/>
    <w:rsid w:val="001A2626"/>
    <w:rsid w:val="001A37A2"/>
    <w:rsid w:val="001A3BE2"/>
    <w:rsid w:val="001A3E65"/>
    <w:rsid w:val="001A44F1"/>
    <w:rsid w:val="001A4680"/>
    <w:rsid w:val="001A4C8D"/>
    <w:rsid w:val="001A51D9"/>
    <w:rsid w:val="001A53A8"/>
    <w:rsid w:val="001A57CC"/>
    <w:rsid w:val="001A61FC"/>
    <w:rsid w:val="001A666F"/>
    <w:rsid w:val="001A6832"/>
    <w:rsid w:val="001A6AB7"/>
    <w:rsid w:val="001A739D"/>
    <w:rsid w:val="001A7523"/>
    <w:rsid w:val="001A7933"/>
    <w:rsid w:val="001A7CE7"/>
    <w:rsid w:val="001A7D1C"/>
    <w:rsid w:val="001A7F3C"/>
    <w:rsid w:val="001A7FAA"/>
    <w:rsid w:val="001B0258"/>
    <w:rsid w:val="001B03C4"/>
    <w:rsid w:val="001B03E2"/>
    <w:rsid w:val="001B04A4"/>
    <w:rsid w:val="001B0EFC"/>
    <w:rsid w:val="001B12D9"/>
    <w:rsid w:val="001B1401"/>
    <w:rsid w:val="001B154E"/>
    <w:rsid w:val="001B1762"/>
    <w:rsid w:val="001B17AC"/>
    <w:rsid w:val="001B1FE4"/>
    <w:rsid w:val="001B27BB"/>
    <w:rsid w:val="001B28EF"/>
    <w:rsid w:val="001B2C1A"/>
    <w:rsid w:val="001B36F7"/>
    <w:rsid w:val="001B3E31"/>
    <w:rsid w:val="001B41BF"/>
    <w:rsid w:val="001B4241"/>
    <w:rsid w:val="001B4760"/>
    <w:rsid w:val="001B48DB"/>
    <w:rsid w:val="001B50FB"/>
    <w:rsid w:val="001B5248"/>
    <w:rsid w:val="001B5309"/>
    <w:rsid w:val="001B57B7"/>
    <w:rsid w:val="001B588D"/>
    <w:rsid w:val="001B5966"/>
    <w:rsid w:val="001B5AF6"/>
    <w:rsid w:val="001B60F7"/>
    <w:rsid w:val="001B68C9"/>
    <w:rsid w:val="001B6D00"/>
    <w:rsid w:val="001B7004"/>
    <w:rsid w:val="001B70F9"/>
    <w:rsid w:val="001B7135"/>
    <w:rsid w:val="001B721E"/>
    <w:rsid w:val="001B74E5"/>
    <w:rsid w:val="001B78D0"/>
    <w:rsid w:val="001B7AD2"/>
    <w:rsid w:val="001B7FF6"/>
    <w:rsid w:val="001C032E"/>
    <w:rsid w:val="001C09EE"/>
    <w:rsid w:val="001C12DE"/>
    <w:rsid w:val="001C15CB"/>
    <w:rsid w:val="001C18C6"/>
    <w:rsid w:val="001C21F2"/>
    <w:rsid w:val="001C238B"/>
    <w:rsid w:val="001C2830"/>
    <w:rsid w:val="001C3057"/>
    <w:rsid w:val="001C30B8"/>
    <w:rsid w:val="001C393D"/>
    <w:rsid w:val="001C39A8"/>
    <w:rsid w:val="001C39E3"/>
    <w:rsid w:val="001C3B7F"/>
    <w:rsid w:val="001C49FF"/>
    <w:rsid w:val="001C4EC3"/>
    <w:rsid w:val="001C5228"/>
    <w:rsid w:val="001C591B"/>
    <w:rsid w:val="001C59EA"/>
    <w:rsid w:val="001C5C14"/>
    <w:rsid w:val="001C63C7"/>
    <w:rsid w:val="001C640B"/>
    <w:rsid w:val="001C64BE"/>
    <w:rsid w:val="001C69E8"/>
    <w:rsid w:val="001C7016"/>
    <w:rsid w:val="001C7432"/>
    <w:rsid w:val="001C74F2"/>
    <w:rsid w:val="001C7713"/>
    <w:rsid w:val="001C7835"/>
    <w:rsid w:val="001D059C"/>
    <w:rsid w:val="001D0C2E"/>
    <w:rsid w:val="001D15F9"/>
    <w:rsid w:val="001D16D8"/>
    <w:rsid w:val="001D2434"/>
    <w:rsid w:val="001D25C7"/>
    <w:rsid w:val="001D2BB6"/>
    <w:rsid w:val="001D2F1B"/>
    <w:rsid w:val="001D35C2"/>
    <w:rsid w:val="001D4050"/>
    <w:rsid w:val="001D4FF5"/>
    <w:rsid w:val="001D5307"/>
    <w:rsid w:val="001D5ECD"/>
    <w:rsid w:val="001D6108"/>
    <w:rsid w:val="001D6305"/>
    <w:rsid w:val="001D688E"/>
    <w:rsid w:val="001D7147"/>
    <w:rsid w:val="001D74CE"/>
    <w:rsid w:val="001D7553"/>
    <w:rsid w:val="001D7B6C"/>
    <w:rsid w:val="001D7D9B"/>
    <w:rsid w:val="001D7ED5"/>
    <w:rsid w:val="001E1108"/>
    <w:rsid w:val="001E11B9"/>
    <w:rsid w:val="001E1346"/>
    <w:rsid w:val="001E1846"/>
    <w:rsid w:val="001E1BCF"/>
    <w:rsid w:val="001E1CC3"/>
    <w:rsid w:val="001E2E6B"/>
    <w:rsid w:val="001E396F"/>
    <w:rsid w:val="001E3A3B"/>
    <w:rsid w:val="001E3B2D"/>
    <w:rsid w:val="001E3BB5"/>
    <w:rsid w:val="001E4257"/>
    <w:rsid w:val="001E46C7"/>
    <w:rsid w:val="001E489F"/>
    <w:rsid w:val="001E4EAD"/>
    <w:rsid w:val="001E5684"/>
    <w:rsid w:val="001E5725"/>
    <w:rsid w:val="001E5A8C"/>
    <w:rsid w:val="001E61B5"/>
    <w:rsid w:val="001E670E"/>
    <w:rsid w:val="001E6802"/>
    <w:rsid w:val="001E7095"/>
    <w:rsid w:val="001E73C3"/>
    <w:rsid w:val="001E7DB0"/>
    <w:rsid w:val="001F00F1"/>
    <w:rsid w:val="001F069C"/>
    <w:rsid w:val="001F0C7C"/>
    <w:rsid w:val="001F1226"/>
    <w:rsid w:val="001F13C1"/>
    <w:rsid w:val="001F15E0"/>
    <w:rsid w:val="001F192D"/>
    <w:rsid w:val="001F1D7B"/>
    <w:rsid w:val="001F1E9A"/>
    <w:rsid w:val="001F2ED1"/>
    <w:rsid w:val="001F3113"/>
    <w:rsid w:val="001F33B4"/>
    <w:rsid w:val="001F3B1D"/>
    <w:rsid w:val="001F4001"/>
    <w:rsid w:val="001F446D"/>
    <w:rsid w:val="001F4F7D"/>
    <w:rsid w:val="001F510A"/>
    <w:rsid w:val="001F56A1"/>
    <w:rsid w:val="001F64EE"/>
    <w:rsid w:val="001F6694"/>
    <w:rsid w:val="001F6B0A"/>
    <w:rsid w:val="001F7C4C"/>
    <w:rsid w:val="002007B5"/>
    <w:rsid w:val="00200849"/>
    <w:rsid w:val="00200CDC"/>
    <w:rsid w:val="00200ECE"/>
    <w:rsid w:val="002010B5"/>
    <w:rsid w:val="00201232"/>
    <w:rsid w:val="00201320"/>
    <w:rsid w:val="00201A65"/>
    <w:rsid w:val="00201F89"/>
    <w:rsid w:val="00201FC5"/>
    <w:rsid w:val="0020204A"/>
    <w:rsid w:val="002022D8"/>
    <w:rsid w:val="00202A4D"/>
    <w:rsid w:val="00202B81"/>
    <w:rsid w:val="00203DA9"/>
    <w:rsid w:val="00204307"/>
    <w:rsid w:val="00204492"/>
    <w:rsid w:val="0020464C"/>
    <w:rsid w:val="00205171"/>
    <w:rsid w:val="0020617F"/>
    <w:rsid w:val="0020632A"/>
    <w:rsid w:val="002066F8"/>
    <w:rsid w:val="00206774"/>
    <w:rsid w:val="00206DE8"/>
    <w:rsid w:val="00206EB4"/>
    <w:rsid w:val="00206F5C"/>
    <w:rsid w:val="0020704E"/>
    <w:rsid w:val="002074AA"/>
    <w:rsid w:val="00207AC8"/>
    <w:rsid w:val="00210608"/>
    <w:rsid w:val="00210987"/>
    <w:rsid w:val="00210C25"/>
    <w:rsid w:val="002112EC"/>
    <w:rsid w:val="002118C5"/>
    <w:rsid w:val="0021241F"/>
    <w:rsid w:val="0021301C"/>
    <w:rsid w:val="002133B7"/>
    <w:rsid w:val="00213973"/>
    <w:rsid w:val="00213A44"/>
    <w:rsid w:val="00213DD5"/>
    <w:rsid w:val="002144CA"/>
    <w:rsid w:val="00214522"/>
    <w:rsid w:val="00214DE9"/>
    <w:rsid w:val="00214EE6"/>
    <w:rsid w:val="002154EF"/>
    <w:rsid w:val="00215718"/>
    <w:rsid w:val="00215BEC"/>
    <w:rsid w:val="00216057"/>
    <w:rsid w:val="002161C4"/>
    <w:rsid w:val="00216720"/>
    <w:rsid w:val="0021718D"/>
    <w:rsid w:val="002171A4"/>
    <w:rsid w:val="0021732E"/>
    <w:rsid w:val="0021748F"/>
    <w:rsid w:val="00217DBA"/>
    <w:rsid w:val="002205FA"/>
    <w:rsid w:val="00220FF7"/>
    <w:rsid w:val="00221800"/>
    <w:rsid w:val="00221AB7"/>
    <w:rsid w:val="00221B2D"/>
    <w:rsid w:val="0022203B"/>
    <w:rsid w:val="00222203"/>
    <w:rsid w:val="00222502"/>
    <w:rsid w:val="002227A5"/>
    <w:rsid w:val="002228C5"/>
    <w:rsid w:val="00222904"/>
    <w:rsid w:val="002229C3"/>
    <w:rsid w:val="00222AA5"/>
    <w:rsid w:val="00222CF5"/>
    <w:rsid w:val="00222F1F"/>
    <w:rsid w:val="00222F31"/>
    <w:rsid w:val="00223291"/>
    <w:rsid w:val="002234A4"/>
    <w:rsid w:val="0022395E"/>
    <w:rsid w:val="002239AC"/>
    <w:rsid w:val="00223B61"/>
    <w:rsid w:val="002251B6"/>
    <w:rsid w:val="0022536E"/>
    <w:rsid w:val="00225570"/>
    <w:rsid w:val="0022573F"/>
    <w:rsid w:val="00225BBC"/>
    <w:rsid w:val="00225BBE"/>
    <w:rsid w:val="00225CD3"/>
    <w:rsid w:val="00225E30"/>
    <w:rsid w:val="00225F4B"/>
    <w:rsid w:val="00226019"/>
    <w:rsid w:val="002266CF"/>
    <w:rsid w:val="00226CBB"/>
    <w:rsid w:val="002270A6"/>
    <w:rsid w:val="00227242"/>
    <w:rsid w:val="00227712"/>
    <w:rsid w:val="0022792C"/>
    <w:rsid w:val="00230066"/>
    <w:rsid w:val="0023043F"/>
    <w:rsid w:val="002305FA"/>
    <w:rsid w:val="00230725"/>
    <w:rsid w:val="00231260"/>
    <w:rsid w:val="00232F0F"/>
    <w:rsid w:val="0023309A"/>
    <w:rsid w:val="002332ED"/>
    <w:rsid w:val="002333A7"/>
    <w:rsid w:val="0023341B"/>
    <w:rsid w:val="002337BE"/>
    <w:rsid w:val="002345D6"/>
    <w:rsid w:val="0023483D"/>
    <w:rsid w:val="00234B55"/>
    <w:rsid w:val="00234EF8"/>
    <w:rsid w:val="0023558E"/>
    <w:rsid w:val="002355FE"/>
    <w:rsid w:val="00235651"/>
    <w:rsid w:val="002361D4"/>
    <w:rsid w:val="0023624E"/>
    <w:rsid w:val="002364A5"/>
    <w:rsid w:val="0023693F"/>
    <w:rsid w:val="00236D67"/>
    <w:rsid w:val="00237376"/>
    <w:rsid w:val="00237BD4"/>
    <w:rsid w:val="0024040C"/>
    <w:rsid w:val="0024081A"/>
    <w:rsid w:val="0024098B"/>
    <w:rsid w:val="00240A58"/>
    <w:rsid w:val="00240E2E"/>
    <w:rsid w:val="00240E47"/>
    <w:rsid w:val="00241929"/>
    <w:rsid w:val="00241A28"/>
    <w:rsid w:val="00241C93"/>
    <w:rsid w:val="00242602"/>
    <w:rsid w:val="00242BE8"/>
    <w:rsid w:val="00243115"/>
    <w:rsid w:val="00243121"/>
    <w:rsid w:val="002432C4"/>
    <w:rsid w:val="00243301"/>
    <w:rsid w:val="00243C8E"/>
    <w:rsid w:val="00244278"/>
    <w:rsid w:val="002446CD"/>
    <w:rsid w:val="0024470B"/>
    <w:rsid w:val="00244B91"/>
    <w:rsid w:val="002457DE"/>
    <w:rsid w:val="00245BC5"/>
    <w:rsid w:val="00245C57"/>
    <w:rsid w:val="00246140"/>
    <w:rsid w:val="00246435"/>
    <w:rsid w:val="00246BCF"/>
    <w:rsid w:val="00246BF7"/>
    <w:rsid w:val="00246C29"/>
    <w:rsid w:val="00246D00"/>
    <w:rsid w:val="00247009"/>
    <w:rsid w:val="00247013"/>
    <w:rsid w:val="002471CF"/>
    <w:rsid w:val="00247324"/>
    <w:rsid w:val="0024785F"/>
    <w:rsid w:val="00250019"/>
    <w:rsid w:val="002500A3"/>
    <w:rsid w:val="0025088D"/>
    <w:rsid w:val="00250A2F"/>
    <w:rsid w:val="00251245"/>
    <w:rsid w:val="002516A4"/>
    <w:rsid w:val="002517D6"/>
    <w:rsid w:val="00251949"/>
    <w:rsid w:val="00251CA2"/>
    <w:rsid w:val="00251F58"/>
    <w:rsid w:val="00252A23"/>
    <w:rsid w:val="00252B86"/>
    <w:rsid w:val="00252EF7"/>
    <w:rsid w:val="002535EA"/>
    <w:rsid w:val="00253F7A"/>
    <w:rsid w:val="002549FB"/>
    <w:rsid w:val="00254ABE"/>
    <w:rsid w:val="00254EB3"/>
    <w:rsid w:val="00255A98"/>
    <w:rsid w:val="002565FF"/>
    <w:rsid w:val="00256738"/>
    <w:rsid w:val="0025693D"/>
    <w:rsid w:val="00256C28"/>
    <w:rsid w:val="0025701E"/>
    <w:rsid w:val="00257317"/>
    <w:rsid w:val="002601BB"/>
    <w:rsid w:val="00260585"/>
    <w:rsid w:val="00260E27"/>
    <w:rsid w:val="002611EB"/>
    <w:rsid w:val="0026161E"/>
    <w:rsid w:val="00261E28"/>
    <w:rsid w:val="00261F53"/>
    <w:rsid w:val="00262772"/>
    <w:rsid w:val="002628D0"/>
    <w:rsid w:val="00262D39"/>
    <w:rsid w:val="00263488"/>
    <w:rsid w:val="002639B5"/>
    <w:rsid w:val="00263B61"/>
    <w:rsid w:val="00263C95"/>
    <w:rsid w:val="002641E6"/>
    <w:rsid w:val="0026446D"/>
    <w:rsid w:val="0026455D"/>
    <w:rsid w:val="002646DF"/>
    <w:rsid w:val="002648C9"/>
    <w:rsid w:val="002651F6"/>
    <w:rsid w:val="00265755"/>
    <w:rsid w:val="00265918"/>
    <w:rsid w:val="00265AA9"/>
    <w:rsid w:val="00265BEA"/>
    <w:rsid w:val="00265FCC"/>
    <w:rsid w:val="0026643B"/>
    <w:rsid w:val="002664AA"/>
    <w:rsid w:val="002668B5"/>
    <w:rsid w:val="00266E56"/>
    <w:rsid w:val="00267569"/>
    <w:rsid w:val="00267BFC"/>
    <w:rsid w:val="00267D84"/>
    <w:rsid w:val="00267FF2"/>
    <w:rsid w:val="00270834"/>
    <w:rsid w:val="00270D3B"/>
    <w:rsid w:val="00270E42"/>
    <w:rsid w:val="0027115B"/>
    <w:rsid w:val="002712E4"/>
    <w:rsid w:val="0027144C"/>
    <w:rsid w:val="002716D2"/>
    <w:rsid w:val="00271C20"/>
    <w:rsid w:val="00271DB6"/>
    <w:rsid w:val="00271FB6"/>
    <w:rsid w:val="002726BF"/>
    <w:rsid w:val="002729D3"/>
    <w:rsid w:val="00272A62"/>
    <w:rsid w:val="00273626"/>
    <w:rsid w:val="0027367F"/>
    <w:rsid w:val="00273E86"/>
    <w:rsid w:val="002745B5"/>
    <w:rsid w:val="00274607"/>
    <w:rsid w:val="002747BA"/>
    <w:rsid w:val="002750A1"/>
    <w:rsid w:val="00275168"/>
    <w:rsid w:val="0027542B"/>
    <w:rsid w:val="002755C9"/>
    <w:rsid w:val="0027569D"/>
    <w:rsid w:val="002758F3"/>
    <w:rsid w:val="00275927"/>
    <w:rsid w:val="0027621F"/>
    <w:rsid w:val="00276288"/>
    <w:rsid w:val="002764FE"/>
    <w:rsid w:val="00276F5B"/>
    <w:rsid w:val="0027716F"/>
    <w:rsid w:val="002773DC"/>
    <w:rsid w:val="0027776A"/>
    <w:rsid w:val="00277FCE"/>
    <w:rsid w:val="00280196"/>
    <w:rsid w:val="00280210"/>
    <w:rsid w:val="0028034A"/>
    <w:rsid w:val="0028046B"/>
    <w:rsid w:val="00281069"/>
    <w:rsid w:val="002814C5"/>
    <w:rsid w:val="002814E6"/>
    <w:rsid w:val="00281A54"/>
    <w:rsid w:val="00282443"/>
    <w:rsid w:val="002824B6"/>
    <w:rsid w:val="00282AE5"/>
    <w:rsid w:val="00282C44"/>
    <w:rsid w:val="00282CA8"/>
    <w:rsid w:val="00283194"/>
    <w:rsid w:val="002847E9"/>
    <w:rsid w:val="00285494"/>
    <w:rsid w:val="0028574F"/>
    <w:rsid w:val="002859DC"/>
    <w:rsid w:val="00285A10"/>
    <w:rsid w:val="00285BBB"/>
    <w:rsid w:val="002861F1"/>
    <w:rsid w:val="0028633D"/>
    <w:rsid w:val="002864D1"/>
    <w:rsid w:val="0028673A"/>
    <w:rsid w:val="00286B47"/>
    <w:rsid w:val="00287114"/>
    <w:rsid w:val="00287184"/>
    <w:rsid w:val="00287A84"/>
    <w:rsid w:val="00287D36"/>
    <w:rsid w:val="00287EB6"/>
    <w:rsid w:val="00290B4F"/>
    <w:rsid w:val="002910FF"/>
    <w:rsid w:val="00291122"/>
    <w:rsid w:val="00291524"/>
    <w:rsid w:val="002926D3"/>
    <w:rsid w:val="00292B8C"/>
    <w:rsid w:val="00292CA5"/>
    <w:rsid w:val="00292EBE"/>
    <w:rsid w:val="002930C2"/>
    <w:rsid w:val="00293345"/>
    <w:rsid w:val="002936B4"/>
    <w:rsid w:val="0029372F"/>
    <w:rsid w:val="00293881"/>
    <w:rsid w:val="00293D6D"/>
    <w:rsid w:val="002941DC"/>
    <w:rsid w:val="00294971"/>
    <w:rsid w:val="00294A9E"/>
    <w:rsid w:val="002951E6"/>
    <w:rsid w:val="00295330"/>
    <w:rsid w:val="0029534C"/>
    <w:rsid w:val="002959B8"/>
    <w:rsid w:val="00295ACE"/>
    <w:rsid w:val="00295C76"/>
    <w:rsid w:val="00295DEE"/>
    <w:rsid w:val="00296E49"/>
    <w:rsid w:val="0029719A"/>
    <w:rsid w:val="0029764D"/>
    <w:rsid w:val="0029778E"/>
    <w:rsid w:val="00297CBD"/>
    <w:rsid w:val="002A006F"/>
    <w:rsid w:val="002A02FD"/>
    <w:rsid w:val="002A0300"/>
    <w:rsid w:val="002A088A"/>
    <w:rsid w:val="002A0DDF"/>
    <w:rsid w:val="002A1044"/>
    <w:rsid w:val="002A223A"/>
    <w:rsid w:val="002A2490"/>
    <w:rsid w:val="002A257F"/>
    <w:rsid w:val="002A2605"/>
    <w:rsid w:val="002A2760"/>
    <w:rsid w:val="002A2CEC"/>
    <w:rsid w:val="002A2D64"/>
    <w:rsid w:val="002A3864"/>
    <w:rsid w:val="002A4034"/>
    <w:rsid w:val="002A4588"/>
    <w:rsid w:val="002A4A3F"/>
    <w:rsid w:val="002A5551"/>
    <w:rsid w:val="002A5CE0"/>
    <w:rsid w:val="002A6723"/>
    <w:rsid w:val="002A7ABB"/>
    <w:rsid w:val="002A7BDA"/>
    <w:rsid w:val="002A7F0D"/>
    <w:rsid w:val="002B030A"/>
    <w:rsid w:val="002B0577"/>
    <w:rsid w:val="002B0911"/>
    <w:rsid w:val="002B0F85"/>
    <w:rsid w:val="002B18E1"/>
    <w:rsid w:val="002B190B"/>
    <w:rsid w:val="002B19CB"/>
    <w:rsid w:val="002B1E27"/>
    <w:rsid w:val="002B2557"/>
    <w:rsid w:val="002B26ED"/>
    <w:rsid w:val="002B2738"/>
    <w:rsid w:val="002B27DA"/>
    <w:rsid w:val="002B290E"/>
    <w:rsid w:val="002B322B"/>
    <w:rsid w:val="002B449C"/>
    <w:rsid w:val="002B4B07"/>
    <w:rsid w:val="002B5E17"/>
    <w:rsid w:val="002B62B1"/>
    <w:rsid w:val="002B6417"/>
    <w:rsid w:val="002B6598"/>
    <w:rsid w:val="002B687E"/>
    <w:rsid w:val="002B6F9C"/>
    <w:rsid w:val="002B7022"/>
    <w:rsid w:val="002B72CD"/>
    <w:rsid w:val="002B73F2"/>
    <w:rsid w:val="002B7829"/>
    <w:rsid w:val="002C0203"/>
    <w:rsid w:val="002C02E0"/>
    <w:rsid w:val="002C12B8"/>
    <w:rsid w:val="002C19DA"/>
    <w:rsid w:val="002C1C86"/>
    <w:rsid w:val="002C267E"/>
    <w:rsid w:val="002C26CB"/>
    <w:rsid w:val="002C289B"/>
    <w:rsid w:val="002C33F0"/>
    <w:rsid w:val="002C344F"/>
    <w:rsid w:val="002C3683"/>
    <w:rsid w:val="002C3D74"/>
    <w:rsid w:val="002C3F6A"/>
    <w:rsid w:val="002C4514"/>
    <w:rsid w:val="002C4C30"/>
    <w:rsid w:val="002C4CD7"/>
    <w:rsid w:val="002C5284"/>
    <w:rsid w:val="002C599B"/>
    <w:rsid w:val="002C6240"/>
    <w:rsid w:val="002C68E4"/>
    <w:rsid w:val="002C6B49"/>
    <w:rsid w:val="002C797E"/>
    <w:rsid w:val="002C7B51"/>
    <w:rsid w:val="002C7D67"/>
    <w:rsid w:val="002C7F0C"/>
    <w:rsid w:val="002D024A"/>
    <w:rsid w:val="002D0FEF"/>
    <w:rsid w:val="002D109C"/>
    <w:rsid w:val="002D1740"/>
    <w:rsid w:val="002D1B47"/>
    <w:rsid w:val="002D22ED"/>
    <w:rsid w:val="002D231E"/>
    <w:rsid w:val="002D27DF"/>
    <w:rsid w:val="002D294B"/>
    <w:rsid w:val="002D2A33"/>
    <w:rsid w:val="002D2AF0"/>
    <w:rsid w:val="002D2CD8"/>
    <w:rsid w:val="002D2CDB"/>
    <w:rsid w:val="002D31CB"/>
    <w:rsid w:val="002D3466"/>
    <w:rsid w:val="002D3E66"/>
    <w:rsid w:val="002D3F27"/>
    <w:rsid w:val="002D491C"/>
    <w:rsid w:val="002D50CB"/>
    <w:rsid w:val="002D59C2"/>
    <w:rsid w:val="002D601E"/>
    <w:rsid w:val="002D60F2"/>
    <w:rsid w:val="002D6254"/>
    <w:rsid w:val="002D6475"/>
    <w:rsid w:val="002D6800"/>
    <w:rsid w:val="002D6AA6"/>
    <w:rsid w:val="002D6EA5"/>
    <w:rsid w:val="002D77ED"/>
    <w:rsid w:val="002D7D45"/>
    <w:rsid w:val="002D7FB4"/>
    <w:rsid w:val="002E0238"/>
    <w:rsid w:val="002E05F9"/>
    <w:rsid w:val="002E06E8"/>
    <w:rsid w:val="002E0882"/>
    <w:rsid w:val="002E092A"/>
    <w:rsid w:val="002E14E2"/>
    <w:rsid w:val="002E2F18"/>
    <w:rsid w:val="002E311E"/>
    <w:rsid w:val="002E3194"/>
    <w:rsid w:val="002E3263"/>
    <w:rsid w:val="002E32F2"/>
    <w:rsid w:val="002E3447"/>
    <w:rsid w:val="002E3F19"/>
    <w:rsid w:val="002E4338"/>
    <w:rsid w:val="002E45D4"/>
    <w:rsid w:val="002E4A52"/>
    <w:rsid w:val="002E4A96"/>
    <w:rsid w:val="002E4B98"/>
    <w:rsid w:val="002E51D2"/>
    <w:rsid w:val="002E54D6"/>
    <w:rsid w:val="002E58B6"/>
    <w:rsid w:val="002E5EA9"/>
    <w:rsid w:val="002E6068"/>
    <w:rsid w:val="002E613F"/>
    <w:rsid w:val="002E6288"/>
    <w:rsid w:val="002E67FC"/>
    <w:rsid w:val="002E6898"/>
    <w:rsid w:val="002E7055"/>
    <w:rsid w:val="002E707A"/>
    <w:rsid w:val="002E714F"/>
    <w:rsid w:val="002E78E4"/>
    <w:rsid w:val="002E7A0E"/>
    <w:rsid w:val="002E7BD7"/>
    <w:rsid w:val="002E7EFA"/>
    <w:rsid w:val="002F0AE5"/>
    <w:rsid w:val="002F0C40"/>
    <w:rsid w:val="002F0C95"/>
    <w:rsid w:val="002F0D2E"/>
    <w:rsid w:val="002F1044"/>
    <w:rsid w:val="002F14E9"/>
    <w:rsid w:val="002F16B2"/>
    <w:rsid w:val="002F3019"/>
    <w:rsid w:val="002F3579"/>
    <w:rsid w:val="002F37F6"/>
    <w:rsid w:val="002F3DAA"/>
    <w:rsid w:val="002F4970"/>
    <w:rsid w:val="002F4EC2"/>
    <w:rsid w:val="002F60EF"/>
    <w:rsid w:val="002F6151"/>
    <w:rsid w:val="002F6386"/>
    <w:rsid w:val="002F6B2F"/>
    <w:rsid w:val="002F6E3D"/>
    <w:rsid w:val="002F7291"/>
    <w:rsid w:val="002F7F6E"/>
    <w:rsid w:val="002F7FDB"/>
    <w:rsid w:val="00300504"/>
    <w:rsid w:val="0030056F"/>
    <w:rsid w:val="00300871"/>
    <w:rsid w:val="00300AC8"/>
    <w:rsid w:val="00301490"/>
    <w:rsid w:val="00301C2C"/>
    <w:rsid w:val="0030354C"/>
    <w:rsid w:val="0030369A"/>
    <w:rsid w:val="00303704"/>
    <w:rsid w:val="00303957"/>
    <w:rsid w:val="00303DB7"/>
    <w:rsid w:val="0030415D"/>
    <w:rsid w:val="003047C4"/>
    <w:rsid w:val="00304D7B"/>
    <w:rsid w:val="00304F7A"/>
    <w:rsid w:val="00305171"/>
    <w:rsid w:val="00305348"/>
    <w:rsid w:val="003056A7"/>
    <w:rsid w:val="00306680"/>
    <w:rsid w:val="0030674C"/>
    <w:rsid w:val="00306A19"/>
    <w:rsid w:val="00306BB7"/>
    <w:rsid w:val="00307174"/>
    <w:rsid w:val="00307ACA"/>
    <w:rsid w:val="00307FB2"/>
    <w:rsid w:val="00310082"/>
    <w:rsid w:val="003105F6"/>
    <w:rsid w:val="00310728"/>
    <w:rsid w:val="00310BE1"/>
    <w:rsid w:val="003114DA"/>
    <w:rsid w:val="00311783"/>
    <w:rsid w:val="003118CC"/>
    <w:rsid w:val="003118EA"/>
    <w:rsid w:val="003125FF"/>
    <w:rsid w:val="00312834"/>
    <w:rsid w:val="00312BD1"/>
    <w:rsid w:val="00313020"/>
    <w:rsid w:val="00313062"/>
    <w:rsid w:val="00313ECC"/>
    <w:rsid w:val="00315061"/>
    <w:rsid w:val="00315AFE"/>
    <w:rsid w:val="00315FFF"/>
    <w:rsid w:val="0031682A"/>
    <w:rsid w:val="00316CB1"/>
    <w:rsid w:val="00316D29"/>
    <w:rsid w:val="00317438"/>
    <w:rsid w:val="00317D5D"/>
    <w:rsid w:val="00317E37"/>
    <w:rsid w:val="00320D39"/>
    <w:rsid w:val="00320D42"/>
    <w:rsid w:val="00320D68"/>
    <w:rsid w:val="003210FD"/>
    <w:rsid w:val="003212E4"/>
    <w:rsid w:val="0032161E"/>
    <w:rsid w:val="00321C79"/>
    <w:rsid w:val="0032242D"/>
    <w:rsid w:val="003224D7"/>
    <w:rsid w:val="00322633"/>
    <w:rsid w:val="00323334"/>
    <w:rsid w:val="00323400"/>
    <w:rsid w:val="00323915"/>
    <w:rsid w:val="00323E95"/>
    <w:rsid w:val="003244E0"/>
    <w:rsid w:val="00324928"/>
    <w:rsid w:val="00324DB6"/>
    <w:rsid w:val="003253BF"/>
    <w:rsid w:val="00325AB2"/>
    <w:rsid w:val="00325BFF"/>
    <w:rsid w:val="00326095"/>
    <w:rsid w:val="00326244"/>
    <w:rsid w:val="00326381"/>
    <w:rsid w:val="00326A36"/>
    <w:rsid w:val="00326BC9"/>
    <w:rsid w:val="00326C53"/>
    <w:rsid w:val="00327AE9"/>
    <w:rsid w:val="0033012D"/>
    <w:rsid w:val="00330146"/>
    <w:rsid w:val="0033042A"/>
    <w:rsid w:val="00330A59"/>
    <w:rsid w:val="00331303"/>
    <w:rsid w:val="00331408"/>
    <w:rsid w:val="003314A6"/>
    <w:rsid w:val="003320A9"/>
    <w:rsid w:val="00332452"/>
    <w:rsid w:val="00332C4F"/>
    <w:rsid w:val="00333045"/>
    <w:rsid w:val="003331E7"/>
    <w:rsid w:val="003336DF"/>
    <w:rsid w:val="0033439A"/>
    <w:rsid w:val="0033439B"/>
    <w:rsid w:val="003343FF"/>
    <w:rsid w:val="00334EB5"/>
    <w:rsid w:val="003359E1"/>
    <w:rsid w:val="003364DA"/>
    <w:rsid w:val="00336795"/>
    <w:rsid w:val="00336C36"/>
    <w:rsid w:val="00336ECB"/>
    <w:rsid w:val="00336F4A"/>
    <w:rsid w:val="00337137"/>
    <w:rsid w:val="003372C6"/>
    <w:rsid w:val="00337AD8"/>
    <w:rsid w:val="003407CF"/>
    <w:rsid w:val="0034084E"/>
    <w:rsid w:val="00340902"/>
    <w:rsid w:val="00340D44"/>
    <w:rsid w:val="003416C6"/>
    <w:rsid w:val="003419EF"/>
    <w:rsid w:val="00341B82"/>
    <w:rsid w:val="00343278"/>
    <w:rsid w:val="003434C6"/>
    <w:rsid w:val="003438C1"/>
    <w:rsid w:val="00344051"/>
    <w:rsid w:val="003442AD"/>
    <w:rsid w:val="00345EC5"/>
    <w:rsid w:val="0034651A"/>
    <w:rsid w:val="0034680A"/>
    <w:rsid w:val="0035098A"/>
    <w:rsid w:val="0035112E"/>
    <w:rsid w:val="00351611"/>
    <w:rsid w:val="00351B66"/>
    <w:rsid w:val="00351EF7"/>
    <w:rsid w:val="00351FEC"/>
    <w:rsid w:val="00352219"/>
    <w:rsid w:val="0035312F"/>
    <w:rsid w:val="00353137"/>
    <w:rsid w:val="0035319D"/>
    <w:rsid w:val="003532F0"/>
    <w:rsid w:val="003538D5"/>
    <w:rsid w:val="00353A5E"/>
    <w:rsid w:val="00354696"/>
    <w:rsid w:val="00354B37"/>
    <w:rsid w:val="00354F51"/>
    <w:rsid w:val="0035519A"/>
    <w:rsid w:val="0035521E"/>
    <w:rsid w:val="00355F25"/>
    <w:rsid w:val="00356286"/>
    <w:rsid w:val="0035687D"/>
    <w:rsid w:val="0035753A"/>
    <w:rsid w:val="00357AB3"/>
    <w:rsid w:val="00357DE3"/>
    <w:rsid w:val="003601B4"/>
    <w:rsid w:val="0036059A"/>
    <w:rsid w:val="00360821"/>
    <w:rsid w:val="00360E4C"/>
    <w:rsid w:val="00361340"/>
    <w:rsid w:val="00361691"/>
    <w:rsid w:val="00361934"/>
    <w:rsid w:val="00361E2A"/>
    <w:rsid w:val="003625FE"/>
    <w:rsid w:val="00362900"/>
    <w:rsid w:val="00362B13"/>
    <w:rsid w:val="00362B7E"/>
    <w:rsid w:val="00362BDB"/>
    <w:rsid w:val="00363278"/>
    <w:rsid w:val="003633AD"/>
    <w:rsid w:val="00363FF8"/>
    <w:rsid w:val="003640E1"/>
    <w:rsid w:val="0036463C"/>
    <w:rsid w:val="00364C17"/>
    <w:rsid w:val="00364D3E"/>
    <w:rsid w:val="00364E10"/>
    <w:rsid w:val="003658E3"/>
    <w:rsid w:val="003663C6"/>
    <w:rsid w:val="00366BED"/>
    <w:rsid w:val="003675A2"/>
    <w:rsid w:val="00367DA4"/>
    <w:rsid w:val="003707EC"/>
    <w:rsid w:val="00370970"/>
    <w:rsid w:val="00370D1A"/>
    <w:rsid w:val="00370D8A"/>
    <w:rsid w:val="00370F1F"/>
    <w:rsid w:val="003711A9"/>
    <w:rsid w:val="00371861"/>
    <w:rsid w:val="00371F45"/>
    <w:rsid w:val="00372A21"/>
    <w:rsid w:val="00372E19"/>
    <w:rsid w:val="00372F49"/>
    <w:rsid w:val="003741E7"/>
    <w:rsid w:val="0037479E"/>
    <w:rsid w:val="003748BF"/>
    <w:rsid w:val="00374A96"/>
    <w:rsid w:val="00374CE7"/>
    <w:rsid w:val="00374D57"/>
    <w:rsid w:val="00374EFD"/>
    <w:rsid w:val="00375216"/>
    <w:rsid w:val="00375A22"/>
    <w:rsid w:val="00375EA7"/>
    <w:rsid w:val="00376491"/>
    <w:rsid w:val="003766A3"/>
    <w:rsid w:val="0037721D"/>
    <w:rsid w:val="003775E2"/>
    <w:rsid w:val="003778C3"/>
    <w:rsid w:val="0038028C"/>
    <w:rsid w:val="00380371"/>
    <w:rsid w:val="00380622"/>
    <w:rsid w:val="003809CD"/>
    <w:rsid w:val="00380D6A"/>
    <w:rsid w:val="0038102A"/>
    <w:rsid w:val="00381AAE"/>
    <w:rsid w:val="00381DE2"/>
    <w:rsid w:val="0038210E"/>
    <w:rsid w:val="003823D1"/>
    <w:rsid w:val="00382625"/>
    <w:rsid w:val="00382C60"/>
    <w:rsid w:val="003833B4"/>
    <w:rsid w:val="003837BA"/>
    <w:rsid w:val="00383F35"/>
    <w:rsid w:val="00384072"/>
    <w:rsid w:val="00384BB4"/>
    <w:rsid w:val="0038504F"/>
    <w:rsid w:val="00386332"/>
    <w:rsid w:val="00386827"/>
    <w:rsid w:val="003868A0"/>
    <w:rsid w:val="00387E41"/>
    <w:rsid w:val="003903FA"/>
    <w:rsid w:val="003905B7"/>
    <w:rsid w:val="00390777"/>
    <w:rsid w:val="003907EF"/>
    <w:rsid w:val="00390D0A"/>
    <w:rsid w:val="0039129D"/>
    <w:rsid w:val="003912A7"/>
    <w:rsid w:val="00391338"/>
    <w:rsid w:val="003918EF"/>
    <w:rsid w:val="003920A2"/>
    <w:rsid w:val="003927AE"/>
    <w:rsid w:val="003929CD"/>
    <w:rsid w:val="003930C7"/>
    <w:rsid w:val="0039350B"/>
    <w:rsid w:val="0039376E"/>
    <w:rsid w:val="0039395E"/>
    <w:rsid w:val="00393A0C"/>
    <w:rsid w:val="00393A4D"/>
    <w:rsid w:val="00393AEE"/>
    <w:rsid w:val="003940C5"/>
    <w:rsid w:val="003941E0"/>
    <w:rsid w:val="003942BB"/>
    <w:rsid w:val="0039437E"/>
    <w:rsid w:val="003945A2"/>
    <w:rsid w:val="00394E86"/>
    <w:rsid w:val="00394F01"/>
    <w:rsid w:val="00395034"/>
    <w:rsid w:val="003955B7"/>
    <w:rsid w:val="00395C4A"/>
    <w:rsid w:val="003961E7"/>
    <w:rsid w:val="00396462"/>
    <w:rsid w:val="00397966"/>
    <w:rsid w:val="003A0247"/>
    <w:rsid w:val="003A0330"/>
    <w:rsid w:val="003A0B07"/>
    <w:rsid w:val="003A0CCD"/>
    <w:rsid w:val="003A0EA5"/>
    <w:rsid w:val="003A1162"/>
    <w:rsid w:val="003A1358"/>
    <w:rsid w:val="003A155B"/>
    <w:rsid w:val="003A1E97"/>
    <w:rsid w:val="003A2575"/>
    <w:rsid w:val="003A28F9"/>
    <w:rsid w:val="003A2A63"/>
    <w:rsid w:val="003A2BDA"/>
    <w:rsid w:val="003A2CD4"/>
    <w:rsid w:val="003A2E5A"/>
    <w:rsid w:val="003A2F2F"/>
    <w:rsid w:val="003A3112"/>
    <w:rsid w:val="003A325A"/>
    <w:rsid w:val="003A37FF"/>
    <w:rsid w:val="003A3DAD"/>
    <w:rsid w:val="003A3E77"/>
    <w:rsid w:val="003A41F4"/>
    <w:rsid w:val="003A49D0"/>
    <w:rsid w:val="003A4A6F"/>
    <w:rsid w:val="003A4AFB"/>
    <w:rsid w:val="003A50D0"/>
    <w:rsid w:val="003A51B5"/>
    <w:rsid w:val="003A5721"/>
    <w:rsid w:val="003A57E8"/>
    <w:rsid w:val="003A5915"/>
    <w:rsid w:val="003A5B66"/>
    <w:rsid w:val="003A5BA4"/>
    <w:rsid w:val="003A743E"/>
    <w:rsid w:val="003A7ADE"/>
    <w:rsid w:val="003A7C4A"/>
    <w:rsid w:val="003A7E3A"/>
    <w:rsid w:val="003B058B"/>
    <w:rsid w:val="003B059B"/>
    <w:rsid w:val="003B084C"/>
    <w:rsid w:val="003B0D19"/>
    <w:rsid w:val="003B0D1B"/>
    <w:rsid w:val="003B0FAD"/>
    <w:rsid w:val="003B11CC"/>
    <w:rsid w:val="003B11F5"/>
    <w:rsid w:val="003B1562"/>
    <w:rsid w:val="003B1868"/>
    <w:rsid w:val="003B19F9"/>
    <w:rsid w:val="003B29FC"/>
    <w:rsid w:val="003B2A34"/>
    <w:rsid w:val="003B2B81"/>
    <w:rsid w:val="003B32FD"/>
    <w:rsid w:val="003B3464"/>
    <w:rsid w:val="003B4255"/>
    <w:rsid w:val="003B4886"/>
    <w:rsid w:val="003B4AAA"/>
    <w:rsid w:val="003B4CC7"/>
    <w:rsid w:val="003B5480"/>
    <w:rsid w:val="003B5A8C"/>
    <w:rsid w:val="003B6959"/>
    <w:rsid w:val="003B6E2C"/>
    <w:rsid w:val="003B701B"/>
    <w:rsid w:val="003B7256"/>
    <w:rsid w:val="003B75A8"/>
    <w:rsid w:val="003B7BB5"/>
    <w:rsid w:val="003B7DB1"/>
    <w:rsid w:val="003B7E1A"/>
    <w:rsid w:val="003B7FCC"/>
    <w:rsid w:val="003C01D4"/>
    <w:rsid w:val="003C036D"/>
    <w:rsid w:val="003C09B6"/>
    <w:rsid w:val="003C1249"/>
    <w:rsid w:val="003C15FA"/>
    <w:rsid w:val="003C169D"/>
    <w:rsid w:val="003C187B"/>
    <w:rsid w:val="003C2366"/>
    <w:rsid w:val="003C25BD"/>
    <w:rsid w:val="003C26B5"/>
    <w:rsid w:val="003C2CC3"/>
    <w:rsid w:val="003C340D"/>
    <w:rsid w:val="003C3B57"/>
    <w:rsid w:val="003C40BC"/>
    <w:rsid w:val="003C45BC"/>
    <w:rsid w:val="003C4986"/>
    <w:rsid w:val="003C4D4A"/>
    <w:rsid w:val="003C4D5A"/>
    <w:rsid w:val="003C4DB8"/>
    <w:rsid w:val="003C4E33"/>
    <w:rsid w:val="003C4ECE"/>
    <w:rsid w:val="003C519C"/>
    <w:rsid w:val="003C51EE"/>
    <w:rsid w:val="003C54A7"/>
    <w:rsid w:val="003C64CA"/>
    <w:rsid w:val="003C69BA"/>
    <w:rsid w:val="003C69BF"/>
    <w:rsid w:val="003C73D8"/>
    <w:rsid w:val="003C791B"/>
    <w:rsid w:val="003C7ABE"/>
    <w:rsid w:val="003C7F6A"/>
    <w:rsid w:val="003D02E8"/>
    <w:rsid w:val="003D06E9"/>
    <w:rsid w:val="003D09EE"/>
    <w:rsid w:val="003D0A7F"/>
    <w:rsid w:val="003D0BE6"/>
    <w:rsid w:val="003D18BA"/>
    <w:rsid w:val="003D19FF"/>
    <w:rsid w:val="003D1BCF"/>
    <w:rsid w:val="003D1BD0"/>
    <w:rsid w:val="003D2273"/>
    <w:rsid w:val="003D23A3"/>
    <w:rsid w:val="003D26CA"/>
    <w:rsid w:val="003D28FF"/>
    <w:rsid w:val="003D3C77"/>
    <w:rsid w:val="003D3DF6"/>
    <w:rsid w:val="003D42AB"/>
    <w:rsid w:val="003D4705"/>
    <w:rsid w:val="003D4E87"/>
    <w:rsid w:val="003D4EB9"/>
    <w:rsid w:val="003D5856"/>
    <w:rsid w:val="003D5948"/>
    <w:rsid w:val="003D6B9E"/>
    <w:rsid w:val="003D6D25"/>
    <w:rsid w:val="003D700D"/>
    <w:rsid w:val="003D75B6"/>
    <w:rsid w:val="003D784F"/>
    <w:rsid w:val="003D7D50"/>
    <w:rsid w:val="003E1390"/>
    <w:rsid w:val="003E192E"/>
    <w:rsid w:val="003E1A02"/>
    <w:rsid w:val="003E26B7"/>
    <w:rsid w:val="003E3974"/>
    <w:rsid w:val="003E3F95"/>
    <w:rsid w:val="003E430C"/>
    <w:rsid w:val="003E4809"/>
    <w:rsid w:val="003E4891"/>
    <w:rsid w:val="003E4A70"/>
    <w:rsid w:val="003E4A72"/>
    <w:rsid w:val="003E4AB6"/>
    <w:rsid w:val="003E4EFD"/>
    <w:rsid w:val="003E5115"/>
    <w:rsid w:val="003E516C"/>
    <w:rsid w:val="003E5218"/>
    <w:rsid w:val="003E57C9"/>
    <w:rsid w:val="003E5BFB"/>
    <w:rsid w:val="003E5E5E"/>
    <w:rsid w:val="003E6055"/>
    <w:rsid w:val="003E61B3"/>
    <w:rsid w:val="003E69AC"/>
    <w:rsid w:val="003E6AB1"/>
    <w:rsid w:val="003E6D97"/>
    <w:rsid w:val="003F0A9B"/>
    <w:rsid w:val="003F1044"/>
    <w:rsid w:val="003F122C"/>
    <w:rsid w:val="003F1DC2"/>
    <w:rsid w:val="003F20CB"/>
    <w:rsid w:val="003F223D"/>
    <w:rsid w:val="003F27C2"/>
    <w:rsid w:val="003F33EF"/>
    <w:rsid w:val="003F3E95"/>
    <w:rsid w:val="003F4323"/>
    <w:rsid w:val="003F4670"/>
    <w:rsid w:val="003F467E"/>
    <w:rsid w:val="003F4963"/>
    <w:rsid w:val="003F4DEE"/>
    <w:rsid w:val="003F5110"/>
    <w:rsid w:val="003F5501"/>
    <w:rsid w:val="003F63E2"/>
    <w:rsid w:val="003F6F1A"/>
    <w:rsid w:val="003F784A"/>
    <w:rsid w:val="0040026A"/>
    <w:rsid w:val="0040031D"/>
    <w:rsid w:val="0040060F"/>
    <w:rsid w:val="00401FD5"/>
    <w:rsid w:val="00401FD6"/>
    <w:rsid w:val="004021D0"/>
    <w:rsid w:val="00402476"/>
    <w:rsid w:val="004028FE"/>
    <w:rsid w:val="00402E19"/>
    <w:rsid w:val="00403E88"/>
    <w:rsid w:val="004041FA"/>
    <w:rsid w:val="00404337"/>
    <w:rsid w:val="0040439E"/>
    <w:rsid w:val="004044A1"/>
    <w:rsid w:val="004044E3"/>
    <w:rsid w:val="00404689"/>
    <w:rsid w:val="004048AF"/>
    <w:rsid w:val="00404BD6"/>
    <w:rsid w:val="00404E04"/>
    <w:rsid w:val="00404E4F"/>
    <w:rsid w:val="00405909"/>
    <w:rsid w:val="00405D05"/>
    <w:rsid w:val="004064F7"/>
    <w:rsid w:val="004066DF"/>
    <w:rsid w:val="004070C7"/>
    <w:rsid w:val="004070D2"/>
    <w:rsid w:val="0041000D"/>
    <w:rsid w:val="00410222"/>
    <w:rsid w:val="004107E0"/>
    <w:rsid w:val="00410EE1"/>
    <w:rsid w:val="00410F4A"/>
    <w:rsid w:val="004110AD"/>
    <w:rsid w:val="004113E2"/>
    <w:rsid w:val="00411D58"/>
    <w:rsid w:val="00412461"/>
    <w:rsid w:val="004124AD"/>
    <w:rsid w:val="004124D3"/>
    <w:rsid w:val="00412599"/>
    <w:rsid w:val="00412EED"/>
    <w:rsid w:val="00412F9A"/>
    <w:rsid w:val="00413B23"/>
    <w:rsid w:val="0041412A"/>
    <w:rsid w:val="0041449A"/>
    <w:rsid w:val="00414A19"/>
    <w:rsid w:val="00415A0E"/>
    <w:rsid w:val="00415C59"/>
    <w:rsid w:val="00416137"/>
    <w:rsid w:val="0041615B"/>
    <w:rsid w:val="004161D2"/>
    <w:rsid w:val="00416439"/>
    <w:rsid w:val="00416533"/>
    <w:rsid w:val="00416B89"/>
    <w:rsid w:val="004175F7"/>
    <w:rsid w:val="00417DE1"/>
    <w:rsid w:val="00417F99"/>
    <w:rsid w:val="00420097"/>
    <w:rsid w:val="004203F7"/>
    <w:rsid w:val="00420824"/>
    <w:rsid w:val="00420F0E"/>
    <w:rsid w:val="004212F8"/>
    <w:rsid w:val="00421518"/>
    <w:rsid w:val="00422B68"/>
    <w:rsid w:val="00423074"/>
    <w:rsid w:val="0042339A"/>
    <w:rsid w:val="00423408"/>
    <w:rsid w:val="0042377A"/>
    <w:rsid w:val="004238E2"/>
    <w:rsid w:val="00423A67"/>
    <w:rsid w:val="00423B15"/>
    <w:rsid w:val="0042408B"/>
    <w:rsid w:val="00424235"/>
    <w:rsid w:val="00424CB8"/>
    <w:rsid w:val="00424CFA"/>
    <w:rsid w:val="00424EB0"/>
    <w:rsid w:val="0042508F"/>
    <w:rsid w:val="00425682"/>
    <w:rsid w:val="0042588D"/>
    <w:rsid w:val="00426294"/>
    <w:rsid w:val="0042696A"/>
    <w:rsid w:val="00426AC8"/>
    <w:rsid w:val="00427462"/>
    <w:rsid w:val="004277CA"/>
    <w:rsid w:val="004300ED"/>
    <w:rsid w:val="0043050A"/>
    <w:rsid w:val="00430EF8"/>
    <w:rsid w:val="004311AA"/>
    <w:rsid w:val="004312D4"/>
    <w:rsid w:val="004313E6"/>
    <w:rsid w:val="00431DD9"/>
    <w:rsid w:val="004322E2"/>
    <w:rsid w:val="00432460"/>
    <w:rsid w:val="0043326D"/>
    <w:rsid w:val="004333F4"/>
    <w:rsid w:val="004334B6"/>
    <w:rsid w:val="0043386F"/>
    <w:rsid w:val="004339E4"/>
    <w:rsid w:val="00433C96"/>
    <w:rsid w:val="00433E2F"/>
    <w:rsid w:val="00433ED6"/>
    <w:rsid w:val="004343DC"/>
    <w:rsid w:val="00434678"/>
    <w:rsid w:val="00434A19"/>
    <w:rsid w:val="00435135"/>
    <w:rsid w:val="00435939"/>
    <w:rsid w:val="00435AC0"/>
    <w:rsid w:val="00435E03"/>
    <w:rsid w:val="00436410"/>
    <w:rsid w:val="00436457"/>
    <w:rsid w:val="00436524"/>
    <w:rsid w:val="00436943"/>
    <w:rsid w:val="00436B9A"/>
    <w:rsid w:val="00436E0A"/>
    <w:rsid w:val="004372D8"/>
    <w:rsid w:val="004379C2"/>
    <w:rsid w:val="00437F3E"/>
    <w:rsid w:val="004400E8"/>
    <w:rsid w:val="00440C97"/>
    <w:rsid w:val="00441069"/>
    <w:rsid w:val="004414D3"/>
    <w:rsid w:val="00441C34"/>
    <w:rsid w:val="004423A7"/>
    <w:rsid w:val="00442552"/>
    <w:rsid w:val="004430A5"/>
    <w:rsid w:val="004444FC"/>
    <w:rsid w:val="00444505"/>
    <w:rsid w:val="00444CD0"/>
    <w:rsid w:val="00444D6E"/>
    <w:rsid w:val="00444FFA"/>
    <w:rsid w:val="00445423"/>
    <w:rsid w:val="00445BA3"/>
    <w:rsid w:val="00445ED6"/>
    <w:rsid w:val="00446153"/>
    <w:rsid w:val="00446F2B"/>
    <w:rsid w:val="00447336"/>
    <w:rsid w:val="0044757B"/>
    <w:rsid w:val="00447FCA"/>
    <w:rsid w:val="0045087C"/>
    <w:rsid w:val="00450C2D"/>
    <w:rsid w:val="00450C50"/>
    <w:rsid w:val="00450C80"/>
    <w:rsid w:val="00451F7C"/>
    <w:rsid w:val="004529BD"/>
    <w:rsid w:val="00452D40"/>
    <w:rsid w:val="00453071"/>
    <w:rsid w:val="00453313"/>
    <w:rsid w:val="004533E8"/>
    <w:rsid w:val="0045347A"/>
    <w:rsid w:val="0045437B"/>
    <w:rsid w:val="004544D6"/>
    <w:rsid w:val="004544DB"/>
    <w:rsid w:val="00454596"/>
    <w:rsid w:val="004547FC"/>
    <w:rsid w:val="00454A25"/>
    <w:rsid w:val="00454B1F"/>
    <w:rsid w:val="00454DBC"/>
    <w:rsid w:val="00454EAC"/>
    <w:rsid w:val="00454FED"/>
    <w:rsid w:val="0045525C"/>
    <w:rsid w:val="004554C2"/>
    <w:rsid w:val="00455903"/>
    <w:rsid w:val="00455D32"/>
    <w:rsid w:val="004569A9"/>
    <w:rsid w:val="004576B9"/>
    <w:rsid w:val="00457B29"/>
    <w:rsid w:val="00457C45"/>
    <w:rsid w:val="00460073"/>
    <w:rsid w:val="0046112C"/>
    <w:rsid w:val="00461357"/>
    <w:rsid w:val="00461635"/>
    <w:rsid w:val="004616EF"/>
    <w:rsid w:val="00461A0E"/>
    <w:rsid w:val="00461CE9"/>
    <w:rsid w:val="004620F5"/>
    <w:rsid w:val="00462407"/>
    <w:rsid w:val="00462513"/>
    <w:rsid w:val="0046251C"/>
    <w:rsid w:val="004627A3"/>
    <w:rsid w:val="004628DA"/>
    <w:rsid w:val="00462C05"/>
    <w:rsid w:val="004630C0"/>
    <w:rsid w:val="004631B5"/>
    <w:rsid w:val="004631DD"/>
    <w:rsid w:val="004633C7"/>
    <w:rsid w:val="004635FD"/>
    <w:rsid w:val="00463BCE"/>
    <w:rsid w:val="00464B5E"/>
    <w:rsid w:val="00465334"/>
    <w:rsid w:val="00465990"/>
    <w:rsid w:val="00467257"/>
    <w:rsid w:val="00467261"/>
    <w:rsid w:val="0046727D"/>
    <w:rsid w:val="004674D7"/>
    <w:rsid w:val="00470129"/>
    <w:rsid w:val="004702F5"/>
    <w:rsid w:val="004704A6"/>
    <w:rsid w:val="00470A1E"/>
    <w:rsid w:val="0047108C"/>
    <w:rsid w:val="004718CD"/>
    <w:rsid w:val="0047236B"/>
    <w:rsid w:val="00472372"/>
    <w:rsid w:val="004725FA"/>
    <w:rsid w:val="004728A0"/>
    <w:rsid w:val="004729E8"/>
    <w:rsid w:val="0047308B"/>
    <w:rsid w:val="0047331A"/>
    <w:rsid w:val="0047380A"/>
    <w:rsid w:val="004738B0"/>
    <w:rsid w:val="004742DD"/>
    <w:rsid w:val="00474568"/>
    <w:rsid w:val="00474868"/>
    <w:rsid w:val="00474A3A"/>
    <w:rsid w:val="00475231"/>
    <w:rsid w:val="00475C3C"/>
    <w:rsid w:val="004761B9"/>
    <w:rsid w:val="0047626D"/>
    <w:rsid w:val="00476458"/>
    <w:rsid w:val="00476844"/>
    <w:rsid w:val="0047763D"/>
    <w:rsid w:val="00477885"/>
    <w:rsid w:val="00477B24"/>
    <w:rsid w:val="00477E0A"/>
    <w:rsid w:val="0048001D"/>
    <w:rsid w:val="00480B26"/>
    <w:rsid w:val="00481206"/>
    <w:rsid w:val="004815F1"/>
    <w:rsid w:val="00481849"/>
    <w:rsid w:val="0048191B"/>
    <w:rsid w:val="00482078"/>
    <w:rsid w:val="00484702"/>
    <w:rsid w:val="004847E1"/>
    <w:rsid w:val="00484B8E"/>
    <w:rsid w:val="00484E96"/>
    <w:rsid w:val="0048539C"/>
    <w:rsid w:val="00486036"/>
    <w:rsid w:val="004867EA"/>
    <w:rsid w:val="00486D32"/>
    <w:rsid w:val="00487891"/>
    <w:rsid w:val="00490794"/>
    <w:rsid w:val="00491216"/>
    <w:rsid w:val="00491541"/>
    <w:rsid w:val="00492281"/>
    <w:rsid w:val="004925D2"/>
    <w:rsid w:val="004927D6"/>
    <w:rsid w:val="00492932"/>
    <w:rsid w:val="00492BD5"/>
    <w:rsid w:val="00493595"/>
    <w:rsid w:val="00493709"/>
    <w:rsid w:val="00493C27"/>
    <w:rsid w:val="00493EEF"/>
    <w:rsid w:val="00494225"/>
    <w:rsid w:val="00494319"/>
    <w:rsid w:val="004943BA"/>
    <w:rsid w:val="0049513C"/>
    <w:rsid w:val="00495A17"/>
    <w:rsid w:val="00495FA5"/>
    <w:rsid w:val="004963C1"/>
    <w:rsid w:val="004965E7"/>
    <w:rsid w:val="00496700"/>
    <w:rsid w:val="004967F9"/>
    <w:rsid w:val="00496B04"/>
    <w:rsid w:val="00496F4A"/>
    <w:rsid w:val="00497175"/>
    <w:rsid w:val="00497D76"/>
    <w:rsid w:val="004A1318"/>
    <w:rsid w:val="004A1779"/>
    <w:rsid w:val="004A1C27"/>
    <w:rsid w:val="004A1D8E"/>
    <w:rsid w:val="004A2078"/>
    <w:rsid w:val="004A2D87"/>
    <w:rsid w:val="004A2FB8"/>
    <w:rsid w:val="004A371C"/>
    <w:rsid w:val="004A3B83"/>
    <w:rsid w:val="004A3FCB"/>
    <w:rsid w:val="004A4EA7"/>
    <w:rsid w:val="004A5586"/>
    <w:rsid w:val="004A5596"/>
    <w:rsid w:val="004A5731"/>
    <w:rsid w:val="004A58FD"/>
    <w:rsid w:val="004A6127"/>
    <w:rsid w:val="004A6625"/>
    <w:rsid w:val="004A69B8"/>
    <w:rsid w:val="004A73E6"/>
    <w:rsid w:val="004A76C8"/>
    <w:rsid w:val="004A7A6D"/>
    <w:rsid w:val="004B058F"/>
    <w:rsid w:val="004B0816"/>
    <w:rsid w:val="004B13B5"/>
    <w:rsid w:val="004B1531"/>
    <w:rsid w:val="004B1586"/>
    <w:rsid w:val="004B1C1A"/>
    <w:rsid w:val="004B24CA"/>
    <w:rsid w:val="004B28CF"/>
    <w:rsid w:val="004B3074"/>
    <w:rsid w:val="004B3BE5"/>
    <w:rsid w:val="004B3F3C"/>
    <w:rsid w:val="004B4537"/>
    <w:rsid w:val="004B514E"/>
    <w:rsid w:val="004B5919"/>
    <w:rsid w:val="004B5AEA"/>
    <w:rsid w:val="004B609E"/>
    <w:rsid w:val="004B6156"/>
    <w:rsid w:val="004B6412"/>
    <w:rsid w:val="004B7135"/>
    <w:rsid w:val="004B7179"/>
    <w:rsid w:val="004B7816"/>
    <w:rsid w:val="004B7A37"/>
    <w:rsid w:val="004B7D81"/>
    <w:rsid w:val="004C01A0"/>
    <w:rsid w:val="004C027F"/>
    <w:rsid w:val="004C04CD"/>
    <w:rsid w:val="004C06CC"/>
    <w:rsid w:val="004C0A49"/>
    <w:rsid w:val="004C0D39"/>
    <w:rsid w:val="004C0EE2"/>
    <w:rsid w:val="004C0F5C"/>
    <w:rsid w:val="004C0F9C"/>
    <w:rsid w:val="004C0FB2"/>
    <w:rsid w:val="004C10C2"/>
    <w:rsid w:val="004C10CF"/>
    <w:rsid w:val="004C1428"/>
    <w:rsid w:val="004C1A23"/>
    <w:rsid w:val="004C201A"/>
    <w:rsid w:val="004C2182"/>
    <w:rsid w:val="004C2411"/>
    <w:rsid w:val="004C2BC3"/>
    <w:rsid w:val="004C2FCE"/>
    <w:rsid w:val="004C313C"/>
    <w:rsid w:val="004C34D2"/>
    <w:rsid w:val="004C3C8C"/>
    <w:rsid w:val="004C4823"/>
    <w:rsid w:val="004C48E2"/>
    <w:rsid w:val="004C4D38"/>
    <w:rsid w:val="004C4DDE"/>
    <w:rsid w:val="004C5170"/>
    <w:rsid w:val="004C5753"/>
    <w:rsid w:val="004C58D4"/>
    <w:rsid w:val="004C6C05"/>
    <w:rsid w:val="004C7338"/>
    <w:rsid w:val="004C769C"/>
    <w:rsid w:val="004C799B"/>
    <w:rsid w:val="004C7ED7"/>
    <w:rsid w:val="004C7FA2"/>
    <w:rsid w:val="004D05F9"/>
    <w:rsid w:val="004D0B7A"/>
    <w:rsid w:val="004D1362"/>
    <w:rsid w:val="004D1D6E"/>
    <w:rsid w:val="004D2744"/>
    <w:rsid w:val="004D2B31"/>
    <w:rsid w:val="004D2C69"/>
    <w:rsid w:val="004D3001"/>
    <w:rsid w:val="004D3488"/>
    <w:rsid w:val="004D4072"/>
    <w:rsid w:val="004D41B2"/>
    <w:rsid w:val="004D4569"/>
    <w:rsid w:val="004D4D1E"/>
    <w:rsid w:val="004D5522"/>
    <w:rsid w:val="004D5AAB"/>
    <w:rsid w:val="004D6010"/>
    <w:rsid w:val="004D6300"/>
    <w:rsid w:val="004D63D4"/>
    <w:rsid w:val="004D64A2"/>
    <w:rsid w:val="004D6F16"/>
    <w:rsid w:val="004D7187"/>
    <w:rsid w:val="004D76A4"/>
    <w:rsid w:val="004D7CB6"/>
    <w:rsid w:val="004E0065"/>
    <w:rsid w:val="004E026D"/>
    <w:rsid w:val="004E07AA"/>
    <w:rsid w:val="004E0842"/>
    <w:rsid w:val="004E0EEE"/>
    <w:rsid w:val="004E0FF0"/>
    <w:rsid w:val="004E10CD"/>
    <w:rsid w:val="004E1233"/>
    <w:rsid w:val="004E1635"/>
    <w:rsid w:val="004E20EF"/>
    <w:rsid w:val="004E21A6"/>
    <w:rsid w:val="004E28C6"/>
    <w:rsid w:val="004E3181"/>
    <w:rsid w:val="004E3AE1"/>
    <w:rsid w:val="004E4C75"/>
    <w:rsid w:val="004E4DEC"/>
    <w:rsid w:val="004E5745"/>
    <w:rsid w:val="004E5959"/>
    <w:rsid w:val="004E5FD1"/>
    <w:rsid w:val="004E60D0"/>
    <w:rsid w:val="004E6605"/>
    <w:rsid w:val="004E6A3D"/>
    <w:rsid w:val="004E6DE1"/>
    <w:rsid w:val="004E70B0"/>
    <w:rsid w:val="004E78A5"/>
    <w:rsid w:val="004E7AAA"/>
    <w:rsid w:val="004E7B67"/>
    <w:rsid w:val="004F0C1C"/>
    <w:rsid w:val="004F10E0"/>
    <w:rsid w:val="004F138F"/>
    <w:rsid w:val="004F1601"/>
    <w:rsid w:val="004F1F69"/>
    <w:rsid w:val="004F251E"/>
    <w:rsid w:val="004F2595"/>
    <w:rsid w:val="004F2D0A"/>
    <w:rsid w:val="004F3A8E"/>
    <w:rsid w:val="004F3B05"/>
    <w:rsid w:val="004F3DB8"/>
    <w:rsid w:val="004F420C"/>
    <w:rsid w:val="004F44DD"/>
    <w:rsid w:val="004F4B83"/>
    <w:rsid w:val="004F5311"/>
    <w:rsid w:val="004F5382"/>
    <w:rsid w:val="004F55B5"/>
    <w:rsid w:val="004F5822"/>
    <w:rsid w:val="004F5AA3"/>
    <w:rsid w:val="004F60B7"/>
    <w:rsid w:val="004F6827"/>
    <w:rsid w:val="004F7610"/>
    <w:rsid w:val="004F76A0"/>
    <w:rsid w:val="004F7AB4"/>
    <w:rsid w:val="00500123"/>
    <w:rsid w:val="00500C2A"/>
    <w:rsid w:val="00500F44"/>
    <w:rsid w:val="00501E46"/>
    <w:rsid w:val="0050238B"/>
    <w:rsid w:val="00502AD2"/>
    <w:rsid w:val="00502AFF"/>
    <w:rsid w:val="00502D46"/>
    <w:rsid w:val="00503564"/>
    <w:rsid w:val="00503C17"/>
    <w:rsid w:val="00503FFC"/>
    <w:rsid w:val="00504AD9"/>
    <w:rsid w:val="00504BCF"/>
    <w:rsid w:val="00504EE5"/>
    <w:rsid w:val="00504F7B"/>
    <w:rsid w:val="005052C6"/>
    <w:rsid w:val="00505CA7"/>
    <w:rsid w:val="0050619D"/>
    <w:rsid w:val="0050619F"/>
    <w:rsid w:val="00506657"/>
    <w:rsid w:val="0050670B"/>
    <w:rsid w:val="00507D53"/>
    <w:rsid w:val="00507F6C"/>
    <w:rsid w:val="00507F9B"/>
    <w:rsid w:val="0051050B"/>
    <w:rsid w:val="005105D8"/>
    <w:rsid w:val="00511618"/>
    <w:rsid w:val="00511B29"/>
    <w:rsid w:val="00511C7A"/>
    <w:rsid w:val="00511FB0"/>
    <w:rsid w:val="005124ED"/>
    <w:rsid w:val="00512762"/>
    <w:rsid w:val="005128B7"/>
    <w:rsid w:val="00512DE1"/>
    <w:rsid w:val="00513794"/>
    <w:rsid w:val="00513BE7"/>
    <w:rsid w:val="00513EF9"/>
    <w:rsid w:val="005141E8"/>
    <w:rsid w:val="00515295"/>
    <w:rsid w:val="00515366"/>
    <w:rsid w:val="005159B5"/>
    <w:rsid w:val="00515A3F"/>
    <w:rsid w:val="00515DBA"/>
    <w:rsid w:val="00516003"/>
    <w:rsid w:val="005169DD"/>
    <w:rsid w:val="00516A89"/>
    <w:rsid w:val="0051705A"/>
    <w:rsid w:val="005170E7"/>
    <w:rsid w:val="00517257"/>
    <w:rsid w:val="0051765C"/>
    <w:rsid w:val="00517731"/>
    <w:rsid w:val="00520220"/>
    <w:rsid w:val="0052066A"/>
    <w:rsid w:val="005212EA"/>
    <w:rsid w:val="00521524"/>
    <w:rsid w:val="00522636"/>
    <w:rsid w:val="00522BC6"/>
    <w:rsid w:val="00522D38"/>
    <w:rsid w:val="00522F0E"/>
    <w:rsid w:val="005231D5"/>
    <w:rsid w:val="00523233"/>
    <w:rsid w:val="00523AC1"/>
    <w:rsid w:val="005243BA"/>
    <w:rsid w:val="005249DD"/>
    <w:rsid w:val="00524A0E"/>
    <w:rsid w:val="00524A75"/>
    <w:rsid w:val="0052548D"/>
    <w:rsid w:val="005259B8"/>
    <w:rsid w:val="00525E8F"/>
    <w:rsid w:val="005260E2"/>
    <w:rsid w:val="00526F33"/>
    <w:rsid w:val="00526FE7"/>
    <w:rsid w:val="005279D3"/>
    <w:rsid w:val="00527A18"/>
    <w:rsid w:val="00530106"/>
    <w:rsid w:val="00530988"/>
    <w:rsid w:val="00530BA1"/>
    <w:rsid w:val="00530CA9"/>
    <w:rsid w:val="00530E7A"/>
    <w:rsid w:val="0053175C"/>
    <w:rsid w:val="0053193E"/>
    <w:rsid w:val="0053194A"/>
    <w:rsid w:val="00531C17"/>
    <w:rsid w:val="00531F6E"/>
    <w:rsid w:val="0053258D"/>
    <w:rsid w:val="00532998"/>
    <w:rsid w:val="00532CE9"/>
    <w:rsid w:val="005334D4"/>
    <w:rsid w:val="00533F14"/>
    <w:rsid w:val="005351DD"/>
    <w:rsid w:val="0053564C"/>
    <w:rsid w:val="0053600E"/>
    <w:rsid w:val="005362DE"/>
    <w:rsid w:val="00536405"/>
    <w:rsid w:val="005364E3"/>
    <w:rsid w:val="005365CC"/>
    <w:rsid w:val="00536740"/>
    <w:rsid w:val="00536A7D"/>
    <w:rsid w:val="005377D3"/>
    <w:rsid w:val="00537E29"/>
    <w:rsid w:val="00540458"/>
    <w:rsid w:val="00540B70"/>
    <w:rsid w:val="00540D31"/>
    <w:rsid w:val="00540FE8"/>
    <w:rsid w:val="00541247"/>
    <w:rsid w:val="005413A6"/>
    <w:rsid w:val="00541A64"/>
    <w:rsid w:val="00541E54"/>
    <w:rsid w:val="0054271A"/>
    <w:rsid w:val="00542C6A"/>
    <w:rsid w:val="00542DE1"/>
    <w:rsid w:val="0054331C"/>
    <w:rsid w:val="00543359"/>
    <w:rsid w:val="00543A97"/>
    <w:rsid w:val="0054466F"/>
    <w:rsid w:val="005449B8"/>
    <w:rsid w:val="0054515F"/>
    <w:rsid w:val="005455D4"/>
    <w:rsid w:val="005455FB"/>
    <w:rsid w:val="0054577A"/>
    <w:rsid w:val="00545A19"/>
    <w:rsid w:val="00545D1F"/>
    <w:rsid w:val="00546454"/>
    <w:rsid w:val="0054659E"/>
    <w:rsid w:val="00546758"/>
    <w:rsid w:val="00546BA3"/>
    <w:rsid w:val="00547491"/>
    <w:rsid w:val="0054797A"/>
    <w:rsid w:val="00550C99"/>
    <w:rsid w:val="00551095"/>
    <w:rsid w:val="00551673"/>
    <w:rsid w:val="00551C61"/>
    <w:rsid w:val="00551CA0"/>
    <w:rsid w:val="00551E46"/>
    <w:rsid w:val="00552CC2"/>
    <w:rsid w:val="00552F1C"/>
    <w:rsid w:val="00552FAE"/>
    <w:rsid w:val="00553253"/>
    <w:rsid w:val="00553413"/>
    <w:rsid w:val="005537F0"/>
    <w:rsid w:val="00553C3D"/>
    <w:rsid w:val="00553ED6"/>
    <w:rsid w:val="005540C5"/>
    <w:rsid w:val="00554463"/>
    <w:rsid w:val="00554D33"/>
    <w:rsid w:val="00555694"/>
    <w:rsid w:val="005557E4"/>
    <w:rsid w:val="00555AB2"/>
    <w:rsid w:val="00555DE8"/>
    <w:rsid w:val="005561CB"/>
    <w:rsid w:val="0055673E"/>
    <w:rsid w:val="005568A8"/>
    <w:rsid w:val="00557344"/>
    <w:rsid w:val="0055795A"/>
    <w:rsid w:val="005579EB"/>
    <w:rsid w:val="00557A7B"/>
    <w:rsid w:val="00557A82"/>
    <w:rsid w:val="00557F2A"/>
    <w:rsid w:val="00560544"/>
    <w:rsid w:val="00560545"/>
    <w:rsid w:val="005605E2"/>
    <w:rsid w:val="00560808"/>
    <w:rsid w:val="00560F30"/>
    <w:rsid w:val="00561129"/>
    <w:rsid w:val="00561982"/>
    <w:rsid w:val="00561DD2"/>
    <w:rsid w:val="00561E82"/>
    <w:rsid w:val="00562410"/>
    <w:rsid w:val="00562634"/>
    <w:rsid w:val="00562C19"/>
    <w:rsid w:val="00562F06"/>
    <w:rsid w:val="005633C1"/>
    <w:rsid w:val="00563C64"/>
    <w:rsid w:val="00563CFB"/>
    <w:rsid w:val="00563E98"/>
    <w:rsid w:val="0056418D"/>
    <w:rsid w:val="005644C9"/>
    <w:rsid w:val="00564721"/>
    <w:rsid w:val="00564974"/>
    <w:rsid w:val="00564AAC"/>
    <w:rsid w:val="00564BBA"/>
    <w:rsid w:val="00564C46"/>
    <w:rsid w:val="0056501F"/>
    <w:rsid w:val="00566624"/>
    <w:rsid w:val="00566BFF"/>
    <w:rsid w:val="00566CB4"/>
    <w:rsid w:val="00566EC0"/>
    <w:rsid w:val="00566FB0"/>
    <w:rsid w:val="0056768A"/>
    <w:rsid w:val="0057009A"/>
    <w:rsid w:val="005708F5"/>
    <w:rsid w:val="00570FC7"/>
    <w:rsid w:val="00571371"/>
    <w:rsid w:val="005716C6"/>
    <w:rsid w:val="00571833"/>
    <w:rsid w:val="00571C26"/>
    <w:rsid w:val="00571C54"/>
    <w:rsid w:val="00571FA8"/>
    <w:rsid w:val="005724EC"/>
    <w:rsid w:val="0057259C"/>
    <w:rsid w:val="00572EB1"/>
    <w:rsid w:val="00572EBB"/>
    <w:rsid w:val="005730EF"/>
    <w:rsid w:val="0057344D"/>
    <w:rsid w:val="005737CD"/>
    <w:rsid w:val="005739EC"/>
    <w:rsid w:val="00573C50"/>
    <w:rsid w:val="00574030"/>
    <w:rsid w:val="00574B50"/>
    <w:rsid w:val="00574F0E"/>
    <w:rsid w:val="00575033"/>
    <w:rsid w:val="00575248"/>
    <w:rsid w:val="005754AB"/>
    <w:rsid w:val="00575643"/>
    <w:rsid w:val="00575EB2"/>
    <w:rsid w:val="00575FA2"/>
    <w:rsid w:val="0057627C"/>
    <w:rsid w:val="00576D3C"/>
    <w:rsid w:val="0057745D"/>
    <w:rsid w:val="005775EC"/>
    <w:rsid w:val="00577775"/>
    <w:rsid w:val="00577EF1"/>
    <w:rsid w:val="005800EE"/>
    <w:rsid w:val="00580385"/>
    <w:rsid w:val="005806EB"/>
    <w:rsid w:val="005806F9"/>
    <w:rsid w:val="00580DC5"/>
    <w:rsid w:val="0058188F"/>
    <w:rsid w:val="005826F4"/>
    <w:rsid w:val="00582ADD"/>
    <w:rsid w:val="00582D0E"/>
    <w:rsid w:val="00582F3F"/>
    <w:rsid w:val="0058369E"/>
    <w:rsid w:val="005838DE"/>
    <w:rsid w:val="00583D31"/>
    <w:rsid w:val="00584107"/>
    <w:rsid w:val="00584135"/>
    <w:rsid w:val="00584BA6"/>
    <w:rsid w:val="00584C5F"/>
    <w:rsid w:val="00584F21"/>
    <w:rsid w:val="005852FA"/>
    <w:rsid w:val="00585395"/>
    <w:rsid w:val="005854F2"/>
    <w:rsid w:val="00586280"/>
    <w:rsid w:val="005863B8"/>
    <w:rsid w:val="00586781"/>
    <w:rsid w:val="005868F7"/>
    <w:rsid w:val="00586A2C"/>
    <w:rsid w:val="00587608"/>
    <w:rsid w:val="00587967"/>
    <w:rsid w:val="005903A3"/>
    <w:rsid w:val="005909AA"/>
    <w:rsid w:val="00590A16"/>
    <w:rsid w:val="00590D09"/>
    <w:rsid w:val="0059156A"/>
    <w:rsid w:val="00591952"/>
    <w:rsid w:val="00591CD1"/>
    <w:rsid w:val="005923A5"/>
    <w:rsid w:val="005924A6"/>
    <w:rsid w:val="00592A3E"/>
    <w:rsid w:val="00593314"/>
    <w:rsid w:val="005933C4"/>
    <w:rsid w:val="0059368E"/>
    <w:rsid w:val="00593993"/>
    <w:rsid w:val="00593BF5"/>
    <w:rsid w:val="00593CF4"/>
    <w:rsid w:val="00593DCE"/>
    <w:rsid w:val="005941D0"/>
    <w:rsid w:val="00594496"/>
    <w:rsid w:val="005944B6"/>
    <w:rsid w:val="0059451C"/>
    <w:rsid w:val="00594848"/>
    <w:rsid w:val="00594BA0"/>
    <w:rsid w:val="005955D2"/>
    <w:rsid w:val="005956D3"/>
    <w:rsid w:val="00595AEA"/>
    <w:rsid w:val="00595D84"/>
    <w:rsid w:val="00595E5D"/>
    <w:rsid w:val="005962E7"/>
    <w:rsid w:val="00596365"/>
    <w:rsid w:val="005965BC"/>
    <w:rsid w:val="00596771"/>
    <w:rsid w:val="00596CBF"/>
    <w:rsid w:val="00597055"/>
    <w:rsid w:val="0059712B"/>
    <w:rsid w:val="0059715D"/>
    <w:rsid w:val="0059752E"/>
    <w:rsid w:val="005978D2"/>
    <w:rsid w:val="00597A60"/>
    <w:rsid w:val="00597E44"/>
    <w:rsid w:val="005A02B8"/>
    <w:rsid w:val="005A07BC"/>
    <w:rsid w:val="005A11E8"/>
    <w:rsid w:val="005A1285"/>
    <w:rsid w:val="005A1609"/>
    <w:rsid w:val="005A19F0"/>
    <w:rsid w:val="005A1A8C"/>
    <w:rsid w:val="005A2C88"/>
    <w:rsid w:val="005A35F6"/>
    <w:rsid w:val="005A3631"/>
    <w:rsid w:val="005A368A"/>
    <w:rsid w:val="005A3892"/>
    <w:rsid w:val="005A3DBC"/>
    <w:rsid w:val="005A461B"/>
    <w:rsid w:val="005A4CCF"/>
    <w:rsid w:val="005A4DEA"/>
    <w:rsid w:val="005A547B"/>
    <w:rsid w:val="005A5520"/>
    <w:rsid w:val="005A5649"/>
    <w:rsid w:val="005A582C"/>
    <w:rsid w:val="005A620C"/>
    <w:rsid w:val="005A6F8F"/>
    <w:rsid w:val="005A7E78"/>
    <w:rsid w:val="005B03ED"/>
    <w:rsid w:val="005B0822"/>
    <w:rsid w:val="005B0A25"/>
    <w:rsid w:val="005B1210"/>
    <w:rsid w:val="005B1284"/>
    <w:rsid w:val="005B131D"/>
    <w:rsid w:val="005B15BC"/>
    <w:rsid w:val="005B1776"/>
    <w:rsid w:val="005B183C"/>
    <w:rsid w:val="005B1BA3"/>
    <w:rsid w:val="005B1E6A"/>
    <w:rsid w:val="005B1FB2"/>
    <w:rsid w:val="005B22C9"/>
    <w:rsid w:val="005B2700"/>
    <w:rsid w:val="005B32FB"/>
    <w:rsid w:val="005B3446"/>
    <w:rsid w:val="005B3587"/>
    <w:rsid w:val="005B38E8"/>
    <w:rsid w:val="005B477D"/>
    <w:rsid w:val="005B4BB3"/>
    <w:rsid w:val="005B74A2"/>
    <w:rsid w:val="005B7FE4"/>
    <w:rsid w:val="005C05E0"/>
    <w:rsid w:val="005C0704"/>
    <w:rsid w:val="005C0948"/>
    <w:rsid w:val="005C0A9B"/>
    <w:rsid w:val="005C0EB9"/>
    <w:rsid w:val="005C0F2D"/>
    <w:rsid w:val="005C1957"/>
    <w:rsid w:val="005C23EA"/>
    <w:rsid w:val="005C25CE"/>
    <w:rsid w:val="005C2E94"/>
    <w:rsid w:val="005C3454"/>
    <w:rsid w:val="005C37E0"/>
    <w:rsid w:val="005C3A22"/>
    <w:rsid w:val="005C3CD2"/>
    <w:rsid w:val="005C3CE9"/>
    <w:rsid w:val="005C4165"/>
    <w:rsid w:val="005C422A"/>
    <w:rsid w:val="005C4243"/>
    <w:rsid w:val="005C4326"/>
    <w:rsid w:val="005C4A12"/>
    <w:rsid w:val="005C4D99"/>
    <w:rsid w:val="005C5067"/>
    <w:rsid w:val="005C54B9"/>
    <w:rsid w:val="005C56F0"/>
    <w:rsid w:val="005C5A1C"/>
    <w:rsid w:val="005C6618"/>
    <w:rsid w:val="005C664E"/>
    <w:rsid w:val="005C6769"/>
    <w:rsid w:val="005D0189"/>
    <w:rsid w:val="005D0227"/>
    <w:rsid w:val="005D0D15"/>
    <w:rsid w:val="005D0E64"/>
    <w:rsid w:val="005D157C"/>
    <w:rsid w:val="005D1A70"/>
    <w:rsid w:val="005D2412"/>
    <w:rsid w:val="005D2554"/>
    <w:rsid w:val="005D2689"/>
    <w:rsid w:val="005D280D"/>
    <w:rsid w:val="005D3434"/>
    <w:rsid w:val="005D3814"/>
    <w:rsid w:val="005D38AB"/>
    <w:rsid w:val="005D3C6B"/>
    <w:rsid w:val="005D3D54"/>
    <w:rsid w:val="005D3DB9"/>
    <w:rsid w:val="005D3F1B"/>
    <w:rsid w:val="005D3FB3"/>
    <w:rsid w:val="005D3FF2"/>
    <w:rsid w:val="005D4DA2"/>
    <w:rsid w:val="005D576F"/>
    <w:rsid w:val="005D6807"/>
    <w:rsid w:val="005D6A49"/>
    <w:rsid w:val="005D6B66"/>
    <w:rsid w:val="005D7138"/>
    <w:rsid w:val="005D75AF"/>
    <w:rsid w:val="005D79A5"/>
    <w:rsid w:val="005E0172"/>
    <w:rsid w:val="005E04C9"/>
    <w:rsid w:val="005E072E"/>
    <w:rsid w:val="005E0C84"/>
    <w:rsid w:val="005E1171"/>
    <w:rsid w:val="005E1996"/>
    <w:rsid w:val="005E1F25"/>
    <w:rsid w:val="005E29F2"/>
    <w:rsid w:val="005E3D22"/>
    <w:rsid w:val="005E3FBD"/>
    <w:rsid w:val="005E43EF"/>
    <w:rsid w:val="005E4470"/>
    <w:rsid w:val="005E4A0E"/>
    <w:rsid w:val="005E4F8E"/>
    <w:rsid w:val="005E5794"/>
    <w:rsid w:val="005E5B5D"/>
    <w:rsid w:val="005E638F"/>
    <w:rsid w:val="005E6649"/>
    <w:rsid w:val="005E66B0"/>
    <w:rsid w:val="005E6A82"/>
    <w:rsid w:val="005E6DD0"/>
    <w:rsid w:val="005E74D4"/>
    <w:rsid w:val="005E7BDF"/>
    <w:rsid w:val="005F0CCF"/>
    <w:rsid w:val="005F131F"/>
    <w:rsid w:val="005F1A69"/>
    <w:rsid w:val="005F1B13"/>
    <w:rsid w:val="005F250B"/>
    <w:rsid w:val="005F2562"/>
    <w:rsid w:val="005F25F4"/>
    <w:rsid w:val="005F2662"/>
    <w:rsid w:val="005F2AC1"/>
    <w:rsid w:val="005F2DEA"/>
    <w:rsid w:val="005F3076"/>
    <w:rsid w:val="005F3689"/>
    <w:rsid w:val="005F3D60"/>
    <w:rsid w:val="005F429C"/>
    <w:rsid w:val="005F4393"/>
    <w:rsid w:val="005F43D6"/>
    <w:rsid w:val="005F44B4"/>
    <w:rsid w:val="005F47F3"/>
    <w:rsid w:val="005F55C0"/>
    <w:rsid w:val="005F5E04"/>
    <w:rsid w:val="005F5E07"/>
    <w:rsid w:val="005F5E86"/>
    <w:rsid w:val="005F6CE8"/>
    <w:rsid w:val="005F6EE2"/>
    <w:rsid w:val="005F7C7D"/>
    <w:rsid w:val="00600E7E"/>
    <w:rsid w:val="0060159A"/>
    <w:rsid w:val="00601735"/>
    <w:rsid w:val="0060173B"/>
    <w:rsid w:val="00601827"/>
    <w:rsid w:val="006018E0"/>
    <w:rsid w:val="00601958"/>
    <w:rsid w:val="00601EBD"/>
    <w:rsid w:val="00601EF8"/>
    <w:rsid w:val="006020A7"/>
    <w:rsid w:val="00602647"/>
    <w:rsid w:val="00602F57"/>
    <w:rsid w:val="00603FD5"/>
    <w:rsid w:val="006040F1"/>
    <w:rsid w:val="0060449F"/>
    <w:rsid w:val="0060467E"/>
    <w:rsid w:val="006054D9"/>
    <w:rsid w:val="00606054"/>
    <w:rsid w:val="0060674A"/>
    <w:rsid w:val="00606A00"/>
    <w:rsid w:val="006073B6"/>
    <w:rsid w:val="00607903"/>
    <w:rsid w:val="0060792B"/>
    <w:rsid w:val="00607F03"/>
    <w:rsid w:val="00610627"/>
    <w:rsid w:val="006109C8"/>
    <w:rsid w:val="00610E4A"/>
    <w:rsid w:val="00610F6C"/>
    <w:rsid w:val="00611883"/>
    <w:rsid w:val="00611B3F"/>
    <w:rsid w:val="00611F0D"/>
    <w:rsid w:val="00612BC8"/>
    <w:rsid w:val="00613528"/>
    <w:rsid w:val="00613D2B"/>
    <w:rsid w:val="006159CD"/>
    <w:rsid w:val="00615C2F"/>
    <w:rsid w:val="00615F3A"/>
    <w:rsid w:val="006161D3"/>
    <w:rsid w:val="00616C0E"/>
    <w:rsid w:val="00616DC8"/>
    <w:rsid w:val="00617BA7"/>
    <w:rsid w:val="00617C27"/>
    <w:rsid w:val="006201D7"/>
    <w:rsid w:val="00620228"/>
    <w:rsid w:val="006202B7"/>
    <w:rsid w:val="00620548"/>
    <w:rsid w:val="00621035"/>
    <w:rsid w:val="006226B6"/>
    <w:rsid w:val="006229F5"/>
    <w:rsid w:val="00622BCA"/>
    <w:rsid w:val="00623056"/>
    <w:rsid w:val="006231EA"/>
    <w:rsid w:val="0062367B"/>
    <w:rsid w:val="00623847"/>
    <w:rsid w:val="00623883"/>
    <w:rsid w:val="00623BC8"/>
    <w:rsid w:val="00624187"/>
    <w:rsid w:val="006247A2"/>
    <w:rsid w:val="00624B90"/>
    <w:rsid w:val="00624E98"/>
    <w:rsid w:val="006250B6"/>
    <w:rsid w:val="00625135"/>
    <w:rsid w:val="00625416"/>
    <w:rsid w:val="00625BB5"/>
    <w:rsid w:val="006260D9"/>
    <w:rsid w:val="006267A9"/>
    <w:rsid w:val="006270D3"/>
    <w:rsid w:val="0062742E"/>
    <w:rsid w:val="00627949"/>
    <w:rsid w:val="00627C41"/>
    <w:rsid w:val="00627C6E"/>
    <w:rsid w:val="00627FF6"/>
    <w:rsid w:val="006300C3"/>
    <w:rsid w:val="006304B7"/>
    <w:rsid w:val="00630675"/>
    <w:rsid w:val="00630F02"/>
    <w:rsid w:val="006310B4"/>
    <w:rsid w:val="006310F5"/>
    <w:rsid w:val="00631AF3"/>
    <w:rsid w:val="00631FA3"/>
    <w:rsid w:val="006327D6"/>
    <w:rsid w:val="00632E10"/>
    <w:rsid w:val="00632F00"/>
    <w:rsid w:val="00633BF5"/>
    <w:rsid w:val="00633C66"/>
    <w:rsid w:val="00633DB4"/>
    <w:rsid w:val="0063431A"/>
    <w:rsid w:val="006343FD"/>
    <w:rsid w:val="0063480F"/>
    <w:rsid w:val="0063497C"/>
    <w:rsid w:val="00634ACA"/>
    <w:rsid w:val="00634B6C"/>
    <w:rsid w:val="00635306"/>
    <w:rsid w:val="0063644C"/>
    <w:rsid w:val="00636BED"/>
    <w:rsid w:val="00636C95"/>
    <w:rsid w:val="006379BA"/>
    <w:rsid w:val="0064014C"/>
    <w:rsid w:val="006401B0"/>
    <w:rsid w:val="00640714"/>
    <w:rsid w:val="006411DE"/>
    <w:rsid w:val="00641427"/>
    <w:rsid w:val="006416CF"/>
    <w:rsid w:val="0064186F"/>
    <w:rsid w:val="00641D2B"/>
    <w:rsid w:val="00642488"/>
    <w:rsid w:val="006425E4"/>
    <w:rsid w:val="006428C9"/>
    <w:rsid w:val="00642BC8"/>
    <w:rsid w:val="0064301D"/>
    <w:rsid w:val="00643943"/>
    <w:rsid w:val="00644894"/>
    <w:rsid w:val="00644D45"/>
    <w:rsid w:val="00644E5E"/>
    <w:rsid w:val="0064522E"/>
    <w:rsid w:val="00645DE0"/>
    <w:rsid w:val="0064615D"/>
    <w:rsid w:val="006461E1"/>
    <w:rsid w:val="00646794"/>
    <w:rsid w:val="00646CDF"/>
    <w:rsid w:val="00646E37"/>
    <w:rsid w:val="006471FD"/>
    <w:rsid w:val="006473A7"/>
    <w:rsid w:val="006475BD"/>
    <w:rsid w:val="0064776B"/>
    <w:rsid w:val="00647C06"/>
    <w:rsid w:val="00647CCD"/>
    <w:rsid w:val="00647EAE"/>
    <w:rsid w:val="0065071C"/>
    <w:rsid w:val="006525CF"/>
    <w:rsid w:val="006525E6"/>
    <w:rsid w:val="006527FF"/>
    <w:rsid w:val="006531DA"/>
    <w:rsid w:val="00653509"/>
    <w:rsid w:val="00654001"/>
    <w:rsid w:val="0065405B"/>
    <w:rsid w:val="00654226"/>
    <w:rsid w:val="0065434C"/>
    <w:rsid w:val="00654843"/>
    <w:rsid w:val="00654AF3"/>
    <w:rsid w:val="00654B10"/>
    <w:rsid w:val="00655493"/>
    <w:rsid w:val="00655649"/>
    <w:rsid w:val="0065566F"/>
    <w:rsid w:val="00655FAD"/>
    <w:rsid w:val="0065603B"/>
    <w:rsid w:val="00656A8A"/>
    <w:rsid w:val="00656AFE"/>
    <w:rsid w:val="00656F02"/>
    <w:rsid w:val="00657F09"/>
    <w:rsid w:val="00660134"/>
    <w:rsid w:val="00660176"/>
    <w:rsid w:val="006601E8"/>
    <w:rsid w:val="006619B1"/>
    <w:rsid w:val="00661ADC"/>
    <w:rsid w:val="00661C57"/>
    <w:rsid w:val="00661E22"/>
    <w:rsid w:val="00661F77"/>
    <w:rsid w:val="006621B3"/>
    <w:rsid w:val="00662209"/>
    <w:rsid w:val="0066260B"/>
    <w:rsid w:val="0066266F"/>
    <w:rsid w:val="00662AA2"/>
    <w:rsid w:val="00663069"/>
    <w:rsid w:val="00663230"/>
    <w:rsid w:val="006637B7"/>
    <w:rsid w:val="006637C8"/>
    <w:rsid w:val="00663FCE"/>
    <w:rsid w:val="006643D2"/>
    <w:rsid w:val="0066444F"/>
    <w:rsid w:val="006647D9"/>
    <w:rsid w:val="00664D51"/>
    <w:rsid w:val="00664D57"/>
    <w:rsid w:val="006653FE"/>
    <w:rsid w:val="0066544A"/>
    <w:rsid w:val="00665A08"/>
    <w:rsid w:val="00665B7E"/>
    <w:rsid w:val="00665BD9"/>
    <w:rsid w:val="00667833"/>
    <w:rsid w:val="006700A0"/>
    <w:rsid w:val="00670529"/>
    <w:rsid w:val="006706F4"/>
    <w:rsid w:val="00670710"/>
    <w:rsid w:val="00670F47"/>
    <w:rsid w:val="00671228"/>
    <w:rsid w:val="0067148E"/>
    <w:rsid w:val="006718F6"/>
    <w:rsid w:val="00671D1F"/>
    <w:rsid w:val="00671F64"/>
    <w:rsid w:val="0067223A"/>
    <w:rsid w:val="006723B0"/>
    <w:rsid w:val="00672430"/>
    <w:rsid w:val="00672659"/>
    <w:rsid w:val="00672CB8"/>
    <w:rsid w:val="00672E25"/>
    <w:rsid w:val="00672FF8"/>
    <w:rsid w:val="00673499"/>
    <w:rsid w:val="00674350"/>
    <w:rsid w:val="006749B4"/>
    <w:rsid w:val="00674FF4"/>
    <w:rsid w:val="006772DD"/>
    <w:rsid w:val="00677898"/>
    <w:rsid w:val="00677CBB"/>
    <w:rsid w:val="00677E69"/>
    <w:rsid w:val="00681434"/>
    <w:rsid w:val="006815BA"/>
    <w:rsid w:val="006818D7"/>
    <w:rsid w:val="0068198A"/>
    <w:rsid w:val="00681D7F"/>
    <w:rsid w:val="0068209D"/>
    <w:rsid w:val="00682350"/>
    <w:rsid w:val="00682814"/>
    <w:rsid w:val="00683071"/>
    <w:rsid w:val="006831AC"/>
    <w:rsid w:val="006831B0"/>
    <w:rsid w:val="0068397C"/>
    <w:rsid w:val="006839AC"/>
    <w:rsid w:val="0068404B"/>
    <w:rsid w:val="00684741"/>
    <w:rsid w:val="00684CF8"/>
    <w:rsid w:val="00684E31"/>
    <w:rsid w:val="00685AAE"/>
    <w:rsid w:val="006860BA"/>
    <w:rsid w:val="0068648B"/>
    <w:rsid w:val="00686508"/>
    <w:rsid w:val="006867B4"/>
    <w:rsid w:val="006869A0"/>
    <w:rsid w:val="00686DBA"/>
    <w:rsid w:val="00687078"/>
    <w:rsid w:val="0068724F"/>
    <w:rsid w:val="0068736B"/>
    <w:rsid w:val="00687666"/>
    <w:rsid w:val="00687D88"/>
    <w:rsid w:val="00687E28"/>
    <w:rsid w:val="00690894"/>
    <w:rsid w:val="00691E18"/>
    <w:rsid w:val="00691EE5"/>
    <w:rsid w:val="006920C2"/>
    <w:rsid w:val="00693156"/>
    <w:rsid w:val="00693502"/>
    <w:rsid w:val="00693610"/>
    <w:rsid w:val="0069406F"/>
    <w:rsid w:val="006945C9"/>
    <w:rsid w:val="00694F05"/>
    <w:rsid w:val="0069522D"/>
    <w:rsid w:val="00696796"/>
    <w:rsid w:val="006969B3"/>
    <w:rsid w:val="006969E0"/>
    <w:rsid w:val="00696BA8"/>
    <w:rsid w:val="00696FCF"/>
    <w:rsid w:val="00697368"/>
    <w:rsid w:val="006A00FA"/>
    <w:rsid w:val="006A0D48"/>
    <w:rsid w:val="006A11E5"/>
    <w:rsid w:val="006A1365"/>
    <w:rsid w:val="006A146A"/>
    <w:rsid w:val="006A1A17"/>
    <w:rsid w:val="006A1DEF"/>
    <w:rsid w:val="006A2105"/>
    <w:rsid w:val="006A22A5"/>
    <w:rsid w:val="006A2342"/>
    <w:rsid w:val="006A25F9"/>
    <w:rsid w:val="006A2874"/>
    <w:rsid w:val="006A2B72"/>
    <w:rsid w:val="006A2D8E"/>
    <w:rsid w:val="006A31FD"/>
    <w:rsid w:val="006A382A"/>
    <w:rsid w:val="006A3B3A"/>
    <w:rsid w:val="006A3C85"/>
    <w:rsid w:val="006A3D57"/>
    <w:rsid w:val="006A4410"/>
    <w:rsid w:val="006A4A9B"/>
    <w:rsid w:val="006A4D3C"/>
    <w:rsid w:val="006A5419"/>
    <w:rsid w:val="006A5720"/>
    <w:rsid w:val="006A5B4D"/>
    <w:rsid w:val="006A5E64"/>
    <w:rsid w:val="006A6446"/>
    <w:rsid w:val="006A65C2"/>
    <w:rsid w:val="006A6FE0"/>
    <w:rsid w:val="006A7069"/>
    <w:rsid w:val="006A786B"/>
    <w:rsid w:val="006A79F9"/>
    <w:rsid w:val="006B011C"/>
    <w:rsid w:val="006B0381"/>
    <w:rsid w:val="006B03FD"/>
    <w:rsid w:val="006B0683"/>
    <w:rsid w:val="006B068C"/>
    <w:rsid w:val="006B080A"/>
    <w:rsid w:val="006B1149"/>
    <w:rsid w:val="006B22B2"/>
    <w:rsid w:val="006B2FBC"/>
    <w:rsid w:val="006B3090"/>
    <w:rsid w:val="006B3277"/>
    <w:rsid w:val="006B3389"/>
    <w:rsid w:val="006B34F2"/>
    <w:rsid w:val="006B3812"/>
    <w:rsid w:val="006B3990"/>
    <w:rsid w:val="006B3E9F"/>
    <w:rsid w:val="006B4A5F"/>
    <w:rsid w:val="006B4E84"/>
    <w:rsid w:val="006B6034"/>
    <w:rsid w:val="006B6497"/>
    <w:rsid w:val="006B64D4"/>
    <w:rsid w:val="006B6685"/>
    <w:rsid w:val="006B6DF0"/>
    <w:rsid w:val="006B794F"/>
    <w:rsid w:val="006B7F60"/>
    <w:rsid w:val="006C1435"/>
    <w:rsid w:val="006C16DF"/>
    <w:rsid w:val="006C1CCF"/>
    <w:rsid w:val="006C251F"/>
    <w:rsid w:val="006C283B"/>
    <w:rsid w:val="006C3174"/>
    <w:rsid w:val="006C31BF"/>
    <w:rsid w:val="006C33EE"/>
    <w:rsid w:val="006C34C6"/>
    <w:rsid w:val="006C361F"/>
    <w:rsid w:val="006C36D5"/>
    <w:rsid w:val="006C392A"/>
    <w:rsid w:val="006C3E84"/>
    <w:rsid w:val="006C416F"/>
    <w:rsid w:val="006C48F4"/>
    <w:rsid w:val="006C4A0A"/>
    <w:rsid w:val="006C4AF4"/>
    <w:rsid w:val="006C4B34"/>
    <w:rsid w:val="006C4C82"/>
    <w:rsid w:val="006C4CB3"/>
    <w:rsid w:val="006C4F72"/>
    <w:rsid w:val="006C56B7"/>
    <w:rsid w:val="006C5761"/>
    <w:rsid w:val="006C5970"/>
    <w:rsid w:val="006C5BA6"/>
    <w:rsid w:val="006C60DC"/>
    <w:rsid w:val="006C644E"/>
    <w:rsid w:val="006C64FA"/>
    <w:rsid w:val="006C65CC"/>
    <w:rsid w:val="006C70A9"/>
    <w:rsid w:val="006C743B"/>
    <w:rsid w:val="006D004B"/>
    <w:rsid w:val="006D095B"/>
    <w:rsid w:val="006D0D60"/>
    <w:rsid w:val="006D0F92"/>
    <w:rsid w:val="006D134D"/>
    <w:rsid w:val="006D162B"/>
    <w:rsid w:val="006D1918"/>
    <w:rsid w:val="006D1F8F"/>
    <w:rsid w:val="006D21D7"/>
    <w:rsid w:val="006D2685"/>
    <w:rsid w:val="006D294C"/>
    <w:rsid w:val="006D36FF"/>
    <w:rsid w:val="006D38AB"/>
    <w:rsid w:val="006D3959"/>
    <w:rsid w:val="006D3F2F"/>
    <w:rsid w:val="006D4140"/>
    <w:rsid w:val="006D4291"/>
    <w:rsid w:val="006D4380"/>
    <w:rsid w:val="006D4E18"/>
    <w:rsid w:val="006D4F09"/>
    <w:rsid w:val="006D592A"/>
    <w:rsid w:val="006D5A70"/>
    <w:rsid w:val="006D5F4F"/>
    <w:rsid w:val="006D6703"/>
    <w:rsid w:val="006D69E5"/>
    <w:rsid w:val="006D6B57"/>
    <w:rsid w:val="006D792A"/>
    <w:rsid w:val="006D7D99"/>
    <w:rsid w:val="006E001F"/>
    <w:rsid w:val="006E0213"/>
    <w:rsid w:val="006E05FB"/>
    <w:rsid w:val="006E07F4"/>
    <w:rsid w:val="006E0A91"/>
    <w:rsid w:val="006E0B05"/>
    <w:rsid w:val="006E0EBE"/>
    <w:rsid w:val="006E1BA8"/>
    <w:rsid w:val="006E1D59"/>
    <w:rsid w:val="006E222A"/>
    <w:rsid w:val="006E24E9"/>
    <w:rsid w:val="006E2660"/>
    <w:rsid w:val="006E29C1"/>
    <w:rsid w:val="006E2B02"/>
    <w:rsid w:val="006E3011"/>
    <w:rsid w:val="006E3536"/>
    <w:rsid w:val="006E41EA"/>
    <w:rsid w:val="006E4E6C"/>
    <w:rsid w:val="006E50D8"/>
    <w:rsid w:val="006E5D18"/>
    <w:rsid w:val="006E5E41"/>
    <w:rsid w:val="006E5FF1"/>
    <w:rsid w:val="006E620B"/>
    <w:rsid w:val="006E65E6"/>
    <w:rsid w:val="006E6789"/>
    <w:rsid w:val="006E679D"/>
    <w:rsid w:val="006E6B31"/>
    <w:rsid w:val="006E716D"/>
    <w:rsid w:val="006E7651"/>
    <w:rsid w:val="006E7F25"/>
    <w:rsid w:val="006F038C"/>
    <w:rsid w:val="006F08F9"/>
    <w:rsid w:val="006F0F20"/>
    <w:rsid w:val="006F15E4"/>
    <w:rsid w:val="006F22D0"/>
    <w:rsid w:val="006F27F3"/>
    <w:rsid w:val="006F2948"/>
    <w:rsid w:val="006F3511"/>
    <w:rsid w:val="006F392A"/>
    <w:rsid w:val="006F3EA2"/>
    <w:rsid w:val="006F4D22"/>
    <w:rsid w:val="006F5285"/>
    <w:rsid w:val="006F544A"/>
    <w:rsid w:val="006F54BE"/>
    <w:rsid w:val="006F5622"/>
    <w:rsid w:val="006F57EC"/>
    <w:rsid w:val="006F58E0"/>
    <w:rsid w:val="006F59BB"/>
    <w:rsid w:val="006F5A3D"/>
    <w:rsid w:val="006F5BD6"/>
    <w:rsid w:val="006F5F25"/>
    <w:rsid w:val="006F737E"/>
    <w:rsid w:val="006F7614"/>
    <w:rsid w:val="006F7C9F"/>
    <w:rsid w:val="00700567"/>
    <w:rsid w:val="007009DB"/>
    <w:rsid w:val="00700D29"/>
    <w:rsid w:val="00700EDA"/>
    <w:rsid w:val="00700F01"/>
    <w:rsid w:val="00700F97"/>
    <w:rsid w:val="00701100"/>
    <w:rsid w:val="0070129A"/>
    <w:rsid w:val="00701731"/>
    <w:rsid w:val="00701AA8"/>
    <w:rsid w:val="00701DAF"/>
    <w:rsid w:val="007022AF"/>
    <w:rsid w:val="00702416"/>
    <w:rsid w:val="0070345F"/>
    <w:rsid w:val="0070371D"/>
    <w:rsid w:val="00703864"/>
    <w:rsid w:val="00703C77"/>
    <w:rsid w:val="00704167"/>
    <w:rsid w:val="00704809"/>
    <w:rsid w:val="00704F81"/>
    <w:rsid w:val="00704FB0"/>
    <w:rsid w:val="00705E56"/>
    <w:rsid w:val="007060EC"/>
    <w:rsid w:val="0070753C"/>
    <w:rsid w:val="007075DA"/>
    <w:rsid w:val="00707916"/>
    <w:rsid w:val="0071034E"/>
    <w:rsid w:val="00710EE4"/>
    <w:rsid w:val="007112E4"/>
    <w:rsid w:val="007113A2"/>
    <w:rsid w:val="0071151C"/>
    <w:rsid w:val="00711C27"/>
    <w:rsid w:val="00711E68"/>
    <w:rsid w:val="0071220B"/>
    <w:rsid w:val="007128F6"/>
    <w:rsid w:val="00713D6B"/>
    <w:rsid w:val="00714034"/>
    <w:rsid w:val="0071407D"/>
    <w:rsid w:val="00714488"/>
    <w:rsid w:val="007144DE"/>
    <w:rsid w:val="00714687"/>
    <w:rsid w:val="00714A0A"/>
    <w:rsid w:val="0071518A"/>
    <w:rsid w:val="007157C7"/>
    <w:rsid w:val="007158C6"/>
    <w:rsid w:val="00715A6A"/>
    <w:rsid w:val="00715BAB"/>
    <w:rsid w:val="00715BAF"/>
    <w:rsid w:val="007160C1"/>
    <w:rsid w:val="0071653D"/>
    <w:rsid w:val="007167EB"/>
    <w:rsid w:val="007168BF"/>
    <w:rsid w:val="00716A23"/>
    <w:rsid w:val="007172C0"/>
    <w:rsid w:val="00717896"/>
    <w:rsid w:val="00717D44"/>
    <w:rsid w:val="00720380"/>
    <w:rsid w:val="00720391"/>
    <w:rsid w:val="00720507"/>
    <w:rsid w:val="007205F7"/>
    <w:rsid w:val="00720D58"/>
    <w:rsid w:val="00720E08"/>
    <w:rsid w:val="0072124F"/>
    <w:rsid w:val="0072152B"/>
    <w:rsid w:val="007215EF"/>
    <w:rsid w:val="00721B94"/>
    <w:rsid w:val="007220DF"/>
    <w:rsid w:val="00722412"/>
    <w:rsid w:val="00723028"/>
    <w:rsid w:val="007232FB"/>
    <w:rsid w:val="00723A07"/>
    <w:rsid w:val="00723ED8"/>
    <w:rsid w:val="007247A9"/>
    <w:rsid w:val="00724D4A"/>
    <w:rsid w:val="0072501E"/>
    <w:rsid w:val="007253CB"/>
    <w:rsid w:val="00725612"/>
    <w:rsid w:val="00725EDD"/>
    <w:rsid w:val="00725F01"/>
    <w:rsid w:val="0072609E"/>
    <w:rsid w:val="00726378"/>
    <w:rsid w:val="00726611"/>
    <w:rsid w:val="0072680E"/>
    <w:rsid w:val="00726B87"/>
    <w:rsid w:val="00726F1D"/>
    <w:rsid w:val="00727415"/>
    <w:rsid w:val="00727F6B"/>
    <w:rsid w:val="007301C9"/>
    <w:rsid w:val="007314E2"/>
    <w:rsid w:val="007316BD"/>
    <w:rsid w:val="0073178B"/>
    <w:rsid w:val="00732CD2"/>
    <w:rsid w:val="00733C54"/>
    <w:rsid w:val="00733E6B"/>
    <w:rsid w:val="007342F9"/>
    <w:rsid w:val="007343A2"/>
    <w:rsid w:val="00734581"/>
    <w:rsid w:val="00734770"/>
    <w:rsid w:val="0073478B"/>
    <w:rsid w:val="00734A44"/>
    <w:rsid w:val="00734D6C"/>
    <w:rsid w:val="00734FCE"/>
    <w:rsid w:val="00735233"/>
    <w:rsid w:val="007360AD"/>
    <w:rsid w:val="00736771"/>
    <w:rsid w:val="007368B8"/>
    <w:rsid w:val="00736E10"/>
    <w:rsid w:val="00736E9C"/>
    <w:rsid w:val="00736F37"/>
    <w:rsid w:val="007373F6"/>
    <w:rsid w:val="007379AF"/>
    <w:rsid w:val="007405AE"/>
    <w:rsid w:val="00740804"/>
    <w:rsid w:val="00740DA2"/>
    <w:rsid w:val="00740EBB"/>
    <w:rsid w:val="00740F2A"/>
    <w:rsid w:val="00741440"/>
    <w:rsid w:val="0074175F"/>
    <w:rsid w:val="007417D5"/>
    <w:rsid w:val="00741B6B"/>
    <w:rsid w:val="00742F0D"/>
    <w:rsid w:val="00742FFA"/>
    <w:rsid w:val="00743548"/>
    <w:rsid w:val="00743696"/>
    <w:rsid w:val="00743D65"/>
    <w:rsid w:val="00743F0E"/>
    <w:rsid w:val="00743F81"/>
    <w:rsid w:val="00744120"/>
    <w:rsid w:val="007444AC"/>
    <w:rsid w:val="00744C35"/>
    <w:rsid w:val="007458E1"/>
    <w:rsid w:val="00746594"/>
    <w:rsid w:val="00746FE5"/>
    <w:rsid w:val="00747277"/>
    <w:rsid w:val="00747623"/>
    <w:rsid w:val="0074771A"/>
    <w:rsid w:val="00747BCB"/>
    <w:rsid w:val="00747E44"/>
    <w:rsid w:val="00747E5D"/>
    <w:rsid w:val="00747EBB"/>
    <w:rsid w:val="007500C0"/>
    <w:rsid w:val="007509AF"/>
    <w:rsid w:val="00750A1E"/>
    <w:rsid w:val="00750F1B"/>
    <w:rsid w:val="007518E1"/>
    <w:rsid w:val="0075199E"/>
    <w:rsid w:val="00751C59"/>
    <w:rsid w:val="007531B3"/>
    <w:rsid w:val="007532A0"/>
    <w:rsid w:val="00753406"/>
    <w:rsid w:val="00753509"/>
    <w:rsid w:val="007536A3"/>
    <w:rsid w:val="0075386F"/>
    <w:rsid w:val="007543FF"/>
    <w:rsid w:val="00754683"/>
    <w:rsid w:val="007546B2"/>
    <w:rsid w:val="00754A92"/>
    <w:rsid w:val="00754E21"/>
    <w:rsid w:val="0075520D"/>
    <w:rsid w:val="00755263"/>
    <w:rsid w:val="007554E5"/>
    <w:rsid w:val="00756980"/>
    <w:rsid w:val="00756CCB"/>
    <w:rsid w:val="00757586"/>
    <w:rsid w:val="0075770C"/>
    <w:rsid w:val="00757FA1"/>
    <w:rsid w:val="00760005"/>
    <w:rsid w:val="00760304"/>
    <w:rsid w:val="00760B13"/>
    <w:rsid w:val="00760E1B"/>
    <w:rsid w:val="00761302"/>
    <w:rsid w:val="00762EA8"/>
    <w:rsid w:val="00762F13"/>
    <w:rsid w:val="00762F69"/>
    <w:rsid w:val="007634A8"/>
    <w:rsid w:val="0076363B"/>
    <w:rsid w:val="00763737"/>
    <w:rsid w:val="007637D5"/>
    <w:rsid w:val="007643DF"/>
    <w:rsid w:val="00764751"/>
    <w:rsid w:val="00764FE1"/>
    <w:rsid w:val="00765ABF"/>
    <w:rsid w:val="00766294"/>
    <w:rsid w:val="0076689D"/>
    <w:rsid w:val="007669DE"/>
    <w:rsid w:val="00766CC4"/>
    <w:rsid w:val="00767EAE"/>
    <w:rsid w:val="00767ED8"/>
    <w:rsid w:val="00767F36"/>
    <w:rsid w:val="007705FB"/>
    <w:rsid w:val="007708BA"/>
    <w:rsid w:val="00770CBE"/>
    <w:rsid w:val="00770DB0"/>
    <w:rsid w:val="00770FD0"/>
    <w:rsid w:val="00771110"/>
    <w:rsid w:val="007715F2"/>
    <w:rsid w:val="00771C89"/>
    <w:rsid w:val="0077208C"/>
    <w:rsid w:val="00772804"/>
    <w:rsid w:val="007734C4"/>
    <w:rsid w:val="00774405"/>
    <w:rsid w:val="007748AB"/>
    <w:rsid w:val="00774A45"/>
    <w:rsid w:val="00774A5C"/>
    <w:rsid w:val="00775165"/>
    <w:rsid w:val="0077521E"/>
    <w:rsid w:val="0077566D"/>
    <w:rsid w:val="007764DB"/>
    <w:rsid w:val="00776715"/>
    <w:rsid w:val="00776807"/>
    <w:rsid w:val="00776E25"/>
    <w:rsid w:val="0077758E"/>
    <w:rsid w:val="0077769E"/>
    <w:rsid w:val="00777A67"/>
    <w:rsid w:val="00777F18"/>
    <w:rsid w:val="007800C8"/>
    <w:rsid w:val="00780AA5"/>
    <w:rsid w:val="00780C24"/>
    <w:rsid w:val="00780DD2"/>
    <w:rsid w:val="00781027"/>
    <w:rsid w:val="00781086"/>
    <w:rsid w:val="007816C7"/>
    <w:rsid w:val="00781931"/>
    <w:rsid w:val="00782451"/>
    <w:rsid w:val="00782577"/>
    <w:rsid w:val="00782614"/>
    <w:rsid w:val="00783076"/>
    <w:rsid w:val="007830D4"/>
    <w:rsid w:val="007830E5"/>
    <w:rsid w:val="007830ED"/>
    <w:rsid w:val="00783263"/>
    <w:rsid w:val="007832C3"/>
    <w:rsid w:val="00783706"/>
    <w:rsid w:val="00783BAE"/>
    <w:rsid w:val="00783CA1"/>
    <w:rsid w:val="0078497D"/>
    <w:rsid w:val="00784D96"/>
    <w:rsid w:val="0078533C"/>
    <w:rsid w:val="007856E8"/>
    <w:rsid w:val="00785973"/>
    <w:rsid w:val="00786016"/>
    <w:rsid w:val="007860D3"/>
    <w:rsid w:val="00787483"/>
    <w:rsid w:val="00787AC4"/>
    <w:rsid w:val="00787CE5"/>
    <w:rsid w:val="0079035D"/>
    <w:rsid w:val="00790E4E"/>
    <w:rsid w:val="00791108"/>
    <w:rsid w:val="0079128C"/>
    <w:rsid w:val="00791702"/>
    <w:rsid w:val="00791822"/>
    <w:rsid w:val="0079185D"/>
    <w:rsid w:val="00791EAC"/>
    <w:rsid w:val="007928EC"/>
    <w:rsid w:val="00792A63"/>
    <w:rsid w:val="00792A9A"/>
    <w:rsid w:val="00792C6C"/>
    <w:rsid w:val="00792D9D"/>
    <w:rsid w:val="00792E34"/>
    <w:rsid w:val="00792E94"/>
    <w:rsid w:val="00792F61"/>
    <w:rsid w:val="007940B2"/>
    <w:rsid w:val="00794486"/>
    <w:rsid w:val="00794A8C"/>
    <w:rsid w:val="00794BCD"/>
    <w:rsid w:val="00795E97"/>
    <w:rsid w:val="00795F27"/>
    <w:rsid w:val="0079707B"/>
    <w:rsid w:val="007971F7"/>
    <w:rsid w:val="00797595"/>
    <w:rsid w:val="00797A51"/>
    <w:rsid w:val="00797CDD"/>
    <w:rsid w:val="007A0136"/>
    <w:rsid w:val="007A0363"/>
    <w:rsid w:val="007A131E"/>
    <w:rsid w:val="007A144C"/>
    <w:rsid w:val="007A1608"/>
    <w:rsid w:val="007A19B2"/>
    <w:rsid w:val="007A2035"/>
    <w:rsid w:val="007A203B"/>
    <w:rsid w:val="007A20B1"/>
    <w:rsid w:val="007A2224"/>
    <w:rsid w:val="007A34E2"/>
    <w:rsid w:val="007A36DD"/>
    <w:rsid w:val="007A40FE"/>
    <w:rsid w:val="007A4A5F"/>
    <w:rsid w:val="007A4AC3"/>
    <w:rsid w:val="007A4F84"/>
    <w:rsid w:val="007A55BA"/>
    <w:rsid w:val="007A61E3"/>
    <w:rsid w:val="007A61F8"/>
    <w:rsid w:val="007A6C84"/>
    <w:rsid w:val="007A6DF8"/>
    <w:rsid w:val="007A7074"/>
    <w:rsid w:val="007A7236"/>
    <w:rsid w:val="007A7863"/>
    <w:rsid w:val="007A7F7F"/>
    <w:rsid w:val="007B01BA"/>
    <w:rsid w:val="007B0323"/>
    <w:rsid w:val="007B23EA"/>
    <w:rsid w:val="007B24E3"/>
    <w:rsid w:val="007B27AB"/>
    <w:rsid w:val="007B2820"/>
    <w:rsid w:val="007B2CBB"/>
    <w:rsid w:val="007B2F21"/>
    <w:rsid w:val="007B36D3"/>
    <w:rsid w:val="007B39BD"/>
    <w:rsid w:val="007B3B0B"/>
    <w:rsid w:val="007B3F6D"/>
    <w:rsid w:val="007B4194"/>
    <w:rsid w:val="007B42AB"/>
    <w:rsid w:val="007B47FE"/>
    <w:rsid w:val="007B6378"/>
    <w:rsid w:val="007B686F"/>
    <w:rsid w:val="007B69F4"/>
    <w:rsid w:val="007B6A50"/>
    <w:rsid w:val="007B6AB8"/>
    <w:rsid w:val="007B6D88"/>
    <w:rsid w:val="007B7356"/>
    <w:rsid w:val="007B75DE"/>
    <w:rsid w:val="007B764B"/>
    <w:rsid w:val="007B79FC"/>
    <w:rsid w:val="007B7FC9"/>
    <w:rsid w:val="007C01BA"/>
    <w:rsid w:val="007C01F9"/>
    <w:rsid w:val="007C03B9"/>
    <w:rsid w:val="007C197A"/>
    <w:rsid w:val="007C1F42"/>
    <w:rsid w:val="007C24A7"/>
    <w:rsid w:val="007C26A6"/>
    <w:rsid w:val="007C3475"/>
    <w:rsid w:val="007C374E"/>
    <w:rsid w:val="007C37D2"/>
    <w:rsid w:val="007C3ABA"/>
    <w:rsid w:val="007C475F"/>
    <w:rsid w:val="007C4864"/>
    <w:rsid w:val="007C4B4B"/>
    <w:rsid w:val="007C510E"/>
    <w:rsid w:val="007C549D"/>
    <w:rsid w:val="007C5CFF"/>
    <w:rsid w:val="007C61D5"/>
    <w:rsid w:val="007C66BE"/>
    <w:rsid w:val="007C6713"/>
    <w:rsid w:val="007C6F42"/>
    <w:rsid w:val="007C724A"/>
    <w:rsid w:val="007C7B24"/>
    <w:rsid w:val="007D03CE"/>
    <w:rsid w:val="007D07B2"/>
    <w:rsid w:val="007D0E27"/>
    <w:rsid w:val="007D1165"/>
    <w:rsid w:val="007D1569"/>
    <w:rsid w:val="007D1BB8"/>
    <w:rsid w:val="007D1D4D"/>
    <w:rsid w:val="007D25EB"/>
    <w:rsid w:val="007D2893"/>
    <w:rsid w:val="007D3084"/>
    <w:rsid w:val="007D33CA"/>
    <w:rsid w:val="007D3D46"/>
    <w:rsid w:val="007D4E4E"/>
    <w:rsid w:val="007D4EAA"/>
    <w:rsid w:val="007D5774"/>
    <w:rsid w:val="007D57AE"/>
    <w:rsid w:val="007D5EB9"/>
    <w:rsid w:val="007D65C3"/>
    <w:rsid w:val="007D6722"/>
    <w:rsid w:val="007D67F1"/>
    <w:rsid w:val="007D693F"/>
    <w:rsid w:val="007D694D"/>
    <w:rsid w:val="007D6A19"/>
    <w:rsid w:val="007D7573"/>
    <w:rsid w:val="007D79DF"/>
    <w:rsid w:val="007D7CA5"/>
    <w:rsid w:val="007E0E36"/>
    <w:rsid w:val="007E117E"/>
    <w:rsid w:val="007E18C8"/>
    <w:rsid w:val="007E1A38"/>
    <w:rsid w:val="007E1F40"/>
    <w:rsid w:val="007E2143"/>
    <w:rsid w:val="007E2921"/>
    <w:rsid w:val="007E34CC"/>
    <w:rsid w:val="007E381D"/>
    <w:rsid w:val="007E3BBF"/>
    <w:rsid w:val="007E497C"/>
    <w:rsid w:val="007E4B5A"/>
    <w:rsid w:val="007E5732"/>
    <w:rsid w:val="007E72A9"/>
    <w:rsid w:val="007F02E0"/>
    <w:rsid w:val="007F041E"/>
    <w:rsid w:val="007F0635"/>
    <w:rsid w:val="007F183B"/>
    <w:rsid w:val="007F1BFC"/>
    <w:rsid w:val="007F21CB"/>
    <w:rsid w:val="007F2713"/>
    <w:rsid w:val="007F287D"/>
    <w:rsid w:val="007F295E"/>
    <w:rsid w:val="007F32FB"/>
    <w:rsid w:val="007F3B62"/>
    <w:rsid w:val="007F3BD1"/>
    <w:rsid w:val="007F5275"/>
    <w:rsid w:val="007F56FF"/>
    <w:rsid w:val="007F59C3"/>
    <w:rsid w:val="007F5FCA"/>
    <w:rsid w:val="007F620D"/>
    <w:rsid w:val="007F68DF"/>
    <w:rsid w:val="007F6954"/>
    <w:rsid w:val="007F6A3B"/>
    <w:rsid w:val="007F6BCA"/>
    <w:rsid w:val="007F6C14"/>
    <w:rsid w:val="007F7383"/>
    <w:rsid w:val="007F7A92"/>
    <w:rsid w:val="007F7C2E"/>
    <w:rsid w:val="007F7CBA"/>
    <w:rsid w:val="007F7FB2"/>
    <w:rsid w:val="00800D55"/>
    <w:rsid w:val="00801387"/>
    <w:rsid w:val="008017BC"/>
    <w:rsid w:val="00801AB0"/>
    <w:rsid w:val="00802316"/>
    <w:rsid w:val="0080269E"/>
    <w:rsid w:val="008028DC"/>
    <w:rsid w:val="00802A0F"/>
    <w:rsid w:val="00802D61"/>
    <w:rsid w:val="00802D9E"/>
    <w:rsid w:val="008030B5"/>
    <w:rsid w:val="0080322B"/>
    <w:rsid w:val="008035AF"/>
    <w:rsid w:val="008035C3"/>
    <w:rsid w:val="00803F26"/>
    <w:rsid w:val="00803F5D"/>
    <w:rsid w:val="00803FE8"/>
    <w:rsid w:val="00804223"/>
    <w:rsid w:val="0080441B"/>
    <w:rsid w:val="00804953"/>
    <w:rsid w:val="00804B8B"/>
    <w:rsid w:val="0080513C"/>
    <w:rsid w:val="0080571D"/>
    <w:rsid w:val="0080584E"/>
    <w:rsid w:val="00805878"/>
    <w:rsid w:val="00805B3C"/>
    <w:rsid w:val="00805FA8"/>
    <w:rsid w:val="008061DE"/>
    <w:rsid w:val="008067AB"/>
    <w:rsid w:val="00806B94"/>
    <w:rsid w:val="00806F63"/>
    <w:rsid w:val="00806F6C"/>
    <w:rsid w:val="008075D7"/>
    <w:rsid w:val="00807F06"/>
    <w:rsid w:val="0081034F"/>
    <w:rsid w:val="00810C62"/>
    <w:rsid w:val="00811102"/>
    <w:rsid w:val="00811196"/>
    <w:rsid w:val="00811471"/>
    <w:rsid w:val="0081240C"/>
    <w:rsid w:val="0081287B"/>
    <w:rsid w:val="00812C50"/>
    <w:rsid w:val="008131E8"/>
    <w:rsid w:val="0081398D"/>
    <w:rsid w:val="00813D44"/>
    <w:rsid w:val="0081459F"/>
    <w:rsid w:val="008146A5"/>
    <w:rsid w:val="0081499E"/>
    <w:rsid w:val="00814C73"/>
    <w:rsid w:val="00814EB7"/>
    <w:rsid w:val="00815144"/>
    <w:rsid w:val="0081533C"/>
    <w:rsid w:val="008157D6"/>
    <w:rsid w:val="00815BBA"/>
    <w:rsid w:val="008160DB"/>
    <w:rsid w:val="008161D7"/>
    <w:rsid w:val="008164D6"/>
    <w:rsid w:val="00816532"/>
    <w:rsid w:val="00816EA4"/>
    <w:rsid w:val="00817139"/>
    <w:rsid w:val="0082034A"/>
    <w:rsid w:val="00820661"/>
    <w:rsid w:val="00820692"/>
    <w:rsid w:val="00820A43"/>
    <w:rsid w:val="00821218"/>
    <w:rsid w:val="00821682"/>
    <w:rsid w:val="0082180B"/>
    <w:rsid w:val="0082180C"/>
    <w:rsid w:val="00821F51"/>
    <w:rsid w:val="00822398"/>
    <w:rsid w:val="00822470"/>
    <w:rsid w:val="008224D8"/>
    <w:rsid w:val="008225BE"/>
    <w:rsid w:val="00822AAE"/>
    <w:rsid w:val="00822BB3"/>
    <w:rsid w:val="00822D6F"/>
    <w:rsid w:val="00823200"/>
    <w:rsid w:val="0082324E"/>
    <w:rsid w:val="00823345"/>
    <w:rsid w:val="00823676"/>
    <w:rsid w:val="00823D6F"/>
    <w:rsid w:val="00823DA9"/>
    <w:rsid w:val="0082437F"/>
    <w:rsid w:val="00824CD7"/>
    <w:rsid w:val="00825136"/>
    <w:rsid w:val="00825301"/>
    <w:rsid w:val="0082548D"/>
    <w:rsid w:val="00825735"/>
    <w:rsid w:val="00825DD8"/>
    <w:rsid w:val="00826B51"/>
    <w:rsid w:val="00827663"/>
    <w:rsid w:val="00827BEF"/>
    <w:rsid w:val="008303CE"/>
    <w:rsid w:val="0083059A"/>
    <w:rsid w:val="008308BE"/>
    <w:rsid w:val="00830DB1"/>
    <w:rsid w:val="00830ED0"/>
    <w:rsid w:val="00831739"/>
    <w:rsid w:val="00832CFD"/>
    <w:rsid w:val="0083335E"/>
    <w:rsid w:val="008333BD"/>
    <w:rsid w:val="008334CE"/>
    <w:rsid w:val="00833F9A"/>
    <w:rsid w:val="00834255"/>
    <w:rsid w:val="0083428E"/>
    <w:rsid w:val="0083478F"/>
    <w:rsid w:val="008348DB"/>
    <w:rsid w:val="00834B75"/>
    <w:rsid w:val="00834D39"/>
    <w:rsid w:val="00835693"/>
    <w:rsid w:val="008357F5"/>
    <w:rsid w:val="00835A7D"/>
    <w:rsid w:val="00835ACD"/>
    <w:rsid w:val="00835C27"/>
    <w:rsid w:val="00835F2C"/>
    <w:rsid w:val="00836262"/>
    <w:rsid w:val="0083662E"/>
    <w:rsid w:val="00836E3A"/>
    <w:rsid w:val="00837210"/>
    <w:rsid w:val="0083736F"/>
    <w:rsid w:val="008378DB"/>
    <w:rsid w:val="00837958"/>
    <w:rsid w:val="00837A5B"/>
    <w:rsid w:val="00840951"/>
    <w:rsid w:val="00840C80"/>
    <w:rsid w:val="00841768"/>
    <w:rsid w:val="00841B14"/>
    <w:rsid w:val="0084238D"/>
    <w:rsid w:val="008423EB"/>
    <w:rsid w:val="008424D0"/>
    <w:rsid w:val="008427A7"/>
    <w:rsid w:val="00842CDB"/>
    <w:rsid w:val="00842CFF"/>
    <w:rsid w:val="00842F62"/>
    <w:rsid w:val="008431C8"/>
    <w:rsid w:val="00843518"/>
    <w:rsid w:val="008435E4"/>
    <w:rsid w:val="00843A12"/>
    <w:rsid w:val="008440F2"/>
    <w:rsid w:val="00844F96"/>
    <w:rsid w:val="0084521B"/>
    <w:rsid w:val="00845606"/>
    <w:rsid w:val="00845B62"/>
    <w:rsid w:val="00845BBF"/>
    <w:rsid w:val="00845C4A"/>
    <w:rsid w:val="00845D98"/>
    <w:rsid w:val="0084606F"/>
    <w:rsid w:val="008465A0"/>
    <w:rsid w:val="00846BA3"/>
    <w:rsid w:val="00846F3A"/>
    <w:rsid w:val="00847290"/>
    <w:rsid w:val="008472B8"/>
    <w:rsid w:val="00847564"/>
    <w:rsid w:val="008476BA"/>
    <w:rsid w:val="00847AA9"/>
    <w:rsid w:val="00850174"/>
    <w:rsid w:val="0085063C"/>
    <w:rsid w:val="0085106C"/>
    <w:rsid w:val="00851628"/>
    <w:rsid w:val="00851661"/>
    <w:rsid w:val="00851C8F"/>
    <w:rsid w:val="00852206"/>
    <w:rsid w:val="008523EC"/>
    <w:rsid w:val="008527B2"/>
    <w:rsid w:val="008528AF"/>
    <w:rsid w:val="008529A2"/>
    <w:rsid w:val="00852E68"/>
    <w:rsid w:val="00853AAF"/>
    <w:rsid w:val="0085439B"/>
    <w:rsid w:val="00854654"/>
    <w:rsid w:val="00854C93"/>
    <w:rsid w:val="0085512A"/>
    <w:rsid w:val="008556A9"/>
    <w:rsid w:val="0085593D"/>
    <w:rsid w:val="0085627E"/>
    <w:rsid w:val="00856DF3"/>
    <w:rsid w:val="008579B4"/>
    <w:rsid w:val="00857EA9"/>
    <w:rsid w:val="00860FA9"/>
    <w:rsid w:val="008618BD"/>
    <w:rsid w:val="00861A60"/>
    <w:rsid w:val="00861F04"/>
    <w:rsid w:val="00862180"/>
    <w:rsid w:val="00862551"/>
    <w:rsid w:val="008625A0"/>
    <w:rsid w:val="0086267C"/>
    <w:rsid w:val="00862761"/>
    <w:rsid w:val="00862BE8"/>
    <w:rsid w:val="00863765"/>
    <w:rsid w:val="008637AE"/>
    <w:rsid w:val="00863820"/>
    <w:rsid w:val="00863BBD"/>
    <w:rsid w:val="0086414E"/>
    <w:rsid w:val="008645F0"/>
    <w:rsid w:val="00864639"/>
    <w:rsid w:val="00864982"/>
    <w:rsid w:val="00865456"/>
    <w:rsid w:val="008657C3"/>
    <w:rsid w:val="008659C9"/>
    <w:rsid w:val="00865A1A"/>
    <w:rsid w:val="00865EA7"/>
    <w:rsid w:val="00866395"/>
    <w:rsid w:val="00866E88"/>
    <w:rsid w:val="00866F03"/>
    <w:rsid w:val="00867202"/>
    <w:rsid w:val="008677D7"/>
    <w:rsid w:val="008679BE"/>
    <w:rsid w:val="008703F9"/>
    <w:rsid w:val="00871A6C"/>
    <w:rsid w:val="00872648"/>
    <w:rsid w:val="00872A6F"/>
    <w:rsid w:val="00872B04"/>
    <w:rsid w:val="00872CC2"/>
    <w:rsid w:val="00873305"/>
    <w:rsid w:val="008739D8"/>
    <w:rsid w:val="00873CE5"/>
    <w:rsid w:val="00873D83"/>
    <w:rsid w:val="008742F7"/>
    <w:rsid w:val="00874816"/>
    <w:rsid w:val="0087496A"/>
    <w:rsid w:val="00874B38"/>
    <w:rsid w:val="00874DF2"/>
    <w:rsid w:val="00874E50"/>
    <w:rsid w:val="00874F6B"/>
    <w:rsid w:val="00875187"/>
    <w:rsid w:val="00875928"/>
    <w:rsid w:val="00875BB1"/>
    <w:rsid w:val="00875CCB"/>
    <w:rsid w:val="00875D99"/>
    <w:rsid w:val="00876343"/>
    <w:rsid w:val="008764BD"/>
    <w:rsid w:val="00876A82"/>
    <w:rsid w:val="00877F1B"/>
    <w:rsid w:val="008803AA"/>
    <w:rsid w:val="0088062D"/>
    <w:rsid w:val="00880B24"/>
    <w:rsid w:val="0088179E"/>
    <w:rsid w:val="00882031"/>
    <w:rsid w:val="008828E8"/>
    <w:rsid w:val="00882AC4"/>
    <w:rsid w:val="00882D9E"/>
    <w:rsid w:val="008833F3"/>
    <w:rsid w:val="008837D1"/>
    <w:rsid w:val="00883A3B"/>
    <w:rsid w:val="00883A72"/>
    <w:rsid w:val="00883B52"/>
    <w:rsid w:val="0088428E"/>
    <w:rsid w:val="008843FA"/>
    <w:rsid w:val="00884520"/>
    <w:rsid w:val="008847AE"/>
    <w:rsid w:val="00884E9C"/>
    <w:rsid w:val="00885189"/>
    <w:rsid w:val="00885635"/>
    <w:rsid w:val="00885E5F"/>
    <w:rsid w:val="00886078"/>
    <w:rsid w:val="00886291"/>
    <w:rsid w:val="00886311"/>
    <w:rsid w:val="00886350"/>
    <w:rsid w:val="00886FF7"/>
    <w:rsid w:val="008876A0"/>
    <w:rsid w:val="00887935"/>
    <w:rsid w:val="008900D9"/>
    <w:rsid w:val="008901A2"/>
    <w:rsid w:val="008902DA"/>
    <w:rsid w:val="008912BB"/>
    <w:rsid w:val="008914C8"/>
    <w:rsid w:val="008916B4"/>
    <w:rsid w:val="00891882"/>
    <w:rsid w:val="00891AC7"/>
    <w:rsid w:val="00891FCD"/>
    <w:rsid w:val="008921F2"/>
    <w:rsid w:val="00892286"/>
    <w:rsid w:val="0089232C"/>
    <w:rsid w:val="008925AB"/>
    <w:rsid w:val="008926C1"/>
    <w:rsid w:val="00892B6D"/>
    <w:rsid w:val="00892EC1"/>
    <w:rsid w:val="008937CE"/>
    <w:rsid w:val="0089435C"/>
    <w:rsid w:val="00894451"/>
    <w:rsid w:val="008944A0"/>
    <w:rsid w:val="00894ABC"/>
    <w:rsid w:val="00895414"/>
    <w:rsid w:val="008959AA"/>
    <w:rsid w:val="00895FEB"/>
    <w:rsid w:val="0089603D"/>
    <w:rsid w:val="00896140"/>
    <w:rsid w:val="0089666C"/>
    <w:rsid w:val="00896A27"/>
    <w:rsid w:val="00896C90"/>
    <w:rsid w:val="00896EA4"/>
    <w:rsid w:val="00897163"/>
    <w:rsid w:val="008971DE"/>
    <w:rsid w:val="00897793"/>
    <w:rsid w:val="00897C27"/>
    <w:rsid w:val="00897D05"/>
    <w:rsid w:val="00897F04"/>
    <w:rsid w:val="008A07C9"/>
    <w:rsid w:val="008A0913"/>
    <w:rsid w:val="008A0EF3"/>
    <w:rsid w:val="008A1632"/>
    <w:rsid w:val="008A217A"/>
    <w:rsid w:val="008A2F99"/>
    <w:rsid w:val="008A3413"/>
    <w:rsid w:val="008A3AFC"/>
    <w:rsid w:val="008A4EC9"/>
    <w:rsid w:val="008A4FD6"/>
    <w:rsid w:val="008A54B9"/>
    <w:rsid w:val="008A571C"/>
    <w:rsid w:val="008A590E"/>
    <w:rsid w:val="008A59BD"/>
    <w:rsid w:val="008A5FD0"/>
    <w:rsid w:val="008A6082"/>
    <w:rsid w:val="008A691A"/>
    <w:rsid w:val="008A6F83"/>
    <w:rsid w:val="008A72C4"/>
    <w:rsid w:val="008A7FB3"/>
    <w:rsid w:val="008B0417"/>
    <w:rsid w:val="008B05C3"/>
    <w:rsid w:val="008B0BE7"/>
    <w:rsid w:val="008B0C08"/>
    <w:rsid w:val="008B129C"/>
    <w:rsid w:val="008B15B6"/>
    <w:rsid w:val="008B1707"/>
    <w:rsid w:val="008B1AEF"/>
    <w:rsid w:val="008B2186"/>
    <w:rsid w:val="008B2488"/>
    <w:rsid w:val="008B3C39"/>
    <w:rsid w:val="008B4196"/>
    <w:rsid w:val="008B4965"/>
    <w:rsid w:val="008B49E8"/>
    <w:rsid w:val="008B4B97"/>
    <w:rsid w:val="008B587F"/>
    <w:rsid w:val="008B5F3C"/>
    <w:rsid w:val="008B6B1E"/>
    <w:rsid w:val="008B6EEA"/>
    <w:rsid w:val="008B765E"/>
    <w:rsid w:val="008B78B1"/>
    <w:rsid w:val="008C034F"/>
    <w:rsid w:val="008C083D"/>
    <w:rsid w:val="008C0ABD"/>
    <w:rsid w:val="008C14D8"/>
    <w:rsid w:val="008C1AEE"/>
    <w:rsid w:val="008C1C12"/>
    <w:rsid w:val="008C1CCF"/>
    <w:rsid w:val="008C1CE5"/>
    <w:rsid w:val="008C1F34"/>
    <w:rsid w:val="008C21A1"/>
    <w:rsid w:val="008C22F2"/>
    <w:rsid w:val="008C2EDB"/>
    <w:rsid w:val="008C3022"/>
    <w:rsid w:val="008C329A"/>
    <w:rsid w:val="008C3502"/>
    <w:rsid w:val="008C3508"/>
    <w:rsid w:val="008C37D8"/>
    <w:rsid w:val="008C45F8"/>
    <w:rsid w:val="008C49C7"/>
    <w:rsid w:val="008C5490"/>
    <w:rsid w:val="008C5FDE"/>
    <w:rsid w:val="008C632B"/>
    <w:rsid w:val="008C7181"/>
    <w:rsid w:val="008C757B"/>
    <w:rsid w:val="008C7EB3"/>
    <w:rsid w:val="008C7F33"/>
    <w:rsid w:val="008D00FB"/>
    <w:rsid w:val="008D0219"/>
    <w:rsid w:val="008D030B"/>
    <w:rsid w:val="008D0C37"/>
    <w:rsid w:val="008D19FD"/>
    <w:rsid w:val="008D1ABD"/>
    <w:rsid w:val="008D1F08"/>
    <w:rsid w:val="008D24A2"/>
    <w:rsid w:val="008D30D0"/>
    <w:rsid w:val="008D3113"/>
    <w:rsid w:val="008D329C"/>
    <w:rsid w:val="008D3A0D"/>
    <w:rsid w:val="008D3B88"/>
    <w:rsid w:val="008D3EAF"/>
    <w:rsid w:val="008D41DF"/>
    <w:rsid w:val="008D4D84"/>
    <w:rsid w:val="008D67C1"/>
    <w:rsid w:val="008D6D2D"/>
    <w:rsid w:val="008D71A8"/>
    <w:rsid w:val="008D72FC"/>
    <w:rsid w:val="008D7698"/>
    <w:rsid w:val="008D7854"/>
    <w:rsid w:val="008D7866"/>
    <w:rsid w:val="008D7A25"/>
    <w:rsid w:val="008D7D89"/>
    <w:rsid w:val="008E08B0"/>
    <w:rsid w:val="008E0F8C"/>
    <w:rsid w:val="008E1827"/>
    <w:rsid w:val="008E1A4D"/>
    <w:rsid w:val="008E1C1F"/>
    <w:rsid w:val="008E25D6"/>
    <w:rsid w:val="008E2C19"/>
    <w:rsid w:val="008E321E"/>
    <w:rsid w:val="008E328A"/>
    <w:rsid w:val="008E3437"/>
    <w:rsid w:val="008E3740"/>
    <w:rsid w:val="008E3D3C"/>
    <w:rsid w:val="008E468C"/>
    <w:rsid w:val="008E4796"/>
    <w:rsid w:val="008E4B86"/>
    <w:rsid w:val="008E4B91"/>
    <w:rsid w:val="008E5037"/>
    <w:rsid w:val="008E513B"/>
    <w:rsid w:val="008E54B4"/>
    <w:rsid w:val="008E5885"/>
    <w:rsid w:val="008E59F4"/>
    <w:rsid w:val="008E6016"/>
    <w:rsid w:val="008E60CA"/>
    <w:rsid w:val="008E6203"/>
    <w:rsid w:val="008E6D0D"/>
    <w:rsid w:val="008E7BD4"/>
    <w:rsid w:val="008F0910"/>
    <w:rsid w:val="008F0A95"/>
    <w:rsid w:val="008F113C"/>
    <w:rsid w:val="008F11F2"/>
    <w:rsid w:val="008F14E0"/>
    <w:rsid w:val="008F1B44"/>
    <w:rsid w:val="008F22F4"/>
    <w:rsid w:val="008F406D"/>
    <w:rsid w:val="008F4989"/>
    <w:rsid w:val="008F4A20"/>
    <w:rsid w:val="008F4B3D"/>
    <w:rsid w:val="008F4DA4"/>
    <w:rsid w:val="008F50D5"/>
    <w:rsid w:val="008F567D"/>
    <w:rsid w:val="008F59FA"/>
    <w:rsid w:val="008F6047"/>
    <w:rsid w:val="008F6884"/>
    <w:rsid w:val="008F69EB"/>
    <w:rsid w:val="008F6F1A"/>
    <w:rsid w:val="008F72D8"/>
    <w:rsid w:val="008F77B1"/>
    <w:rsid w:val="008F7897"/>
    <w:rsid w:val="008F7905"/>
    <w:rsid w:val="008F7DBA"/>
    <w:rsid w:val="008F7DFB"/>
    <w:rsid w:val="00900EAB"/>
    <w:rsid w:val="00900F8B"/>
    <w:rsid w:val="009011F7"/>
    <w:rsid w:val="0090137A"/>
    <w:rsid w:val="009017C1"/>
    <w:rsid w:val="00901A4E"/>
    <w:rsid w:val="00901B73"/>
    <w:rsid w:val="00901B77"/>
    <w:rsid w:val="00901CB1"/>
    <w:rsid w:val="00901FC7"/>
    <w:rsid w:val="0090211C"/>
    <w:rsid w:val="009028DC"/>
    <w:rsid w:val="00903130"/>
    <w:rsid w:val="00903370"/>
    <w:rsid w:val="009040FE"/>
    <w:rsid w:val="00904597"/>
    <w:rsid w:val="00904898"/>
    <w:rsid w:val="00904CC4"/>
    <w:rsid w:val="00904D16"/>
    <w:rsid w:val="0090537E"/>
    <w:rsid w:val="00905738"/>
    <w:rsid w:val="009061AE"/>
    <w:rsid w:val="0090655C"/>
    <w:rsid w:val="00906710"/>
    <w:rsid w:val="009067B0"/>
    <w:rsid w:val="00906B52"/>
    <w:rsid w:val="0090735B"/>
    <w:rsid w:val="0090768A"/>
    <w:rsid w:val="00907967"/>
    <w:rsid w:val="00907E07"/>
    <w:rsid w:val="00907E66"/>
    <w:rsid w:val="00910579"/>
    <w:rsid w:val="0091063F"/>
    <w:rsid w:val="00910A8F"/>
    <w:rsid w:val="00910D7B"/>
    <w:rsid w:val="0091120B"/>
    <w:rsid w:val="009113C3"/>
    <w:rsid w:val="00911514"/>
    <w:rsid w:val="009115C7"/>
    <w:rsid w:val="00911AE7"/>
    <w:rsid w:val="00911C05"/>
    <w:rsid w:val="0091278E"/>
    <w:rsid w:val="00912BC3"/>
    <w:rsid w:val="0091349A"/>
    <w:rsid w:val="00913690"/>
    <w:rsid w:val="0091438E"/>
    <w:rsid w:val="00914399"/>
    <w:rsid w:val="0091440C"/>
    <w:rsid w:val="00914456"/>
    <w:rsid w:val="00914FC8"/>
    <w:rsid w:val="0091530C"/>
    <w:rsid w:val="0091548D"/>
    <w:rsid w:val="0091581B"/>
    <w:rsid w:val="009158BF"/>
    <w:rsid w:val="00915936"/>
    <w:rsid w:val="009159C3"/>
    <w:rsid w:val="00915A9E"/>
    <w:rsid w:val="00915E1B"/>
    <w:rsid w:val="00915FEC"/>
    <w:rsid w:val="00916508"/>
    <w:rsid w:val="00916511"/>
    <w:rsid w:val="00917A6A"/>
    <w:rsid w:val="00917B87"/>
    <w:rsid w:val="0092093B"/>
    <w:rsid w:val="0092097C"/>
    <w:rsid w:val="00920A8A"/>
    <w:rsid w:val="0092120B"/>
    <w:rsid w:val="0092167F"/>
    <w:rsid w:val="00921888"/>
    <w:rsid w:val="0092280F"/>
    <w:rsid w:val="00922C1D"/>
    <w:rsid w:val="00922DF2"/>
    <w:rsid w:val="00922F4E"/>
    <w:rsid w:val="00922F6F"/>
    <w:rsid w:val="0092355B"/>
    <w:rsid w:val="00923B09"/>
    <w:rsid w:val="00923EA8"/>
    <w:rsid w:val="00923EDD"/>
    <w:rsid w:val="009240BE"/>
    <w:rsid w:val="009251E1"/>
    <w:rsid w:val="0092568D"/>
    <w:rsid w:val="0092698E"/>
    <w:rsid w:val="0092782F"/>
    <w:rsid w:val="00927D80"/>
    <w:rsid w:val="00930576"/>
    <w:rsid w:val="009310A2"/>
    <w:rsid w:val="009313F5"/>
    <w:rsid w:val="0093166E"/>
    <w:rsid w:val="00932510"/>
    <w:rsid w:val="00932630"/>
    <w:rsid w:val="00932776"/>
    <w:rsid w:val="00932B98"/>
    <w:rsid w:val="00933069"/>
    <w:rsid w:val="0093367D"/>
    <w:rsid w:val="00933DA9"/>
    <w:rsid w:val="00933E08"/>
    <w:rsid w:val="00933F54"/>
    <w:rsid w:val="009342FC"/>
    <w:rsid w:val="009345FF"/>
    <w:rsid w:val="009348A8"/>
    <w:rsid w:val="0093495D"/>
    <w:rsid w:val="00934DA7"/>
    <w:rsid w:val="009351E2"/>
    <w:rsid w:val="00935490"/>
    <w:rsid w:val="0093587C"/>
    <w:rsid w:val="00935975"/>
    <w:rsid w:val="00935AAE"/>
    <w:rsid w:val="00936068"/>
    <w:rsid w:val="00936BF2"/>
    <w:rsid w:val="00936D4F"/>
    <w:rsid w:val="00936F1A"/>
    <w:rsid w:val="00937A68"/>
    <w:rsid w:val="00937AA4"/>
    <w:rsid w:val="009400C4"/>
    <w:rsid w:val="00940480"/>
    <w:rsid w:val="0094049C"/>
    <w:rsid w:val="009406EE"/>
    <w:rsid w:val="00940818"/>
    <w:rsid w:val="0094102B"/>
    <w:rsid w:val="009416E0"/>
    <w:rsid w:val="00941744"/>
    <w:rsid w:val="009426C4"/>
    <w:rsid w:val="00943626"/>
    <w:rsid w:val="00943806"/>
    <w:rsid w:val="00943FCA"/>
    <w:rsid w:val="00944202"/>
    <w:rsid w:val="0094447E"/>
    <w:rsid w:val="00944B07"/>
    <w:rsid w:val="00944BCE"/>
    <w:rsid w:val="00945380"/>
    <w:rsid w:val="009456B4"/>
    <w:rsid w:val="00945CD4"/>
    <w:rsid w:val="00946351"/>
    <w:rsid w:val="00947010"/>
    <w:rsid w:val="0094712F"/>
    <w:rsid w:val="00947697"/>
    <w:rsid w:val="0094769A"/>
    <w:rsid w:val="00947A70"/>
    <w:rsid w:val="00947C38"/>
    <w:rsid w:val="00947C7E"/>
    <w:rsid w:val="009501CA"/>
    <w:rsid w:val="0095031C"/>
    <w:rsid w:val="00950F27"/>
    <w:rsid w:val="00950FAD"/>
    <w:rsid w:val="00951507"/>
    <w:rsid w:val="009517CC"/>
    <w:rsid w:val="00951EDA"/>
    <w:rsid w:val="00952276"/>
    <w:rsid w:val="00952CAF"/>
    <w:rsid w:val="00952E55"/>
    <w:rsid w:val="00952EB0"/>
    <w:rsid w:val="009531AF"/>
    <w:rsid w:val="0095367F"/>
    <w:rsid w:val="00953759"/>
    <w:rsid w:val="009538FC"/>
    <w:rsid w:val="00953CA3"/>
    <w:rsid w:val="00953D1F"/>
    <w:rsid w:val="009545C5"/>
    <w:rsid w:val="00954BA0"/>
    <w:rsid w:val="00954F15"/>
    <w:rsid w:val="00955231"/>
    <w:rsid w:val="00955239"/>
    <w:rsid w:val="00955951"/>
    <w:rsid w:val="00955F14"/>
    <w:rsid w:val="0095659C"/>
    <w:rsid w:val="0095672C"/>
    <w:rsid w:val="00956DAB"/>
    <w:rsid w:val="00956E53"/>
    <w:rsid w:val="00957311"/>
    <w:rsid w:val="0095751A"/>
    <w:rsid w:val="00960428"/>
    <w:rsid w:val="009605DA"/>
    <w:rsid w:val="00960BD1"/>
    <w:rsid w:val="00960EA3"/>
    <w:rsid w:val="009611B3"/>
    <w:rsid w:val="009615D4"/>
    <w:rsid w:val="00961670"/>
    <w:rsid w:val="00961A17"/>
    <w:rsid w:val="00961A2F"/>
    <w:rsid w:val="009620D8"/>
    <w:rsid w:val="0096245E"/>
    <w:rsid w:val="00962515"/>
    <w:rsid w:val="00962620"/>
    <w:rsid w:val="009626CC"/>
    <w:rsid w:val="009627A4"/>
    <w:rsid w:val="00962905"/>
    <w:rsid w:val="00962A4D"/>
    <w:rsid w:val="00963288"/>
    <w:rsid w:val="009637BE"/>
    <w:rsid w:val="00964083"/>
    <w:rsid w:val="009644B7"/>
    <w:rsid w:val="0096469B"/>
    <w:rsid w:val="00964931"/>
    <w:rsid w:val="00964B4A"/>
    <w:rsid w:val="00965CDF"/>
    <w:rsid w:val="00965D47"/>
    <w:rsid w:val="00966217"/>
    <w:rsid w:val="009663C4"/>
    <w:rsid w:val="009664E7"/>
    <w:rsid w:val="00966539"/>
    <w:rsid w:val="009666CF"/>
    <w:rsid w:val="0096702F"/>
    <w:rsid w:val="0096716D"/>
    <w:rsid w:val="009678B9"/>
    <w:rsid w:val="009678FD"/>
    <w:rsid w:val="00967E28"/>
    <w:rsid w:val="00970194"/>
    <w:rsid w:val="009701DE"/>
    <w:rsid w:val="009701E5"/>
    <w:rsid w:val="009707D0"/>
    <w:rsid w:val="00970A20"/>
    <w:rsid w:val="00970CBE"/>
    <w:rsid w:val="0097157B"/>
    <w:rsid w:val="0097163D"/>
    <w:rsid w:val="00971E00"/>
    <w:rsid w:val="009721F8"/>
    <w:rsid w:val="009723FD"/>
    <w:rsid w:val="009724B4"/>
    <w:rsid w:val="00972F4D"/>
    <w:rsid w:val="009736BD"/>
    <w:rsid w:val="00974253"/>
    <w:rsid w:val="00974677"/>
    <w:rsid w:val="00974BC3"/>
    <w:rsid w:val="00974CD4"/>
    <w:rsid w:val="00975DCF"/>
    <w:rsid w:val="00976023"/>
    <w:rsid w:val="00976D5C"/>
    <w:rsid w:val="009779A1"/>
    <w:rsid w:val="00977B8E"/>
    <w:rsid w:val="0098020C"/>
    <w:rsid w:val="009802AD"/>
    <w:rsid w:val="00980461"/>
    <w:rsid w:val="0098058D"/>
    <w:rsid w:val="00980A42"/>
    <w:rsid w:val="009813CB"/>
    <w:rsid w:val="009813FF"/>
    <w:rsid w:val="00981431"/>
    <w:rsid w:val="00981730"/>
    <w:rsid w:val="0098193D"/>
    <w:rsid w:val="00981CDA"/>
    <w:rsid w:val="00981EA3"/>
    <w:rsid w:val="00982596"/>
    <w:rsid w:val="0098322E"/>
    <w:rsid w:val="00983A77"/>
    <w:rsid w:val="00983EC0"/>
    <w:rsid w:val="00983FF8"/>
    <w:rsid w:val="0098436C"/>
    <w:rsid w:val="00984441"/>
    <w:rsid w:val="00984587"/>
    <w:rsid w:val="00984607"/>
    <w:rsid w:val="00984643"/>
    <w:rsid w:val="00984A28"/>
    <w:rsid w:val="00984BA3"/>
    <w:rsid w:val="00985088"/>
    <w:rsid w:val="009851FC"/>
    <w:rsid w:val="00985248"/>
    <w:rsid w:val="009861B0"/>
    <w:rsid w:val="009864AF"/>
    <w:rsid w:val="009864C1"/>
    <w:rsid w:val="00986531"/>
    <w:rsid w:val="00986595"/>
    <w:rsid w:val="00986E58"/>
    <w:rsid w:val="00987424"/>
    <w:rsid w:val="0098784C"/>
    <w:rsid w:val="00987E8D"/>
    <w:rsid w:val="009901F4"/>
    <w:rsid w:val="00990404"/>
    <w:rsid w:val="00990C4B"/>
    <w:rsid w:val="00991111"/>
    <w:rsid w:val="00991519"/>
    <w:rsid w:val="0099162E"/>
    <w:rsid w:val="0099172E"/>
    <w:rsid w:val="00991795"/>
    <w:rsid w:val="00991FDF"/>
    <w:rsid w:val="00992184"/>
    <w:rsid w:val="00992534"/>
    <w:rsid w:val="0099397A"/>
    <w:rsid w:val="00993C97"/>
    <w:rsid w:val="00993E12"/>
    <w:rsid w:val="00994933"/>
    <w:rsid w:val="009949E2"/>
    <w:rsid w:val="00994C5A"/>
    <w:rsid w:val="00995DAD"/>
    <w:rsid w:val="00995F9D"/>
    <w:rsid w:val="0099647A"/>
    <w:rsid w:val="009969C3"/>
    <w:rsid w:val="009A04F2"/>
    <w:rsid w:val="009A0DF1"/>
    <w:rsid w:val="009A0E9D"/>
    <w:rsid w:val="009A108C"/>
    <w:rsid w:val="009A1B58"/>
    <w:rsid w:val="009A1D81"/>
    <w:rsid w:val="009A1F7E"/>
    <w:rsid w:val="009A2353"/>
    <w:rsid w:val="009A24E9"/>
    <w:rsid w:val="009A28B1"/>
    <w:rsid w:val="009A2E84"/>
    <w:rsid w:val="009A2F17"/>
    <w:rsid w:val="009A36E2"/>
    <w:rsid w:val="009A3AEB"/>
    <w:rsid w:val="009A3C2B"/>
    <w:rsid w:val="009A43D4"/>
    <w:rsid w:val="009A495A"/>
    <w:rsid w:val="009A4B39"/>
    <w:rsid w:val="009A4D8C"/>
    <w:rsid w:val="009A5230"/>
    <w:rsid w:val="009A591C"/>
    <w:rsid w:val="009A613E"/>
    <w:rsid w:val="009A6278"/>
    <w:rsid w:val="009A6352"/>
    <w:rsid w:val="009A7E77"/>
    <w:rsid w:val="009B0547"/>
    <w:rsid w:val="009B0839"/>
    <w:rsid w:val="009B0D05"/>
    <w:rsid w:val="009B0F75"/>
    <w:rsid w:val="009B11A4"/>
    <w:rsid w:val="009B1420"/>
    <w:rsid w:val="009B17DF"/>
    <w:rsid w:val="009B27E8"/>
    <w:rsid w:val="009B2840"/>
    <w:rsid w:val="009B2A54"/>
    <w:rsid w:val="009B2DA1"/>
    <w:rsid w:val="009B2DEB"/>
    <w:rsid w:val="009B36E1"/>
    <w:rsid w:val="009B3D8B"/>
    <w:rsid w:val="009B3E28"/>
    <w:rsid w:val="009B3FD3"/>
    <w:rsid w:val="009B4DDA"/>
    <w:rsid w:val="009B4E04"/>
    <w:rsid w:val="009B523E"/>
    <w:rsid w:val="009B57DC"/>
    <w:rsid w:val="009B5A21"/>
    <w:rsid w:val="009B6748"/>
    <w:rsid w:val="009B690C"/>
    <w:rsid w:val="009B759D"/>
    <w:rsid w:val="009B7E80"/>
    <w:rsid w:val="009B7FC6"/>
    <w:rsid w:val="009C054F"/>
    <w:rsid w:val="009C08ED"/>
    <w:rsid w:val="009C098B"/>
    <w:rsid w:val="009C0AAF"/>
    <w:rsid w:val="009C0DB2"/>
    <w:rsid w:val="009C1605"/>
    <w:rsid w:val="009C183A"/>
    <w:rsid w:val="009C2015"/>
    <w:rsid w:val="009C20E8"/>
    <w:rsid w:val="009C2554"/>
    <w:rsid w:val="009C2645"/>
    <w:rsid w:val="009C27F1"/>
    <w:rsid w:val="009C36C6"/>
    <w:rsid w:val="009C3848"/>
    <w:rsid w:val="009C39FC"/>
    <w:rsid w:val="009C3BC9"/>
    <w:rsid w:val="009C3D38"/>
    <w:rsid w:val="009C45ED"/>
    <w:rsid w:val="009C480A"/>
    <w:rsid w:val="009C4B27"/>
    <w:rsid w:val="009C6075"/>
    <w:rsid w:val="009C6582"/>
    <w:rsid w:val="009C65D2"/>
    <w:rsid w:val="009C66E2"/>
    <w:rsid w:val="009C6C7B"/>
    <w:rsid w:val="009C711F"/>
    <w:rsid w:val="009C76A5"/>
    <w:rsid w:val="009C7B32"/>
    <w:rsid w:val="009C7BDC"/>
    <w:rsid w:val="009D0252"/>
    <w:rsid w:val="009D09C4"/>
    <w:rsid w:val="009D1E4B"/>
    <w:rsid w:val="009D24F5"/>
    <w:rsid w:val="009D2639"/>
    <w:rsid w:val="009D2E5C"/>
    <w:rsid w:val="009D3338"/>
    <w:rsid w:val="009D3584"/>
    <w:rsid w:val="009D3A52"/>
    <w:rsid w:val="009D3AA4"/>
    <w:rsid w:val="009D3FF6"/>
    <w:rsid w:val="009D4354"/>
    <w:rsid w:val="009D4484"/>
    <w:rsid w:val="009D4E21"/>
    <w:rsid w:val="009D4E73"/>
    <w:rsid w:val="009D52B0"/>
    <w:rsid w:val="009D54E9"/>
    <w:rsid w:val="009D59A9"/>
    <w:rsid w:val="009D5EC3"/>
    <w:rsid w:val="009D6B90"/>
    <w:rsid w:val="009D6C30"/>
    <w:rsid w:val="009D6C7D"/>
    <w:rsid w:val="009D6D38"/>
    <w:rsid w:val="009D7073"/>
    <w:rsid w:val="009D7218"/>
    <w:rsid w:val="009D735A"/>
    <w:rsid w:val="009D7387"/>
    <w:rsid w:val="009D7563"/>
    <w:rsid w:val="009D7EA6"/>
    <w:rsid w:val="009E06FE"/>
    <w:rsid w:val="009E1440"/>
    <w:rsid w:val="009E1724"/>
    <w:rsid w:val="009E19A3"/>
    <w:rsid w:val="009E231E"/>
    <w:rsid w:val="009E2393"/>
    <w:rsid w:val="009E24EB"/>
    <w:rsid w:val="009E28DA"/>
    <w:rsid w:val="009E28EA"/>
    <w:rsid w:val="009E2BF5"/>
    <w:rsid w:val="009E2DB0"/>
    <w:rsid w:val="009E337E"/>
    <w:rsid w:val="009E3416"/>
    <w:rsid w:val="009E3847"/>
    <w:rsid w:val="009E394C"/>
    <w:rsid w:val="009E3C3D"/>
    <w:rsid w:val="009E3CA7"/>
    <w:rsid w:val="009E4B7C"/>
    <w:rsid w:val="009E4DC0"/>
    <w:rsid w:val="009E5238"/>
    <w:rsid w:val="009E5C47"/>
    <w:rsid w:val="009E61A8"/>
    <w:rsid w:val="009E6388"/>
    <w:rsid w:val="009E6F5E"/>
    <w:rsid w:val="009E7551"/>
    <w:rsid w:val="009F01A1"/>
    <w:rsid w:val="009F0CE6"/>
    <w:rsid w:val="009F0DFA"/>
    <w:rsid w:val="009F0FF0"/>
    <w:rsid w:val="009F139D"/>
    <w:rsid w:val="009F1646"/>
    <w:rsid w:val="009F1F4A"/>
    <w:rsid w:val="009F254B"/>
    <w:rsid w:val="009F2C49"/>
    <w:rsid w:val="009F2E02"/>
    <w:rsid w:val="009F3183"/>
    <w:rsid w:val="009F3718"/>
    <w:rsid w:val="009F396F"/>
    <w:rsid w:val="009F4711"/>
    <w:rsid w:val="009F49BD"/>
    <w:rsid w:val="009F51BD"/>
    <w:rsid w:val="009F60D6"/>
    <w:rsid w:val="009F6373"/>
    <w:rsid w:val="009F6CB3"/>
    <w:rsid w:val="009F6E6E"/>
    <w:rsid w:val="009F6FC0"/>
    <w:rsid w:val="009F7855"/>
    <w:rsid w:val="009F798A"/>
    <w:rsid w:val="009F7B9E"/>
    <w:rsid w:val="00A00662"/>
    <w:rsid w:val="00A00E8D"/>
    <w:rsid w:val="00A017BA"/>
    <w:rsid w:val="00A0190C"/>
    <w:rsid w:val="00A01CA7"/>
    <w:rsid w:val="00A01FFC"/>
    <w:rsid w:val="00A02E1B"/>
    <w:rsid w:val="00A02EBD"/>
    <w:rsid w:val="00A02ED7"/>
    <w:rsid w:val="00A03291"/>
    <w:rsid w:val="00A033AC"/>
    <w:rsid w:val="00A03567"/>
    <w:rsid w:val="00A03605"/>
    <w:rsid w:val="00A03E01"/>
    <w:rsid w:val="00A040CD"/>
    <w:rsid w:val="00A04B4C"/>
    <w:rsid w:val="00A04C8F"/>
    <w:rsid w:val="00A059AB"/>
    <w:rsid w:val="00A06608"/>
    <w:rsid w:val="00A0670F"/>
    <w:rsid w:val="00A06A08"/>
    <w:rsid w:val="00A06A96"/>
    <w:rsid w:val="00A06BE7"/>
    <w:rsid w:val="00A06F2D"/>
    <w:rsid w:val="00A06FD1"/>
    <w:rsid w:val="00A06FE5"/>
    <w:rsid w:val="00A07335"/>
    <w:rsid w:val="00A07521"/>
    <w:rsid w:val="00A0757A"/>
    <w:rsid w:val="00A078AC"/>
    <w:rsid w:val="00A079B0"/>
    <w:rsid w:val="00A10D7E"/>
    <w:rsid w:val="00A1100E"/>
    <w:rsid w:val="00A11E86"/>
    <w:rsid w:val="00A12324"/>
    <w:rsid w:val="00A1246C"/>
    <w:rsid w:val="00A1261F"/>
    <w:rsid w:val="00A126C9"/>
    <w:rsid w:val="00A12773"/>
    <w:rsid w:val="00A128B7"/>
    <w:rsid w:val="00A12951"/>
    <w:rsid w:val="00A12CD1"/>
    <w:rsid w:val="00A13069"/>
    <w:rsid w:val="00A13664"/>
    <w:rsid w:val="00A14317"/>
    <w:rsid w:val="00A14427"/>
    <w:rsid w:val="00A14815"/>
    <w:rsid w:val="00A148C8"/>
    <w:rsid w:val="00A14ABA"/>
    <w:rsid w:val="00A15194"/>
    <w:rsid w:val="00A1524E"/>
    <w:rsid w:val="00A160B8"/>
    <w:rsid w:val="00A163CC"/>
    <w:rsid w:val="00A16467"/>
    <w:rsid w:val="00A179C2"/>
    <w:rsid w:val="00A17B52"/>
    <w:rsid w:val="00A17E89"/>
    <w:rsid w:val="00A20465"/>
    <w:rsid w:val="00A20AB6"/>
    <w:rsid w:val="00A20C1B"/>
    <w:rsid w:val="00A20E02"/>
    <w:rsid w:val="00A2113E"/>
    <w:rsid w:val="00A21251"/>
    <w:rsid w:val="00A214AC"/>
    <w:rsid w:val="00A2158D"/>
    <w:rsid w:val="00A22011"/>
    <w:rsid w:val="00A221A8"/>
    <w:rsid w:val="00A2232E"/>
    <w:rsid w:val="00A229BF"/>
    <w:rsid w:val="00A22DE6"/>
    <w:rsid w:val="00A2363C"/>
    <w:rsid w:val="00A23666"/>
    <w:rsid w:val="00A239D4"/>
    <w:rsid w:val="00A23E77"/>
    <w:rsid w:val="00A23F1B"/>
    <w:rsid w:val="00A2448C"/>
    <w:rsid w:val="00A2456C"/>
    <w:rsid w:val="00A248AE"/>
    <w:rsid w:val="00A24C87"/>
    <w:rsid w:val="00A24F23"/>
    <w:rsid w:val="00A252AB"/>
    <w:rsid w:val="00A25344"/>
    <w:rsid w:val="00A255DC"/>
    <w:rsid w:val="00A25A40"/>
    <w:rsid w:val="00A25E54"/>
    <w:rsid w:val="00A26304"/>
    <w:rsid w:val="00A2636B"/>
    <w:rsid w:val="00A2673D"/>
    <w:rsid w:val="00A267A5"/>
    <w:rsid w:val="00A26B6B"/>
    <w:rsid w:val="00A26D1C"/>
    <w:rsid w:val="00A27072"/>
    <w:rsid w:val="00A273E5"/>
    <w:rsid w:val="00A27B36"/>
    <w:rsid w:val="00A27DAF"/>
    <w:rsid w:val="00A27DC5"/>
    <w:rsid w:val="00A30296"/>
    <w:rsid w:val="00A30DF4"/>
    <w:rsid w:val="00A311B2"/>
    <w:rsid w:val="00A312A6"/>
    <w:rsid w:val="00A3151C"/>
    <w:rsid w:val="00A3159A"/>
    <w:rsid w:val="00A31E98"/>
    <w:rsid w:val="00A320CD"/>
    <w:rsid w:val="00A32273"/>
    <w:rsid w:val="00A326E0"/>
    <w:rsid w:val="00A32747"/>
    <w:rsid w:val="00A32896"/>
    <w:rsid w:val="00A32B2C"/>
    <w:rsid w:val="00A32BE1"/>
    <w:rsid w:val="00A32E15"/>
    <w:rsid w:val="00A33900"/>
    <w:rsid w:val="00A33A52"/>
    <w:rsid w:val="00A33C4E"/>
    <w:rsid w:val="00A343C3"/>
    <w:rsid w:val="00A344BD"/>
    <w:rsid w:val="00A34B3A"/>
    <w:rsid w:val="00A34D97"/>
    <w:rsid w:val="00A35688"/>
    <w:rsid w:val="00A357C4"/>
    <w:rsid w:val="00A37327"/>
    <w:rsid w:val="00A3766C"/>
    <w:rsid w:val="00A400DA"/>
    <w:rsid w:val="00A40226"/>
    <w:rsid w:val="00A40424"/>
    <w:rsid w:val="00A407F0"/>
    <w:rsid w:val="00A4096E"/>
    <w:rsid w:val="00A40C3B"/>
    <w:rsid w:val="00A41421"/>
    <w:rsid w:val="00A416AD"/>
    <w:rsid w:val="00A41D0E"/>
    <w:rsid w:val="00A421A6"/>
    <w:rsid w:val="00A421E8"/>
    <w:rsid w:val="00A4296B"/>
    <w:rsid w:val="00A4299E"/>
    <w:rsid w:val="00A42A12"/>
    <w:rsid w:val="00A42BF7"/>
    <w:rsid w:val="00A42E60"/>
    <w:rsid w:val="00A43545"/>
    <w:rsid w:val="00A43D96"/>
    <w:rsid w:val="00A44344"/>
    <w:rsid w:val="00A452A8"/>
    <w:rsid w:val="00A454D3"/>
    <w:rsid w:val="00A454F6"/>
    <w:rsid w:val="00A45CDB"/>
    <w:rsid w:val="00A46F79"/>
    <w:rsid w:val="00A471AB"/>
    <w:rsid w:val="00A471AE"/>
    <w:rsid w:val="00A47241"/>
    <w:rsid w:val="00A474D6"/>
    <w:rsid w:val="00A47591"/>
    <w:rsid w:val="00A479CA"/>
    <w:rsid w:val="00A47DD0"/>
    <w:rsid w:val="00A50AA0"/>
    <w:rsid w:val="00A50B73"/>
    <w:rsid w:val="00A50CD9"/>
    <w:rsid w:val="00A51019"/>
    <w:rsid w:val="00A510B3"/>
    <w:rsid w:val="00A51374"/>
    <w:rsid w:val="00A51A35"/>
    <w:rsid w:val="00A51E16"/>
    <w:rsid w:val="00A51F14"/>
    <w:rsid w:val="00A528EA"/>
    <w:rsid w:val="00A52947"/>
    <w:rsid w:val="00A53097"/>
    <w:rsid w:val="00A5468F"/>
    <w:rsid w:val="00A5488F"/>
    <w:rsid w:val="00A55047"/>
    <w:rsid w:val="00A5529A"/>
    <w:rsid w:val="00A5536E"/>
    <w:rsid w:val="00A55C75"/>
    <w:rsid w:val="00A55D84"/>
    <w:rsid w:val="00A563EF"/>
    <w:rsid w:val="00A569CF"/>
    <w:rsid w:val="00A56BA0"/>
    <w:rsid w:val="00A56CE0"/>
    <w:rsid w:val="00A56CF0"/>
    <w:rsid w:val="00A56E2B"/>
    <w:rsid w:val="00A5703F"/>
    <w:rsid w:val="00A57122"/>
    <w:rsid w:val="00A57329"/>
    <w:rsid w:val="00A6009C"/>
    <w:rsid w:val="00A60694"/>
    <w:rsid w:val="00A6072B"/>
    <w:rsid w:val="00A60853"/>
    <w:rsid w:val="00A610C5"/>
    <w:rsid w:val="00A61794"/>
    <w:rsid w:val="00A62454"/>
    <w:rsid w:val="00A62FE0"/>
    <w:rsid w:val="00A6311D"/>
    <w:rsid w:val="00A63FA9"/>
    <w:rsid w:val="00A64395"/>
    <w:rsid w:val="00A64C98"/>
    <w:rsid w:val="00A657D4"/>
    <w:rsid w:val="00A65AAB"/>
    <w:rsid w:val="00A65CE3"/>
    <w:rsid w:val="00A65DCB"/>
    <w:rsid w:val="00A65F03"/>
    <w:rsid w:val="00A66878"/>
    <w:rsid w:val="00A668D5"/>
    <w:rsid w:val="00A66934"/>
    <w:rsid w:val="00A66C7A"/>
    <w:rsid w:val="00A66D0E"/>
    <w:rsid w:val="00A67727"/>
    <w:rsid w:val="00A705DB"/>
    <w:rsid w:val="00A70822"/>
    <w:rsid w:val="00A70C90"/>
    <w:rsid w:val="00A70C98"/>
    <w:rsid w:val="00A71D91"/>
    <w:rsid w:val="00A7251D"/>
    <w:rsid w:val="00A733F7"/>
    <w:rsid w:val="00A74556"/>
    <w:rsid w:val="00A74989"/>
    <w:rsid w:val="00A75719"/>
    <w:rsid w:val="00A75B97"/>
    <w:rsid w:val="00A75DCB"/>
    <w:rsid w:val="00A767D4"/>
    <w:rsid w:val="00A77DE9"/>
    <w:rsid w:val="00A80006"/>
    <w:rsid w:val="00A80F96"/>
    <w:rsid w:val="00A813AF"/>
    <w:rsid w:val="00A81568"/>
    <w:rsid w:val="00A8183A"/>
    <w:rsid w:val="00A81E25"/>
    <w:rsid w:val="00A81F77"/>
    <w:rsid w:val="00A822DE"/>
    <w:rsid w:val="00A825CA"/>
    <w:rsid w:val="00A825EE"/>
    <w:rsid w:val="00A82981"/>
    <w:rsid w:val="00A82A90"/>
    <w:rsid w:val="00A82C8E"/>
    <w:rsid w:val="00A83393"/>
    <w:rsid w:val="00A8360D"/>
    <w:rsid w:val="00A83F07"/>
    <w:rsid w:val="00A84464"/>
    <w:rsid w:val="00A845F7"/>
    <w:rsid w:val="00A8474F"/>
    <w:rsid w:val="00A8492B"/>
    <w:rsid w:val="00A84C40"/>
    <w:rsid w:val="00A84C67"/>
    <w:rsid w:val="00A85060"/>
    <w:rsid w:val="00A86051"/>
    <w:rsid w:val="00A8625F"/>
    <w:rsid w:val="00A864F0"/>
    <w:rsid w:val="00A8696E"/>
    <w:rsid w:val="00A8770B"/>
    <w:rsid w:val="00A87AB4"/>
    <w:rsid w:val="00A87C20"/>
    <w:rsid w:val="00A90151"/>
    <w:rsid w:val="00A90256"/>
    <w:rsid w:val="00A90AB9"/>
    <w:rsid w:val="00A90F75"/>
    <w:rsid w:val="00A91455"/>
    <w:rsid w:val="00A91551"/>
    <w:rsid w:val="00A916DE"/>
    <w:rsid w:val="00A91BEE"/>
    <w:rsid w:val="00A91D5A"/>
    <w:rsid w:val="00A9236C"/>
    <w:rsid w:val="00A924F5"/>
    <w:rsid w:val="00A92EDF"/>
    <w:rsid w:val="00A9359B"/>
    <w:rsid w:val="00A93CA4"/>
    <w:rsid w:val="00A93DD0"/>
    <w:rsid w:val="00A93E31"/>
    <w:rsid w:val="00A94289"/>
    <w:rsid w:val="00A94937"/>
    <w:rsid w:val="00A95285"/>
    <w:rsid w:val="00A953C5"/>
    <w:rsid w:val="00A9545C"/>
    <w:rsid w:val="00A961E9"/>
    <w:rsid w:val="00A966C5"/>
    <w:rsid w:val="00A97055"/>
    <w:rsid w:val="00A970A6"/>
    <w:rsid w:val="00A97205"/>
    <w:rsid w:val="00A976D4"/>
    <w:rsid w:val="00A9778E"/>
    <w:rsid w:val="00A977E0"/>
    <w:rsid w:val="00A97E1F"/>
    <w:rsid w:val="00AA08CA"/>
    <w:rsid w:val="00AA0AF4"/>
    <w:rsid w:val="00AA0CCB"/>
    <w:rsid w:val="00AA116D"/>
    <w:rsid w:val="00AA1506"/>
    <w:rsid w:val="00AA163B"/>
    <w:rsid w:val="00AA193A"/>
    <w:rsid w:val="00AA19E4"/>
    <w:rsid w:val="00AA1BE2"/>
    <w:rsid w:val="00AA1C3E"/>
    <w:rsid w:val="00AA1C91"/>
    <w:rsid w:val="00AA1F89"/>
    <w:rsid w:val="00AA1FA6"/>
    <w:rsid w:val="00AA25D6"/>
    <w:rsid w:val="00AA264A"/>
    <w:rsid w:val="00AA2FA5"/>
    <w:rsid w:val="00AA3569"/>
    <w:rsid w:val="00AA3CB1"/>
    <w:rsid w:val="00AA4876"/>
    <w:rsid w:val="00AA59D8"/>
    <w:rsid w:val="00AA683A"/>
    <w:rsid w:val="00AA71FD"/>
    <w:rsid w:val="00AA77FD"/>
    <w:rsid w:val="00AA79F8"/>
    <w:rsid w:val="00AA7A5F"/>
    <w:rsid w:val="00AA7F31"/>
    <w:rsid w:val="00AB0082"/>
    <w:rsid w:val="00AB059C"/>
    <w:rsid w:val="00AB08DF"/>
    <w:rsid w:val="00AB10F4"/>
    <w:rsid w:val="00AB29B3"/>
    <w:rsid w:val="00AB2BB0"/>
    <w:rsid w:val="00AB2D17"/>
    <w:rsid w:val="00AB30C6"/>
    <w:rsid w:val="00AB34AD"/>
    <w:rsid w:val="00AB3718"/>
    <w:rsid w:val="00AB3803"/>
    <w:rsid w:val="00AB39E8"/>
    <w:rsid w:val="00AB3E2C"/>
    <w:rsid w:val="00AB424F"/>
    <w:rsid w:val="00AB4549"/>
    <w:rsid w:val="00AB46CE"/>
    <w:rsid w:val="00AB46E2"/>
    <w:rsid w:val="00AB490E"/>
    <w:rsid w:val="00AB590B"/>
    <w:rsid w:val="00AB6214"/>
    <w:rsid w:val="00AB630A"/>
    <w:rsid w:val="00AB64A9"/>
    <w:rsid w:val="00AB6875"/>
    <w:rsid w:val="00AB6932"/>
    <w:rsid w:val="00AB7024"/>
    <w:rsid w:val="00AC003D"/>
    <w:rsid w:val="00AC0149"/>
    <w:rsid w:val="00AC024C"/>
    <w:rsid w:val="00AC033D"/>
    <w:rsid w:val="00AC0AC2"/>
    <w:rsid w:val="00AC0FFA"/>
    <w:rsid w:val="00AC107A"/>
    <w:rsid w:val="00AC15FA"/>
    <w:rsid w:val="00AC16CF"/>
    <w:rsid w:val="00AC178F"/>
    <w:rsid w:val="00AC1906"/>
    <w:rsid w:val="00AC1BD6"/>
    <w:rsid w:val="00AC1ED8"/>
    <w:rsid w:val="00AC2108"/>
    <w:rsid w:val="00AC251F"/>
    <w:rsid w:val="00AC3A0D"/>
    <w:rsid w:val="00AC3D55"/>
    <w:rsid w:val="00AC4389"/>
    <w:rsid w:val="00AC46BF"/>
    <w:rsid w:val="00AC4C5F"/>
    <w:rsid w:val="00AC4F7C"/>
    <w:rsid w:val="00AC587D"/>
    <w:rsid w:val="00AC5F2C"/>
    <w:rsid w:val="00AC63AD"/>
    <w:rsid w:val="00AC667D"/>
    <w:rsid w:val="00AC66B6"/>
    <w:rsid w:val="00AC6C61"/>
    <w:rsid w:val="00AC6FE9"/>
    <w:rsid w:val="00AC7142"/>
    <w:rsid w:val="00AC7605"/>
    <w:rsid w:val="00AC76C7"/>
    <w:rsid w:val="00AD0193"/>
    <w:rsid w:val="00AD01E9"/>
    <w:rsid w:val="00AD02AD"/>
    <w:rsid w:val="00AD035C"/>
    <w:rsid w:val="00AD0676"/>
    <w:rsid w:val="00AD06D4"/>
    <w:rsid w:val="00AD07E9"/>
    <w:rsid w:val="00AD0966"/>
    <w:rsid w:val="00AD096E"/>
    <w:rsid w:val="00AD0C6A"/>
    <w:rsid w:val="00AD1181"/>
    <w:rsid w:val="00AD17FA"/>
    <w:rsid w:val="00AD182E"/>
    <w:rsid w:val="00AD1A94"/>
    <w:rsid w:val="00AD1AA2"/>
    <w:rsid w:val="00AD231A"/>
    <w:rsid w:val="00AD2E17"/>
    <w:rsid w:val="00AD2E41"/>
    <w:rsid w:val="00AD2F73"/>
    <w:rsid w:val="00AD31E0"/>
    <w:rsid w:val="00AD3667"/>
    <w:rsid w:val="00AD3DD2"/>
    <w:rsid w:val="00AD3F61"/>
    <w:rsid w:val="00AD3FA6"/>
    <w:rsid w:val="00AD4227"/>
    <w:rsid w:val="00AD43FF"/>
    <w:rsid w:val="00AD44AB"/>
    <w:rsid w:val="00AD4D19"/>
    <w:rsid w:val="00AD5A2A"/>
    <w:rsid w:val="00AD61E1"/>
    <w:rsid w:val="00AD621E"/>
    <w:rsid w:val="00AD66F8"/>
    <w:rsid w:val="00AD7A30"/>
    <w:rsid w:val="00AD7AD2"/>
    <w:rsid w:val="00AD7EE5"/>
    <w:rsid w:val="00AE0027"/>
    <w:rsid w:val="00AE053F"/>
    <w:rsid w:val="00AE0893"/>
    <w:rsid w:val="00AE0F2E"/>
    <w:rsid w:val="00AE17D4"/>
    <w:rsid w:val="00AE1CB4"/>
    <w:rsid w:val="00AE2259"/>
    <w:rsid w:val="00AE234F"/>
    <w:rsid w:val="00AE3453"/>
    <w:rsid w:val="00AE355D"/>
    <w:rsid w:val="00AE3CF0"/>
    <w:rsid w:val="00AE4440"/>
    <w:rsid w:val="00AE469E"/>
    <w:rsid w:val="00AE4C72"/>
    <w:rsid w:val="00AE4CF5"/>
    <w:rsid w:val="00AE528A"/>
    <w:rsid w:val="00AE5A00"/>
    <w:rsid w:val="00AE5D36"/>
    <w:rsid w:val="00AE5E48"/>
    <w:rsid w:val="00AE641A"/>
    <w:rsid w:val="00AE69A2"/>
    <w:rsid w:val="00AE6A75"/>
    <w:rsid w:val="00AE7264"/>
    <w:rsid w:val="00AE73AE"/>
    <w:rsid w:val="00AE76DE"/>
    <w:rsid w:val="00AE771D"/>
    <w:rsid w:val="00AE7860"/>
    <w:rsid w:val="00AE7A8A"/>
    <w:rsid w:val="00AE7C9F"/>
    <w:rsid w:val="00AE7DB8"/>
    <w:rsid w:val="00AF0191"/>
    <w:rsid w:val="00AF082F"/>
    <w:rsid w:val="00AF0B35"/>
    <w:rsid w:val="00AF0C71"/>
    <w:rsid w:val="00AF0DC1"/>
    <w:rsid w:val="00AF1532"/>
    <w:rsid w:val="00AF199D"/>
    <w:rsid w:val="00AF2264"/>
    <w:rsid w:val="00AF2649"/>
    <w:rsid w:val="00AF27C4"/>
    <w:rsid w:val="00AF28A2"/>
    <w:rsid w:val="00AF2C87"/>
    <w:rsid w:val="00AF3400"/>
    <w:rsid w:val="00AF34D6"/>
    <w:rsid w:val="00AF3559"/>
    <w:rsid w:val="00AF3828"/>
    <w:rsid w:val="00AF39B2"/>
    <w:rsid w:val="00AF3BD9"/>
    <w:rsid w:val="00AF479F"/>
    <w:rsid w:val="00AF50F9"/>
    <w:rsid w:val="00AF5366"/>
    <w:rsid w:val="00AF61C8"/>
    <w:rsid w:val="00AF66D2"/>
    <w:rsid w:val="00AF70F2"/>
    <w:rsid w:val="00AF71EE"/>
    <w:rsid w:val="00AF7425"/>
    <w:rsid w:val="00AF7A1E"/>
    <w:rsid w:val="00B00404"/>
    <w:rsid w:val="00B00690"/>
    <w:rsid w:val="00B00AD6"/>
    <w:rsid w:val="00B011D3"/>
    <w:rsid w:val="00B015ED"/>
    <w:rsid w:val="00B01B2B"/>
    <w:rsid w:val="00B01D3C"/>
    <w:rsid w:val="00B029F8"/>
    <w:rsid w:val="00B02DC2"/>
    <w:rsid w:val="00B03A13"/>
    <w:rsid w:val="00B04033"/>
    <w:rsid w:val="00B0415A"/>
    <w:rsid w:val="00B04345"/>
    <w:rsid w:val="00B044BC"/>
    <w:rsid w:val="00B04CF6"/>
    <w:rsid w:val="00B051A6"/>
    <w:rsid w:val="00B06233"/>
    <w:rsid w:val="00B0625B"/>
    <w:rsid w:val="00B06531"/>
    <w:rsid w:val="00B066CD"/>
    <w:rsid w:val="00B0719E"/>
    <w:rsid w:val="00B072A7"/>
    <w:rsid w:val="00B07557"/>
    <w:rsid w:val="00B07D58"/>
    <w:rsid w:val="00B1099F"/>
    <w:rsid w:val="00B109C7"/>
    <w:rsid w:val="00B109FB"/>
    <w:rsid w:val="00B111CC"/>
    <w:rsid w:val="00B112F4"/>
    <w:rsid w:val="00B11427"/>
    <w:rsid w:val="00B116EF"/>
    <w:rsid w:val="00B118DB"/>
    <w:rsid w:val="00B119BA"/>
    <w:rsid w:val="00B11F80"/>
    <w:rsid w:val="00B1241A"/>
    <w:rsid w:val="00B126D4"/>
    <w:rsid w:val="00B12FED"/>
    <w:rsid w:val="00B135DD"/>
    <w:rsid w:val="00B137C6"/>
    <w:rsid w:val="00B1382B"/>
    <w:rsid w:val="00B14232"/>
    <w:rsid w:val="00B14488"/>
    <w:rsid w:val="00B1497A"/>
    <w:rsid w:val="00B14A49"/>
    <w:rsid w:val="00B159EA"/>
    <w:rsid w:val="00B16160"/>
    <w:rsid w:val="00B163DC"/>
    <w:rsid w:val="00B165AD"/>
    <w:rsid w:val="00B1688E"/>
    <w:rsid w:val="00B16E8E"/>
    <w:rsid w:val="00B17508"/>
    <w:rsid w:val="00B203F8"/>
    <w:rsid w:val="00B20F3B"/>
    <w:rsid w:val="00B212F5"/>
    <w:rsid w:val="00B21304"/>
    <w:rsid w:val="00B21C42"/>
    <w:rsid w:val="00B21C85"/>
    <w:rsid w:val="00B22F4F"/>
    <w:rsid w:val="00B231AD"/>
    <w:rsid w:val="00B23258"/>
    <w:rsid w:val="00B23603"/>
    <w:rsid w:val="00B236FF"/>
    <w:rsid w:val="00B23970"/>
    <w:rsid w:val="00B24ADA"/>
    <w:rsid w:val="00B24EA1"/>
    <w:rsid w:val="00B24F08"/>
    <w:rsid w:val="00B2505A"/>
    <w:rsid w:val="00B25335"/>
    <w:rsid w:val="00B2548E"/>
    <w:rsid w:val="00B25505"/>
    <w:rsid w:val="00B255FC"/>
    <w:rsid w:val="00B2600D"/>
    <w:rsid w:val="00B2787E"/>
    <w:rsid w:val="00B27DB8"/>
    <w:rsid w:val="00B27F70"/>
    <w:rsid w:val="00B302FA"/>
    <w:rsid w:val="00B315AE"/>
    <w:rsid w:val="00B31A0A"/>
    <w:rsid w:val="00B32BEE"/>
    <w:rsid w:val="00B32CA8"/>
    <w:rsid w:val="00B32CD4"/>
    <w:rsid w:val="00B32D6C"/>
    <w:rsid w:val="00B32DC6"/>
    <w:rsid w:val="00B333A4"/>
    <w:rsid w:val="00B335F9"/>
    <w:rsid w:val="00B33A03"/>
    <w:rsid w:val="00B33E54"/>
    <w:rsid w:val="00B33EBE"/>
    <w:rsid w:val="00B34048"/>
    <w:rsid w:val="00B34260"/>
    <w:rsid w:val="00B34271"/>
    <w:rsid w:val="00B342C7"/>
    <w:rsid w:val="00B34683"/>
    <w:rsid w:val="00B34755"/>
    <w:rsid w:val="00B3481D"/>
    <w:rsid w:val="00B3529A"/>
    <w:rsid w:val="00B356E8"/>
    <w:rsid w:val="00B35723"/>
    <w:rsid w:val="00B3596A"/>
    <w:rsid w:val="00B363EC"/>
    <w:rsid w:val="00B3661C"/>
    <w:rsid w:val="00B366C3"/>
    <w:rsid w:val="00B36D6C"/>
    <w:rsid w:val="00B370A7"/>
    <w:rsid w:val="00B3749D"/>
    <w:rsid w:val="00B37BC1"/>
    <w:rsid w:val="00B40497"/>
    <w:rsid w:val="00B40F12"/>
    <w:rsid w:val="00B40F14"/>
    <w:rsid w:val="00B415F0"/>
    <w:rsid w:val="00B41846"/>
    <w:rsid w:val="00B41A99"/>
    <w:rsid w:val="00B41AD9"/>
    <w:rsid w:val="00B41FD8"/>
    <w:rsid w:val="00B4245F"/>
    <w:rsid w:val="00B42D5F"/>
    <w:rsid w:val="00B4309C"/>
    <w:rsid w:val="00B4364A"/>
    <w:rsid w:val="00B4412C"/>
    <w:rsid w:val="00B441A2"/>
    <w:rsid w:val="00B443CC"/>
    <w:rsid w:val="00B44910"/>
    <w:rsid w:val="00B44F46"/>
    <w:rsid w:val="00B44F75"/>
    <w:rsid w:val="00B4549C"/>
    <w:rsid w:val="00B45821"/>
    <w:rsid w:val="00B45E07"/>
    <w:rsid w:val="00B461C1"/>
    <w:rsid w:val="00B46875"/>
    <w:rsid w:val="00B46980"/>
    <w:rsid w:val="00B46BDB"/>
    <w:rsid w:val="00B46CCC"/>
    <w:rsid w:val="00B50090"/>
    <w:rsid w:val="00B5034E"/>
    <w:rsid w:val="00B506F5"/>
    <w:rsid w:val="00B5072C"/>
    <w:rsid w:val="00B509D1"/>
    <w:rsid w:val="00B515C6"/>
    <w:rsid w:val="00B5212C"/>
    <w:rsid w:val="00B52A35"/>
    <w:rsid w:val="00B52AEE"/>
    <w:rsid w:val="00B5321F"/>
    <w:rsid w:val="00B5347C"/>
    <w:rsid w:val="00B53BEB"/>
    <w:rsid w:val="00B53F6B"/>
    <w:rsid w:val="00B54299"/>
    <w:rsid w:val="00B54B1F"/>
    <w:rsid w:val="00B54BF8"/>
    <w:rsid w:val="00B55727"/>
    <w:rsid w:val="00B55B02"/>
    <w:rsid w:val="00B565EA"/>
    <w:rsid w:val="00B56602"/>
    <w:rsid w:val="00B56803"/>
    <w:rsid w:val="00B576E6"/>
    <w:rsid w:val="00B57F54"/>
    <w:rsid w:val="00B6004C"/>
    <w:rsid w:val="00B600B2"/>
    <w:rsid w:val="00B605E9"/>
    <w:rsid w:val="00B61F94"/>
    <w:rsid w:val="00B62288"/>
    <w:rsid w:val="00B625D1"/>
    <w:rsid w:val="00B62A94"/>
    <w:rsid w:val="00B63059"/>
    <w:rsid w:val="00B63366"/>
    <w:rsid w:val="00B635AD"/>
    <w:rsid w:val="00B63E8A"/>
    <w:rsid w:val="00B63EB0"/>
    <w:rsid w:val="00B646AE"/>
    <w:rsid w:val="00B6595F"/>
    <w:rsid w:val="00B65D91"/>
    <w:rsid w:val="00B65DAA"/>
    <w:rsid w:val="00B66A60"/>
    <w:rsid w:val="00B66AAA"/>
    <w:rsid w:val="00B66B2F"/>
    <w:rsid w:val="00B66E03"/>
    <w:rsid w:val="00B670F3"/>
    <w:rsid w:val="00B67845"/>
    <w:rsid w:val="00B67931"/>
    <w:rsid w:val="00B70DA2"/>
    <w:rsid w:val="00B7137E"/>
    <w:rsid w:val="00B71C70"/>
    <w:rsid w:val="00B71EDF"/>
    <w:rsid w:val="00B720EC"/>
    <w:rsid w:val="00B7260E"/>
    <w:rsid w:val="00B72B99"/>
    <w:rsid w:val="00B72D2F"/>
    <w:rsid w:val="00B73274"/>
    <w:rsid w:val="00B733C3"/>
    <w:rsid w:val="00B734E1"/>
    <w:rsid w:val="00B73797"/>
    <w:rsid w:val="00B73AC8"/>
    <w:rsid w:val="00B7492D"/>
    <w:rsid w:val="00B74F7F"/>
    <w:rsid w:val="00B752FB"/>
    <w:rsid w:val="00B75675"/>
    <w:rsid w:val="00B759C0"/>
    <w:rsid w:val="00B75B08"/>
    <w:rsid w:val="00B761D0"/>
    <w:rsid w:val="00B76334"/>
    <w:rsid w:val="00B763C7"/>
    <w:rsid w:val="00B7663C"/>
    <w:rsid w:val="00B766C1"/>
    <w:rsid w:val="00B77E1B"/>
    <w:rsid w:val="00B8130A"/>
    <w:rsid w:val="00B818E8"/>
    <w:rsid w:val="00B81B64"/>
    <w:rsid w:val="00B81B8A"/>
    <w:rsid w:val="00B81C41"/>
    <w:rsid w:val="00B82913"/>
    <w:rsid w:val="00B82B9F"/>
    <w:rsid w:val="00B841A9"/>
    <w:rsid w:val="00B84869"/>
    <w:rsid w:val="00B8495C"/>
    <w:rsid w:val="00B84CD9"/>
    <w:rsid w:val="00B852AA"/>
    <w:rsid w:val="00B855E7"/>
    <w:rsid w:val="00B859BC"/>
    <w:rsid w:val="00B85F74"/>
    <w:rsid w:val="00B86397"/>
    <w:rsid w:val="00B86607"/>
    <w:rsid w:val="00B86781"/>
    <w:rsid w:val="00B86848"/>
    <w:rsid w:val="00B868CD"/>
    <w:rsid w:val="00B86A08"/>
    <w:rsid w:val="00B86B29"/>
    <w:rsid w:val="00B86D9F"/>
    <w:rsid w:val="00B86F3A"/>
    <w:rsid w:val="00B87859"/>
    <w:rsid w:val="00B878F5"/>
    <w:rsid w:val="00B87AC7"/>
    <w:rsid w:val="00B87BF6"/>
    <w:rsid w:val="00B900BB"/>
    <w:rsid w:val="00B90924"/>
    <w:rsid w:val="00B90ED3"/>
    <w:rsid w:val="00B91555"/>
    <w:rsid w:val="00B91D47"/>
    <w:rsid w:val="00B91F20"/>
    <w:rsid w:val="00B92167"/>
    <w:rsid w:val="00B929A8"/>
    <w:rsid w:val="00B92B5D"/>
    <w:rsid w:val="00B92CA1"/>
    <w:rsid w:val="00B93758"/>
    <w:rsid w:val="00B93BB8"/>
    <w:rsid w:val="00B93D97"/>
    <w:rsid w:val="00B947BF"/>
    <w:rsid w:val="00B94BC1"/>
    <w:rsid w:val="00B94C4E"/>
    <w:rsid w:val="00B950D4"/>
    <w:rsid w:val="00B953E2"/>
    <w:rsid w:val="00B95457"/>
    <w:rsid w:val="00B955F8"/>
    <w:rsid w:val="00B95699"/>
    <w:rsid w:val="00B957D1"/>
    <w:rsid w:val="00B95AE7"/>
    <w:rsid w:val="00B95B55"/>
    <w:rsid w:val="00B961DC"/>
    <w:rsid w:val="00B96E0F"/>
    <w:rsid w:val="00B97A50"/>
    <w:rsid w:val="00B97E0E"/>
    <w:rsid w:val="00BA0A49"/>
    <w:rsid w:val="00BA1794"/>
    <w:rsid w:val="00BA17D8"/>
    <w:rsid w:val="00BA2020"/>
    <w:rsid w:val="00BA2FEB"/>
    <w:rsid w:val="00BA3068"/>
    <w:rsid w:val="00BA3CB8"/>
    <w:rsid w:val="00BA3E2E"/>
    <w:rsid w:val="00BA3E3C"/>
    <w:rsid w:val="00BA3FD4"/>
    <w:rsid w:val="00BA5661"/>
    <w:rsid w:val="00BA58B1"/>
    <w:rsid w:val="00BA58BD"/>
    <w:rsid w:val="00BA59D7"/>
    <w:rsid w:val="00BA59DE"/>
    <w:rsid w:val="00BA5A73"/>
    <w:rsid w:val="00BA5C8B"/>
    <w:rsid w:val="00BA654B"/>
    <w:rsid w:val="00BA6AD6"/>
    <w:rsid w:val="00BA71CC"/>
    <w:rsid w:val="00BA7623"/>
    <w:rsid w:val="00BB03BD"/>
    <w:rsid w:val="00BB0565"/>
    <w:rsid w:val="00BB06D0"/>
    <w:rsid w:val="00BB0758"/>
    <w:rsid w:val="00BB0AFA"/>
    <w:rsid w:val="00BB139D"/>
    <w:rsid w:val="00BB1C2C"/>
    <w:rsid w:val="00BB1E69"/>
    <w:rsid w:val="00BB2E07"/>
    <w:rsid w:val="00BB3401"/>
    <w:rsid w:val="00BB36AF"/>
    <w:rsid w:val="00BB3A6B"/>
    <w:rsid w:val="00BB3D97"/>
    <w:rsid w:val="00BB4355"/>
    <w:rsid w:val="00BB4F59"/>
    <w:rsid w:val="00BB54B2"/>
    <w:rsid w:val="00BB561A"/>
    <w:rsid w:val="00BB5E37"/>
    <w:rsid w:val="00BB7119"/>
    <w:rsid w:val="00BB7239"/>
    <w:rsid w:val="00BB7772"/>
    <w:rsid w:val="00BB79C2"/>
    <w:rsid w:val="00BB7CF6"/>
    <w:rsid w:val="00BC00C0"/>
    <w:rsid w:val="00BC034D"/>
    <w:rsid w:val="00BC0613"/>
    <w:rsid w:val="00BC0BDD"/>
    <w:rsid w:val="00BC0CEE"/>
    <w:rsid w:val="00BC0DCE"/>
    <w:rsid w:val="00BC127C"/>
    <w:rsid w:val="00BC1BF4"/>
    <w:rsid w:val="00BC1D81"/>
    <w:rsid w:val="00BC2029"/>
    <w:rsid w:val="00BC219C"/>
    <w:rsid w:val="00BC2841"/>
    <w:rsid w:val="00BC32EB"/>
    <w:rsid w:val="00BC33CE"/>
    <w:rsid w:val="00BC35B6"/>
    <w:rsid w:val="00BC3768"/>
    <w:rsid w:val="00BC3DD9"/>
    <w:rsid w:val="00BC5170"/>
    <w:rsid w:val="00BC6096"/>
    <w:rsid w:val="00BC6606"/>
    <w:rsid w:val="00BC67F7"/>
    <w:rsid w:val="00BC68BD"/>
    <w:rsid w:val="00BC6A01"/>
    <w:rsid w:val="00BC70F3"/>
    <w:rsid w:val="00BC7579"/>
    <w:rsid w:val="00BC7937"/>
    <w:rsid w:val="00BC7C1B"/>
    <w:rsid w:val="00BC7F7B"/>
    <w:rsid w:val="00BD11A3"/>
    <w:rsid w:val="00BD190D"/>
    <w:rsid w:val="00BD1A36"/>
    <w:rsid w:val="00BD1CC6"/>
    <w:rsid w:val="00BD1D03"/>
    <w:rsid w:val="00BD1E84"/>
    <w:rsid w:val="00BD203F"/>
    <w:rsid w:val="00BD227C"/>
    <w:rsid w:val="00BD2E2D"/>
    <w:rsid w:val="00BD2EF6"/>
    <w:rsid w:val="00BD35A5"/>
    <w:rsid w:val="00BD47AC"/>
    <w:rsid w:val="00BD48F9"/>
    <w:rsid w:val="00BD4BDC"/>
    <w:rsid w:val="00BD5556"/>
    <w:rsid w:val="00BD614B"/>
    <w:rsid w:val="00BD6459"/>
    <w:rsid w:val="00BD654D"/>
    <w:rsid w:val="00BD7268"/>
    <w:rsid w:val="00BD7269"/>
    <w:rsid w:val="00BD7AF6"/>
    <w:rsid w:val="00BE0AF8"/>
    <w:rsid w:val="00BE0C36"/>
    <w:rsid w:val="00BE11DB"/>
    <w:rsid w:val="00BE14A9"/>
    <w:rsid w:val="00BE23B8"/>
    <w:rsid w:val="00BE24E4"/>
    <w:rsid w:val="00BE250D"/>
    <w:rsid w:val="00BE2837"/>
    <w:rsid w:val="00BE2B90"/>
    <w:rsid w:val="00BE2DC7"/>
    <w:rsid w:val="00BE2F98"/>
    <w:rsid w:val="00BE365C"/>
    <w:rsid w:val="00BE497A"/>
    <w:rsid w:val="00BE49E4"/>
    <w:rsid w:val="00BE561E"/>
    <w:rsid w:val="00BE59F5"/>
    <w:rsid w:val="00BE6921"/>
    <w:rsid w:val="00BE6937"/>
    <w:rsid w:val="00BE6E35"/>
    <w:rsid w:val="00BE7387"/>
    <w:rsid w:val="00BE74B8"/>
    <w:rsid w:val="00BE7FCD"/>
    <w:rsid w:val="00BF00A6"/>
    <w:rsid w:val="00BF08D6"/>
    <w:rsid w:val="00BF0EF2"/>
    <w:rsid w:val="00BF11A0"/>
    <w:rsid w:val="00BF1652"/>
    <w:rsid w:val="00BF1C98"/>
    <w:rsid w:val="00BF220B"/>
    <w:rsid w:val="00BF239E"/>
    <w:rsid w:val="00BF28A0"/>
    <w:rsid w:val="00BF2BC1"/>
    <w:rsid w:val="00BF2C24"/>
    <w:rsid w:val="00BF3237"/>
    <w:rsid w:val="00BF3629"/>
    <w:rsid w:val="00BF380B"/>
    <w:rsid w:val="00BF393E"/>
    <w:rsid w:val="00BF3983"/>
    <w:rsid w:val="00BF451E"/>
    <w:rsid w:val="00BF4B7F"/>
    <w:rsid w:val="00BF5237"/>
    <w:rsid w:val="00BF53AB"/>
    <w:rsid w:val="00BF5574"/>
    <w:rsid w:val="00BF5E83"/>
    <w:rsid w:val="00BF68C8"/>
    <w:rsid w:val="00BF7B83"/>
    <w:rsid w:val="00BF7B97"/>
    <w:rsid w:val="00C00550"/>
    <w:rsid w:val="00C011A1"/>
    <w:rsid w:val="00C016A3"/>
    <w:rsid w:val="00C0175D"/>
    <w:rsid w:val="00C01A0A"/>
    <w:rsid w:val="00C01E68"/>
    <w:rsid w:val="00C02527"/>
    <w:rsid w:val="00C025FC"/>
    <w:rsid w:val="00C036B1"/>
    <w:rsid w:val="00C03E63"/>
    <w:rsid w:val="00C044E8"/>
    <w:rsid w:val="00C047D1"/>
    <w:rsid w:val="00C04972"/>
    <w:rsid w:val="00C04C31"/>
    <w:rsid w:val="00C050D0"/>
    <w:rsid w:val="00C05680"/>
    <w:rsid w:val="00C06573"/>
    <w:rsid w:val="00C07189"/>
    <w:rsid w:val="00C077DC"/>
    <w:rsid w:val="00C10459"/>
    <w:rsid w:val="00C10549"/>
    <w:rsid w:val="00C106E4"/>
    <w:rsid w:val="00C10B84"/>
    <w:rsid w:val="00C10F01"/>
    <w:rsid w:val="00C1138D"/>
    <w:rsid w:val="00C115C3"/>
    <w:rsid w:val="00C11662"/>
    <w:rsid w:val="00C11713"/>
    <w:rsid w:val="00C11924"/>
    <w:rsid w:val="00C11DEA"/>
    <w:rsid w:val="00C126D5"/>
    <w:rsid w:val="00C12B14"/>
    <w:rsid w:val="00C12D44"/>
    <w:rsid w:val="00C13068"/>
    <w:rsid w:val="00C13127"/>
    <w:rsid w:val="00C13260"/>
    <w:rsid w:val="00C136B0"/>
    <w:rsid w:val="00C137D8"/>
    <w:rsid w:val="00C139B9"/>
    <w:rsid w:val="00C13AD2"/>
    <w:rsid w:val="00C13C2E"/>
    <w:rsid w:val="00C13EB3"/>
    <w:rsid w:val="00C14016"/>
    <w:rsid w:val="00C1412F"/>
    <w:rsid w:val="00C14BA2"/>
    <w:rsid w:val="00C14E99"/>
    <w:rsid w:val="00C15AE7"/>
    <w:rsid w:val="00C16399"/>
    <w:rsid w:val="00C17425"/>
    <w:rsid w:val="00C17A57"/>
    <w:rsid w:val="00C17B40"/>
    <w:rsid w:val="00C17B95"/>
    <w:rsid w:val="00C17C78"/>
    <w:rsid w:val="00C17ED4"/>
    <w:rsid w:val="00C17F65"/>
    <w:rsid w:val="00C2043E"/>
    <w:rsid w:val="00C208DF"/>
    <w:rsid w:val="00C20915"/>
    <w:rsid w:val="00C20BFF"/>
    <w:rsid w:val="00C20E44"/>
    <w:rsid w:val="00C20F0B"/>
    <w:rsid w:val="00C21147"/>
    <w:rsid w:val="00C21270"/>
    <w:rsid w:val="00C221A0"/>
    <w:rsid w:val="00C224E1"/>
    <w:rsid w:val="00C22BF9"/>
    <w:rsid w:val="00C23750"/>
    <w:rsid w:val="00C238D1"/>
    <w:rsid w:val="00C23AF8"/>
    <w:rsid w:val="00C24072"/>
    <w:rsid w:val="00C246D7"/>
    <w:rsid w:val="00C24880"/>
    <w:rsid w:val="00C24B11"/>
    <w:rsid w:val="00C25979"/>
    <w:rsid w:val="00C25A71"/>
    <w:rsid w:val="00C25C46"/>
    <w:rsid w:val="00C264E8"/>
    <w:rsid w:val="00C26CEA"/>
    <w:rsid w:val="00C26E28"/>
    <w:rsid w:val="00C26F35"/>
    <w:rsid w:val="00C272E7"/>
    <w:rsid w:val="00C275A9"/>
    <w:rsid w:val="00C27A0C"/>
    <w:rsid w:val="00C27A86"/>
    <w:rsid w:val="00C27BA6"/>
    <w:rsid w:val="00C27E3A"/>
    <w:rsid w:val="00C27F7F"/>
    <w:rsid w:val="00C305DE"/>
    <w:rsid w:val="00C30A17"/>
    <w:rsid w:val="00C30C25"/>
    <w:rsid w:val="00C30E65"/>
    <w:rsid w:val="00C311EB"/>
    <w:rsid w:val="00C31374"/>
    <w:rsid w:val="00C31596"/>
    <w:rsid w:val="00C31D8F"/>
    <w:rsid w:val="00C31E23"/>
    <w:rsid w:val="00C326F9"/>
    <w:rsid w:val="00C32C4C"/>
    <w:rsid w:val="00C330D7"/>
    <w:rsid w:val="00C33E1A"/>
    <w:rsid w:val="00C33EA1"/>
    <w:rsid w:val="00C34034"/>
    <w:rsid w:val="00C345D0"/>
    <w:rsid w:val="00C357C6"/>
    <w:rsid w:val="00C35CFF"/>
    <w:rsid w:val="00C361A0"/>
    <w:rsid w:val="00C36460"/>
    <w:rsid w:val="00C36D19"/>
    <w:rsid w:val="00C36DCF"/>
    <w:rsid w:val="00C36FFC"/>
    <w:rsid w:val="00C37173"/>
    <w:rsid w:val="00C375DC"/>
    <w:rsid w:val="00C37801"/>
    <w:rsid w:val="00C37988"/>
    <w:rsid w:val="00C379E4"/>
    <w:rsid w:val="00C37A29"/>
    <w:rsid w:val="00C4048C"/>
    <w:rsid w:val="00C40598"/>
    <w:rsid w:val="00C40BE9"/>
    <w:rsid w:val="00C40F9A"/>
    <w:rsid w:val="00C41373"/>
    <w:rsid w:val="00C418C5"/>
    <w:rsid w:val="00C4194C"/>
    <w:rsid w:val="00C4219B"/>
    <w:rsid w:val="00C42370"/>
    <w:rsid w:val="00C42A50"/>
    <w:rsid w:val="00C42E61"/>
    <w:rsid w:val="00C42FF2"/>
    <w:rsid w:val="00C43018"/>
    <w:rsid w:val="00C430CD"/>
    <w:rsid w:val="00C433A7"/>
    <w:rsid w:val="00C43629"/>
    <w:rsid w:val="00C437AD"/>
    <w:rsid w:val="00C44104"/>
    <w:rsid w:val="00C44244"/>
    <w:rsid w:val="00C442F7"/>
    <w:rsid w:val="00C443BE"/>
    <w:rsid w:val="00C449B5"/>
    <w:rsid w:val="00C454D2"/>
    <w:rsid w:val="00C4585C"/>
    <w:rsid w:val="00C45A55"/>
    <w:rsid w:val="00C46B15"/>
    <w:rsid w:val="00C47236"/>
    <w:rsid w:val="00C47501"/>
    <w:rsid w:val="00C475D0"/>
    <w:rsid w:val="00C50151"/>
    <w:rsid w:val="00C5081F"/>
    <w:rsid w:val="00C51072"/>
    <w:rsid w:val="00C51374"/>
    <w:rsid w:val="00C5146E"/>
    <w:rsid w:val="00C51D0A"/>
    <w:rsid w:val="00C52350"/>
    <w:rsid w:val="00C52680"/>
    <w:rsid w:val="00C52778"/>
    <w:rsid w:val="00C52DAA"/>
    <w:rsid w:val="00C530BC"/>
    <w:rsid w:val="00C53D7F"/>
    <w:rsid w:val="00C53FEA"/>
    <w:rsid w:val="00C540D6"/>
    <w:rsid w:val="00C54305"/>
    <w:rsid w:val="00C546A4"/>
    <w:rsid w:val="00C54F2F"/>
    <w:rsid w:val="00C55666"/>
    <w:rsid w:val="00C5631F"/>
    <w:rsid w:val="00C56AC4"/>
    <w:rsid w:val="00C57953"/>
    <w:rsid w:val="00C57A1F"/>
    <w:rsid w:val="00C60095"/>
    <w:rsid w:val="00C607DD"/>
    <w:rsid w:val="00C60B7C"/>
    <w:rsid w:val="00C617E0"/>
    <w:rsid w:val="00C61A48"/>
    <w:rsid w:val="00C61A75"/>
    <w:rsid w:val="00C61B44"/>
    <w:rsid w:val="00C62023"/>
    <w:rsid w:val="00C62A3F"/>
    <w:rsid w:val="00C62ACC"/>
    <w:rsid w:val="00C640CC"/>
    <w:rsid w:val="00C644DA"/>
    <w:rsid w:val="00C6464F"/>
    <w:rsid w:val="00C64694"/>
    <w:rsid w:val="00C647E1"/>
    <w:rsid w:val="00C65121"/>
    <w:rsid w:val="00C65A5A"/>
    <w:rsid w:val="00C667B9"/>
    <w:rsid w:val="00C66F1D"/>
    <w:rsid w:val="00C670F8"/>
    <w:rsid w:val="00C6732D"/>
    <w:rsid w:val="00C678EB"/>
    <w:rsid w:val="00C67ACD"/>
    <w:rsid w:val="00C67B80"/>
    <w:rsid w:val="00C67D6C"/>
    <w:rsid w:val="00C67F4F"/>
    <w:rsid w:val="00C7002D"/>
    <w:rsid w:val="00C707DE"/>
    <w:rsid w:val="00C70D80"/>
    <w:rsid w:val="00C70EFC"/>
    <w:rsid w:val="00C71018"/>
    <w:rsid w:val="00C7136B"/>
    <w:rsid w:val="00C71688"/>
    <w:rsid w:val="00C71785"/>
    <w:rsid w:val="00C72291"/>
    <w:rsid w:val="00C723D0"/>
    <w:rsid w:val="00C72C3C"/>
    <w:rsid w:val="00C73D96"/>
    <w:rsid w:val="00C73DCA"/>
    <w:rsid w:val="00C73F25"/>
    <w:rsid w:val="00C750CD"/>
    <w:rsid w:val="00C755CF"/>
    <w:rsid w:val="00C75C56"/>
    <w:rsid w:val="00C76139"/>
    <w:rsid w:val="00C7697A"/>
    <w:rsid w:val="00C77C1A"/>
    <w:rsid w:val="00C77C89"/>
    <w:rsid w:val="00C77CAD"/>
    <w:rsid w:val="00C80DB1"/>
    <w:rsid w:val="00C8114A"/>
    <w:rsid w:val="00C811FA"/>
    <w:rsid w:val="00C822C5"/>
    <w:rsid w:val="00C822E0"/>
    <w:rsid w:val="00C82C25"/>
    <w:rsid w:val="00C8326D"/>
    <w:rsid w:val="00C8359C"/>
    <w:rsid w:val="00C8537C"/>
    <w:rsid w:val="00C855A1"/>
    <w:rsid w:val="00C8560C"/>
    <w:rsid w:val="00C857A7"/>
    <w:rsid w:val="00C86267"/>
    <w:rsid w:val="00C862B4"/>
    <w:rsid w:val="00C8691A"/>
    <w:rsid w:val="00C8735A"/>
    <w:rsid w:val="00C900CC"/>
    <w:rsid w:val="00C9026A"/>
    <w:rsid w:val="00C90A0D"/>
    <w:rsid w:val="00C918C0"/>
    <w:rsid w:val="00C91A3D"/>
    <w:rsid w:val="00C91D9E"/>
    <w:rsid w:val="00C9218A"/>
    <w:rsid w:val="00C9245D"/>
    <w:rsid w:val="00C92539"/>
    <w:rsid w:val="00C926EB"/>
    <w:rsid w:val="00C92983"/>
    <w:rsid w:val="00C932F3"/>
    <w:rsid w:val="00C937CA"/>
    <w:rsid w:val="00C93D3C"/>
    <w:rsid w:val="00C944EC"/>
    <w:rsid w:val="00C9582A"/>
    <w:rsid w:val="00C95E10"/>
    <w:rsid w:val="00C95E53"/>
    <w:rsid w:val="00C96264"/>
    <w:rsid w:val="00C9698B"/>
    <w:rsid w:val="00C96D22"/>
    <w:rsid w:val="00C96F80"/>
    <w:rsid w:val="00C9701C"/>
    <w:rsid w:val="00C9735F"/>
    <w:rsid w:val="00C97940"/>
    <w:rsid w:val="00C97AE5"/>
    <w:rsid w:val="00C97C1E"/>
    <w:rsid w:val="00CA023F"/>
    <w:rsid w:val="00CA0B3F"/>
    <w:rsid w:val="00CA16FD"/>
    <w:rsid w:val="00CA1BCF"/>
    <w:rsid w:val="00CA1D4B"/>
    <w:rsid w:val="00CA1E4B"/>
    <w:rsid w:val="00CA2056"/>
    <w:rsid w:val="00CA217A"/>
    <w:rsid w:val="00CA2567"/>
    <w:rsid w:val="00CA286F"/>
    <w:rsid w:val="00CA2E97"/>
    <w:rsid w:val="00CA45DA"/>
    <w:rsid w:val="00CA4C85"/>
    <w:rsid w:val="00CA5F04"/>
    <w:rsid w:val="00CA652A"/>
    <w:rsid w:val="00CA6567"/>
    <w:rsid w:val="00CA6752"/>
    <w:rsid w:val="00CA7432"/>
    <w:rsid w:val="00CA7557"/>
    <w:rsid w:val="00CA75B1"/>
    <w:rsid w:val="00CB0146"/>
    <w:rsid w:val="00CB059F"/>
    <w:rsid w:val="00CB05CB"/>
    <w:rsid w:val="00CB0930"/>
    <w:rsid w:val="00CB0991"/>
    <w:rsid w:val="00CB0C42"/>
    <w:rsid w:val="00CB16A9"/>
    <w:rsid w:val="00CB181E"/>
    <w:rsid w:val="00CB1E4F"/>
    <w:rsid w:val="00CB24C7"/>
    <w:rsid w:val="00CB24E1"/>
    <w:rsid w:val="00CB267C"/>
    <w:rsid w:val="00CB3491"/>
    <w:rsid w:val="00CB34F8"/>
    <w:rsid w:val="00CB393F"/>
    <w:rsid w:val="00CB47B3"/>
    <w:rsid w:val="00CB4BDA"/>
    <w:rsid w:val="00CB4E58"/>
    <w:rsid w:val="00CB53A6"/>
    <w:rsid w:val="00CB546C"/>
    <w:rsid w:val="00CB54D5"/>
    <w:rsid w:val="00CB56AC"/>
    <w:rsid w:val="00CB57EE"/>
    <w:rsid w:val="00CB5AD4"/>
    <w:rsid w:val="00CB67B2"/>
    <w:rsid w:val="00CB68F0"/>
    <w:rsid w:val="00CB6C1A"/>
    <w:rsid w:val="00CB6DE9"/>
    <w:rsid w:val="00CB6F8A"/>
    <w:rsid w:val="00CB6FD6"/>
    <w:rsid w:val="00CB705D"/>
    <w:rsid w:val="00CB710F"/>
    <w:rsid w:val="00CB7502"/>
    <w:rsid w:val="00CC0171"/>
    <w:rsid w:val="00CC0F76"/>
    <w:rsid w:val="00CC10EC"/>
    <w:rsid w:val="00CC1990"/>
    <w:rsid w:val="00CC1EBA"/>
    <w:rsid w:val="00CC1FBD"/>
    <w:rsid w:val="00CC204E"/>
    <w:rsid w:val="00CC207E"/>
    <w:rsid w:val="00CC21A7"/>
    <w:rsid w:val="00CC274A"/>
    <w:rsid w:val="00CC2A2E"/>
    <w:rsid w:val="00CC2B02"/>
    <w:rsid w:val="00CC2F77"/>
    <w:rsid w:val="00CC3718"/>
    <w:rsid w:val="00CC3834"/>
    <w:rsid w:val="00CC3DE4"/>
    <w:rsid w:val="00CC459B"/>
    <w:rsid w:val="00CC4854"/>
    <w:rsid w:val="00CC4C39"/>
    <w:rsid w:val="00CC4FA8"/>
    <w:rsid w:val="00CC5432"/>
    <w:rsid w:val="00CC5F5B"/>
    <w:rsid w:val="00CC669F"/>
    <w:rsid w:val="00CC6A1F"/>
    <w:rsid w:val="00CC6E23"/>
    <w:rsid w:val="00CC7E28"/>
    <w:rsid w:val="00CC7F42"/>
    <w:rsid w:val="00CD0072"/>
    <w:rsid w:val="00CD09A7"/>
    <w:rsid w:val="00CD0ECA"/>
    <w:rsid w:val="00CD10B1"/>
    <w:rsid w:val="00CD1507"/>
    <w:rsid w:val="00CD1912"/>
    <w:rsid w:val="00CD1CEA"/>
    <w:rsid w:val="00CD1D4D"/>
    <w:rsid w:val="00CD1E88"/>
    <w:rsid w:val="00CD20AA"/>
    <w:rsid w:val="00CD2A40"/>
    <w:rsid w:val="00CD2D21"/>
    <w:rsid w:val="00CD300B"/>
    <w:rsid w:val="00CD355D"/>
    <w:rsid w:val="00CD367F"/>
    <w:rsid w:val="00CD4003"/>
    <w:rsid w:val="00CD4048"/>
    <w:rsid w:val="00CD40DB"/>
    <w:rsid w:val="00CD4675"/>
    <w:rsid w:val="00CD46D8"/>
    <w:rsid w:val="00CD4B6D"/>
    <w:rsid w:val="00CD4C97"/>
    <w:rsid w:val="00CD4F4E"/>
    <w:rsid w:val="00CD527A"/>
    <w:rsid w:val="00CD537A"/>
    <w:rsid w:val="00CD53E9"/>
    <w:rsid w:val="00CD5B7E"/>
    <w:rsid w:val="00CD5E77"/>
    <w:rsid w:val="00CD5FC7"/>
    <w:rsid w:val="00CD61EB"/>
    <w:rsid w:val="00CD680C"/>
    <w:rsid w:val="00CD68A2"/>
    <w:rsid w:val="00CD6C61"/>
    <w:rsid w:val="00CD6DC2"/>
    <w:rsid w:val="00CD6EE4"/>
    <w:rsid w:val="00CD70D1"/>
    <w:rsid w:val="00CD70F4"/>
    <w:rsid w:val="00CD7433"/>
    <w:rsid w:val="00CD7628"/>
    <w:rsid w:val="00CD7C5C"/>
    <w:rsid w:val="00CD7F44"/>
    <w:rsid w:val="00CE01AA"/>
    <w:rsid w:val="00CE04AC"/>
    <w:rsid w:val="00CE0EB2"/>
    <w:rsid w:val="00CE116E"/>
    <w:rsid w:val="00CE1B27"/>
    <w:rsid w:val="00CE1D24"/>
    <w:rsid w:val="00CE1DCB"/>
    <w:rsid w:val="00CE1F2A"/>
    <w:rsid w:val="00CE205A"/>
    <w:rsid w:val="00CE2323"/>
    <w:rsid w:val="00CE2626"/>
    <w:rsid w:val="00CE281F"/>
    <w:rsid w:val="00CE2951"/>
    <w:rsid w:val="00CE3A15"/>
    <w:rsid w:val="00CE420B"/>
    <w:rsid w:val="00CE43AF"/>
    <w:rsid w:val="00CE4D3A"/>
    <w:rsid w:val="00CE4DB2"/>
    <w:rsid w:val="00CE4E4F"/>
    <w:rsid w:val="00CE4F37"/>
    <w:rsid w:val="00CE53E1"/>
    <w:rsid w:val="00CE5974"/>
    <w:rsid w:val="00CE5A42"/>
    <w:rsid w:val="00CE64FD"/>
    <w:rsid w:val="00CE651C"/>
    <w:rsid w:val="00CE7129"/>
    <w:rsid w:val="00CE7236"/>
    <w:rsid w:val="00CE7392"/>
    <w:rsid w:val="00CE76BF"/>
    <w:rsid w:val="00CF01CA"/>
    <w:rsid w:val="00CF02F0"/>
    <w:rsid w:val="00CF0663"/>
    <w:rsid w:val="00CF0D21"/>
    <w:rsid w:val="00CF1134"/>
    <w:rsid w:val="00CF1186"/>
    <w:rsid w:val="00CF1F2B"/>
    <w:rsid w:val="00CF229C"/>
    <w:rsid w:val="00CF2778"/>
    <w:rsid w:val="00CF2C2A"/>
    <w:rsid w:val="00CF367B"/>
    <w:rsid w:val="00CF3A7A"/>
    <w:rsid w:val="00CF3BEF"/>
    <w:rsid w:val="00CF3C0F"/>
    <w:rsid w:val="00CF3CC8"/>
    <w:rsid w:val="00CF4533"/>
    <w:rsid w:val="00CF45AD"/>
    <w:rsid w:val="00CF465C"/>
    <w:rsid w:val="00CF4998"/>
    <w:rsid w:val="00CF4BC6"/>
    <w:rsid w:val="00CF4CD3"/>
    <w:rsid w:val="00CF4D98"/>
    <w:rsid w:val="00CF4F85"/>
    <w:rsid w:val="00CF52EF"/>
    <w:rsid w:val="00CF566D"/>
    <w:rsid w:val="00CF59FD"/>
    <w:rsid w:val="00CF5B12"/>
    <w:rsid w:val="00CF60A0"/>
    <w:rsid w:val="00CF6666"/>
    <w:rsid w:val="00CF68A9"/>
    <w:rsid w:val="00CF702F"/>
    <w:rsid w:val="00CF7220"/>
    <w:rsid w:val="00CF7737"/>
    <w:rsid w:val="00CF7D9A"/>
    <w:rsid w:val="00CF7E27"/>
    <w:rsid w:val="00CF7F06"/>
    <w:rsid w:val="00D0009C"/>
    <w:rsid w:val="00D0025B"/>
    <w:rsid w:val="00D0077F"/>
    <w:rsid w:val="00D007F8"/>
    <w:rsid w:val="00D00D3A"/>
    <w:rsid w:val="00D014B6"/>
    <w:rsid w:val="00D01615"/>
    <w:rsid w:val="00D01F61"/>
    <w:rsid w:val="00D01FC7"/>
    <w:rsid w:val="00D020E7"/>
    <w:rsid w:val="00D0216F"/>
    <w:rsid w:val="00D02173"/>
    <w:rsid w:val="00D02433"/>
    <w:rsid w:val="00D02A87"/>
    <w:rsid w:val="00D033F8"/>
    <w:rsid w:val="00D0352E"/>
    <w:rsid w:val="00D036C2"/>
    <w:rsid w:val="00D0394F"/>
    <w:rsid w:val="00D03CDE"/>
    <w:rsid w:val="00D04A3B"/>
    <w:rsid w:val="00D04AB0"/>
    <w:rsid w:val="00D054F4"/>
    <w:rsid w:val="00D059A6"/>
    <w:rsid w:val="00D05B47"/>
    <w:rsid w:val="00D05DD9"/>
    <w:rsid w:val="00D06D01"/>
    <w:rsid w:val="00D06D9D"/>
    <w:rsid w:val="00D06F92"/>
    <w:rsid w:val="00D071F0"/>
    <w:rsid w:val="00D07402"/>
    <w:rsid w:val="00D07B43"/>
    <w:rsid w:val="00D109BE"/>
    <w:rsid w:val="00D109CE"/>
    <w:rsid w:val="00D10AC8"/>
    <w:rsid w:val="00D10DC5"/>
    <w:rsid w:val="00D10F14"/>
    <w:rsid w:val="00D11363"/>
    <w:rsid w:val="00D12B03"/>
    <w:rsid w:val="00D12B13"/>
    <w:rsid w:val="00D12BA8"/>
    <w:rsid w:val="00D12DFB"/>
    <w:rsid w:val="00D1333A"/>
    <w:rsid w:val="00D138EE"/>
    <w:rsid w:val="00D13A3F"/>
    <w:rsid w:val="00D14711"/>
    <w:rsid w:val="00D14775"/>
    <w:rsid w:val="00D148E7"/>
    <w:rsid w:val="00D14CF2"/>
    <w:rsid w:val="00D15113"/>
    <w:rsid w:val="00D15B7C"/>
    <w:rsid w:val="00D15B7D"/>
    <w:rsid w:val="00D15CED"/>
    <w:rsid w:val="00D15E85"/>
    <w:rsid w:val="00D15F6F"/>
    <w:rsid w:val="00D1620A"/>
    <w:rsid w:val="00D1663C"/>
    <w:rsid w:val="00D16C73"/>
    <w:rsid w:val="00D16E40"/>
    <w:rsid w:val="00D16F74"/>
    <w:rsid w:val="00D170A8"/>
    <w:rsid w:val="00D173C3"/>
    <w:rsid w:val="00D176BC"/>
    <w:rsid w:val="00D20A46"/>
    <w:rsid w:val="00D21045"/>
    <w:rsid w:val="00D21490"/>
    <w:rsid w:val="00D217BC"/>
    <w:rsid w:val="00D21BD2"/>
    <w:rsid w:val="00D21BE4"/>
    <w:rsid w:val="00D22A29"/>
    <w:rsid w:val="00D23225"/>
    <w:rsid w:val="00D232EB"/>
    <w:rsid w:val="00D2344D"/>
    <w:rsid w:val="00D23E4A"/>
    <w:rsid w:val="00D23E87"/>
    <w:rsid w:val="00D24375"/>
    <w:rsid w:val="00D2478F"/>
    <w:rsid w:val="00D24899"/>
    <w:rsid w:val="00D24B48"/>
    <w:rsid w:val="00D25037"/>
    <w:rsid w:val="00D2525D"/>
    <w:rsid w:val="00D25A53"/>
    <w:rsid w:val="00D25BC1"/>
    <w:rsid w:val="00D2619E"/>
    <w:rsid w:val="00D26300"/>
    <w:rsid w:val="00D26814"/>
    <w:rsid w:val="00D26DD0"/>
    <w:rsid w:val="00D27138"/>
    <w:rsid w:val="00D2732E"/>
    <w:rsid w:val="00D27EB7"/>
    <w:rsid w:val="00D301D5"/>
    <w:rsid w:val="00D30791"/>
    <w:rsid w:val="00D30A6C"/>
    <w:rsid w:val="00D30C33"/>
    <w:rsid w:val="00D31182"/>
    <w:rsid w:val="00D31884"/>
    <w:rsid w:val="00D31908"/>
    <w:rsid w:val="00D31DD3"/>
    <w:rsid w:val="00D31E3E"/>
    <w:rsid w:val="00D31E91"/>
    <w:rsid w:val="00D32446"/>
    <w:rsid w:val="00D3268B"/>
    <w:rsid w:val="00D328C6"/>
    <w:rsid w:val="00D32917"/>
    <w:rsid w:val="00D33075"/>
    <w:rsid w:val="00D330CA"/>
    <w:rsid w:val="00D3316D"/>
    <w:rsid w:val="00D331F2"/>
    <w:rsid w:val="00D3321E"/>
    <w:rsid w:val="00D33266"/>
    <w:rsid w:val="00D3356C"/>
    <w:rsid w:val="00D33922"/>
    <w:rsid w:val="00D3409D"/>
    <w:rsid w:val="00D34C1E"/>
    <w:rsid w:val="00D352E5"/>
    <w:rsid w:val="00D359F4"/>
    <w:rsid w:val="00D35B06"/>
    <w:rsid w:val="00D35C52"/>
    <w:rsid w:val="00D35EB1"/>
    <w:rsid w:val="00D35FCD"/>
    <w:rsid w:val="00D3621A"/>
    <w:rsid w:val="00D3644A"/>
    <w:rsid w:val="00D367CA"/>
    <w:rsid w:val="00D3682B"/>
    <w:rsid w:val="00D368E6"/>
    <w:rsid w:val="00D36CDD"/>
    <w:rsid w:val="00D37035"/>
    <w:rsid w:val="00D373D9"/>
    <w:rsid w:val="00D37882"/>
    <w:rsid w:val="00D37981"/>
    <w:rsid w:val="00D40874"/>
    <w:rsid w:val="00D41159"/>
    <w:rsid w:val="00D418A1"/>
    <w:rsid w:val="00D419CB"/>
    <w:rsid w:val="00D41DDC"/>
    <w:rsid w:val="00D41E86"/>
    <w:rsid w:val="00D41F6A"/>
    <w:rsid w:val="00D42095"/>
    <w:rsid w:val="00D42CD9"/>
    <w:rsid w:val="00D438D9"/>
    <w:rsid w:val="00D43DAA"/>
    <w:rsid w:val="00D4473B"/>
    <w:rsid w:val="00D44FC8"/>
    <w:rsid w:val="00D45614"/>
    <w:rsid w:val="00D45D79"/>
    <w:rsid w:val="00D45F10"/>
    <w:rsid w:val="00D46231"/>
    <w:rsid w:val="00D4652E"/>
    <w:rsid w:val="00D469B8"/>
    <w:rsid w:val="00D46FD9"/>
    <w:rsid w:val="00D472E5"/>
    <w:rsid w:val="00D47319"/>
    <w:rsid w:val="00D476B6"/>
    <w:rsid w:val="00D47CDE"/>
    <w:rsid w:val="00D50222"/>
    <w:rsid w:val="00D5027D"/>
    <w:rsid w:val="00D50A69"/>
    <w:rsid w:val="00D50A9C"/>
    <w:rsid w:val="00D50B45"/>
    <w:rsid w:val="00D521AF"/>
    <w:rsid w:val="00D52375"/>
    <w:rsid w:val="00D5275E"/>
    <w:rsid w:val="00D529F2"/>
    <w:rsid w:val="00D52C08"/>
    <w:rsid w:val="00D538E9"/>
    <w:rsid w:val="00D53C41"/>
    <w:rsid w:val="00D53CE1"/>
    <w:rsid w:val="00D54FC1"/>
    <w:rsid w:val="00D5548C"/>
    <w:rsid w:val="00D5553A"/>
    <w:rsid w:val="00D558F1"/>
    <w:rsid w:val="00D55E73"/>
    <w:rsid w:val="00D56395"/>
    <w:rsid w:val="00D568E7"/>
    <w:rsid w:val="00D56B11"/>
    <w:rsid w:val="00D56E89"/>
    <w:rsid w:val="00D570C5"/>
    <w:rsid w:val="00D57D11"/>
    <w:rsid w:val="00D604C6"/>
    <w:rsid w:val="00D60649"/>
    <w:rsid w:val="00D60AA6"/>
    <w:rsid w:val="00D60B38"/>
    <w:rsid w:val="00D60B59"/>
    <w:rsid w:val="00D61C5C"/>
    <w:rsid w:val="00D61DAE"/>
    <w:rsid w:val="00D61E88"/>
    <w:rsid w:val="00D61EA8"/>
    <w:rsid w:val="00D6285E"/>
    <w:rsid w:val="00D6341B"/>
    <w:rsid w:val="00D638AB"/>
    <w:rsid w:val="00D64A7E"/>
    <w:rsid w:val="00D65B7C"/>
    <w:rsid w:val="00D6650A"/>
    <w:rsid w:val="00D66583"/>
    <w:rsid w:val="00D66921"/>
    <w:rsid w:val="00D675B9"/>
    <w:rsid w:val="00D70120"/>
    <w:rsid w:val="00D705B2"/>
    <w:rsid w:val="00D70E44"/>
    <w:rsid w:val="00D712A7"/>
    <w:rsid w:val="00D71388"/>
    <w:rsid w:val="00D71C16"/>
    <w:rsid w:val="00D720E1"/>
    <w:rsid w:val="00D7331D"/>
    <w:rsid w:val="00D73403"/>
    <w:rsid w:val="00D73841"/>
    <w:rsid w:val="00D739B2"/>
    <w:rsid w:val="00D74CE3"/>
    <w:rsid w:val="00D7532A"/>
    <w:rsid w:val="00D756F1"/>
    <w:rsid w:val="00D75915"/>
    <w:rsid w:val="00D75CBE"/>
    <w:rsid w:val="00D76144"/>
    <w:rsid w:val="00D763B1"/>
    <w:rsid w:val="00D763E8"/>
    <w:rsid w:val="00D76537"/>
    <w:rsid w:val="00D7680D"/>
    <w:rsid w:val="00D76F0F"/>
    <w:rsid w:val="00D77026"/>
    <w:rsid w:val="00D77946"/>
    <w:rsid w:val="00D77C9F"/>
    <w:rsid w:val="00D77E40"/>
    <w:rsid w:val="00D807C8"/>
    <w:rsid w:val="00D80834"/>
    <w:rsid w:val="00D80F2F"/>
    <w:rsid w:val="00D812BC"/>
    <w:rsid w:val="00D81466"/>
    <w:rsid w:val="00D821A9"/>
    <w:rsid w:val="00D82CE5"/>
    <w:rsid w:val="00D82D78"/>
    <w:rsid w:val="00D834C7"/>
    <w:rsid w:val="00D8356F"/>
    <w:rsid w:val="00D835CB"/>
    <w:rsid w:val="00D83625"/>
    <w:rsid w:val="00D83795"/>
    <w:rsid w:val="00D837E6"/>
    <w:rsid w:val="00D83923"/>
    <w:rsid w:val="00D847D2"/>
    <w:rsid w:val="00D848DB"/>
    <w:rsid w:val="00D85323"/>
    <w:rsid w:val="00D855C1"/>
    <w:rsid w:val="00D8644E"/>
    <w:rsid w:val="00D866C8"/>
    <w:rsid w:val="00D86DAD"/>
    <w:rsid w:val="00D871BA"/>
    <w:rsid w:val="00D872D1"/>
    <w:rsid w:val="00D87E42"/>
    <w:rsid w:val="00D9043C"/>
    <w:rsid w:val="00D90560"/>
    <w:rsid w:val="00D906AB"/>
    <w:rsid w:val="00D90D47"/>
    <w:rsid w:val="00D915B6"/>
    <w:rsid w:val="00D91AE0"/>
    <w:rsid w:val="00D91B1F"/>
    <w:rsid w:val="00D922BC"/>
    <w:rsid w:val="00D93720"/>
    <w:rsid w:val="00D9391B"/>
    <w:rsid w:val="00D939E7"/>
    <w:rsid w:val="00D93F2A"/>
    <w:rsid w:val="00D9412E"/>
    <w:rsid w:val="00D9419D"/>
    <w:rsid w:val="00D9453A"/>
    <w:rsid w:val="00D948D5"/>
    <w:rsid w:val="00D95845"/>
    <w:rsid w:val="00D959DB"/>
    <w:rsid w:val="00D95B37"/>
    <w:rsid w:val="00D95D27"/>
    <w:rsid w:val="00D961A4"/>
    <w:rsid w:val="00D96584"/>
    <w:rsid w:val="00D965FD"/>
    <w:rsid w:val="00D96B5E"/>
    <w:rsid w:val="00D96C9F"/>
    <w:rsid w:val="00D96F65"/>
    <w:rsid w:val="00D97FC7"/>
    <w:rsid w:val="00DA0BC4"/>
    <w:rsid w:val="00DA136C"/>
    <w:rsid w:val="00DA150D"/>
    <w:rsid w:val="00DA24B1"/>
    <w:rsid w:val="00DA2704"/>
    <w:rsid w:val="00DA3017"/>
    <w:rsid w:val="00DA3572"/>
    <w:rsid w:val="00DA36F6"/>
    <w:rsid w:val="00DA38FE"/>
    <w:rsid w:val="00DA3A3D"/>
    <w:rsid w:val="00DA3EED"/>
    <w:rsid w:val="00DA50C7"/>
    <w:rsid w:val="00DA51BE"/>
    <w:rsid w:val="00DA5484"/>
    <w:rsid w:val="00DA6503"/>
    <w:rsid w:val="00DA6E8E"/>
    <w:rsid w:val="00DA75A4"/>
    <w:rsid w:val="00DA7D2F"/>
    <w:rsid w:val="00DB03E4"/>
    <w:rsid w:val="00DB07DE"/>
    <w:rsid w:val="00DB16F5"/>
    <w:rsid w:val="00DB2309"/>
    <w:rsid w:val="00DB293A"/>
    <w:rsid w:val="00DB2A66"/>
    <w:rsid w:val="00DB4917"/>
    <w:rsid w:val="00DB4D6B"/>
    <w:rsid w:val="00DB502F"/>
    <w:rsid w:val="00DB547C"/>
    <w:rsid w:val="00DB5555"/>
    <w:rsid w:val="00DB5822"/>
    <w:rsid w:val="00DB5DBA"/>
    <w:rsid w:val="00DB5E0E"/>
    <w:rsid w:val="00DB6016"/>
    <w:rsid w:val="00DB602B"/>
    <w:rsid w:val="00DB692F"/>
    <w:rsid w:val="00DB6D53"/>
    <w:rsid w:val="00DB6FC6"/>
    <w:rsid w:val="00DB7C3A"/>
    <w:rsid w:val="00DB7D8A"/>
    <w:rsid w:val="00DB7E8D"/>
    <w:rsid w:val="00DC0309"/>
    <w:rsid w:val="00DC042A"/>
    <w:rsid w:val="00DC09B2"/>
    <w:rsid w:val="00DC0AE8"/>
    <w:rsid w:val="00DC0E27"/>
    <w:rsid w:val="00DC0E6F"/>
    <w:rsid w:val="00DC1012"/>
    <w:rsid w:val="00DC18D8"/>
    <w:rsid w:val="00DC1B37"/>
    <w:rsid w:val="00DC1B94"/>
    <w:rsid w:val="00DC1FB4"/>
    <w:rsid w:val="00DC2002"/>
    <w:rsid w:val="00DC2571"/>
    <w:rsid w:val="00DC25B8"/>
    <w:rsid w:val="00DC3467"/>
    <w:rsid w:val="00DC3ACA"/>
    <w:rsid w:val="00DC4051"/>
    <w:rsid w:val="00DC457E"/>
    <w:rsid w:val="00DC45C4"/>
    <w:rsid w:val="00DC4726"/>
    <w:rsid w:val="00DC4798"/>
    <w:rsid w:val="00DC48FF"/>
    <w:rsid w:val="00DC4DDF"/>
    <w:rsid w:val="00DC5107"/>
    <w:rsid w:val="00DC5DFF"/>
    <w:rsid w:val="00DC601D"/>
    <w:rsid w:val="00DC6294"/>
    <w:rsid w:val="00DC6ABB"/>
    <w:rsid w:val="00DC6CAB"/>
    <w:rsid w:val="00DC6F04"/>
    <w:rsid w:val="00DC6F2E"/>
    <w:rsid w:val="00DC74CB"/>
    <w:rsid w:val="00DC76EB"/>
    <w:rsid w:val="00DC7B48"/>
    <w:rsid w:val="00DC7E94"/>
    <w:rsid w:val="00DC7F32"/>
    <w:rsid w:val="00DD0509"/>
    <w:rsid w:val="00DD0B1F"/>
    <w:rsid w:val="00DD134A"/>
    <w:rsid w:val="00DD138B"/>
    <w:rsid w:val="00DD1B2B"/>
    <w:rsid w:val="00DD1BFA"/>
    <w:rsid w:val="00DD2C27"/>
    <w:rsid w:val="00DD333D"/>
    <w:rsid w:val="00DD3C90"/>
    <w:rsid w:val="00DD3E8F"/>
    <w:rsid w:val="00DD3FFC"/>
    <w:rsid w:val="00DD4286"/>
    <w:rsid w:val="00DD53C0"/>
    <w:rsid w:val="00DD6473"/>
    <w:rsid w:val="00DD6611"/>
    <w:rsid w:val="00DD6627"/>
    <w:rsid w:val="00DD68F0"/>
    <w:rsid w:val="00DD6A49"/>
    <w:rsid w:val="00DD6EF2"/>
    <w:rsid w:val="00DD71D3"/>
    <w:rsid w:val="00DD7763"/>
    <w:rsid w:val="00DD7E60"/>
    <w:rsid w:val="00DE05A4"/>
    <w:rsid w:val="00DE08E4"/>
    <w:rsid w:val="00DE0D44"/>
    <w:rsid w:val="00DE16E0"/>
    <w:rsid w:val="00DE17A0"/>
    <w:rsid w:val="00DE1849"/>
    <w:rsid w:val="00DE1BF6"/>
    <w:rsid w:val="00DE1E12"/>
    <w:rsid w:val="00DE223F"/>
    <w:rsid w:val="00DE24F7"/>
    <w:rsid w:val="00DE25F7"/>
    <w:rsid w:val="00DE2CFA"/>
    <w:rsid w:val="00DE2EA3"/>
    <w:rsid w:val="00DE3AE2"/>
    <w:rsid w:val="00DE4194"/>
    <w:rsid w:val="00DE4457"/>
    <w:rsid w:val="00DE51F3"/>
    <w:rsid w:val="00DE526B"/>
    <w:rsid w:val="00DE560F"/>
    <w:rsid w:val="00DE563D"/>
    <w:rsid w:val="00DE61E8"/>
    <w:rsid w:val="00DE6402"/>
    <w:rsid w:val="00DE6B28"/>
    <w:rsid w:val="00DE6BCA"/>
    <w:rsid w:val="00DE7359"/>
    <w:rsid w:val="00DE761B"/>
    <w:rsid w:val="00DE79E3"/>
    <w:rsid w:val="00DE7D0B"/>
    <w:rsid w:val="00DF006E"/>
    <w:rsid w:val="00DF0760"/>
    <w:rsid w:val="00DF11EC"/>
    <w:rsid w:val="00DF1AD1"/>
    <w:rsid w:val="00DF210C"/>
    <w:rsid w:val="00DF2159"/>
    <w:rsid w:val="00DF2A46"/>
    <w:rsid w:val="00DF2ED6"/>
    <w:rsid w:val="00DF30B4"/>
    <w:rsid w:val="00DF3312"/>
    <w:rsid w:val="00DF4043"/>
    <w:rsid w:val="00DF415D"/>
    <w:rsid w:val="00DF42C8"/>
    <w:rsid w:val="00DF445E"/>
    <w:rsid w:val="00DF4D60"/>
    <w:rsid w:val="00DF4E3E"/>
    <w:rsid w:val="00DF50B5"/>
    <w:rsid w:val="00DF532C"/>
    <w:rsid w:val="00DF57D9"/>
    <w:rsid w:val="00DF58C7"/>
    <w:rsid w:val="00DF59EC"/>
    <w:rsid w:val="00DF5D7A"/>
    <w:rsid w:val="00DF60B9"/>
    <w:rsid w:val="00DF61EE"/>
    <w:rsid w:val="00DF63B7"/>
    <w:rsid w:val="00DF6FA2"/>
    <w:rsid w:val="00DF7137"/>
    <w:rsid w:val="00DF7455"/>
    <w:rsid w:val="00DF7B71"/>
    <w:rsid w:val="00E0008A"/>
    <w:rsid w:val="00E000F4"/>
    <w:rsid w:val="00E00AE2"/>
    <w:rsid w:val="00E010CD"/>
    <w:rsid w:val="00E0141C"/>
    <w:rsid w:val="00E015C4"/>
    <w:rsid w:val="00E01D20"/>
    <w:rsid w:val="00E01D6A"/>
    <w:rsid w:val="00E01F8F"/>
    <w:rsid w:val="00E029D4"/>
    <w:rsid w:val="00E02E60"/>
    <w:rsid w:val="00E03364"/>
    <w:rsid w:val="00E03AD8"/>
    <w:rsid w:val="00E04505"/>
    <w:rsid w:val="00E0453D"/>
    <w:rsid w:val="00E045FB"/>
    <w:rsid w:val="00E04F0F"/>
    <w:rsid w:val="00E04F4C"/>
    <w:rsid w:val="00E05C5A"/>
    <w:rsid w:val="00E05FA6"/>
    <w:rsid w:val="00E06D48"/>
    <w:rsid w:val="00E0712B"/>
    <w:rsid w:val="00E079D4"/>
    <w:rsid w:val="00E10006"/>
    <w:rsid w:val="00E105E3"/>
    <w:rsid w:val="00E10670"/>
    <w:rsid w:val="00E10862"/>
    <w:rsid w:val="00E10C4A"/>
    <w:rsid w:val="00E1117B"/>
    <w:rsid w:val="00E1126E"/>
    <w:rsid w:val="00E122AD"/>
    <w:rsid w:val="00E13233"/>
    <w:rsid w:val="00E1330B"/>
    <w:rsid w:val="00E13373"/>
    <w:rsid w:val="00E13CC1"/>
    <w:rsid w:val="00E13D71"/>
    <w:rsid w:val="00E13DFC"/>
    <w:rsid w:val="00E14920"/>
    <w:rsid w:val="00E15068"/>
    <w:rsid w:val="00E15A2F"/>
    <w:rsid w:val="00E15BBC"/>
    <w:rsid w:val="00E16458"/>
    <w:rsid w:val="00E1689C"/>
    <w:rsid w:val="00E173DE"/>
    <w:rsid w:val="00E17B05"/>
    <w:rsid w:val="00E20B4E"/>
    <w:rsid w:val="00E20B68"/>
    <w:rsid w:val="00E20DEB"/>
    <w:rsid w:val="00E20E3A"/>
    <w:rsid w:val="00E216D1"/>
    <w:rsid w:val="00E21ACB"/>
    <w:rsid w:val="00E21E7D"/>
    <w:rsid w:val="00E21F74"/>
    <w:rsid w:val="00E220A8"/>
    <w:rsid w:val="00E222D1"/>
    <w:rsid w:val="00E239E6"/>
    <w:rsid w:val="00E23FAE"/>
    <w:rsid w:val="00E24029"/>
    <w:rsid w:val="00E24A35"/>
    <w:rsid w:val="00E24AF6"/>
    <w:rsid w:val="00E24C1E"/>
    <w:rsid w:val="00E25474"/>
    <w:rsid w:val="00E25978"/>
    <w:rsid w:val="00E265C5"/>
    <w:rsid w:val="00E26AC1"/>
    <w:rsid w:val="00E27029"/>
    <w:rsid w:val="00E27527"/>
    <w:rsid w:val="00E27700"/>
    <w:rsid w:val="00E27B83"/>
    <w:rsid w:val="00E309D5"/>
    <w:rsid w:val="00E30B79"/>
    <w:rsid w:val="00E31092"/>
    <w:rsid w:val="00E313D1"/>
    <w:rsid w:val="00E31DDD"/>
    <w:rsid w:val="00E32931"/>
    <w:rsid w:val="00E32EE5"/>
    <w:rsid w:val="00E32F93"/>
    <w:rsid w:val="00E333ED"/>
    <w:rsid w:val="00E3370C"/>
    <w:rsid w:val="00E33EBC"/>
    <w:rsid w:val="00E350C8"/>
    <w:rsid w:val="00E350F9"/>
    <w:rsid w:val="00E355D4"/>
    <w:rsid w:val="00E36C5C"/>
    <w:rsid w:val="00E371CD"/>
    <w:rsid w:val="00E373FC"/>
    <w:rsid w:val="00E3772B"/>
    <w:rsid w:val="00E379F7"/>
    <w:rsid w:val="00E37BB1"/>
    <w:rsid w:val="00E40059"/>
    <w:rsid w:val="00E40149"/>
    <w:rsid w:val="00E402B3"/>
    <w:rsid w:val="00E4052D"/>
    <w:rsid w:val="00E407FF"/>
    <w:rsid w:val="00E40D6B"/>
    <w:rsid w:val="00E4157D"/>
    <w:rsid w:val="00E41C65"/>
    <w:rsid w:val="00E41D16"/>
    <w:rsid w:val="00E41EAE"/>
    <w:rsid w:val="00E42032"/>
    <w:rsid w:val="00E422D8"/>
    <w:rsid w:val="00E427C7"/>
    <w:rsid w:val="00E43163"/>
    <w:rsid w:val="00E4321A"/>
    <w:rsid w:val="00E4324A"/>
    <w:rsid w:val="00E44236"/>
    <w:rsid w:val="00E4492C"/>
    <w:rsid w:val="00E44B30"/>
    <w:rsid w:val="00E44E05"/>
    <w:rsid w:val="00E45197"/>
    <w:rsid w:val="00E4578E"/>
    <w:rsid w:val="00E45A59"/>
    <w:rsid w:val="00E45B21"/>
    <w:rsid w:val="00E461C8"/>
    <w:rsid w:val="00E46393"/>
    <w:rsid w:val="00E47107"/>
    <w:rsid w:val="00E47154"/>
    <w:rsid w:val="00E47779"/>
    <w:rsid w:val="00E477A9"/>
    <w:rsid w:val="00E477DD"/>
    <w:rsid w:val="00E478F7"/>
    <w:rsid w:val="00E50E59"/>
    <w:rsid w:val="00E50FA3"/>
    <w:rsid w:val="00E513CE"/>
    <w:rsid w:val="00E51456"/>
    <w:rsid w:val="00E51542"/>
    <w:rsid w:val="00E51BF3"/>
    <w:rsid w:val="00E528F2"/>
    <w:rsid w:val="00E52D07"/>
    <w:rsid w:val="00E52D9B"/>
    <w:rsid w:val="00E53324"/>
    <w:rsid w:val="00E5347F"/>
    <w:rsid w:val="00E53717"/>
    <w:rsid w:val="00E53CA0"/>
    <w:rsid w:val="00E53D4D"/>
    <w:rsid w:val="00E54360"/>
    <w:rsid w:val="00E546BD"/>
    <w:rsid w:val="00E54AA6"/>
    <w:rsid w:val="00E54ACD"/>
    <w:rsid w:val="00E54B2B"/>
    <w:rsid w:val="00E54F9B"/>
    <w:rsid w:val="00E5503D"/>
    <w:rsid w:val="00E55537"/>
    <w:rsid w:val="00E55578"/>
    <w:rsid w:val="00E557D9"/>
    <w:rsid w:val="00E55FBC"/>
    <w:rsid w:val="00E56275"/>
    <w:rsid w:val="00E564C3"/>
    <w:rsid w:val="00E57A67"/>
    <w:rsid w:val="00E57C9A"/>
    <w:rsid w:val="00E61632"/>
    <w:rsid w:val="00E61BE6"/>
    <w:rsid w:val="00E620B9"/>
    <w:rsid w:val="00E62549"/>
    <w:rsid w:val="00E625B9"/>
    <w:rsid w:val="00E62701"/>
    <w:rsid w:val="00E637D7"/>
    <w:rsid w:val="00E639FF"/>
    <w:rsid w:val="00E63AD6"/>
    <w:rsid w:val="00E64030"/>
    <w:rsid w:val="00E642E7"/>
    <w:rsid w:val="00E643C6"/>
    <w:rsid w:val="00E644AE"/>
    <w:rsid w:val="00E64527"/>
    <w:rsid w:val="00E64804"/>
    <w:rsid w:val="00E64B32"/>
    <w:rsid w:val="00E64EE3"/>
    <w:rsid w:val="00E64F22"/>
    <w:rsid w:val="00E6582C"/>
    <w:rsid w:val="00E65B1F"/>
    <w:rsid w:val="00E65D35"/>
    <w:rsid w:val="00E65DCF"/>
    <w:rsid w:val="00E66294"/>
    <w:rsid w:val="00E663D9"/>
    <w:rsid w:val="00E6652A"/>
    <w:rsid w:val="00E667AF"/>
    <w:rsid w:val="00E66D88"/>
    <w:rsid w:val="00E66EBB"/>
    <w:rsid w:val="00E677FC"/>
    <w:rsid w:val="00E7005B"/>
    <w:rsid w:val="00E7037B"/>
    <w:rsid w:val="00E70509"/>
    <w:rsid w:val="00E70606"/>
    <w:rsid w:val="00E70A62"/>
    <w:rsid w:val="00E70A63"/>
    <w:rsid w:val="00E70DD7"/>
    <w:rsid w:val="00E71085"/>
    <w:rsid w:val="00E71C17"/>
    <w:rsid w:val="00E72133"/>
    <w:rsid w:val="00E728D9"/>
    <w:rsid w:val="00E72EE0"/>
    <w:rsid w:val="00E73A82"/>
    <w:rsid w:val="00E74073"/>
    <w:rsid w:val="00E741FB"/>
    <w:rsid w:val="00E742F6"/>
    <w:rsid w:val="00E7450C"/>
    <w:rsid w:val="00E7461F"/>
    <w:rsid w:val="00E7478D"/>
    <w:rsid w:val="00E74A10"/>
    <w:rsid w:val="00E750EE"/>
    <w:rsid w:val="00E751DA"/>
    <w:rsid w:val="00E7538C"/>
    <w:rsid w:val="00E75871"/>
    <w:rsid w:val="00E75880"/>
    <w:rsid w:val="00E75F49"/>
    <w:rsid w:val="00E76401"/>
    <w:rsid w:val="00E7679B"/>
    <w:rsid w:val="00E76ABC"/>
    <w:rsid w:val="00E76F3E"/>
    <w:rsid w:val="00E7732B"/>
    <w:rsid w:val="00E809E0"/>
    <w:rsid w:val="00E8117F"/>
    <w:rsid w:val="00E8152B"/>
    <w:rsid w:val="00E815B8"/>
    <w:rsid w:val="00E81F9E"/>
    <w:rsid w:val="00E82684"/>
    <w:rsid w:val="00E82698"/>
    <w:rsid w:val="00E82885"/>
    <w:rsid w:val="00E834D2"/>
    <w:rsid w:val="00E83F26"/>
    <w:rsid w:val="00E8472B"/>
    <w:rsid w:val="00E852FD"/>
    <w:rsid w:val="00E85741"/>
    <w:rsid w:val="00E858B6"/>
    <w:rsid w:val="00E85B55"/>
    <w:rsid w:val="00E86306"/>
    <w:rsid w:val="00E86BEA"/>
    <w:rsid w:val="00E87D6D"/>
    <w:rsid w:val="00E90CFC"/>
    <w:rsid w:val="00E90DC3"/>
    <w:rsid w:val="00E91560"/>
    <w:rsid w:val="00E916CA"/>
    <w:rsid w:val="00E91A23"/>
    <w:rsid w:val="00E91A7E"/>
    <w:rsid w:val="00E91BAE"/>
    <w:rsid w:val="00E91FED"/>
    <w:rsid w:val="00E92126"/>
    <w:rsid w:val="00E92647"/>
    <w:rsid w:val="00E92B75"/>
    <w:rsid w:val="00E92FCD"/>
    <w:rsid w:val="00E934BA"/>
    <w:rsid w:val="00E935A1"/>
    <w:rsid w:val="00E93847"/>
    <w:rsid w:val="00E9414C"/>
    <w:rsid w:val="00E94D2A"/>
    <w:rsid w:val="00E94DEC"/>
    <w:rsid w:val="00E957C7"/>
    <w:rsid w:val="00E95802"/>
    <w:rsid w:val="00E95ABB"/>
    <w:rsid w:val="00E9667F"/>
    <w:rsid w:val="00E968C0"/>
    <w:rsid w:val="00E96C78"/>
    <w:rsid w:val="00E9750C"/>
    <w:rsid w:val="00E979C2"/>
    <w:rsid w:val="00E97AAF"/>
    <w:rsid w:val="00EA00AA"/>
    <w:rsid w:val="00EA00E4"/>
    <w:rsid w:val="00EA023E"/>
    <w:rsid w:val="00EA03F6"/>
    <w:rsid w:val="00EA08D1"/>
    <w:rsid w:val="00EA095B"/>
    <w:rsid w:val="00EA0FAD"/>
    <w:rsid w:val="00EA1725"/>
    <w:rsid w:val="00EA1943"/>
    <w:rsid w:val="00EA24A3"/>
    <w:rsid w:val="00EA2503"/>
    <w:rsid w:val="00EA2E41"/>
    <w:rsid w:val="00EA4153"/>
    <w:rsid w:val="00EA485D"/>
    <w:rsid w:val="00EA59D8"/>
    <w:rsid w:val="00EA5B84"/>
    <w:rsid w:val="00EA5CA4"/>
    <w:rsid w:val="00EA5E8E"/>
    <w:rsid w:val="00EA5FBA"/>
    <w:rsid w:val="00EA61BE"/>
    <w:rsid w:val="00EA6395"/>
    <w:rsid w:val="00EA66DC"/>
    <w:rsid w:val="00EA6720"/>
    <w:rsid w:val="00EA6CD7"/>
    <w:rsid w:val="00EA72E4"/>
    <w:rsid w:val="00EA733A"/>
    <w:rsid w:val="00EA74A4"/>
    <w:rsid w:val="00EA74D1"/>
    <w:rsid w:val="00EA7539"/>
    <w:rsid w:val="00EA78F5"/>
    <w:rsid w:val="00EA7EF3"/>
    <w:rsid w:val="00EB0956"/>
    <w:rsid w:val="00EB0F18"/>
    <w:rsid w:val="00EB1188"/>
    <w:rsid w:val="00EB125A"/>
    <w:rsid w:val="00EB1434"/>
    <w:rsid w:val="00EB1507"/>
    <w:rsid w:val="00EB1B46"/>
    <w:rsid w:val="00EB219E"/>
    <w:rsid w:val="00EB2670"/>
    <w:rsid w:val="00EB2681"/>
    <w:rsid w:val="00EB2C5F"/>
    <w:rsid w:val="00EB2D09"/>
    <w:rsid w:val="00EB2D1C"/>
    <w:rsid w:val="00EB2E55"/>
    <w:rsid w:val="00EB378E"/>
    <w:rsid w:val="00EB37B7"/>
    <w:rsid w:val="00EB3C4D"/>
    <w:rsid w:val="00EB3C7D"/>
    <w:rsid w:val="00EB3F29"/>
    <w:rsid w:val="00EB3F9D"/>
    <w:rsid w:val="00EB4F79"/>
    <w:rsid w:val="00EB51C6"/>
    <w:rsid w:val="00EB5DC6"/>
    <w:rsid w:val="00EB5EA0"/>
    <w:rsid w:val="00EB64A2"/>
    <w:rsid w:val="00EB65FB"/>
    <w:rsid w:val="00EB6B73"/>
    <w:rsid w:val="00EB6C22"/>
    <w:rsid w:val="00EB6CFE"/>
    <w:rsid w:val="00EB74AA"/>
    <w:rsid w:val="00EB763A"/>
    <w:rsid w:val="00EC031A"/>
    <w:rsid w:val="00EC04CF"/>
    <w:rsid w:val="00EC0678"/>
    <w:rsid w:val="00EC0ED4"/>
    <w:rsid w:val="00EC1527"/>
    <w:rsid w:val="00EC168D"/>
    <w:rsid w:val="00EC1D41"/>
    <w:rsid w:val="00EC2955"/>
    <w:rsid w:val="00EC5549"/>
    <w:rsid w:val="00EC55AE"/>
    <w:rsid w:val="00EC567F"/>
    <w:rsid w:val="00EC5CE3"/>
    <w:rsid w:val="00EC5E29"/>
    <w:rsid w:val="00EC605D"/>
    <w:rsid w:val="00EC6254"/>
    <w:rsid w:val="00EC6477"/>
    <w:rsid w:val="00EC6869"/>
    <w:rsid w:val="00EC68C5"/>
    <w:rsid w:val="00EC6A57"/>
    <w:rsid w:val="00EC6B20"/>
    <w:rsid w:val="00ED0694"/>
    <w:rsid w:val="00ED0757"/>
    <w:rsid w:val="00ED1B5D"/>
    <w:rsid w:val="00ED2151"/>
    <w:rsid w:val="00ED216C"/>
    <w:rsid w:val="00ED2C71"/>
    <w:rsid w:val="00ED2F95"/>
    <w:rsid w:val="00ED3018"/>
    <w:rsid w:val="00ED3F66"/>
    <w:rsid w:val="00ED4128"/>
    <w:rsid w:val="00ED4643"/>
    <w:rsid w:val="00ED469C"/>
    <w:rsid w:val="00ED4775"/>
    <w:rsid w:val="00ED48FD"/>
    <w:rsid w:val="00ED4983"/>
    <w:rsid w:val="00ED4AC7"/>
    <w:rsid w:val="00ED4C8B"/>
    <w:rsid w:val="00ED4CC2"/>
    <w:rsid w:val="00ED5071"/>
    <w:rsid w:val="00ED58FF"/>
    <w:rsid w:val="00ED65D1"/>
    <w:rsid w:val="00ED6E9D"/>
    <w:rsid w:val="00ED7087"/>
    <w:rsid w:val="00ED71D5"/>
    <w:rsid w:val="00ED724B"/>
    <w:rsid w:val="00ED7599"/>
    <w:rsid w:val="00EE1BC1"/>
    <w:rsid w:val="00EE1D9C"/>
    <w:rsid w:val="00EE1EB3"/>
    <w:rsid w:val="00EE2B41"/>
    <w:rsid w:val="00EE2CC3"/>
    <w:rsid w:val="00EE2EEE"/>
    <w:rsid w:val="00EE31D4"/>
    <w:rsid w:val="00EE3256"/>
    <w:rsid w:val="00EE3CC6"/>
    <w:rsid w:val="00EE3E48"/>
    <w:rsid w:val="00EE4025"/>
    <w:rsid w:val="00EE447F"/>
    <w:rsid w:val="00EE47EC"/>
    <w:rsid w:val="00EE4B42"/>
    <w:rsid w:val="00EE4DB3"/>
    <w:rsid w:val="00EE4FAD"/>
    <w:rsid w:val="00EE57BE"/>
    <w:rsid w:val="00EE6597"/>
    <w:rsid w:val="00EE6880"/>
    <w:rsid w:val="00EE693D"/>
    <w:rsid w:val="00EE6F14"/>
    <w:rsid w:val="00EE74A8"/>
    <w:rsid w:val="00EE7901"/>
    <w:rsid w:val="00EF01ED"/>
    <w:rsid w:val="00EF05B3"/>
    <w:rsid w:val="00EF06ED"/>
    <w:rsid w:val="00EF08FA"/>
    <w:rsid w:val="00EF09E1"/>
    <w:rsid w:val="00EF0BA1"/>
    <w:rsid w:val="00EF11B9"/>
    <w:rsid w:val="00EF1406"/>
    <w:rsid w:val="00EF2D3F"/>
    <w:rsid w:val="00EF2E4C"/>
    <w:rsid w:val="00EF2E5D"/>
    <w:rsid w:val="00EF3154"/>
    <w:rsid w:val="00EF319B"/>
    <w:rsid w:val="00EF338D"/>
    <w:rsid w:val="00EF39C1"/>
    <w:rsid w:val="00EF3F23"/>
    <w:rsid w:val="00EF4491"/>
    <w:rsid w:val="00EF455A"/>
    <w:rsid w:val="00EF488C"/>
    <w:rsid w:val="00EF4B94"/>
    <w:rsid w:val="00EF4CFB"/>
    <w:rsid w:val="00EF580B"/>
    <w:rsid w:val="00EF5990"/>
    <w:rsid w:val="00EF5B0D"/>
    <w:rsid w:val="00EF5D0B"/>
    <w:rsid w:val="00EF5D3B"/>
    <w:rsid w:val="00EF6209"/>
    <w:rsid w:val="00EF621E"/>
    <w:rsid w:val="00EF6C20"/>
    <w:rsid w:val="00EF71B0"/>
    <w:rsid w:val="00EF753B"/>
    <w:rsid w:val="00EF7719"/>
    <w:rsid w:val="00EF7B61"/>
    <w:rsid w:val="00F002A4"/>
    <w:rsid w:val="00F00789"/>
    <w:rsid w:val="00F0136A"/>
    <w:rsid w:val="00F01883"/>
    <w:rsid w:val="00F0229E"/>
    <w:rsid w:val="00F024F8"/>
    <w:rsid w:val="00F03DD9"/>
    <w:rsid w:val="00F04353"/>
    <w:rsid w:val="00F04EA7"/>
    <w:rsid w:val="00F050D7"/>
    <w:rsid w:val="00F0535E"/>
    <w:rsid w:val="00F056B0"/>
    <w:rsid w:val="00F059E6"/>
    <w:rsid w:val="00F064AC"/>
    <w:rsid w:val="00F06508"/>
    <w:rsid w:val="00F06ABA"/>
    <w:rsid w:val="00F075B9"/>
    <w:rsid w:val="00F0784F"/>
    <w:rsid w:val="00F07CCF"/>
    <w:rsid w:val="00F07DEE"/>
    <w:rsid w:val="00F07F12"/>
    <w:rsid w:val="00F10B01"/>
    <w:rsid w:val="00F10B2E"/>
    <w:rsid w:val="00F10B69"/>
    <w:rsid w:val="00F10BD6"/>
    <w:rsid w:val="00F12B9C"/>
    <w:rsid w:val="00F130A0"/>
    <w:rsid w:val="00F131E1"/>
    <w:rsid w:val="00F1359B"/>
    <w:rsid w:val="00F13CDD"/>
    <w:rsid w:val="00F14803"/>
    <w:rsid w:val="00F14F30"/>
    <w:rsid w:val="00F1513A"/>
    <w:rsid w:val="00F152DE"/>
    <w:rsid w:val="00F15BC4"/>
    <w:rsid w:val="00F162D4"/>
    <w:rsid w:val="00F1690F"/>
    <w:rsid w:val="00F16B3B"/>
    <w:rsid w:val="00F16CB3"/>
    <w:rsid w:val="00F173EE"/>
    <w:rsid w:val="00F173EF"/>
    <w:rsid w:val="00F17813"/>
    <w:rsid w:val="00F17897"/>
    <w:rsid w:val="00F17CB8"/>
    <w:rsid w:val="00F17D7B"/>
    <w:rsid w:val="00F17E12"/>
    <w:rsid w:val="00F17E73"/>
    <w:rsid w:val="00F204C1"/>
    <w:rsid w:val="00F2052F"/>
    <w:rsid w:val="00F2058B"/>
    <w:rsid w:val="00F2118A"/>
    <w:rsid w:val="00F21964"/>
    <w:rsid w:val="00F21F94"/>
    <w:rsid w:val="00F222A6"/>
    <w:rsid w:val="00F22614"/>
    <w:rsid w:val="00F229A0"/>
    <w:rsid w:val="00F22AC4"/>
    <w:rsid w:val="00F22D18"/>
    <w:rsid w:val="00F22D6F"/>
    <w:rsid w:val="00F22DBA"/>
    <w:rsid w:val="00F22F76"/>
    <w:rsid w:val="00F230CF"/>
    <w:rsid w:val="00F23155"/>
    <w:rsid w:val="00F23C39"/>
    <w:rsid w:val="00F23EDF"/>
    <w:rsid w:val="00F249A2"/>
    <w:rsid w:val="00F25370"/>
    <w:rsid w:val="00F255E1"/>
    <w:rsid w:val="00F25AE6"/>
    <w:rsid w:val="00F25B82"/>
    <w:rsid w:val="00F262F4"/>
    <w:rsid w:val="00F27459"/>
    <w:rsid w:val="00F2775D"/>
    <w:rsid w:val="00F27A29"/>
    <w:rsid w:val="00F27CD4"/>
    <w:rsid w:val="00F27E20"/>
    <w:rsid w:val="00F27F53"/>
    <w:rsid w:val="00F30627"/>
    <w:rsid w:val="00F30842"/>
    <w:rsid w:val="00F30B93"/>
    <w:rsid w:val="00F30CF1"/>
    <w:rsid w:val="00F30DA9"/>
    <w:rsid w:val="00F3209B"/>
    <w:rsid w:val="00F3214A"/>
    <w:rsid w:val="00F3214C"/>
    <w:rsid w:val="00F3241D"/>
    <w:rsid w:val="00F32549"/>
    <w:rsid w:val="00F325C7"/>
    <w:rsid w:val="00F32683"/>
    <w:rsid w:val="00F326BD"/>
    <w:rsid w:val="00F32819"/>
    <w:rsid w:val="00F32C7D"/>
    <w:rsid w:val="00F32E59"/>
    <w:rsid w:val="00F3348A"/>
    <w:rsid w:val="00F33581"/>
    <w:rsid w:val="00F33ACE"/>
    <w:rsid w:val="00F33B83"/>
    <w:rsid w:val="00F33F8D"/>
    <w:rsid w:val="00F34317"/>
    <w:rsid w:val="00F34B7F"/>
    <w:rsid w:val="00F34B96"/>
    <w:rsid w:val="00F35FB7"/>
    <w:rsid w:val="00F363D4"/>
    <w:rsid w:val="00F363F3"/>
    <w:rsid w:val="00F36735"/>
    <w:rsid w:val="00F367BE"/>
    <w:rsid w:val="00F36B91"/>
    <w:rsid w:val="00F36F57"/>
    <w:rsid w:val="00F3771F"/>
    <w:rsid w:val="00F37CB6"/>
    <w:rsid w:val="00F37F65"/>
    <w:rsid w:val="00F4010B"/>
    <w:rsid w:val="00F405E6"/>
    <w:rsid w:val="00F40884"/>
    <w:rsid w:val="00F40BB8"/>
    <w:rsid w:val="00F414F0"/>
    <w:rsid w:val="00F416B3"/>
    <w:rsid w:val="00F41819"/>
    <w:rsid w:val="00F419E3"/>
    <w:rsid w:val="00F4242C"/>
    <w:rsid w:val="00F42506"/>
    <w:rsid w:val="00F4318D"/>
    <w:rsid w:val="00F432F0"/>
    <w:rsid w:val="00F433FE"/>
    <w:rsid w:val="00F4345B"/>
    <w:rsid w:val="00F43576"/>
    <w:rsid w:val="00F437F8"/>
    <w:rsid w:val="00F43A5B"/>
    <w:rsid w:val="00F43B0E"/>
    <w:rsid w:val="00F43B49"/>
    <w:rsid w:val="00F44533"/>
    <w:rsid w:val="00F44958"/>
    <w:rsid w:val="00F454E1"/>
    <w:rsid w:val="00F45734"/>
    <w:rsid w:val="00F4606C"/>
    <w:rsid w:val="00F46332"/>
    <w:rsid w:val="00F465C7"/>
    <w:rsid w:val="00F46E42"/>
    <w:rsid w:val="00F4702C"/>
    <w:rsid w:val="00F47662"/>
    <w:rsid w:val="00F47A52"/>
    <w:rsid w:val="00F47E69"/>
    <w:rsid w:val="00F47F2F"/>
    <w:rsid w:val="00F505B8"/>
    <w:rsid w:val="00F50A1A"/>
    <w:rsid w:val="00F50CB9"/>
    <w:rsid w:val="00F50E3B"/>
    <w:rsid w:val="00F5176B"/>
    <w:rsid w:val="00F51BA0"/>
    <w:rsid w:val="00F51FE5"/>
    <w:rsid w:val="00F52149"/>
    <w:rsid w:val="00F5249D"/>
    <w:rsid w:val="00F524DE"/>
    <w:rsid w:val="00F529D6"/>
    <w:rsid w:val="00F52C15"/>
    <w:rsid w:val="00F52CF5"/>
    <w:rsid w:val="00F52FEC"/>
    <w:rsid w:val="00F533B4"/>
    <w:rsid w:val="00F53D0C"/>
    <w:rsid w:val="00F53EFE"/>
    <w:rsid w:val="00F540D4"/>
    <w:rsid w:val="00F5423E"/>
    <w:rsid w:val="00F54576"/>
    <w:rsid w:val="00F5557D"/>
    <w:rsid w:val="00F55847"/>
    <w:rsid w:val="00F5588B"/>
    <w:rsid w:val="00F55892"/>
    <w:rsid w:val="00F5608D"/>
    <w:rsid w:val="00F56A01"/>
    <w:rsid w:val="00F56A82"/>
    <w:rsid w:val="00F56AB9"/>
    <w:rsid w:val="00F56B8F"/>
    <w:rsid w:val="00F56D7E"/>
    <w:rsid w:val="00F575BC"/>
    <w:rsid w:val="00F576BE"/>
    <w:rsid w:val="00F57E44"/>
    <w:rsid w:val="00F60361"/>
    <w:rsid w:val="00F60366"/>
    <w:rsid w:val="00F603AB"/>
    <w:rsid w:val="00F603B4"/>
    <w:rsid w:val="00F6062C"/>
    <w:rsid w:val="00F60BA2"/>
    <w:rsid w:val="00F60CD3"/>
    <w:rsid w:val="00F60D68"/>
    <w:rsid w:val="00F60E66"/>
    <w:rsid w:val="00F60FDF"/>
    <w:rsid w:val="00F61917"/>
    <w:rsid w:val="00F61A29"/>
    <w:rsid w:val="00F61DB5"/>
    <w:rsid w:val="00F628BA"/>
    <w:rsid w:val="00F632B0"/>
    <w:rsid w:val="00F63334"/>
    <w:rsid w:val="00F634F6"/>
    <w:rsid w:val="00F63A8E"/>
    <w:rsid w:val="00F63D14"/>
    <w:rsid w:val="00F6406B"/>
    <w:rsid w:val="00F645A7"/>
    <w:rsid w:val="00F64AEA"/>
    <w:rsid w:val="00F651A2"/>
    <w:rsid w:val="00F65502"/>
    <w:rsid w:val="00F658A5"/>
    <w:rsid w:val="00F65CF0"/>
    <w:rsid w:val="00F65CF8"/>
    <w:rsid w:val="00F65DB0"/>
    <w:rsid w:val="00F664DB"/>
    <w:rsid w:val="00F66536"/>
    <w:rsid w:val="00F67118"/>
    <w:rsid w:val="00F70745"/>
    <w:rsid w:val="00F7076D"/>
    <w:rsid w:val="00F708E6"/>
    <w:rsid w:val="00F70CB7"/>
    <w:rsid w:val="00F70E10"/>
    <w:rsid w:val="00F712F8"/>
    <w:rsid w:val="00F7133C"/>
    <w:rsid w:val="00F71C24"/>
    <w:rsid w:val="00F71F7B"/>
    <w:rsid w:val="00F7202F"/>
    <w:rsid w:val="00F72191"/>
    <w:rsid w:val="00F721B9"/>
    <w:rsid w:val="00F72747"/>
    <w:rsid w:val="00F731CE"/>
    <w:rsid w:val="00F73350"/>
    <w:rsid w:val="00F73557"/>
    <w:rsid w:val="00F73858"/>
    <w:rsid w:val="00F73BB7"/>
    <w:rsid w:val="00F744BA"/>
    <w:rsid w:val="00F74BEE"/>
    <w:rsid w:val="00F74CED"/>
    <w:rsid w:val="00F75184"/>
    <w:rsid w:val="00F751AB"/>
    <w:rsid w:val="00F75944"/>
    <w:rsid w:val="00F75C0C"/>
    <w:rsid w:val="00F7664B"/>
    <w:rsid w:val="00F768F3"/>
    <w:rsid w:val="00F76975"/>
    <w:rsid w:val="00F77065"/>
    <w:rsid w:val="00F77263"/>
    <w:rsid w:val="00F778CA"/>
    <w:rsid w:val="00F77B4D"/>
    <w:rsid w:val="00F77EB8"/>
    <w:rsid w:val="00F8055E"/>
    <w:rsid w:val="00F80D43"/>
    <w:rsid w:val="00F8129B"/>
    <w:rsid w:val="00F812A2"/>
    <w:rsid w:val="00F81D34"/>
    <w:rsid w:val="00F81FF4"/>
    <w:rsid w:val="00F82BCE"/>
    <w:rsid w:val="00F8360D"/>
    <w:rsid w:val="00F83718"/>
    <w:rsid w:val="00F83C4E"/>
    <w:rsid w:val="00F83C54"/>
    <w:rsid w:val="00F83C5C"/>
    <w:rsid w:val="00F83D37"/>
    <w:rsid w:val="00F844A4"/>
    <w:rsid w:val="00F85250"/>
    <w:rsid w:val="00F852AD"/>
    <w:rsid w:val="00F85444"/>
    <w:rsid w:val="00F85B36"/>
    <w:rsid w:val="00F860B7"/>
    <w:rsid w:val="00F8632A"/>
    <w:rsid w:val="00F868C0"/>
    <w:rsid w:val="00F86D46"/>
    <w:rsid w:val="00F8763C"/>
    <w:rsid w:val="00F87B07"/>
    <w:rsid w:val="00F904FB"/>
    <w:rsid w:val="00F90B6A"/>
    <w:rsid w:val="00F9106E"/>
    <w:rsid w:val="00F9119A"/>
    <w:rsid w:val="00F91FC6"/>
    <w:rsid w:val="00F9201E"/>
    <w:rsid w:val="00F9260B"/>
    <w:rsid w:val="00F929CA"/>
    <w:rsid w:val="00F929F4"/>
    <w:rsid w:val="00F9315F"/>
    <w:rsid w:val="00F936EF"/>
    <w:rsid w:val="00F93D9B"/>
    <w:rsid w:val="00F946F5"/>
    <w:rsid w:val="00F94880"/>
    <w:rsid w:val="00F948D4"/>
    <w:rsid w:val="00F950C4"/>
    <w:rsid w:val="00F9586A"/>
    <w:rsid w:val="00F96372"/>
    <w:rsid w:val="00F964CD"/>
    <w:rsid w:val="00F968CB"/>
    <w:rsid w:val="00F96966"/>
    <w:rsid w:val="00F969D5"/>
    <w:rsid w:val="00F971FA"/>
    <w:rsid w:val="00F972FB"/>
    <w:rsid w:val="00F9777A"/>
    <w:rsid w:val="00F97891"/>
    <w:rsid w:val="00F978F6"/>
    <w:rsid w:val="00F97A6B"/>
    <w:rsid w:val="00FA01BE"/>
    <w:rsid w:val="00FA0397"/>
    <w:rsid w:val="00FA053C"/>
    <w:rsid w:val="00FA09B1"/>
    <w:rsid w:val="00FA09C6"/>
    <w:rsid w:val="00FA0F53"/>
    <w:rsid w:val="00FA16DD"/>
    <w:rsid w:val="00FA1BB8"/>
    <w:rsid w:val="00FA1CFB"/>
    <w:rsid w:val="00FA23E5"/>
    <w:rsid w:val="00FA33D2"/>
    <w:rsid w:val="00FA3446"/>
    <w:rsid w:val="00FA349A"/>
    <w:rsid w:val="00FA38DA"/>
    <w:rsid w:val="00FA39D6"/>
    <w:rsid w:val="00FA3F0B"/>
    <w:rsid w:val="00FA403B"/>
    <w:rsid w:val="00FA4A8D"/>
    <w:rsid w:val="00FA6D1A"/>
    <w:rsid w:val="00FA7838"/>
    <w:rsid w:val="00FA795F"/>
    <w:rsid w:val="00FA79D5"/>
    <w:rsid w:val="00FA7CBE"/>
    <w:rsid w:val="00FB016C"/>
    <w:rsid w:val="00FB0337"/>
    <w:rsid w:val="00FB0452"/>
    <w:rsid w:val="00FB0515"/>
    <w:rsid w:val="00FB05E1"/>
    <w:rsid w:val="00FB0659"/>
    <w:rsid w:val="00FB0A19"/>
    <w:rsid w:val="00FB0F7D"/>
    <w:rsid w:val="00FB131F"/>
    <w:rsid w:val="00FB132D"/>
    <w:rsid w:val="00FB1A10"/>
    <w:rsid w:val="00FB2458"/>
    <w:rsid w:val="00FB2537"/>
    <w:rsid w:val="00FB2AEF"/>
    <w:rsid w:val="00FB2BD1"/>
    <w:rsid w:val="00FB2D76"/>
    <w:rsid w:val="00FB33DB"/>
    <w:rsid w:val="00FB399A"/>
    <w:rsid w:val="00FB39D6"/>
    <w:rsid w:val="00FB4523"/>
    <w:rsid w:val="00FB484E"/>
    <w:rsid w:val="00FB4994"/>
    <w:rsid w:val="00FB49A5"/>
    <w:rsid w:val="00FB4E93"/>
    <w:rsid w:val="00FB4FA7"/>
    <w:rsid w:val="00FB5338"/>
    <w:rsid w:val="00FB54E9"/>
    <w:rsid w:val="00FB5683"/>
    <w:rsid w:val="00FB5844"/>
    <w:rsid w:val="00FB5B36"/>
    <w:rsid w:val="00FB5BAD"/>
    <w:rsid w:val="00FB6265"/>
    <w:rsid w:val="00FB666A"/>
    <w:rsid w:val="00FB69A5"/>
    <w:rsid w:val="00FC055D"/>
    <w:rsid w:val="00FC057C"/>
    <w:rsid w:val="00FC0871"/>
    <w:rsid w:val="00FC08C5"/>
    <w:rsid w:val="00FC08D7"/>
    <w:rsid w:val="00FC1105"/>
    <w:rsid w:val="00FC13DB"/>
    <w:rsid w:val="00FC13E0"/>
    <w:rsid w:val="00FC23FF"/>
    <w:rsid w:val="00FC2C5D"/>
    <w:rsid w:val="00FC2D13"/>
    <w:rsid w:val="00FC2D8B"/>
    <w:rsid w:val="00FC36C0"/>
    <w:rsid w:val="00FC3B4D"/>
    <w:rsid w:val="00FC3C76"/>
    <w:rsid w:val="00FC4150"/>
    <w:rsid w:val="00FC4EE4"/>
    <w:rsid w:val="00FC4F68"/>
    <w:rsid w:val="00FC5440"/>
    <w:rsid w:val="00FC56A0"/>
    <w:rsid w:val="00FC58F3"/>
    <w:rsid w:val="00FC6623"/>
    <w:rsid w:val="00FC6BCF"/>
    <w:rsid w:val="00FC6C3F"/>
    <w:rsid w:val="00FC6F03"/>
    <w:rsid w:val="00FC734E"/>
    <w:rsid w:val="00FC7B24"/>
    <w:rsid w:val="00FC7C3C"/>
    <w:rsid w:val="00FC7DE8"/>
    <w:rsid w:val="00FD0267"/>
    <w:rsid w:val="00FD07A8"/>
    <w:rsid w:val="00FD09F7"/>
    <w:rsid w:val="00FD141C"/>
    <w:rsid w:val="00FD15E9"/>
    <w:rsid w:val="00FD1648"/>
    <w:rsid w:val="00FD1956"/>
    <w:rsid w:val="00FD1A6C"/>
    <w:rsid w:val="00FD2492"/>
    <w:rsid w:val="00FD2FAA"/>
    <w:rsid w:val="00FD3009"/>
    <w:rsid w:val="00FD3306"/>
    <w:rsid w:val="00FD36B1"/>
    <w:rsid w:val="00FD38CD"/>
    <w:rsid w:val="00FD3A15"/>
    <w:rsid w:val="00FD3FE4"/>
    <w:rsid w:val="00FD4636"/>
    <w:rsid w:val="00FD4C2D"/>
    <w:rsid w:val="00FD5EDD"/>
    <w:rsid w:val="00FD5F4F"/>
    <w:rsid w:val="00FD6D37"/>
    <w:rsid w:val="00FD6DA9"/>
    <w:rsid w:val="00FD7013"/>
    <w:rsid w:val="00FD77D2"/>
    <w:rsid w:val="00FD7A91"/>
    <w:rsid w:val="00FE06AB"/>
    <w:rsid w:val="00FE08E0"/>
    <w:rsid w:val="00FE0C98"/>
    <w:rsid w:val="00FE1166"/>
    <w:rsid w:val="00FE1177"/>
    <w:rsid w:val="00FE1825"/>
    <w:rsid w:val="00FE1974"/>
    <w:rsid w:val="00FE1FF0"/>
    <w:rsid w:val="00FE2491"/>
    <w:rsid w:val="00FE35CD"/>
    <w:rsid w:val="00FE3CCD"/>
    <w:rsid w:val="00FE4451"/>
    <w:rsid w:val="00FE4563"/>
    <w:rsid w:val="00FE4718"/>
    <w:rsid w:val="00FE53A0"/>
    <w:rsid w:val="00FE55F8"/>
    <w:rsid w:val="00FE561E"/>
    <w:rsid w:val="00FE5790"/>
    <w:rsid w:val="00FE59C1"/>
    <w:rsid w:val="00FE59FD"/>
    <w:rsid w:val="00FE5CD8"/>
    <w:rsid w:val="00FE5E98"/>
    <w:rsid w:val="00FE5F98"/>
    <w:rsid w:val="00FE5FAE"/>
    <w:rsid w:val="00FE6474"/>
    <w:rsid w:val="00FE66EC"/>
    <w:rsid w:val="00FE69BE"/>
    <w:rsid w:val="00FE7435"/>
    <w:rsid w:val="00FE756A"/>
    <w:rsid w:val="00FE790D"/>
    <w:rsid w:val="00FE79E7"/>
    <w:rsid w:val="00FE7CAF"/>
    <w:rsid w:val="00FE7F98"/>
    <w:rsid w:val="00FF0EB9"/>
    <w:rsid w:val="00FF11D1"/>
    <w:rsid w:val="00FF1A77"/>
    <w:rsid w:val="00FF2010"/>
    <w:rsid w:val="00FF20FA"/>
    <w:rsid w:val="00FF2186"/>
    <w:rsid w:val="00FF2B50"/>
    <w:rsid w:val="00FF2E56"/>
    <w:rsid w:val="00FF2E7F"/>
    <w:rsid w:val="00FF306D"/>
    <w:rsid w:val="00FF387D"/>
    <w:rsid w:val="00FF3AA4"/>
    <w:rsid w:val="00FF3DE6"/>
    <w:rsid w:val="00FF41EA"/>
    <w:rsid w:val="00FF4248"/>
    <w:rsid w:val="00FF439B"/>
    <w:rsid w:val="00FF43B8"/>
    <w:rsid w:val="00FF48C3"/>
    <w:rsid w:val="00FF555C"/>
    <w:rsid w:val="00FF5824"/>
    <w:rsid w:val="00FF591E"/>
    <w:rsid w:val="00FF5D09"/>
    <w:rsid w:val="00FF7ABA"/>
    <w:rsid w:val="0155C6B4"/>
    <w:rsid w:val="0174D5A4"/>
    <w:rsid w:val="025F5841"/>
    <w:rsid w:val="027B41A1"/>
    <w:rsid w:val="039E410F"/>
    <w:rsid w:val="03CEE197"/>
    <w:rsid w:val="04F84A87"/>
    <w:rsid w:val="066D5C23"/>
    <w:rsid w:val="06E4F6CD"/>
    <w:rsid w:val="07499EA0"/>
    <w:rsid w:val="07E8A4E5"/>
    <w:rsid w:val="081A32D1"/>
    <w:rsid w:val="081F309D"/>
    <w:rsid w:val="094ED553"/>
    <w:rsid w:val="099A511A"/>
    <w:rsid w:val="09FE54F0"/>
    <w:rsid w:val="0A094046"/>
    <w:rsid w:val="0A72CB36"/>
    <w:rsid w:val="0C4365DA"/>
    <w:rsid w:val="0D303995"/>
    <w:rsid w:val="0D9E6F3A"/>
    <w:rsid w:val="0E8A0375"/>
    <w:rsid w:val="0F4F8D3F"/>
    <w:rsid w:val="0F605769"/>
    <w:rsid w:val="0FCDB84E"/>
    <w:rsid w:val="1049FB30"/>
    <w:rsid w:val="11CA8D81"/>
    <w:rsid w:val="12509B8A"/>
    <w:rsid w:val="127C2358"/>
    <w:rsid w:val="131C7EB6"/>
    <w:rsid w:val="133E347E"/>
    <w:rsid w:val="1527FDF2"/>
    <w:rsid w:val="15BA8B83"/>
    <w:rsid w:val="171E4438"/>
    <w:rsid w:val="187ACF26"/>
    <w:rsid w:val="1ACAC9C3"/>
    <w:rsid w:val="1BF2AC32"/>
    <w:rsid w:val="1CA3E5F5"/>
    <w:rsid w:val="1CFB7833"/>
    <w:rsid w:val="1D06D698"/>
    <w:rsid w:val="1E6ED5A8"/>
    <w:rsid w:val="1E8224EC"/>
    <w:rsid w:val="209D5D35"/>
    <w:rsid w:val="20B4D2BF"/>
    <w:rsid w:val="21990AB8"/>
    <w:rsid w:val="21F92383"/>
    <w:rsid w:val="22822A30"/>
    <w:rsid w:val="2331F1FF"/>
    <w:rsid w:val="2337AD9D"/>
    <w:rsid w:val="2406AEC2"/>
    <w:rsid w:val="244C03DA"/>
    <w:rsid w:val="24835438"/>
    <w:rsid w:val="24F4CF80"/>
    <w:rsid w:val="25308967"/>
    <w:rsid w:val="2703E4C8"/>
    <w:rsid w:val="2903A469"/>
    <w:rsid w:val="29A80FE8"/>
    <w:rsid w:val="2A4AE854"/>
    <w:rsid w:val="2C202CE1"/>
    <w:rsid w:val="2DA0A8CA"/>
    <w:rsid w:val="2EABA8CF"/>
    <w:rsid w:val="2EF701D1"/>
    <w:rsid w:val="30E12FB9"/>
    <w:rsid w:val="3256EC98"/>
    <w:rsid w:val="32C7906C"/>
    <w:rsid w:val="35160822"/>
    <w:rsid w:val="354C8F40"/>
    <w:rsid w:val="3554EFCA"/>
    <w:rsid w:val="356F69CF"/>
    <w:rsid w:val="35B3B2EE"/>
    <w:rsid w:val="36872DF3"/>
    <w:rsid w:val="369DB16F"/>
    <w:rsid w:val="397B26C1"/>
    <w:rsid w:val="3A66A11E"/>
    <w:rsid w:val="3A802E54"/>
    <w:rsid w:val="3A94DC6D"/>
    <w:rsid w:val="3ACA0231"/>
    <w:rsid w:val="3BCF7990"/>
    <w:rsid w:val="3BF68EDE"/>
    <w:rsid w:val="3DB24F60"/>
    <w:rsid w:val="3E650BF0"/>
    <w:rsid w:val="3F6915B7"/>
    <w:rsid w:val="3FAA2204"/>
    <w:rsid w:val="3FBA1D65"/>
    <w:rsid w:val="406DD71E"/>
    <w:rsid w:val="409001BB"/>
    <w:rsid w:val="41B4EDAB"/>
    <w:rsid w:val="41F1407A"/>
    <w:rsid w:val="42D05EEB"/>
    <w:rsid w:val="43977E30"/>
    <w:rsid w:val="457DF24D"/>
    <w:rsid w:val="459109F5"/>
    <w:rsid w:val="45A6A03D"/>
    <w:rsid w:val="466E2B70"/>
    <w:rsid w:val="470A4B5F"/>
    <w:rsid w:val="477AE1D1"/>
    <w:rsid w:val="48374515"/>
    <w:rsid w:val="48604E00"/>
    <w:rsid w:val="499CA627"/>
    <w:rsid w:val="4A261EAB"/>
    <w:rsid w:val="4B2CD0D4"/>
    <w:rsid w:val="4B4B9597"/>
    <w:rsid w:val="4B4F2CB7"/>
    <w:rsid w:val="4C98785C"/>
    <w:rsid w:val="4DF3EA4B"/>
    <w:rsid w:val="4F347D3F"/>
    <w:rsid w:val="4F794D63"/>
    <w:rsid w:val="4F897F30"/>
    <w:rsid w:val="4FB28719"/>
    <w:rsid w:val="4FEB3C1F"/>
    <w:rsid w:val="50245E69"/>
    <w:rsid w:val="51571D51"/>
    <w:rsid w:val="5170D070"/>
    <w:rsid w:val="519C1D19"/>
    <w:rsid w:val="51B026E0"/>
    <w:rsid w:val="51C57A5B"/>
    <w:rsid w:val="5243C26B"/>
    <w:rsid w:val="534D298E"/>
    <w:rsid w:val="5400E907"/>
    <w:rsid w:val="54307C27"/>
    <w:rsid w:val="54B2AB32"/>
    <w:rsid w:val="555B8F5D"/>
    <w:rsid w:val="556E6AD9"/>
    <w:rsid w:val="5603570F"/>
    <w:rsid w:val="565D85F5"/>
    <w:rsid w:val="5701208F"/>
    <w:rsid w:val="57C0DBBF"/>
    <w:rsid w:val="580D55B4"/>
    <w:rsid w:val="58F470D6"/>
    <w:rsid w:val="59CC7620"/>
    <w:rsid w:val="5B3669E2"/>
    <w:rsid w:val="5C6E047D"/>
    <w:rsid w:val="5C8646B6"/>
    <w:rsid w:val="5D305E2B"/>
    <w:rsid w:val="5D65C3EC"/>
    <w:rsid w:val="62CF5334"/>
    <w:rsid w:val="63B93E14"/>
    <w:rsid w:val="65FCF0EF"/>
    <w:rsid w:val="66C89E31"/>
    <w:rsid w:val="66CC2EDB"/>
    <w:rsid w:val="66E103A8"/>
    <w:rsid w:val="671B88D1"/>
    <w:rsid w:val="690F0DF0"/>
    <w:rsid w:val="6920BA3F"/>
    <w:rsid w:val="693EB84E"/>
    <w:rsid w:val="69ABB09E"/>
    <w:rsid w:val="6A0542FD"/>
    <w:rsid w:val="6B066C7F"/>
    <w:rsid w:val="6B0E916A"/>
    <w:rsid w:val="6BF4A1B9"/>
    <w:rsid w:val="6EF5E9B3"/>
    <w:rsid w:val="6F1B4663"/>
    <w:rsid w:val="6F226E0F"/>
    <w:rsid w:val="6F8A1FC3"/>
    <w:rsid w:val="6FA5BA71"/>
    <w:rsid w:val="71FAB061"/>
    <w:rsid w:val="73AC6C8B"/>
    <w:rsid w:val="74102A54"/>
    <w:rsid w:val="74FD4F1F"/>
    <w:rsid w:val="764E0676"/>
    <w:rsid w:val="766A4D76"/>
    <w:rsid w:val="775BE299"/>
    <w:rsid w:val="779866AB"/>
    <w:rsid w:val="78AFA178"/>
    <w:rsid w:val="79507DF1"/>
    <w:rsid w:val="79D8CB6D"/>
    <w:rsid w:val="79E3D95D"/>
    <w:rsid w:val="7AE8D977"/>
    <w:rsid w:val="7AF2202E"/>
    <w:rsid w:val="7B5AA609"/>
    <w:rsid w:val="7C3901A6"/>
    <w:rsid w:val="7C56C347"/>
    <w:rsid w:val="7D884EC8"/>
    <w:rsid w:val="7D8DE175"/>
    <w:rsid w:val="7FA2BAA4"/>
    <w:rsid w:val="7FADD233"/>
    <w:rsid w:val="7FD0D9C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527AA"/>
  <w15:chartTrackingRefBased/>
  <w15:docId w15:val="{6822E558-3D04-49DB-9A79-8472174F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A0670F"/>
    <w:pPr>
      <w:spacing w:before="120" w:after="120" w:line="280" w:lineRule="atLeast"/>
    </w:pPr>
    <w:rPr>
      <w:sz w:val="20"/>
      <w:szCs w:val="20"/>
    </w:rPr>
  </w:style>
  <w:style w:type="paragraph" w:styleId="Heading1">
    <w:name w:val="heading 1"/>
    <w:basedOn w:val="Normal"/>
    <w:next w:val="BodyText"/>
    <w:link w:val="Heading1Char"/>
    <w:uiPriority w:val="9"/>
    <w:qFormat/>
    <w:rsid w:val="00A0670F"/>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A0670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A0670F"/>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A0670F"/>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A0670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A0670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A0670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A0670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A0670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670F"/>
    <w:rPr>
      <w:color w:val="808080"/>
    </w:rPr>
  </w:style>
  <w:style w:type="paragraph" w:styleId="Date">
    <w:name w:val="Date"/>
    <w:basedOn w:val="Normal"/>
    <w:next w:val="Normal"/>
    <w:link w:val="DateChar"/>
    <w:uiPriority w:val="99"/>
    <w:unhideWhenUsed/>
    <w:rsid w:val="00A0670F"/>
    <w:pPr>
      <w:spacing w:after="360" w:line="293" w:lineRule="auto"/>
    </w:pPr>
  </w:style>
  <w:style w:type="character" w:customStyle="1" w:styleId="DateChar">
    <w:name w:val="Date Char"/>
    <w:basedOn w:val="DefaultParagraphFont"/>
    <w:link w:val="Date"/>
    <w:uiPriority w:val="99"/>
    <w:rsid w:val="00A0670F"/>
    <w:rPr>
      <w:sz w:val="20"/>
      <w:szCs w:val="20"/>
    </w:rPr>
  </w:style>
  <w:style w:type="paragraph" w:styleId="NoSpacing">
    <w:name w:val="No Spacing"/>
    <w:basedOn w:val="Normal"/>
    <w:link w:val="NoSpacingChar"/>
    <w:uiPriority w:val="10"/>
    <w:qFormat/>
    <w:rsid w:val="00A0670F"/>
    <w:pPr>
      <w:spacing w:before="0" w:after="0"/>
    </w:pPr>
  </w:style>
  <w:style w:type="paragraph" w:styleId="ListBullet">
    <w:name w:val="List Bullet"/>
    <w:basedOn w:val="Normal"/>
    <w:link w:val="ListBulletChar"/>
    <w:uiPriority w:val="1"/>
    <w:qFormat/>
    <w:rsid w:val="00A0670F"/>
    <w:pPr>
      <w:numPr>
        <w:numId w:val="56"/>
      </w:numPr>
      <w:contextualSpacing/>
    </w:pPr>
  </w:style>
  <w:style w:type="paragraph" w:styleId="ListBullet2">
    <w:name w:val="List Bullet 2"/>
    <w:basedOn w:val="Normal"/>
    <w:uiPriority w:val="1"/>
    <w:qFormat/>
    <w:rsid w:val="00A0670F"/>
    <w:pPr>
      <w:numPr>
        <w:ilvl w:val="1"/>
        <w:numId w:val="56"/>
      </w:numPr>
      <w:contextualSpacing/>
    </w:pPr>
  </w:style>
  <w:style w:type="paragraph" w:styleId="ListNumber">
    <w:name w:val="List Number"/>
    <w:basedOn w:val="Normal"/>
    <w:uiPriority w:val="2"/>
    <w:qFormat/>
    <w:rsid w:val="00A0670F"/>
    <w:pPr>
      <w:numPr>
        <w:numId w:val="53"/>
      </w:numPr>
      <w:spacing w:before="60"/>
      <w:contextualSpacing/>
    </w:pPr>
  </w:style>
  <w:style w:type="numbering" w:customStyle="1" w:styleId="Bullets">
    <w:name w:val="Bullets"/>
    <w:uiPriority w:val="99"/>
    <w:rsid w:val="00A0670F"/>
    <w:pPr>
      <w:numPr>
        <w:numId w:val="5"/>
      </w:numPr>
    </w:pPr>
  </w:style>
  <w:style w:type="character" w:customStyle="1" w:styleId="Heading1Char">
    <w:name w:val="Heading 1 Char"/>
    <w:basedOn w:val="DefaultParagraphFont"/>
    <w:link w:val="Heading1"/>
    <w:uiPriority w:val="9"/>
    <w:rsid w:val="00A0670F"/>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A0670F"/>
    <w:pPr>
      <w:numPr>
        <w:ilvl w:val="1"/>
        <w:numId w:val="53"/>
      </w:numPr>
      <w:spacing w:before="60"/>
      <w:contextualSpacing/>
    </w:pPr>
  </w:style>
  <w:style w:type="character" w:customStyle="1" w:styleId="Heading2Char">
    <w:name w:val="Heading 2 Char"/>
    <w:basedOn w:val="DefaultParagraphFont"/>
    <w:link w:val="Heading2"/>
    <w:uiPriority w:val="9"/>
    <w:rsid w:val="00A0670F"/>
    <w:rPr>
      <w:rFonts w:asciiTheme="majorHAnsi" w:eastAsiaTheme="majorEastAsia" w:hAnsiTheme="majorHAnsi" w:cstheme="majorBidi"/>
      <w:sz w:val="30"/>
      <w:szCs w:val="60"/>
    </w:rPr>
  </w:style>
  <w:style w:type="paragraph" w:styleId="ListParagraph">
    <w:name w:val="List Paragraph"/>
    <w:basedOn w:val="Normal"/>
    <w:uiPriority w:val="34"/>
    <w:rsid w:val="00A0670F"/>
    <w:pPr>
      <w:spacing w:line="293" w:lineRule="auto"/>
      <w:ind w:left="284"/>
      <w:contextualSpacing/>
    </w:pPr>
  </w:style>
  <w:style w:type="paragraph" w:styleId="Header">
    <w:name w:val="header"/>
    <w:basedOn w:val="Normal"/>
    <w:link w:val="HeaderChar"/>
    <w:uiPriority w:val="99"/>
    <w:unhideWhenUsed/>
    <w:rsid w:val="00A0670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0670F"/>
    <w:rPr>
      <w:sz w:val="16"/>
      <w:szCs w:val="20"/>
    </w:rPr>
  </w:style>
  <w:style w:type="paragraph" w:styleId="Footer">
    <w:name w:val="footer"/>
    <w:basedOn w:val="Normal"/>
    <w:link w:val="FooterChar"/>
    <w:uiPriority w:val="11"/>
    <w:rsid w:val="00A0670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A0670F"/>
    <w:rPr>
      <w:rFonts w:asciiTheme="majorHAnsi" w:hAnsiTheme="majorHAnsi"/>
      <w:sz w:val="17"/>
    </w:rPr>
  </w:style>
  <w:style w:type="numbering" w:customStyle="1" w:styleId="Numbering">
    <w:name w:val="Numbering"/>
    <w:uiPriority w:val="99"/>
    <w:rsid w:val="00A0670F"/>
    <w:pPr>
      <w:numPr>
        <w:numId w:val="14"/>
      </w:numPr>
    </w:pPr>
  </w:style>
  <w:style w:type="paragraph" w:styleId="ListBullet3">
    <w:name w:val="List Bullet 3"/>
    <w:basedOn w:val="Normal"/>
    <w:uiPriority w:val="1"/>
    <w:qFormat/>
    <w:rsid w:val="00A0670F"/>
    <w:pPr>
      <w:numPr>
        <w:ilvl w:val="2"/>
        <w:numId w:val="56"/>
      </w:numPr>
      <w:contextualSpacing/>
    </w:pPr>
  </w:style>
  <w:style w:type="paragraph" w:styleId="ListContinue2">
    <w:name w:val="List Continue 2"/>
    <w:basedOn w:val="Normal"/>
    <w:uiPriority w:val="3"/>
    <w:unhideWhenUsed/>
    <w:qFormat/>
    <w:rsid w:val="00A0670F"/>
    <w:pPr>
      <w:spacing w:before="60"/>
      <w:ind w:left="454"/>
    </w:pPr>
  </w:style>
  <w:style w:type="paragraph" w:styleId="ListNumber3">
    <w:name w:val="List Number 3"/>
    <w:basedOn w:val="Normal"/>
    <w:uiPriority w:val="13"/>
    <w:semiHidden/>
    <w:qFormat/>
    <w:rsid w:val="00A0670F"/>
    <w:pPr>
      <w:numPr>
        <w:ilvl w:val="2"/>
        <w:numId w:val="53"/>
      </w:numPr>
      <w:spacing w:before="60"/>
      <w:contextualSpacing/>
    </w:pPr>
  </w:style>
  <w:style w:type="paragraph" w:styleId="ListNumber4">
    <w:name w:val="List Number 4"/>
    <w:basedOn w:val="Normal"/>
    <w:uiPriority w:val="13"/>
    <w:semiHidden/>
    <w:qFormat/>
    <w:rsid w:val="00A0670F"/>
    <w:pPr>
      <w:numPr>
        <w:ilvl w:val="3"/>
        <w:numId w:val="53"/>
      </w:numPr>
      <w:spacing w:after="200" w:line="293" w:lineRule="auto"/>
      <w:contextualSpacing/>
    </w:pPr>
  </w:style>
  <w:style w:type="paragraph" w:styleId="ListNumber5">
    <w:name w:val="List Number 5"/>
    <w:basedOn w:val="Normal"/>
    <w:uiPriority w:val="13"/>
    <w:semiHidden/>
    <w:rsid w:val="00A0670F"/>
    <w:pPr>
      <w:numPr>
        <w:ilvl w:val="4"/>
        <w:numId w:val="53"/>
      </w:numPr>
      <w:spacing w:after="200" w:line="293" w:lineRule="auto"/>
      <w:contextualSpacing/>
    </w:pPr>
  </w:style>
  <w:style w:type="paragraph" w:styleId="ListContinue">
    <w:name w:val="List Continue"/>
    <w:basedOn w:val="Normal"/>
    <w:uiPriority w:val="3"/>
    <w:unhideWhenUsed/>
    <w:qFormat/>
    <w:rsid w:val="00A0670F"/>
    <w:pPr>
      <w:spacing w:before="60"/>
      <w:ind w:left="227"/>
    </w:pPr>
  </w:style>
  <w:style w:type="paragraph" w:styleId="ListContinue3">
    <w:name w:val="List Continue 3"/>
    <w:basedOn w:val="Normal"/>
    <w:uiPriority w:val="3"/>
    <w:unhideWhenUsed/>
    <w:qFormat/>
    <w:rsid w:val="00A0670F"/>
    <w:pPr>
      <w:spacing w:before="60"/>
      <w:ind w:left="907"/>
    </w:pPr>
  </w:style>
  <w:style w:type="paragraph" w:styleId="ListContinue4">
    <w:name w:val="List Continue 4"/>
    <w:basedOn w:val="Normal"/>
    <w:uiPriority w:val="3"/>
    <w:unhideWhenUsed/>
    <w:qFormat/>
    <w:rsid w:val="00A0670F"/>
    <w:pPr>
      <w:spacing w:line="293" w:lineRule="auto"/>
      <w:ind w:left="907"/>
      <w:contextualSpacing/>
    </w:pPr>
  </w:style>
  <w:style w:type="character" w:customStyle="1" w:styleId="Heading3Char">
    <w:name w:val="Heading 3 Char"/>
    <w:basedOn w:val="DefaultParagraphFont"/>
    <w:link w:val="Heading3"/>
    <w:uiPriority w:val="9"/>
    <w:rsid w:val="00A0670F"/>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A0670F"/>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A0670F"/>
    <w:rPr>
      <w:rFonts w:eastAsiaTheme="majorEastAsia" w:cstheme="majorBidi"/>
      <w:b/>
      <w:color w:val="265A9A" w:themeColor="background2"/>
      <w:szCs w:val="29"/>
    </w:rPr>
  </w:style>
  <w:style w:type="numbering" w:customStyle="1" w:styleId="ListHeadings">
    <w:name w:val="List Headings"/>
    <w:uiPriority w:val="99"/>
    <w:rsid w:val="00A0670F"/>
    <w:pPr>
      <w:numPr>
        <w:numId w:val="12"/>
      </w:numPr>
    </w:pPr>
  </w:style>
  <w:style w:type="paragraph" w:styleId="Title">
    <w:name w:val="Title"/>
    <w:basedOn w:val="Heading1"/>
    <w:next w:val="Normal"/>
    <w:link w:val="TitleChar"/>
    <w:uiPriority w:val="39"/>
    <w:rsid w:val="00A0670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A0670F"/>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A0670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A0670F"/>
    <w:rPr>
      <w:b/>
    </w:rPr>
  </w:style>
  <w:style w:type="character" w:customStyle="1" w:styleId="Pull-outQuoteChar">
    <w:name w:val="Pull-out Quote Char"/>
    <w:basedOn w:val="DefaultParagraphFont"/>
    <w:link w:val="Pull-outQuote"/>
    <w:uiPriority w:val="99"/>
    <w:semiHidden/>
    <w:rsid w:val="00A0670F"/>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A0670F"/>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A0670F"/>
  </w:style>
  <w:style w:type="paragraph" w:customStyle="1" w:styleId="NumberedHeading2">
    <w:name w:val="Numbered Heading 2"/>
    <w:basedOn w:val="Heading2"/>
    <w:next w:val="Normal"/>
    <w:link w:val="NumberedHeading2Char"/>
    <w:uiPriority w:val="9"/>
    <w:semiHidden/>
    <w:rsid w:val="00A0670F"/>
  </w:style>
  <w:style w:type="character" w:customStyle="1" w:styleId="NumberedHeading1Char">
    <w:name w:val="Numbered Heading 1 Char"/>
    <w:basedOn w:val="Heading1Char"/>
    <w:link w:val="NumberedHeading1"/>
    <w:uiPriority w:val="9"/>
    <w:semiHidden/>
    <w:rsid w:val="00A0670F"/>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A0670F"/>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A0670F"/>
    <w:pPr>
      <w:ind w:left="1134"/>
      <w:contextualSpacing/>
    </w:pPr>
  </w:style>
  <w:style w:type="table" w:styleId="TableGrid">
    <w:name w:val="Table Grid"/>
    <w:basedOn w:val="TableNormal"/>
    <w:uiPriority w:val="39"/>
    <w:rsid w:val="00A06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A0670F"/>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A0670F"/>
    <w:pPr>
      <w:numPr>
        <w:numId w:val="37"/>
      </w:numPr>
      <w:spacing w:before="60"/>
    </w:pPr>
  </w:style>
  <w:style w:type="paragraph" w:styleId="List2">
    <w:name w:val="List 2"/>
    <w:basedOn w:val="Normal"/>
    <w:uiPriority w:val="99"/>
    <w:semiHidden/>
    <w:qFormat/>
    <w:rsid w:val="00A0670F"/>
    <w:pPr>
      <w:numPr>
        <w:ilvl w:val="1"/>
        <w:numId w:val="37"/>
      </w:numPr>
      <w:spacing w:before="60"/>
    </w:pPr>
  </w:style>
  <w:style w:type="numbering" w:customStyle="1" w:styleId="LetteredList">
    <w:name w:val="Lettered List"/>
    <w:uiPriority w:val="99"/>
    <w:rsid w:val="00A0670F"/>
    <w:pPr>
      <w:numPr>
        <w:numId w:val="8"/>
      </w:numPr>
    </w:pPr>
  </w:style>
  <w:style w:type="paragraph" w:styleId="Subtitle">
    <w:name w:val="Subtitle"/>
    <w:basedOn w:val="Normal"/>
    <w:next w:val="Normal"/>
    <w:link w:val="SubtitleChar"/>
    <w:uiPriority w:val="39"/>
    <w:rsid w:val="00A0670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A0670F"/>
    <w:rPr>
      <w:rFonts w:eastAsiaTheme="minorEastAsia"/>
      <w:color w:val="FFFFFF" w:themeColor="background1"/>
      <w:sz w:val="52"/>
      <w:szCs w:val="20"/>
    </w:rPr>
  </w:style>
  <w:style w:type="character" w:styleId="Strong">
    <w:name w:val="Strong"/>
    <w:basedOn w:val="DefaultParagraphFont"/>
    <w:uiPriority w:val="22"/>
    <w:qFormat/>
    <w:rsid w:val="00A0670F"/>
    <w:rPr>
      <w:rFonts w:asciiTheme="minorHAnsi" w:hAnsiTheme="minorHAnsi"/>
      <w:b/>
      <w:bCs/>
    </w:rPr>
  </w:style>
  <w:style w:type="paragraph" w:customStyle="1" w:styleId="Header-Keyline">
    <w:name w:val="Header - Keyline"/>
    <w:basedOn w:val="Header"/>
    <w:link w:val="Header-KeylineChar"/>
    <w:uiPriority w:val="99"/>
    <w:rsid w:val="00A0670F"/>
    <w:pPr>
      <w:pBdr>
        <w:bottom w:val="single" w:sz="4" w:space="31" w:color="66BCDB" w:themeColor="text2"/>
      </w:pBdr>
      <w:spacing w:after="600"/>
    </w:pPr>
  </w:style>
  <w:style w:type="character" w:customStyle="1" w:styleId="Heading6Char">
    <w:name w:val="Heading 6 Char"/>
    <w:basedOn w:val="DefaultParagraphFont"/>
    <w:link w:val="Heading6"/>
    <w:uiPriority w:val="9"/>
    <w:rsid w:val="00A0670F"/>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A0670F"/>
    <w:rPr>
      <w:sz w:val="16"/>
      <w:szCs w:val="20"/>
    </w:rPr>
  </w:style>
  <w:style w:type="character" w:customStyle="1" w:styleId="Heading7Char">
    <w:name w:val="Heading 7 Char"/>
    <w:basedOn w:val="DefaultParagraphFont"/>
    <w:link w:val="Heading7"/>
    <w:uiPriority w:val="9"/>
    <w:semiHidden/>
    <w:rsid w:val="00A0670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A0670F"/>
    <w:rPr>
      <w:rFonts w:eastAsiaTheme="majorEastAsia" w:cstheme="majorBidi"/>
      <w:b/>
      <w:sz w:val="18"/>
      <w:szCs w:val="21"/>
    </w:rPr>
  </w:style>
  <w:style w:type="table" w:customStyle="1" w:styleId="ProductivityCommissionTable1">
    <w:name w:val="Productivity Commission Table 1"/>
    <w:basedOn w:val="TableNormal"/>
    <w:uiPriority w:val="99"/>
    <w:rsid w:val="00A0670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A0670F"/>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A0670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A0670F"/>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A0670F"/>
    <w:pPr>
      <w:spacing w:before="60" w:after="60" w:line="293" w:lineRule="auto"/>
      <w:contextualSpacing/>
    </w:pPr>
    <w:rPr>
      <w:sz w:val="18"/>
    </w:rPr>
  </w:style>
  <w:style w:type="paragraph" w:styleId="TOC1">
    <w:name w:val="toc 1"/>
    <w:basedOn w:val="Normal"/>
    <w:next w:val="BodyText"/>
    <w:autoRedefine/>
    <w:uiPriority w:val="39"/>
    <w:unhideWhenUsed/>
    <w:rsid w:val="00A0670F"/>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A0670F"/>
    <w:rPr>
      <w:sz w:val="18"/>
      <w:szCs w:val="20"/>
    </w:rPr>
  </w:style>
  <w:style w:type="character" w:styleId="FootnoteReference">
    <w:name w:val="footnote reference"/>
    <w:basedOn w:val="DefaultParagraphFont"/>
    <w:uiPriority w:val="99"/>
    <w:semiHidden/>
    <w:unhideWhenUsed/>
    <w:rsid w:val="00A0670F"/>
    <w:rPr>
      <w:vertAlign w:val="superscript"/>
    </w:rPr>
  </w:style>
  <w:style w:type="character" w:styleId="Hyperlink">
    <w:name w:val="Hyperlink"/>
    <w:basedOn w:val="DefaultParagraphFont"/>
    <w:uiPriority w:val="99"/>
    <w:unhideWhenUsed/>
    <w:rsid w:val="00A0670F"/>
    <w:rPr>
      <w:color w:val="000000" w:themeColor="hyperlink"/>
      <w:u w:val="single"/>
    </w:rPr>
  </w:style>
  <w:style w:type="character" w:styleId="HTMLVariable">
    <w:name w:val="HTML Variable"/>
    <w:basedOn w:val="DefaultParagraphFont"/>
    <w:uiPriority w:val="99"/>
    <w:unhideWhenUsed/>
    <w:rsid w:val="00A0670F"/>
    <w:rPr>
      <w:i/>
      <w:iCs/>
    </w:rPr>
  </w:style>
  <w:style w:type="paragraph" w:styleId="TOC2">
    <w:name w:val="toc 2"/>
    <w:basedOn w:val="Normal"/>
    <w:next w:val="Normal"/>
    <w:autoRedefine/>
    <w:uiPriority w:val="39"/>
    <w:unhideWhenUsed/>
    <w:rsid w:val="00A0670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A0670F"/>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A0670F"/>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A0670F"/>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A0670F"/>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A0670F"/>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A0670F"/>
    <w:rPr>
      <w:sz w:val="20"/>
      <w:szCs w:val="20"/>
    </w:rPr>
  </w:style>
  <w:style w:type="character" w:customStyle="1" w:styleId="Copyrightpage-Heading2Char">
    <w:name w:val="Copyright page-Heading 2 Char"/>
    <w:basedOn w:val="NoSpacingChar"/>
    <w:link w:val="Copyrightpage-Heading2"/>
    <w:uiPriority w:val="19"/>
    <w:rsid w:val="00A0670F"/>
    <w:rPr>
      <w:b/>
      <w:color w:val="FFFFFF" w:themeColor="background1"/>
      <w:sz w:val="16"/>
      <w:szCs w:val="16"/>
    </w:rPr>
  </w:style>
  <w:style w:type="paragraph" w:customStyle="1" w:styleId="Copyrightpage-Heading">
    <w:name w:val="Copyright page-Heading"/>
    <w:basedOn w:val="Subtitle2"/>
    <w:link w:val="Copyrightpage-HeadingChar"/>
    <w:uiPriority w:val="19"/>
    <w:rsid w:val="00A0670F"/>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A0670F"/>
    <w:rPr>
      <w:color w:val="FFFFFF" w:themeColor="background1"/>
      <w:sz w:val="16"/>
      <w:szCs w:val="20"/>
    </w:rPr>
  </w:style>
  <w:style w:type="paragraph" w:customStyle="1" w:styleId="Subtitle4">
    <w:name w:val="Subtitle 4"/>
    <w:basedOn w:val="Copyrightpage-Heading"/>
    <w:link w:val="Subtitle4Char"/>
    <w:uiPriority w:val="39"/>
    <w:rsid w:val="00A0670F"/>
    <w:pPr>
      <w:spacing w:after="40"/>
    </w:pPr>
    <w:rPr>
      <w:b/>
      <w:sz w:val="16"/>
    </w:rPr>
  </w:style>
  <w:style w:type="character" w:customStyle="1" w:styleId="Copyrightpage-HeadingChar">
    <w:name w:val="Copyright page-Heading Char"/>
    <w:basedOn w:val="Subtitle2Char"/>
    <w:link w:val="Copyrightpage-Heading"/>
    <w:uiPriority w:val="19"/>
    <w:rsid w:val="00A0670F"/>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A0670F"/>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A0670F"/>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A0670F"/>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A067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A0670F"/>
    <w:pPr>
      <w:spacing w:line="360" w:lineRule="auto"/>
      <w:jc w:val="right"/>
    </w:pPr>
    <w:rPr>
      <w:sz w:val="16"/>
    </w:rPr>
  </w:style>
  <w:style w:type="paragraph" w:customStyle="1" w:styleId="Letterlogo">
    <w:name w:val="Letter logo"/>
    <w:basedOn w:val="LetterRight"/>
    <w:uiPriority w:val="99"/>
    <w:rsid w:val="00A0670F"/>
    <w:pPr>
      <w:spacing w:after="320"/>
    </w:pPr>
  </w:style>
  <w:style w:type="character" w:customStyle="1" w:styleId="LetterRightChar">
    <w:name w:val="Letter Right Char"/>
    <w:basedOn w:val="DefaultParagraphFont"/>
    <w:link w:val="LetterRight"/>
    <w:uiPriority w:val="99"/>
    <w:rsid w:val="00A0670F"/>
    <w:rPr>
      <w:sz w:val="16"/>
      <w:szCs w:val="20"/>
    </w:rPr>
  </w:style>
  <w:style w:type="character" w:styleId="UnresolvedMention">
    <w:name w:val="Unresolved Mention"/>
    <w:basedOn w:val="DefaultParagraphFont"/>
    <w:uiPriority w:val="99"/>
    <w:semiHidden/>
    <w:unhideWhenUsed/>
    <w:rsid w:val="00A0670F"/>
    <w:rPr>
      <w:color w:val="605E5C"/>
      <w:shd w:val="clear" w:color="auto" w:fill="E1DFDD"/>
    </w:rPr>
  </w:style>
  <w:style w:type="paragraph" w:customStyle="1" w:styleId="LetterRight-NoSpace">
    <w:name w:val="Letter Right-No Space"/>
    <w:basedOn w:val="LetterRight"/>
    <w:uiPriority w:val="99"/>
    <w:rsid w:val="00A0670F"/>
    <w:pPr>
      <w:spacing w:after="0"/>
    </w:pPr>
  </w:style>
  <w:style w:type="table" w:customStyle="1" w:styleId="Blank">
    <w:name w:val="Blank"/>
    <w:basedOn w:val="TableNormal"/>
    <w:uiPriority w:val="99"/>
    <w:rsid w:val="00A0670F"/>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A0670F"/>
    <w:pPr>
      <w:numPr>
        <w:numId w:val="44"/>
      </w:numPr>
      <w:contextualSpacing/>
    </w:pPr>
  </w:style>
  <w:style w:type="paragraph" w:customStyle="1" w:styleId="Coverdate">
    <w:name w:val="Cover date"/>
    <w:basedOn w:val="Normal"/>
    <w:uiPriority w:val="29"/>
    <w:rsid w:val="00A0670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A0670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A0670F"/>
    <w:rPr>
      <w:color w:val="FFFFFF" w:themeColor="background1"/>
    </w:rPr>
  </w:style>
  <w:style w:type="paragraph" w:customStyle="1" w:styleId="Copyrightpage-Keylinenotext">
    <w:name w:val="Copyright page-Keyline (no text)"/>
    <w:basedOn w:val="Copyrightpage-Heading2"/>
    <w:uiPriority w:val="19"/>
    <w:rsid w:val="00A0670F"/>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A0670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A0670F"/>
    <w:rPr>
      <w:b/>
    </w:rPr>
  </w:style>
  <w:style w:type="paragraph" w:customStyle="1" w:styleId="CoverImage">
    <w:name w:val="Cover Image"/>
    <w:basedOn w:val="Normal"/>
    <w:uiPriority w:val="29"/>
    <w:rsid w:val="00A0670F"/>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A0670F"/>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A0670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0670F"/>
    <w:pPr>
      <w:spacing w:before="60"/>
      <w:ind w:left="113" w:right="851"/>
    </w:pPr>
    <w:rPr>
      <w:color w:val="58585B"/>
    </w:rPr>
  </w:style>
  <w:style w:type="numbering" w:customStyle="1" w:styleId="TOCList">
    <w:name w:val="TOC List"/>
    <w:uiPriority w:val="99"/>
    <w:rsid w:val="00A0670F"/>
    <w:pPr>
      <w:numPr>
        <w:numId w:val="16"/>
      </w:numPr>
    </w:pPr>
  </w:style>
  <w:style w:type="paragraph" w:customStyle="1" w:styleId="Heading1-Section-fullpage">
    <w:name w:val="Heading 1-Section-full page"/>
    <w:basedOn w:val="Heading1-nobackground"/>
    <w:uiPriority w:val="9"/>
    <w:qFormat/>
    <w:rsid w:val="00A0670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A0670F"/>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A0670F"/>
    <w:pPr>
      <w:keepNext/>
      <w:spacing w:before="240"/>
    </w:pPr>
  </w:style>
  <w:style w:type="paragraph" w:customStyle="1" w:styleId="Source">
    <w:name w:val="Source"/>
    <w:basedOn w:val="Normal"/>
    <w:uiPriority w:val="9"/>
    <w:qFormat/>
    <w:rsid w:val="00A0670F"/>
    <w:pPr>
      <w:spacing w:before="80" w:after="240" w:line="216" w:lineRule="atLeast"/>
    </w:pPr>
    <w:rPr>
      <w:sz w:val="18"/>
    </w:rPr>
  </w:style>
  <w:style w:type="paragraph" w:customStyle="1" w:styleId="Note">
    <w:name w:val="Note"/>
    <w:basedOn w:val="Source"/>
    <w:uiPriority w:val="9"/>
    <w:qFormat/>
    <w:rsid w:val="00A0670F"/>
    <w:pPr>
      <w:spacing w:after="20"/>
    </w:pPr>
  </w:style>
  <w:style w:type="numbering" w:customStyle="1" w:styleId="Figure">
    <w:name w:val="Figure"/>
    <w:uiPriority w:val="99"/>
    <w:rsid w:val="00A0670F"/>
    <w:pPr>
      <w:numPr>
        <w:numId w:val="6"/>
      </w:numPr>
    </w:pPr>
  </w:style>
  <w:style w:type="table" w:customStyle="1" w:styleId="Boxtable">
    <w:name w:val="Box table"/>
    <w:basedOn w:val="Texttable-Paleblue"/>
    <w:uiPriority w:val="99"/>
    <w:rsid w:val="00A0670F"/>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A0670F"/>
    <w:pPr>
      <w:numPr>
        <w:numId w:val="4"/>
      </w:numPr>
    </w:pPr>
  </w:style>
  <w:style w:type="paragraph" w:customStyle="1" w:styleId="BoxHeading2">
    <w:name w:val="Box Heading 2"/>
    <w:basedOn w:val="Normal"/>
    <w:next w:val="BodyText"/>
    <w:uiPriority w:val="4"/>
    <w:qFormat/>
    <w:rsid w:val="00A0670F"/>
    <w:rPr>
      <w:b/>
    </w:rPr>
  </w:style>
  <w:style w:type="table" w:customStyle="1" w:styleId="ProductivityCommissionTable2-Dark">
    <w:name w:val="Productivity Commission Table 2 - Dark"/>
    <w:basedOn w:val="ProductivityCommissionTable2"/>
    <w:uiPriority w:val="99"/>
    <w:rsid w:val="00A0670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A0670F"/>
    <w:rPr>
      <w:i/>
    </w:rPr>
  </w:style>
  <w:style w:type="paragraph" w:customStyle="1" w:styleId="TableHeading">
    <w:name w:val="Table Heading"/>
    <w:basedOn w:val="NoSpacing"/>
    <w:uiPriority w:val="4"/>
    <w:qFormat/>
    <w:rsid w:val="00A0670F"/>
    <w:pPr>
      <w:spacing w:after="20"/>
      <w:ind w:left="57"/>
    </w:pPr>
    <w:rPr>
      <w:b/>
      <w:color w:val="265A9A" w:themeColor="background2"/>
      <w:sz w:val="18"/>
    </w:rPr>
  </w:style>
  <w:style w:type="paragraph" w:customStyle="1" w:styleId="BodyText-Blue">
    <w:name w:val="Body Text-Blue"/>
    <w:basedOn w:val="BodyText"/>
    <w:link w:val="BodyText-BlueChar"/>
    <w:semiHidden/>
    <w:qFormat/>
    <w:rsid w:val="00A0670F"/>
    <w:rPr>
      <w:color w:val="265A9A" w:themeColor="background2"/>
    </w:rPr>
  </w:style>
  <w:style w:type="table" w:customStyle="1" w:styleId="Texttable-Keyline">
    <w:name w:val="Text table-Keyline"/>
    <w:basedOn w:val="Texttable-Paleblue"/>
    <w:uiPriority w:val="99"/>
    <w:rsid w:val="00A0670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A0670F"/>
    <w:pPr>
      <w:jc w:val="right"/>
    </w:pPr>
  </w:style>
  <w:style w:type="table" w:customStyle="1" w:styleId="CopyrightPage">
    <w:name w:val="Copyright Page"/>
    <w:basedOn w:val="OverviewPageBannerTableStyle"/>
    <w:uiPriority w:val="99"/>
    <w:rsid w:val="00A0670F"/>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A0670F"/>
    <w:pPr>
      <w:spacing w:line="312" w:lineRule="atLeast"/>
    </w:pPr>
    <w:rPr>
      <w:color w:val="2C9BC2"/>
    </w:rPr>
  </w:style>
  <w:style w:type="paragraph" w:styleId="BodyText">
    <w:name w:val="Body Text"/>
    <w:basedOn w:val="Normal"/>
    <w:link w:val="BodyTextChar"/>
    <w:qFormat/>
    <w:rsid w:val="00A0670F"/>
  </w:style>
  <w:style w:type="character" w:customStyle="1" w:styleId="BodyTextChar">
    <w:name w:val="Body Text Char"/>
    <w:basedOn w:val="DefaultParagraphFont"/>
    <w:link w:val="BodyText"/>
    <w:rsid w:val="00A0670F"/>
    <w:rPr>
      <w:sz w:val="20"/>
      <w:szCs w:val="20"/>
    </w:rPr>
  </w:style>
  <w:style w:type="paragraph" w:styleId="List4">
    <w:name w:val="List 4"/>
    <w:basedOn w:val="Normal"/>
    <w:uiPriority w:val="99"/>
    <w:semiHidden/>
    <w:rsid w:val="00A0670F"/>
    <w:pPr>
      <w:numPr>
        <w:ilvl w:val="3"/>
        <w:numId w:val="37"/>
      </w:numPr>
      <w:contextualSpacing/>
    </w:pPr>
  </w:style>
  <w:style w:type="paragraph" w:styleId="List3">
    <w:name w:val="List 3"/>
    <w:basedOn w:val="Normal"/>
    <w:uiPriority w:val="99"/>
    <w:semiHidden/>
    <w:rsid w:val="00A0670F"/>
    <w:pPr>
      <w:numPr>
        <w:ilvl w:val="2"/>
        <w:numId w:val="37"/>
      </w:numPr>
      <w:contextualSpacing/>
    </w:pPr>
  </w:style>
  <w:style w:type="paragraph" w:customStyle="1" w:styleId="Heading1-nonumber">
    <w:name w:val="Heading 1-no number"/>
    <w:basedOn w:val="Heading1"/>
    <w:next w:val="BodyText"/>
    <w:uiPriority w:val="9"/>
    <w:qFormat/>
    <w:rsid w:val="00A0670F"/>
    <w:pPr>
      <w:numPr>
        <w:numId w:val="0"/>
      </w:numPr>
      <w:ind w:left="567"/>
    </w:pPr>
  </w:style>
  <w:style w:type="paragraph" w:customStyle="1" w:styleId="ListAlpha1">
    <w:name w:val="List Alpha 1"/>
    <w:basedOn w:val="Normal"/>
    <w:uiPriority w:val="3"/>
    <w:qFormat/>
    <w:rsid w:val="00A0670F"/>
    <w:pPr>
      <w:numPr>
        <w:numId w:val="41"/>
      </w:numPr>
      <w:spacing w:before="60"/>
      <w:contextualSpacing/>
    </w:pPr>
  </w:style>
  <w:style w:type="paragraph" w:customStyle="1" w:styleId="ListAlpha2">
    <w:name w:val="List Alpha 2"/>
    <w:basedOn w:val="ListAlpha1"/>
    <w:uiPriority w:val="3"/>
    <w:qFormat/>
    <w:rsid w:val="00A0670F"/>
    <w:pPr>
      <w:numPr>
        <w:ilvl w:val="1"/>
      </w:numPr>
    </w:pPr>
  </w:style>
  <w:style w:type="paragraph" w:customStyle="1" w:styleId="ListAlpha3">
    <w:name w:val="List Alpha 3"/>
    <w:basedOn w:val="ListAlpha2"/>
    <w:uiPriority w:val="3"/>
    <w:qFormat/>
    <w:rsid w:val="00A0670F"/>
    <w:pPr>
      <w:numPr>
        <w:ilvl w:val="2"/>
      </w:numPr>
    </w:pPr>
  </w:style>
  <w:style w:type="paragraph" w:customStyle="1" w:styleId="ListAlpha4">
    <w:name w:val="List Alpha 4"/>
    <w:basedOn w:val="ListAlpha3"/>
    <w:uiPriority w:val="3"/>
    <w:semiHidden/>
    <w:qFormat/>
    <w:rsid w:val="00A0670F"/>
    <w:pPr>
      <w:numPr>
        <w:ilvl w:val="3"/>
      </w:numPr>
    </w:pPr>
  </w:style>
  <w:style w:type="numbering" w:customStyle="1" w:styleId="Alphalist">
    <w:name w:val="Alpha list"/>
    <w:uiPriority w:val="99"/>
    <w:rsid w:val="00A0670F"/>
    <w:pPr>
      <w:numPr>
        <w:numId w:val="1"/>
      </w:numPr>
    </w:pPr>
  </w:style>
  <w:style w:type="paragraph" w:customStyle="1" w:styleId="KeyPoints-Bold">
    <w:name w:val="Key Points-Bold"/>
    <w:basedOn w:val="Normal"/>
    <w:uiPriority w:val="10"/>
    <w:qFormat/>
    <w:rsid w:val="00A0670F"/>
    <w:pPr>
      <w:spacing w:before="40" w:after="60" w:line="274" w:lineRule="atLeast"/>
    </w:pPr>
    <w:rPr>
      <w:b/>
      <w:sz w:val="18"/>
    </w:rPr>
  </w:style>
  <w:style w:type="paragraph" w:customStyle="1" w:styleId="Copyrightpage-BodyBold">
    <w:name w:val="Copyright page-Body Bold"/>
    <w:basedOn w:val="Copyrightpage-BodyText"/>
    <w:uiPriority w:val="19"/>
    <w:rsid w:val="00A0670F"/>
    <w:rPr>
      <w:b/>
    </w:rPr>
  </w:style>
  <w:style w:type="paragraph" w:customStyle="1" w:styleId="KeyPoints-Bullet">
    <w:name w:val="Key Points-Bullet"/>
    <w:basedOn w:val="ListBullet"/>
    <w:uiPriority w:val="10"/>
    <w:qFormat/>
    <w:rsid w:val="00A0670F"/>
    <w:pPr>
      <w:spacing w:after="60" w:line="274" w:lineRule="atLeast"/>
    </w:pPr>
    <w:rPr>
      <w:sz w:val="18"/>
    </w:rPr>
  </w:style>
  <w:style w:type="paragraph" w:customStyle="1" w:styleId="BodyText-Grey">
    <w:name w:val="Body Text-Grey"/>
    <w:basedOn w:val="BodyText"/>
    <w:link w:val="BodyText-GreyChar"/>
    <w:semiHidden/>
    <w:qFormat/>
    <w:rsid w:val="00A0670F"/>
    <w:rPr>
      <w:color w:val="58585B"/>
    </w:rPr>
  </w:style>
  <w:style w:type="character" w:customStyle="1" w:styleId="BodyText-GreyChar">
    <w:name w:val="Body Text-Grey Char"/>
    <w:basedOn w:val="BodyTextChar"/>
    <w:link w:val="BodyText-Grey"/>
    <w:semiHidden/>
    <w:rsid w:val="00A0670F"/>
    <w:rPr>
      <w:color w:val="58585B"/>
      <w:sz w:val="20"/>
      <w:szCs w:val="20"/>
    </w:rPr>
  </w:style>
  <w:style w:type="paragraph" w:styleId="BalloonText">
    <w:name w:val="Balloon Text"/>
    <w:basedOn w:val="Normal"/>
    <w:link w:val="BalloonTextChar"/>
    <w:uiPriority w:val="99"/>
    <w:semiHidden/>
    <w:unhideWhenUsed/>
    <w:rsid w:val="00A06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70F"/>
    <w:rPr>
      <w:rFonts w:ascii="Segoe UI" w:hAnsi="Segoe UI" w:cs="Segoe UI"/>
      <w:sz w:val="18"/>
      <w:szCs w:val="18"/>
    </w:rPr>
  </w:style>
  <w:style w:type="character" w:styleId="CommentReference">
    <w:name w:val="annotation reference"/>
    <w:basedOn w:val="DefaultParagraphFont"/>
    <w:uiPriority w:val="99"/>
    <w:unhideWhenUsed/>
    <w:rsid w:val="00A0670F"/>
    <w:rPr>
      <w:sz w:val="16"/>
      <w:szCs w:val="16"/>
    </w:rPr>
  </w:style>
  <w:style w:type="paragraph" w:styleId="CommentText">
    <w:name w:val="annotation text"/>
    <w:basedOn w:val="Normal"/>
    <w:link w:val="CommentTextChar"/>
    <w:uiPriority w:val="99"/>
    <w:unhideWhenUsed/>
    <w:rsid w:val="00A0670F"/>
    <w:pPr>
      <w:spacing w:line="240" w:lineRule="auto"/>
    </w:pPr>
  </w:style>
  <w:style w:type="character" w:customStyle="1" w:styleId="CommentTextChar">
    <w:name w:val="Comment Text Char"/>
    <w:basedOn w:val="DefaultParagraphFont"/>
    <w:link w:val="CommentText"/>
    <w:uiPriority w:val="99"/>
    <w:rsid w:val="00A0670F"/>
    <w:rPr>
      <w:sz w:val="20"/>
      <w:szCs w:val="20"/>
    </w:rPr>
  </w:style>
  <w:style w:type="paragraph" w:styleId="CommentSubject">
    <w:name w:val="annotation subject"/>
    <w:basedOn w:val="CommentText"/>
    <w:next w:val="CommentText"/>
    <w:link w:val="CommentSubjectChar"/>
    <w:uiPriority w:val="99"/>
    <w:semiHidden/>
    <w:unhideWhenUsed/>
    <w:rsid w:val="00A0670F"/>
    <w:rPr>
      <w:b/>
      <w:bCs/>
    </w:rPr>
  </w:style>
  <w:style w:type="character" w:customStyle="1" w:styleId="CommentSubjectChar">
    <w:name w:val="Comment Subject Char"/>
    <w:basedOn w:val="CommentTextChar"/>
    <w:link w:val="CommentSubject"/>
    <w:uiPriority w:val="99"/>
    <w:semiHidden/>
    <w:rsid w:val="00A0670F"/>
    <w:rPr>
      <w:b/>
      <w:bCs/>
      <w:sz w:val="20"/>
      <w:szCs w:val="20"/>
    </w:rPr>
  </w:style>
  <w:style w:type="character" w:customStyle="1" w:styleId="ColourBlue">
    <w:name w:val="Colour Blue"/>
    <w:basedOn w:val="DefaultParagraphFont"/>
    <w:uiPriority w:val="22"/>
    <w:qFormat/>
    <w:rsid w:val="00A0670F"/>
    <w:rPr>
      <w:color w:val="66BCDB" w:themeColor="text2"/>
    </w:rPr>
  </w:style>
  <w:style w:type="character" w:customStyle="1" w:styleId="ColourDarkBlue">
    <w:name w:val="Colour Dark Blue"/>
    <w:basedOn w:val="ColourBlue"/>
    <w:uiPriority w:val="22"/>
    <w:qFormat/>
    <w:rsid w:val="00A0670F"/>
    <w:rPr>
      <w:color w:val="265A9A" w:themeColor="background2"/>
    </w:rPr>
  </w:style>
  <w:style w:type="paragraph" w:customStyle="1" w:styleId="BodyText-Beforebullet">
    <w:name w:val="Body Text-Before bullet"/>
    <w:basedOn w:val="BodyText"/>
    <w:link w:val="BodyText-BeforebulletChar"/>
    <w:semiHidden/>
    <w:unhideWhenUsed/>
    <w:rsid w:val="00A0670F"/>
    <w:pPr>
      <w:spacing w:after="20"/>
    </w:pPr>
  </w:style>
  <w:style w:type="paragraph" w:customStyle="1" w:styleId="PullQuote">
    <w:name w:val="Pull Quote"/>
    <w:basedOn w:val="BodyText"/>
    <w:next w:val="BodyText"/>
    <w:uiPriority w:val="10"/>
    <w:qFormat/>
    <w:rsid w:val="00A0670F"/>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A0670F"/>
    <w:rPr>
      <w:sz w:val="20"/>
      <w:szCs w:val="20"/>
    </w:rPr>
  </w:style>
  <w:style w:type="paragraph" w:customStyle="1" w:styleId="TableBody">
    <w:name w:val="Table Body"/>
    <w:basedOn w:val="NoSpacing"/>
    <w:uiPriority w:val="4"/>
    <w:qFormat/>
    <w:rsid w:val="00A0670F"/>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A0670F"/>
    <w:pPr>
      <w:spacing w:before="60"/>
      <w:jc w:val="right"/>
    </w:pPr>
  </w:style>
  <w:style w:type="paragraph" w:customStyle="1" w:styleId="FigureTableSubheading">
    <w:name w:val="Figure/Table Subheading"/>
    <w:basedOn w:val="FigureTableHeading"/>
    <w:uiPriority w:val="4"/>
    <w:qFormat/>
    <w:rsid w:val="00A0670F"/>
    <w:pPr>
      <w:spacing w:before="40"/>
    </w:pPr>
    <w:rPr>
      <w:color w:val="58585B"/>
    </w:rPr>
  </w:style>
  <w:style w:type="table" w:customStyle="1" w:styleId="TextTable-Grey">
    <w:name w:val="Text Table-Grey"/>
    <w:basedOn w:val="Texttable-Paleblue"/>
    <w:uiPriority w:val="99"/>
    <w:rsid w:val="00A0670F"/>
    <w:rPr>
      <w:color w:val="265A9A" w:themeColor="background2"/>
    </w:rPr>
    <w:tblPr/>
    <w:tcPr>
      <w:shd w:val="clear" w:color="auto" w:fill="F2F2F2"/>
    </w:tcPr>
  </w:style>
  <w:style w:type="character" w:customStyle="1" w:styleId="BodyText-BlueChar">
    <w:name w:val="Body Text-Blue Char"/>
    <w:basedOn w:val="BodyTextChar"/>
    <w:link w:val="BodyText-Blue"/>
    <w:semiHidden/>
    <w:rsid w:val="00A0670F"/>
    <w:rPr>
      <w:color w:val="265A9A" w:themeColor="background2"/>
      <w:sz w:val="20"/>
      <w:szCs w:val="20"/>
    </w:rPr>
  </w:style>
  <w:style w:type="paragraph" w:customStyle="1" w:styleId="Heading3-nonumber">
    <w:name w:val="Heading 3-no number"/>
    <w:basedOn w:val="Heading3"/>
    <w:uiPriority w:val="9"/>
    <w:semiHidden/>
    <w:qFormat/>
    <w:rsid w:val="00A0670F"/>
  </w:style>
  <w:style w:type="paragraph" w:customStyle="1" w:styleId="Heading1-nobackground">
    <w:name w:val="Heading 1-no background"/>
    <w:basedOn w:val="Heading1"/>
    <w:next w:val="BodyText"/>
    <w:uiPriority w:val="9"/>
    <w:qFormat/>
    <w:rsid w:val="00A0670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A0670F"/>
    <w:rPr>
      <w:color w:val="58585B"/>
      <w:sz w:val="20"/>
      <w:szCs w:val="20"/>
    </w:rPr>
  </w:style>
  <w:style w:type="paragraph" w:customStyle="1" w:styleId="TableHeading-numbered">
    <w:name w:val="Table Heading-numbered"/>
    <w:basedOn w:val="Normal"/>
    <w:semiHidden/>
    <w:qFormat/>
    <w:rsid w:val="00A0670F"/>
    <w:pPr>
      <w:numPr>
        <w:numId w:val="57"/>
      </w:numPr>
      <w:spacing w:before="60"/>
      <w:contextualSpacing/>
    </w:pPr>
    <w:rPr>
      <w:b/>
      <w:color w:val="265A9A" w:themeColor="background2"/>
    </w:rPr>
  </w:style>
  <w:style w:type="numbering" w:customStyle="1" w:styleId="TableList">
    <w:name w:val="TableList"/>
    <w:uiPriority w:val="99"/>
    <w:rsid w:val="00A0670F"/>
    <w:pPr>
      <w:numPr>
        <w:numId w:val="15"/>
      </w:numPr>
    </w:pPr>
  </w:style>
  <w:style w:type="paragraph" w:customStyle="1" w:styleId="Footer-right">
    <w:name w:val="Footer-right"/>
    <w:basedOn w:val="Footer"/>
    <w:uiPriority w:val="11"/>
    <w:rsid w:val="00A0670F"/>
    <w:pPr>
      <w:jc w:val="right"/>
    </w:pPr>
    <w:rPr>
      <w:szCs w:val="24"/>
    </w:rPr>
  </w:style>
  <w:style w:type="paragraph" w:customStyle="1" w:styleId="Heading2-nonumber">
    <w:name w:val="Heading 2-no number"/>
    <w:basedOn w:val="Heading2"/>
    <w:uiPriority w:val="9"/>
    <w:qFormat/>
    <w:rsid w:val="00A0670F"/>
    <w:pPr>
      <w:numPr>
        <w:ilvl w:val="0"/>
        <w:numId w:val="0"/>
      </w:numPr>
    </w:pPr>
  </w:style>
  <w:style w:type="paragraph" w:customStyle="1" w:styleId="Heading-Appendix">
    <w:name w:val="Heading-Appendix"/>
    <w:basedOn w:val="Heading1-nonumber"/>
    <w:next w:val="BodyText"/>
    <w:uiPriority w:val="9"/>
    <w:qFormat/>
    <w:rsid w:val="00A0670F"/>
    <w:pPr>
      <w:numPr>
        <w:numId w:val="30"/>
      </w:numPr>
    </w:pPr>
  </w:style>
  <w:style w:type="numbering" w:customStyle="1" w:styleId="AppendixHeading">
    <w:name w:val="AppendixHeading"/>
    <w:uiPriority w:val="99"/>
    <w:rsid w:val="00A0670F"/>
    <w:pPr>
      <w:numPr>
        <w:numId w:val="3"/>
      </w:numPr>
    </w:pPr>
  </w:style>
  <w:style w:type="paragraph" w:customStyle="1" w:styleId="DraftingNote">
    <w:name w:val="Drafting Note"/>
    <w:basedOn w:val="BodyText"/>
    <w:link w:val="DraftingNoteChar"/>
    <w:qFormat/>
    <w:rsid w:val="00A0670F"/>
    <w:pPr>
      <w:contextualSpacing/>
    </w:pPr>
    <w:rPr>
      <w:color w:val="A22D2B"/>
      <w:sz w:val="24"/>
      <w:u w:val="dotted"/>
    </w:rPr>
  </w:style>
  <w:style w:type="character" w:customStyle="1" w:styleId="DraftingNoteChar">
    <w:name w:val="Drafting Note Char"/>
    <w:basedOn w:val="BodyTextChar"/>
    <w:link w:val="DraftingNote"/>
    <w:rsid w:val="00A0670F"/>
    <w:rPr>
      <w:color w:val="A22D2B"/>
      <w:sz w:val="24"/>
      <w:szCs w:val="20"/>
      <w:u w:val="dotted"/>
    </w:rPr>
  </w:style>
  <w:style w:type="paragraph" w:customStyle="1" w:styleId="BoxHeading1">
    <w:name w:val="Box Heading 1"/>
    <w:basedOn w:val="FigureTableHeading"/>
    <w:next w:val="BodyText"/>
    <w:uiPriority w:val="4"/>
    <w:qFormat/>
    <w:rsid w:val="00A0670F"/>
    <w:pPr>
      <w:spacing w:after="0"/>
    </w:pPr>
  </w:style>
  <w:style w:type="character" w:styleId="Emphasis">
    <w:name w:val="Emphasis"/>
    <w:basedOn w:val="DefaultParagraphFont"/>
    <w:uiPriority w:val="22"/>
    <w:qFormat/>
    <w:rsid w:val="00A0670F"/>
    <w:rPr>
      <w:i/>
      <w:iCs/>
    </w:rPr>
  </w:style>
  <w:style w:type="paragraph" w:customStyle="1" w:styleId="Reference">
    <w:name w:val="Reference"/>
    <w:basedOn w:val="BodyText"/>
    <w:qFormat/>
    <w:rsid w:val="00A0670F"/>
    <w:pPr>
      <w:spacing w:before="0" w:after="60" w:line="200" w:lineRule="exact"/>
    </w:pPr>
    <w:rPr>
      <w:sz w:val="16"/>
    </w:rPr>
  </w:style>
  <w:style w:type="paragraph" w:customStyle="1" w:styleId="Keypoints-heading">
    <w:name w:val="Key points-heading"/>
    <w:basedOn w:val="Heading3"/>
    <w:uiPriority w:val="10"/>
    <w:qFormat/>
    <w:rsid w:val="00A0670F"/>
    <w:rPr>
      <w:color w:val="auto"/>
    </w:rPr>
  </w:style>
  <w:style w:type="paragraph" w:customStyle="1" w:styleId="Heading2-Appendix">
    <w:name w:val="Heading 2-Appendix"/>
    <w:basedOn w:val="Heading2-nonumber"/>
    <w:next w:val="Normal"/>
    <w:uiPriority w:val="10"/>
    <w:qFormat/>
    <w:rsid w:val="00A0670F"/>
    <w:pPr>
      <w:numPr>
        <w:ilvl w:val="1"/>
        <w:numId w:val="30"/>
      </w:numPr>
    </w:pPr>
  </w:style>
  <w:style w:type="numbering" w:customStyle="1" w:styleId="AppendixHeadingList">
    <w:name w:val="Appendix Heading List"/>
    <w:uiPriority w:val="99"/>
    <w:rsid w:val="00A0670F"/>
    <w:pPr>
      <w:numPr>
        <w:numId w:val="2"/>
      </w:numPr>
    </w:pPr>
  </w:style>
  <w:style w:type="paragraph" w:customStyle="1" w:styleId="Space">
    <w:name w:val="Space"/>
    <w:basedOn w:val="BodyText"/>
    <w:uiPriority w:val="1"/>
    <w:rsid w:val="00A0670F"/>
    <w:pPr>
      <w:spacing w:before="0" w:after="0"/>
    </w:pPr>
  </w:style>
  <w:style w:type="paragraph" w:customStyle="1" w:styleId="QuoteBullet">
    <w:name w:val="Quote Bullet"/>
    <w:basedOn w:val="ListBullet"/>
    <w:link w:val="QuoteBulletChar"/>
    <w:uiPriority w:val="1"/>
    <w:qFormat/>
    <w:rsid w:val="00A0670F"/>
    <w:pPr>
      <w:spacing w:before="60"/>
      <w:ind w:left="340" w:right="851"/>
    </w:pPr>
    <w:rPr>
      <w:color w:val="58585B"/>
    </w:rPr>
  </w:style>
  <w:style w:type="character" w:customStyle="1" w:styleId="ListBulletChar">
    <w:name w:val="List Bullet Char"/>
    <w:basedOn w:val="DefaultParagraphFont"/>
    <w:link w:val="ListBullet"/>
    <w:uiPriority w:val="1"/>
    <w:rsid w:val="00A0670F"/>
    <w:rPr>
      <w:sz w:val="20"/>
      <w:szCs w:val="20"/>
    </w:rPr>
  </w:style>
  <w:style w:type="character" w:customStyle="1" w:styleId="QuoteBulletChar">
    <w:name w:val="Quote Bullet Char"/>
    <w:basedOn w:val="ListBulletChar"/>
    <w:link w:val="QuoteBullet"/>
    <w:uiPriority w:val="1"/>
    <w:rsid w:val="00A0670F"/>
    <w:rPr>
      <w:color w:val="58585B"/>
      <w:sz w:val="20"/>
      <w:szCs w:val="20"/>
    </w:rPr>
  </w:style>
  <w:style w:type="paragraph" w:customStyle="1" w:styleId="Figurecharttitle">
    <w:name w:val="Figure chart title"/>
    <w:basedOn w:val="BodyText"/>
    <w:uiPriority w:val="10"/>
    <w:qFormat/>
    <w:rsid w:val="00A0670F"/>
    <w:pPr>
      <w:spacing w:before="0" w:after="0"/>
      <w:ind w:left="284" w:hanging="284"/>
    </w:pPr>
    <w:rPr>
      <w:sz w:val="18"/>
      <w:szCs w:val="18"/>
    </w:rPr>
  </w:style>
  <w:style w:type="paragraph" w:customStyle="1" w:styleId="TableListBullet">
    <w:name w:val="Table List Bullet"/>
    <w:basedOn w:val="ListBullet"/>
    <w:uiPriority w:val="10"/>
    <w:qFormat/>
    <w:rsid w:val="00A0670F"/>
    <w:pPr>
      <w:spacing w:before="0" w:after="20"/>
      <w:ind w:left="170" w:hanging="113"/>
    </w:pPr>
  </w:style>
  <w:style w:type="paragraph" w:styleId="Bibliography">
    <w:name w:val="Bibliography"/>
    <w:basedOn w:val="Normal"/>
    <w:next w:val="Normal"/>
    <w:uiPriority w:val="37"/>
    <w:unhideWhenUsed/>
    <w:rsid w:val="002C4C30"/>
    <w:pPr>
      <w:spacing w:after="240" w:line="240" w:lineRule="atLeast"/>
      <w:ind w:left="720" w:hanging="720"/>
    </w:pPr>
  </w:style>
  <w:style w:type="character" w:styleId="Mention">
    <w:name w:val="Mention"/>
    <w:basedOn w:val="DefaultParagraphFont"/>
    <w:uiPriority w:val="99"/>
    <w:unhideWhenUsed/>
    <w:rsid w:val="00B0069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0229">
      <w:bodyDiv w:val="1"/>
      <w:marLeft w:val="0"/>
      <w:marRight w:val="0"/>
      <w:marTop w:val="0"/>
      <w:marBottom w:val="0"/>
      <w:divBdr>
        <w:top w:val="none" w:sz="0" w:space="0" w:color="auto"/>
        <w:left w:val="none" w:sz="0" w:space="0" w:color="auto"/>
        <w:bottom w:val="none" w:sz="0" w:space="0" w:color="auto"/>
        <w:right w:val="none" w:sz="0" w:space="0" w:color="auto"/>
      </w:divBdr>
    </w:div>
    <w:div w:id="507524940">
      <w:bodyDiv w:val="1"/>
      <w:marLeft w:val="0"/>
      <w:marRight w:val="0"/>
      <w:marTop w:val="0"/>
      <w:marBottom w:val="0"/>
      <w:divBdr>
        <w:top w:val="none" w:sz="0" w:space="0" w:color="auto"/>
        <w:left w:val="none" w:sz="0" w:space="0" w:color="auto"/>
        <w:bottom w:val="none" w:sz="0" w:space="0" w:color="auto"/>
        <w:right w:val="none" w:sz="0" w:space="0" w:color="auto"/>
      </w:divBdr>
    </w:div>
    <w:div w:id="703598353">
      <w:bodyDiv w:val="1"/>
      <w:marLeft w:val="0"/>
      <w:marRight w:val="0"/>
      <w:marTop w:val="0"/>
      <w:marBottom w:val="0"/>
      <w:divBdr>
        <w:top w:val="none" w:sz="0" w:space="0" w:color="auto"/>
        <w:left w:val="none" w:sz="0" w:space="0" w:color="auto"/>
        <w:bottom w:val="none" w:sz="0" w:space="0" w:color="auto"/>
        <w:right w:val="none" w:sz="0" w:space="0" w:color="auto"/>
      </w:divBdr>
    </w:div>
    <w:div w:id="956253868">
      <w:bodyDiv w:val="1"/>
      <w:marLeft w:val="0"/>
      <w:marRight w:val="0"/>
      <w:marTop w:val="0"/>
      <w:marBottom w:val="0"/>
      <w:divBdr>
        <w:top w:val="none" w:sz="0" w:space="0" w:color="auto"/>
        <w:left w:val="none" w:sz="0" w:space="0" w:color="auto"/>
        <w:bottom w:val="none" w:sz="0" w:space="0" w:color="auto"/>
        <w:right w:val="none" w:sz="0" w:space="0" w:color="auto"/>
      </w:divBdr>
    </w:div>
    <w:div w:id="957179526">
      <w:bodyDiv w:val="1"/>
      <w:marLeft w:val="0"/>
      <w:marRight w:val="0"/>
      <w:marTop w:val="0"/>
      <w:marBottom w:val="0"/>
      <w:divBdr>
        <w:top w:val="none" w:sz="0" w:space="0" w:color="auto"/>
        <w:left w:val="none" w:sz="0" w:space="0" w:color="auto"/>
        <w:bottom w:val="none" w:sz="0" w:space="0" w:color="auto"/>
        <w:right w:val="none" w:sz="0" w:space="0" w:color="auto"/>
      </w:divBdr>
    </w:div>
    <w:div w:id="1166431811">
      <w:bodyDiv w:val="1"/>
      <w:marLeft w:val="0"/>
      <w:marRight w:val="0"/>
      <w:marTop w:val="0"/>
      <w:marBottom w:val="0"/>
      <w:divBdr>
        <w:top w:val="none" w:sz="0" w:space="0" w:color="auto"/>
        <w:left w:val="none" w:sz="0" w:space="0" w:color="auto"/>
        <w:bottom w:val="none" w:sz="0" w:space="0" w:color="auto"/>
        <w:right w:val="none" w:sz="0" w:space="0" w:color="auto"/>
      </w:divBdr>
    </w:div>
    <w:div w:id="1949925307">
      <w:bodyDiv w:val="1"/>
      <w:marLeft w:val="0"/>
      <w:marRight w:val="0"/>
      <w:marTop w:val="0"/>
      <w:marBottom w:val="0"/>
      <w:divBdr>
        <w:top w:val="none" w:sz="0" w:space="0" w:color="auto"/>
        <w:left w:val="none" w:sz="0" w:space="0" w:color="auto"/>
        <w:bottom w:val="none" w:sz="0" w:space="0" w:color="auto"/>
        <w:right w:val="none" w:sz="0" w:space="0" w:color="auto"/>
      </w:divBdr>
    </w:div>
    <w:div w:id="20598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hyperlink" Target="https://www.pc.gov.au/ongoing/productivity-insights" TargetMode="External"/><Relationship Id="rId34" Type="http://schemas.openxmlformats.org/officeDocument/2006/relationships/image" Target="media/image11.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9.emf"/><Relationship Id="rId37"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svg"/><Relationship Id="rId28" Type="http://schemas.openxmlformats.org/officeDocument/2006/relationships/header" Target="header6.xml"/><Relationship Id="rId36" Type="http://schemas.openxmlformats.org/officeDocument/2006/relationships/image" Target="media/image13.emf"/><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image" Target="media/image7.svg"/><Relationship Id="rId35" Type="http://schemas.openxmlformats.org/officeDocument/2006/relationships/image" Target="media/image12.emf"/><Relationship Id="rId8" Type="http://schemas.openxmlformats.org/officeDocument/2006/relationships/numbering" Target="numbering.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amil\AppData\Local\Temp\Templafy\WordVsto\chapter2.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MPWT-2140667901-69590</_dlc_DocId>
    <_dlc_DocIdUrl xmlns="20393cdf-440a-4521-8f19-00ba43423d00">
      <Url>https://pcgov.sharepoint.com/sites/sceteam/_layouts/15/DocIdRedir.aspx?ID=MPWT-2140667901-69590</Url>
      <Description>MPWT-2140667901-69590</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TemplafyTemplateConfiguration><![CDATA[{"elementsMetadata":[],"transformationConfigurations":[],"templateName":"chapter","templateDescription":"","enableDocumentContentUpdater":false,"version":"2.0"}]]></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6a39a5b60f6e4cb839c9d1f8336aa3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720aa0fb0724a4b0527b3814465093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F29E40-93D1-4F51-AC9C-526F2A3635A7}">
  <ds:schemaRefs>
    <ds:schemaRef ds:uri="http://schemas.microsoft.com/office/infopath/2007/PartnerControls"/>
    <ds:schemaRef ds:uri="3d385984-9344-419b-a80b-49c06a2bdab8"/>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20393cdf-440a-4521-8f19-00ba43423d00"/>
    <ds:schemaRef ds:uri="http://purl.org/dc/te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ECABC2CD-70A9-4046-8EA0-AD9770E12B33}">
  <ds:schemaRefs>
    <ds:schemaRef ds:uri="http://schemas.microsoft.com/sharepoint/v3/contenttype/forms"/>
  </ds:schemaRefs>
</ds:datastoreItem>
</file>

<file path=customXml/itemProps6.xml><?xml version="1.0" encoding="utf-8"?>
<ds:datastoreItem xmlns:ds="http://schemas.openxmlformats.org/officeDocument/2006/customXml" ds:itemID="{AC08AA16-7DE4-4B49-9F22-BFB03CF8100B}">
  <ds:schemaRefs>
    <ds:schemaRef ds:uri="http://schemas.microsoft.com/sharepoint/events"/>
  </ds:schemaRefs>
</ds:datastoreItem>
</file>

<file path=customXml/itemProps7.xml><?xml version="1.0" encoding="utf-8"?>
<ds:datastoreItem xmlns:ds="http://schemas.openxmlformats.org/officeDocument/2006/customXml" ds:itemID="{1B3B64F5-EEEC-40A9-AF3F-539224BAC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chapter2.dotx</Template>
  <TotalTime>318</TotalTime>
  <Pages>15</Pages>
  <Words>3693</Words>
  <Characters>21055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Revisions to quarterly labour productivity growth</vt:lpstr>
    </vt:vector>
  </TitlesOfParts>
  <Company>Productivity Commission</Company>
  <LinksUpToDate>false</LinksUpToDate>
  <CharactersWithSpaces>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Revisions to quarterly labour productivity growth</dc:title>
  <dc:subject/>
  <dc:creator>Productivity Commission</dc:creator>
  <cp:keywords/>
  <dc:description/>
  <cp:lastModifiedBy>Chris Alston</cp:lastModifiedBy>
  <cp:revision>121</cp:revision>
  <cp:lastPrinted>2024-10-22T21:41:00Z</cp:lastPrinted>
  <dcterms:created xsi:type="dcterms:W3CDTF">2024-10-15T03:06:00Z</dcterms:created>
  <dcterms:modified xsi:type="dcterms:W3CDTF">2024-10-22T21:42:00Z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ournalAbbreviations" value="true"/&gt;&lt;/prefs&gt;&lt;/data&gt;</vt:lpwstr>
  </property>
  <property fmtid="{D5CDD505-2E9C-101B-9397-08002B2CF9AE}" pid="3" name="TemplafyTenantId">
    <vt:lpwstr>productivitycommission</vt:lpwstr>
  </property>
  <property fmtid="{D5CDD505-2E9C-101B-9397-08002B2CF9AE}" pid="4" name="TemplafyTemplateId">
    <vt:lpwstr>637629323564275408</vt:lpwstr>
  </property>
  <property fmtid="{D5CDD505-2E9C-101B-9397-08002B2CF9AE}" pid="5" name="TemplafyUserProfileId">
    <vt:lpwstr>637803902465008559</vt:lpwstr>
  </property>
  <property fmtid="{D5CDD505-2E9C-101B-9397-08002B2CF9AE}" pid="6" name="TemplafyFromBlank">
    <vt:bool>false</vt:bool>
  </property>
  <property fmtid="{D5CDD505-2E9C-101B-9397-08002B2CF9AE}" pid="7" name="ContentTypeId">
    <vt:lpwstr>0x0101006C0B5E815648EF46B6FA6D42F17E5E9F000C963E276195B04F83BC027CFDC94A8D</vt:lpwstr>
  </property>
  <property fmtid="{D5CDD505-2E9C-101B-9397-08002B2CF9AE}" pid="8" name="ZOTERO_PREF_1">
    <vt:lpwstr>&lt;data data-version="3" zotero-version="7.0.3"&gt;&lt;session id="HitZZNKD"/&gt;&lt;style id="http://www.zotero.org/styles/Productivity-Commission" hasBibliography="1" bibliographyStyleHasBeenSet="1"/&gt;&lt;prefs&gt;&lt;pref name="fieldType" value="Field"/&gt;&lt;pref name="automaticJ</vt:lpwstr>
  </property>
  <property fmtid="{D5CDD505-2E9C-101B-9397-08002B2CF9AE}" pid="9" name="RevIMBCS">
    <vt:lpwstr>1;#Unclassified|3955eeb1-2d18-4582-aeb2-00144ec3aaf5</vt:lpwstr>
  </property>
  <property fmtid="{D5CDD505-2E9C-101B-9397-08002B2CF9AE}" pid="10" name="MediaServiceImageTags">
    <vt:lpwstr/>
  </property>
  <property fmtid="{D5CDD505-2E9C-101B-9397-08002B2CF9AE}" pid="11" name="_dlc_DocIdItemGuid">
    <vt:lpwstr>90bcb168-64e1-409b-b8a7-433371686afe</vt:lpwstr>
  </property>
  <property fmtid="{D5CDD505-2E9C-101B-9397-08002B2CF9AE}" pid="12" name="MSIP_Label_c1f2b1ce-4212-46db-a901-dd8453f57141_Enabled">
    <vt:lpwstr>true</vt:lpwstr>
  </property>
  <property fmtid="{D5CDD505-2E9C-101B-9397-08002B2CF9AE}" pid="13" name="MSIP_Label_c1f2b1ce-4212-46db-a901-dd8453f57141_SetDate">
    <vt:lpwstr>2024-10-16T11:33:46Z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92c7d27a-1e84-4736-9b8e-7d73f9bfb9f0</vt:lpwstr>
  </property>
  <property fmtid="{D5CDD505-2E9C-101B-9397-08002B2CF9AE}" pid="18" name="MSIP_Label_c1f2b1ce-4212-46db-a901-dd8453f57141_ContentBits">
    <vt:lpwstr>0</vt:lpwstr>
  </property>
</Properties>
</file>