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351164" w:rsidP="00351164">
      <w:pPr>
        <w:pStyle w:val="Heading1"/>
        <w:spacing w:before="0"/>
      </w:pPr>
      <w:bookmarkStart w:id="0" w:name="ChapterNumber"/>
      <w:r>
        <w:t>1</w:t>
      </w:r>
      <w:bookmarkEnd w:id="0"/>
      <w:r>
        <w:tab/>
      </w:r>
      <w:bookmarkStart w:id="1" w:name="ChapterTitle"/>
      <w:r>
        <w:t>Voluntary retirement module inputs</w:t>
      </w:r>
      <w:bookmarkEnd w:id="1"/>
    </w:p>
    <w:p w:rsidR="004C0DED" w:rsidRDefault="004C0DED" w:rsidP="004C0DED">
      <w:pPr>
        <w:pStyle w:val="BodyText"/>
      </w:pPr>
      <w:bookmarkStart w:id="2" w:name="begin"/>
      <w:bookmarkEnd w:id="2"/>
      <w:r>
        <w:t xml:space="preserve">As part of its research </w:t>
      </w:r>
      <w:r w:rsidRPr="00BC2A49">
        <w:t xml:space="preserve">on </w:t>
      </w:r>
      <w:r w:rsidRPr="000C2C4F">
        <w:rPr>
          <w:i/>
        </w:rPr>
        <w:t>Superannuation Policy for Post</w:t>
      </w:r>
      <w:r w:rsidR="00DC3809">
        <w:rPr>
          <w:i/>
        </w:rPr>
        <w:noBreakHyphen/>
      </w:r>
      <w:r w:rsidRPr="000C2C4F">
        <w:rPr>
          <w:i/>
        </w:rPr>
        <w:t>Retirement</w:t>
      </w:r>
      <w:r w:rsidRPr="00BC2A49">
        <w:t xml:space="preserve"> the Co</w:t>
      </w:r>
      <w:r>
        <w:t>mmission has developed a model — referred to as the Productivity Commission Retirement Model (</w:t>
      </w:r>
      <w:proofErr w:type="spellStart"/>
      <w:r w:rsidRPr="006E00CA">
        <w:t>PCRM</w:t>
      </w:r>
      <w:proofErr w:type="spellEnd"/>
      <w:r w:rsidRPr="006E00CA">
        <w:t>)</w:t>
      </w:r>
      <w:r>
        <w:t xml:space="preserve"> — to assess the effects of increasing the preservation age. The </w:t>
      </w:r>
      <w:proofErr w:type="spellStart"/>
      <w:r>
        <w:t>PCRM</w:t>
      </w:r>
      <w:proofErr w:type="spellEnd"/>
      <w:r>
        <w:t xml:space="preserve"> can be described as a ‘behavioural </w:t>
      </w:r>
      <w:proofErr w:type="spellStart"/>
      <w:r>
        <w:t>microsimulation</w:t>
      </w:r>
      <w:proofErr w:type="spellEnd"/>
      <w:r>
        <w:t xml:space="preserve">’ model. Behavioural </w:t>
      </w:r>
      <w:proofErr w:type="spellStart"/>
      <w:r>
        <w:t>microsimulation</w:t>
      </w:r>
      <w:proofErr w:type="spellEnd"/>
      <w:r>
        <w:t xml:space="preserve"> models seek to simulate individual or household level decisions, and are commonly used within an economic framework to assess the impact of policy changes (such as changes in tax and benefits) on governments’ fiscal positions and on labour supply. They are particularly useful where there is a wide variety of decision makers</w:t>
      </w:r>
      <w:r w:rsidR="00216AC1">
        <w:t>, and where</w:t>
      </w:r>
      <w:r>
        <w:t xml:space="preserve"> complex policy changes are likely to impact these different decision makers in different ways.</w:t>
      </w:r>
    </w:p>
    <w:p w:rsidR="004C0DED" w:rsidRDefault="004C0DED" w:rsidP="004C0DED">
      <w:pPr>
        <w:pStyle w:val="BodyText"/>
      </w:pPr>
      <w:r>
        <w:t>The Commission’s model consists of three modules</w:t>
      </w:r>
      <w:r w:rsidR="000C2C4F">
        <w:t>, comprising</w:t>
      </w:r>
      <w:r>
        <w:t>:</w:t>
      </w:r>
    </w:p>
    <w:p w:rsidR="004C0DED" w:rsidRDefault="004C0DED" w:rsidP="004C0DED">
      <w:pPr>
        <w:pStyle w:val="ListBullet"/>
      </w:pPr>
      <w:r w:rsidRPr="00BD6561">
        <w:rPr>
          <w:i/>
        </w:rPr>
        <w:t xml:space="preserve">a </w:t>
      </w:r>
      <w:r>
        <w:rPr>
          <w:i/>
        </w:rPr>
        <w:t>voluntary</w:t>
      </w:r>
      <w:r w:rsidRPr="00BD6561">
        <w:rPr>
          <w:i/>
        </w:rPr>
        <w:t xml:space="preserve"> retirement module</w:t>
      </w:r>
      <w:r>
        <w:t>, which seeks to gauge the behaviour of individuals who have some discretion in how they respond to policy changes</w:t>
      </w:r>
    </w:p>
    <w:p w:rsidR="004C0DED" w:rsidRDefault="004C0DED" w:rsidP="004C0DED">
      <w:pPr>
        <w:pStyle w:val="ListBullet"/>
      </w:pPr>
      <w:r w:rsidRPr="00BD6561">
        <w:rPr>
          <w:i/>
        </w:rPr>
        <w:t>an involuntary retirement module</w:t>
      </w:r>
      <w:r>
        <w:t>, which seeks to account for those individuals who do not get to exercise choice around the timing of their retirement</w:t>
      </w:r>
    </w:p>
    <w:p w:rsidR="004C0DED" w:rsidRDefault="004C0DED" w:rsidP="004C0DED">
      <w:pPr>
        <w:pStyle w:val="ListBullet"/>
      </w:pPr>
      <w:r w:rsidRPr="00BD6561">
        <w:rPr>
          <w:i/>
        </w:rPr>
        <w:t>a projection module</w:t>
      </w:r>
      <w:r>
        <w:t>, which seeks to weight the outcomes from the voluntary and involuntary retirement modules, both now and in the future.</w:t>
      </w:r>
    </w:p>
    <w:p w:rsidR="00017ADC" w:rsidRDefault="0078299B" w:rsidP="00DC3809">
      <w:pPr>
        <w:pStyle w:val="BodyText"/>
      </w:pPr>
      <w:r>
        <w:t xml:space="preserve">The </w:t>
      </w:r>
      <w:r w:rsidR="000C2C4F">
        <w:t>v</w:t>
      </w:r>
      <w:r w:rsidR="004C0DED">
        <w:t xml:space="preserve">oluntary </w:t>
      </w:r>
      <w:r w:rsidR="000C2C4F">
        <w:t>r</w:t>
      </w:r>
      <w:r w:rsidR="004C0DED">
        <w:t xml:space="preserve">etirement </w:t>
      </w:r>
      <w:r w:rsidR="000C2C4F">
        <w:t>m</w:t>
      </w:r>
      <w:r w:rsidR="004C0DED">
        <w:t>odule</w:t>
      </w:r>
      <w:r>
        <w:t xml:space="preserve"> requires assumptions to be made about wage income and employment rates as well as savings and </w:t>
      </w:r>
      <w:r w:rsidR="004C0DED">
        <w:t>drawdown patterns — t</w:t>
      </w:r>
      <w:r>
        <w:t>he</w:t>
      </w:r>
      <w:r w:rsidR="004C0DED">
        <w:t xml:space="preserve"> role of this paper is to outline the bases for these </w:t>
      </w:r>
      <w:r>
        <w:t>assumptions</w:t>
      </w:r>
      <w:r w:rsidR="004C0DED">
        <w:t>.</w:t>
      </w:r>
      <w:r w:rsidR="00DC3809">
        <w:t xml:space="preserve"> </w:t>
      </w:r>
    </w:p>
    <w:p w:rsidR="0078299B" w:rsidRDefault="0078299B" w:rsidP="00F36E5E">
      <w:pPr>
        <w:pStyle w:val="Heading2nosectionno"/>
      </w:pPr>
      <w:r>
        <w:t>Wage income</w:t>
      </w:r>
      <w:r w:rsidRPr="00C839B2">
        <w:t xml:space="preserve"> </w:t>
      </w:r>
      <w:r>
        <w:t>and employment rates</w:t>
      </w:r>
    </w:p>
    <w:p w:rsidR="0078299B" w:rsidRDefault="0078299B" w:rsidP="0078299B">
      <w:pPr>
        <w:pStyle w:val="BodyText"/>
      </w:pPr>
      <w:r>
        <w:t xml:space="preserve">The </w:t>
      </w:r>
      <w:proofErr w:type="spellStart"/>
      <w:r>
        <w:t>PCRM</w:t>
      </w:r>
      <w:proofErr w:type="spellEnd"/>
      <w:r>
        <w:t xml:space="preserve"> uses estimates of household labour income as the primary means by which households contribute to their superannuation assets over time. The Commission has derived annual household labour income estimates for each of the 12 representative household types in the model using data from the 2011</w:t>
      </w:r>
      <w:r w:rsidR="00DC3809">
        <w:noBreakHyphen/>
      </w:r>
      <w:r>
        <w:t xml:space="preserve">12 edition of the </w:t>
      </w:r>
      <w:r w:rsidRPr="00D6276A">
        <w:t xml:space="preserve">ABS </w:t>
      </w:r>
      <w:r w:rsidRPr="000C2C4F">
        <w:rPr>
          <w:i/>
        </w:rPr>
        <w:t>Survey of Income and Housing</w:t>
      </w:r>
      <w:r>
        <w:t xml:space="preserve"> (</w:t>
      </w:r>
      <w:proofErr w:type="spellStart"/>
      <w:r>
        <w:t>SIH</w:t>
      </w:r>
      <w:proofErr w:type="spellEnd"/>
      <w:r>
        <w:t xml:space="preserve">). </w:t>
      </w:r>
    </w:p>
    <w:p w:rsidR="0078299B" w:rsidRDefault="0078299B" w:rsidP="003B14D2">
      <w:pPr>
        <w:pStyle w:val="BodyText"/>
      </w:pPr>
      <w:r>
        <w:t>The methodology used to derive household income estimates involves two steps</w:t>
      </w:r>
      <w:r w:rsidR="003B14D2">
        <w:t xml:space="preserve"> — </w:t>
      </w:r>
      <w:r>
        <w:t>estimating age</w:t>
      </w:r>
      <w:r w:rsidR="00DC3809">
        <w:noBreakHyphen/>
      </w:r>
      <w:r>
        <w:t>earnings equations for the subset of households (within each household type) wher</w:t>
      </w:r>
      <w:r w:rsidR="003B14D2">
        <w:t xml:space="preserve">e labour income is being earned, and then </w:t>
      </w:r>
      <w:r>
        <w:t>adjusting for the proportion of households that do not earn labour income, either because they are unemployed, or because they are otherwise unable to earn labour income.</w:t>
      </w:r>
    </w:p>
    <w:p w:rsidR="0078299B" w:rsidRPr="00E30CFC" w:rsidRDefault="0078299B" w:rsidP="004C0DED">
      <w:pPr>
        <w:pStyle w:val="Heading3"/>
      </w:pPr>
      <w:r w:rsidRPr="00E30CFC">
        <w:lastRenderedPageBreak/>
        <w:t>Age</w:t>
      </w:r>
      <w:r w:rsidR="00DC3809">
        <w:noBreakHyphen/>
      </w:r>
      <w:r w:rsidRPr="00E30CFC">
        <w:t>earnings equations</w:t>
      </w:r>
    </w:p>
    <w:p w:rsidR="0078299B" w:rsidRDefault="0078299B" w:rsidP="0078299B">
      <w:pPr>
        <w:pStyle w:val="BodyText"/>
      </w:pPr>
      <w:r>
        <w:t>Age</w:t>
      </w:r>
      <w:r w:rsidR="00DC3809">
        <w:noBreakHyphen/>
      </w:r>
      <w:r>
        <w:t>earnings equations are estimated for each of the 12 household types by regressing the relevant household members’ weekly labour income against their age and their age squared. The underlying hypothesis is that an individual</w:t>
      </w:r>
      <w:r w:rsidR="00A7555B">
        <w:t>’</w:t>
      </w:r>
      <w:r>
        <w:t xml:space="preserve">s weekly earnings typically increases with age (as workers develop skills and experience and are paid more per hour), but then declines as they enter older age cohorts. </w:t>
      </w:r>
    </w:p>
    <w:p w:rsidR="0078299B" w:rsidRDefault="0078299B" w:rsidP="0078299B">
      <w:pPr>
        <w:pStyle w:val="BodyText"/>
      </w:pPr>
      <w:r>
        <w:t>Only individuals that earned income from wages and salaries in 2011</w:t>
      </w:r>
      <w:r w:rsidR="00DC3809">
        <w:noBreakHyphen/>
      </w:r>
      <w:r>
        <w:t>12 are included in the regressions — individuals that were unemployed or did not ear</w:t>
      </w:r>
      <w:r w:rsidR="003B14D2">
        <w:t xml:space="preserve">n wage and salary income for </w:t>
      </w:r>
      <w:r>
        <w:t>other reason</w:t>
      </w:r>
      <w:r w:rsidR="003B14D2">
        <w:t>s</w:t>
      </w:r>
      <w:r>
        <w:t xml:space="preserve"> were excluded. A summary of the regression results is included in table</w:t>
      </w:r>
      <w:r w:rsidR="00BB51C1">
        <w:t> </w:t>
      </w:r>
      <w:r w:rsidR="00754218" w:rsidRPr="00754218">
        <w:t>1.1</w:t>
      </w:r>
      <w:r>
        <w:t>, and some examples of the resulting age</w:t>
      </w:r>
      <w:r w:rsidR="00DC3809">
        <w:noBreakHyphen/>
      </w:r>
      <w:r>
        <w:t>earnings equations are illustrated in figure</w:t>
      </w:r>
      <w:r w:rsidR="00BB51C1">
        <w:t> </w:t>
      </w:r>
      <w:r w:rsidR="00754218">
        <w:t>1.1</w:t>
      </w:r>
      <w:r>
        <w:t xml:space="preserve">. </w:t>
      </w:r>
    </w:p>
    <w:p w:rsidR="0078299B" w:rsidRDefault="0078299B" w:rsidP="0078299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78299B" w:rsidTr="005A6E61">
        <w:tc>
          <w:tcPr>
            <w:tcW w:w="8771" w:type="dxa"/>
            <w:tcBorders>
              <w:top w:val="single" w:sz="6" w:space="0" w:color="78A22F"/>
              <w:left w:val="nil"/>
              <w:bottom w:val="nil"/>
              <w:right w:val="nil"/>
            </w:tcBorders>
            <w:shd w:val="clear" w:color="auto" w:fill="auto"/>
          </w:tcPr>
          <w:p w:rsidR="0078299B" w:rsidRPr="00784A05" w:rsidRDefault="0078299B" w:rsidP="003B14D2">
            <w:pPr>
              <w:pStyle w:val="TableTitle"/>
            </w:pPr>
            <w:r>
              <w:rPr>
                <w:b w:val="0"/>
              </w:rPr>
              <w:t xml:space="preserve">Table </w:t>
            </w:r>
            <w:bookmarkStart w:id="3" w:name="OLE_LINK8"/>
            <w:r w:rsidR="00061279">
              <w:rPr>
                <w:b w:val="0"/>
              </w:rPr>
              <w:t>1.</w:t>
            </w:r>
            <w:r w:rsidR="00061279">
              <w:rPr>
                <w:b w:val="0"/>
                <w:noProof/>
              </w:rPr>
              <w:t>1</w:t>
            </w:r>
            <w:bookmarkEnd w:id="3"/>
            <w:r>
              <w:tab/>
            </w:r>
            <w:r w:rsidR="003B14D2">
              <w:t>Age</w:t>
            </w:r>
            <w:r w:rsidR="00DC3809">
              <w:noBreakHyphen/>
            </w:r>
            <w:r w:rsidR="003B14D2">
              <w:t>earnings regression results</w:t>
            </w:r>
            <w:r w:rsidR="003B14D2" w:rsidRPr="003B14D2">
              <w:rPr>
                <w:rStyle w:val="NoteLabel"/>
                <w:b/>
              </w:rPr>
              <w:t>a</w:t>
            </w:r>
          </w:p>
        </w:tc>
      </w:tr>
      <w:tr w:rsidR="0078299B" w:rsidTr="005A6E61">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671"/>
              <w:gridCol w:w="1562"/>
              <w:gridCol w:w="567"/>
              <w:gridCol w:w="1275"/>
              <w:gridCol w:w="567"/>
              <w:gridCol w:w="1276"/>
              <w:gridCol w:w="569"/>
            </w:tblGrid>
            <w:tr w:rsidR="0078299B" w:rsidTr="005A6E61">
              <w:tc>
                <w:tcPr>
                  <w:tcW w:w="1574" w:type="pct"/>
                  <w:tcBorders>
                    <w:top w:val="single" w:sz="6" w:space="0" w:color="BFBFBF"/>
                    <w:bottom w:val="single" w:sz="6" w:space="0" w:color="BFBFBF"/>
                  </w:tcBorders>
                  <w:shd w:val="clear" w:color="auto" w:fill="auto"/>
                  <w:tcMar>
                    <w:top w:w="28" w:type="dxa"/>
                  </w:tcMar>
                </w:tcPr>
                <w:p w:rsidR="0078299B" w:rsidRDefault="0078299B" w:rsidP="005A6E61">
                  <w:pPr>
                    <w:pStyle w:val="TableColumnHeading"/>
                    <w:jc w:val="left"/>
                  </w:pPr>
                </w:p>
              </w:tc>
              <w:tc>
                <w:tcPr>
                  <w:tcW w:w="1254" w:type="pct"/>
                  <w:gridSpan w:val="2"/>
                  <w:tcBorders>
                    <w:top w:val="single" w:sz="6" w:space="0" w:color="BFBFBF"/>
                    <w:bottom w:val="single" w:sz="6" w:space="0" w:color="BFBFBF"/>
                  </w:tcBorders>
                  <w:shd w:val="clear" w:color="auto" w:fill="auto"/>
                  <w:tcMar>
                    <w:top w:w="28" w:type="dxa"/>
                  </w:tcMar>
                </w:tcPr>
                <w:p w:rsidR="0078299B" w:rsidRDefault="0078299B" w:rsidP="005A6E61">
                  <w:pPr>
                    <w:pStyle w:val="TableColumnHeading"/>
                    <w:jc w:val="center"/>
                  </w:pPr>
                  <w:r>
                    <w:t>Intercept</w:t>
                  </w:r>
                </w:p>
              </w:tc>
              <w:tc>
                <w:tcPr>
                  <w:tcW w:w="1085" w:type="pct"/>
                  <w:gridSpan w:val="2"/>
                  <w:tcBorders>
                    <w:top w:val="single" w:sz="6" w:space="0" w:color="BFBFBF"/>
                    <w:bottom w:val="single" w:sz="6" w:space="0" w:color="BFBFBF"/>
                  </w:tcBorders>
                </w:tcPr>
                <w:p w:rsidR="0078299B" w:rsidRDefault="0078299B" w:rsidP="005A6E61">
                  <w:pPr>
                    <w:pStyle w:val="TableColumnHeading"/>
                    <w:jc w:val="center"/>
                  </w:pPr>
                  <w:r>
                    <w:t>Age</w:t>
                  </w:r>
                </w:p>
              </w:tc>
              <w:tc>
                <w:tcPr>
                  <w:tcW w:w="1087" w:type="pct"/>
                  <w:gridSpan w:val="2"/>
                  <w:tcBorders>
                    <w:top w:val="single" w:sz="6" w:space="0" w:color="BFBFBF"/>
                    <w:bottom w:val="single" w:sz="6" w:space="0" w:color="BFBFBF"/>
                  </w:tcBorders>
                </w:tcPr>
                <w:p w:rsidR="0078299B" w:rsidRDefault="0078299B" w:rsidP="005A6E61">
                  <w:pPr>
                    <w:pStyle w:val="TableColumnHeading"/>
                    <w:jc w:val="center"/>
                  </w:pPr>
                  <w:r>
                    <w:t>Age squared</w:t>
                  </w:r>
                </w:p>
              </w:tc>
            </w:tr>
            <w:tr w:rsidR="0078299B" w:rsidTr="00715D9C">
              <w:tc>
                <w:tcPr>
                  <w:tcW w:w="1574" w:type="pct"/>
                  <w:tcBorders>
                    <w:top w:val="single" w:sz="6" w:space="0" w:color="BFBFBF"/>
                  </w:tcBorders>
                  <w:shd w:val="clear" w:color="auto" w:fill="F2F2F2"/>
                  <w:tcMar>
                    <w:top w:w="28" w:type="dxa"/>
                  </w:tcMar>
                </w:tcPr>
                <w:p w:rsidR="0078299B" w:rsidRDefault="0078299B" w:rsidP="005A6E61">
                  <w:pPr>
                    <w:pStyle w:val="TableColumnHeading"/>
                    <w:jc w:val="left"/>
                  </w:pPr>
                  <w:r>
                    <w:t>Single females</w:t>
                  </w:r>
                </w:p>
              </w:tc>
              <w:tc>
                <w:tcPr>
                  <w:tcW w:w="920" w:type="pct"/>
                  <w:tcBorders>
                    <w:top w:val="single" w:sz="6" w:space="0" w:color="BFBFBF"/>
                  </w:tcBorders>
                  <w:shd w:val="clear" w:color="auto" w:fill="F2F2F2"/>
                  <w:tcMar>
                    <w:top w:w="28" w:type="dxa"/>
                  </w:tcMar>
                </w:tcPr>
                <w:p w:rsidR="0078299B" w:rsidRDefault="0078299B" w:rsidP="005A6E61">
                  <w:pPr>
                    <w:pStyle w:val="TableColumnHeading"/>
                  </w:pPr>
                </w:p>
              </w:tc>
              <w:tc>
                <w:tcPr>
                  <w:tcW w:w="334" w:type="pct"/>
                  <w:tcBorders>
                    <w:top w:val="single" w:sz="6" w:space="0" w:color="BFBFBF"/>
                  </w:tcBorders>
                  <w:shd w:val="clear" w:color="auto" w:fill="F2F2F2"/>
                </w:tcPr>
                <w:p w:rsidR="0078299B" w:rsidRDefault="0078299B" w:rsidP="005A6E61">
                  <w:pPr>
                    <w:pStyle w:val="TableColumnHeading"/>
                  </w:pPr>
                </w:p>
              </w:tc>
              <w:tc>
                <w:tcPr>
                  <w:tcW w:w="751" w:type="pct"/>
                  <w:tcBorders>
                    <w:top w:val="single" w:sz="6" w:space="0" w:color="BFBFBF"/>
                  </w:tcBorders>
                  <w:shd w:val="clear" w:color="auto" w:fill="F2F2F2"/>
                </w:tcPr>
                <w:p w:rsidR="0078299B" w:rsidRDefault="0078299B" w:rsidP="005A6E61">
                  <w:pPr>
                    <w:pStyle w:val="TableColumnHeading"/>
                  </w:pPr>
                </w:p>
              </w:tc>
              <w:tc>
                <w:tcPr>
                  <w:tcW w:w="334" w:type="pct"/>
                  <w:tcBorders>
                    <w:top w:val="single" w:sz="6" w:space="0" w:color="BFBFBF"/>
                  </w:tcBorders>
                  <w:shd w:val="clear" w:color="auto" w:fill="F2F2F2"/>
                </w:tcPr>
                <w:p w:rsidR="0078299B" w:rsidRPr="00656F5C" w:rsidRDefault="0078299B" w:rsidP="005A6E61">
                  <w:pPr>
                    <w:jc w:val="center"/>
                    <w:rPr>
                      <w:rFonts w:ascii="Calibri" w:hAnsi="Calibri"/>
                      <w:color w:val="000000"/>
                      <w:sz w:val="18"/>
                      <w:szCs w:val="18"/>
                    </w:rPr>
                  </w:pPr>
                </w:p>
              </w:tc>
              <w:tc>
                <w:tcPr>
                  <w:tcW w:w="752" w:type="pct"/>
                  <w:tcBorders>
                    <w:top w:val="single" w:sz="6" w:space="0" w:color="BFBFBF"/>
                  </w:tcBorders>
                  <w:shd w:val="clear" w:color="auto" w:fill="F2F2F2"/>
                </w:tcPr>
                <w:p w:rsidR="0078299B" w:rsidRDefault="0078299B" w:rsidP="005A6E61">
                  <w:pPr>
                    <w:pStyle w:val="TableColumnHeading"/>
                  </w:pPr>
                </w:p>
              </w:tc>
              <w:tc>
                <w:tcPr>
                  <w:tcW w:w="335" w:type="pct"/>
                  <w:tcBorders>
                    <w:top w:val="single" w:sz="6" w:space="0" w:color="BFBFBF"/>
                  </w:tcBorders>
                  <w:shd w:val="clear" w:color="auto" w:fill="F2F2F2"/>
                </w:tcPr>
                <w:p w:rsidR="0078299B" w:rsidRPr="00656F5C" w:rsidRDefault="0078299B" w:rsidP="005A6E61">
                  <w:pPr>
                    <w:jc w:val="right"/>
                    <w:rPr>
                      <w:rFonts w:ascii="Calibri" w:hAnsi="Calibri"/>
                      <w:color w:val="000000"/>
                      <w:sz w:val="18"/>
                      <w:szCs w:val="18"/>
                    </w:rPr>
                  </w:pPr>
                </w:p>
              </w:tc>
            </w:tr>
            <w:tr w:rsidR="0078299B" w:rsidTr="00715D9C">
              <w:trPr>
                <w:trHeight w:hRule="exact" w:val="284"/>
              </w:trPr>
              <w:tc>
                <w:tcPr>
                  <w:tcW w:w="1574" w:type="pct"/>
                  <w:shd w:val="clear" w:color="auto" w:fill="F2F2F2"/>
                  <w:vAlign w:val="bottom"/>
                </w:tcPr>
                <w:p w:rsidR="0078299B" w:rsidRPr="00DB4B91" w:rsidRDefault="0078299B" w:rsidP="005A6E61">
                  <w:pPr>
                    <w:pStyle w:val="TableUnitsRow"/>
                    <w:ind w:left="262"/>
                    <w:jc w:val="left"/>
                    <w:rPr>
                      <w:sz w:val="16"/>
                      <w:szCs w:val="16"/>
                    </w:rPr>
                  </w:pPr>
                  <w:r w:rsidRPr="00DB4B91">
                    <w:rPr>
                      <w:sz w:val="16"/>
                      <w:szCs w:val="16"/>
                    </w:rPr>
                    <w:t>Lowest wealth quartile</w:t>
                  </w:r>
                </w:p>
              </w:tc>
              <w:tc>
                <w:tcPr>
                  <w:tcW w:w="920"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745</w:t>
                  </w:r>
                </w:p>
              </w:tc>
              <w:tc>
                <w:tcPr>
                  <w:tcW w:w="334"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(1.9)</w:t>
                  </w:r>
                </w:p>
              </w:tc>
              <w:tc>
                <w:tcPr>
                  <w:tcW w:w="751"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2.2</w:t>
                  </w:r>
                </w:p>
              </w:tc>
              <w:tc>
                <w:tcPr>
                  <w:tcW w:w="334"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.1)</w:t>
                  </w:r>
                </w:p>
              </w:tc>
              <w:tc>
                <w:tcPr>
                  <w:tcW w:w="752"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0.02</w:t>
                  </w:r>
                </w:p>
              </w:tc>
              <w:tc>
                <w:tcPr>
                  <w:tcW w:w="335" w:type="pct"/>
                  <w:shd w:val="clear" w:color="auto" w:fill="F2F2F2"/>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.1)</w:t>
                  </w:r>
                </w:p>
              </w:tc>
            </w:tr>
            <w:tr w:rsidR="0078299B" w:rsidTr="00715D9C">
              <w:trPr>
                <w:trHeight w:hRule="exact" w:val="284"/>
              </w:trPr>
              <w:tc>
                <w:tcPr>
                  <w:tcW w:w="1574" w:type="pct"/>
                  <w:shd w:val="clear" w:color="auto" w:fill="F2F2F2"/>
                  <w:vAlign w:val="bottom"/>
                </w:tcPr>
                <w:p w:rsidR="0078299B" w:rsidRPr="00DB4B91" w:rsidRDefault="0078299B" w:rsidP="005A6E61">
                  <w:pPr>
                    <w:pStyle w:val="TableBodyText"/>
                    <w:ind w:left="262"/>
                    <w:jc w:val="left"/>
                    <w:rPr>
                      <w:sz w:val="16"/>
                      <w:szCs w:val="16"/>
                    </w:rPr>
                  </w:pPr>
                  <w:r w:rsidRPr="00DB4B91">
                    <w:rPr>
                      <w:sz w:val="16"/>
                      <w:szCs w:val="16"/>
                    </w:rPr>
                    <w:t>Second lowest wealth quartile</w:t>
                  </w:r>
                </w:p>
              </w:tc>
              <w:tc>
                <w:tcPr>
                  <w:tcW w:w="920"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17</w:t>
                  </w:r>
                </w:p>
              </w:tc>
              <w:tc>
                <w:tcPr>
                  <w:tcW w:w="334"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Pr="00B2002C">
                    <w:rPr>
                      <w:rFonts w:asciiTheme="minorHAnsi" w:hAnsiTheme="minorHAnsi" w:cstheme="minorHAnsi"/>
                      <w:color w:val="000000"/>
                      <w:szCs w:val="18"/>
                    </w:rPr>
                    <w:t>.1)</w:t>
                  </w:r>
                </w:p>
              </w:tc>
              <w:tc>
                <w:tcPr>
                  <w:tcW w:w="751"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39.8</w:t>
                  </w:r>
                </w:p>
              </w:tc>
              <w:tc>
                <w:tcPr>
                  <w:tcW w:w="334"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(2.7)</w:t>
                  </w:r>
                </w:p>
              </w:tc>
              <w:tc>
                <w:tcPr>
                  <w:tcW w:w="752"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0.45</w:t>
                  </w:r>
                </w:p>
              </w:tc>
              <w:tc>
                <w:tcPr>
                  <w:tcW w:w="335" w:type="pct"/>
                  <w:shd w:val="clear" w:color="auto" w:fill="F2F2F2"/>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(2.7)</w:t>
                  </w:r>
                </w:p>
              </w:tc>
            </w:tr>
            <w:tr w:rsidR="0078299B" w:rsidTr="00715D9C">
              <w:trPr>
                <w:trHeight w:hRule="exact" w:val="284"/>
              </w:trPr>
              <w:tc>
                <w:tcPr>
                  <w:tcW w:w="1574" w:type="pct"/>
                  <w:shd w:val="clear" w:color="auto" w:fill="F2F2F2"/>
                  <w:vAlign w:val="bottom"/>
                </w:tcPr>
                <w:p w:rsidR="0078299B" w:rsidRPr="00DB4B91" w:rsidRDefault="0078299B" w:rsidP="005A6E61">
                  <w:pPr>
                    <w:pStyle w:val="TableBodyText"/>
                    <w:ind w:left="262"/>
                    <w:jc w:val="left"/>
                    <w:rPr>
                      <w:sz w:val="16"/>
                      <w:szCs w:val="16"/>
                    </w:rPr>
                  </w:pPr>
                  <w:r w:rsidRPr="00DB4B91">
                    <w:rPr>
                      <w:sz w:val="16"/>
                      <w:szCs w:val="16"/>
                    </w:rPr>
                    <w:t>Second highest wealth quartile</w:t>
                  </w:r>
                </w:p>
              </w:tc>
              <w:tc>
                <w:tcPr>
                  <w:tcW w:w="920"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100</w:t>
                  </w:r>
                </w:p>
              </w:tc>
              <w:tc>
                <w:tcPr>
                  <w:tcW w:w="334"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.3)</w:t>
                  </w:r>
                </w:p>
              </w:tc>
              <w:tc>
                <w:tcPr>
                  <w:tcW w:w="751"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56.1</w:t>
                  </w:r>
                </w:p>
              </w:tc>
              <w:tc>
                <w:tcPr>
                  <w:tcW w:w="334"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(3.4)</w:t>
                  </w:r>
                </w:p>
              </w:tc>
              <w:tc>
                <w:tcPr>
                  <w:tcW w:w="752"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0.65</w:t>
                  </w:r>
                </w:p>
              </w:tc>
              <w:tc>
                <w:tcPr>
                  <w:tcW w:w="335" w:type="pct"/>
                  <w:shd w:val="clear" w:color="auto" w:fill="F2F2F2"/>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(3.6)</w:t>
                  </w:r>
                </w:p>
              </w:tc>
            </w:tr>
            <w:tr w:rsidR="0078299B" w:rsidTr="00715D9C">
              <w:trPr>
                <w:trHeight w:hRule="exact" w:val="284"/>
              </w:trPr>
              <w:tc>
                <w:tcPr>
                  <w:tcW w:w="1574" w:type="pct"/>
                  <w:shd w:val="clear" w:color="auto" w:fill="F2F2F2"/>
                  <w:vAlign w:val="bottom"/>
                </w:tcPr>
                <w:p w:rsidR="0078299B" w:rsidRPr="00DB4B91" w:rsidRDefault="0078299B" w:rsidP="005A6E61">
                  <w:pPr>
                    <w:pStyle w:val="TableBodyText"/>
                    <w:ind w:left="262"/>
                    <w:jc w:val="left"/>
                    <w:rPr>
                      <w:sz w:val="16"/>
                      <w:szCs w:val="16"/>
                    </w:rPr>
                  </w:pPr>
                  <w:r w:rsidRPr="00DB4B91">
                    <w:rPr>
                      <w:sz w:val="16"/>
                      <w:szCs w:val="16"/>
                    </w:rPr>
                    <w:t>Highest wealth quartile</w:t>
                  </w:r>
                </w:p>
              </w:tc>
              <w:tc>
                <w:tcPr>
                  <w:tcW w:w="920"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681</w:t>
                  </w:r>
                </w:p>
              </w:tc>
              <w:tc>
                <w:tcPr>
                  <w:tcW w:w="334"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(1.3)</w:t>
                  </w:r>
                </w:p>
              </w:tc>
              <w:tc>
                <w:tcPr>
                  <w:tcW w:w="751"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93.5</w:t>
                  </w:r>
                </w:p>
              </w:tc>
              <w:tc>
                <w:tcPr>
                  <w:tcW w:w="334"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(3.8)</w:t>
                  </w:r>
                </w:p>
              </w:tc>
              <w:tc>
                <w:tcPr>
                  <w:tcW w:w="752"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1.07</w:t>
                  </w:r>
                </w:p>
              </w:tc>
              <w:tc>
                <w:tcPr>
                  <w:tcW w:w="335" w:type="pct"/>
                  <w:shd w:val="clear" w:color="auto" w:fill="F2F2F2"/>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(4.0)</w:t>
                  </w:r>
                </w:p>
              </w:tc>
            </w:tr>
            <w:tr w:rsidR="0078299B" w:rsidTr="005A6E61">
              <w:trPr>
                <w:trHeight w:hRule="exact" w:val="284"/>
              </w:trPr>
              <w:tc>
                <w:tcPr>
                  <w:tcW w:w="1574" w:type="pct"/>
                  <w:shd w:val="clear" w:color="auto" w:fill="auto"/>
                </w:tcPr>
                <w:p w:rsidR="0078299B" w:rsidRPr="00AE1360" w:rsidRDefault="0078299B" w:rsidP="005A6E61">
                  <w:pPr>
                    <w:pStyle w:val="TableBodyText"/>
                    <w:jc w:val="left"/>
                    <w:rPr>
                      <w:i/>
                    </w:rPr>
                  </w:pPr>
                  <w:r w:rsidRPr="00AE1360">
                    <w:rPr>
                      <w:i/>
                    </w:rPr>
                    <w:t>Single males</w:t>
                  </w:r>
                </w:p>
              </w:tc>
              <w:tc>
                <w:tcPr>
                  <w:tcW w:w="920" w:type="pct"/>
                  <w:shd w:val="clear" w:color="auto" w:fill="auto"/>
                  <w:vAlign w:val="bottom"/>
                </w:tcPr>
                <w:p w:rsidR="0078299B" w:rsidRPr="00B2002C" w:rsidRDefault="0078299B" w:rsidP="005A6E61">
                  <w:pPr>
                    <w:pStyle w:val="TableBodyText"/>
                    <w:rPr>
                      <w:rFonts w:asciiTheme="minorHAnsi" w:hAnsiTheme="minorHAnsi" w:cstheme="minorHAnsi"/>
                      <w:color w:val="000000"/>
                      <w:szCs w:val="18"/>
                    </w:rPr>
                  </w:pPr>
                </w:p>
              </w:tc>
              <w:tc>
                <w:tcPr>
                  <w:tcW w:w="334" w:type="pct"/>
                  <w:vAlign w:val="bottom"/>
                </w:tcPr>
                <w:p w:rsidR="0078299B" w:rsidRPr="00B2002C" w:rsidRDefault="0078299B" w:rsidP="005A6E61">
                  <w:pPr>
                    <w:widowControl w:val="0"/>
                    <w:spacing w:line="200" w:lineRule="atLeast"/>
                    <w:jc w:val="center"/>
                    <w:rPr>
                      <w:rFonts w:asciiTheme="minorHAnsi" w:hAnsiTheme="minorHAnsi" w:cstheme="minorHAnsi"/>
                      <w:color w:val="000000"/>
                      <w:sz w:val="18"/>
                      <w:szCs w:val="18"/>
                    </w:rPr>
                  </w:pPr>
                </w:p>
              </w:tc>
              <w:tc>
                <w:tcPr>
                  <w:tcW w:w="751" w:type="pct"/>
                  <w:vAlign w:val="bottom"/>
                </w:tcPr>
                <w:p w:rsidR="0078299B" w:rsidRPr="00B2002C" w:rsidRDefault="0078299B" w:rsidP="005A6E61">
                  <w:pPr>
                    <w:pStyle w:val="TableBodyText"/>
                    <w:rPr>
                      <w:rFonts w:asciiTheme="minorHAnsi" w:hAnsiTheme="minorHAnsi" w:cstheme="minorHAnsi"/>
                      <w:color w:val="000000"/>
                      <w:szCs w:val="18"/>
                    </w:rPr>
                  </w:pPr>
                </w:p>
              </w:tc>
              <w:tc>
                <w:tcPr>
                  <w:tcW w:w="334" w:type="pct"/>
                  <w:vAlign w:val="bottom"/>
                </w:tcPr>
                <w:p w:rsidR="0078299B" w:rsidRPr="00B2002C" w:rsidRDefault="0078299B" w:rsidP="005A6E61">
                  <w:pPr>
                    <w:widowControl w:val="0"/>
                    <w:spacing w:line="200" w:lineRule="atLeast"/>
                    <w:jc w:val="center"/>
                    <w:rPr>
                      <w:rFonts w:asciiTheme="minorHAnsi" w:hAnsiTheme="minorHAnsi" w:cstheme="minorHAnsi"/>
                      <w:color w:val="000000"/>
                      <w:sz w:val="18"/>
                      <w:szCs w:val="18"/>
                    </w:rPr>
                  </w:pPr>
                </w:p>
              </w:tc>
              <w:tc>
                <w:tcPr>
                  <w:tcW w:w="752" w:type="pct"/>
                  <w:vAlign w:val="bottom"/>
                </w:tcPr>
                <w:p w:rsidR="0078299B" w:rsidRPr="00B2002C" w:rsidRDefault="0078299B" w:rsidP="005A6E61">
                  <w:pPr>
                    <w:pStyle w:val="TableBodyText"/>
                    <w:rPr>
                      <w:rFonts w:asciiTheme="minorHAnsi" w:hAnsiTheme="minorHAnsi" w:cstheme="minorHAnsi"/>
                      <w:color w:val="000000"/>
                      <w:szCs w:val="18"/>
                    </w:rPr>
                  </w:pPr>
                </w:p>
              </w:tc>
              <w:tc>
                <w:tcPr>
                  <w:tcW w:w="335" w:type="pct"/>
                  <w:vAlign w:val="bottom"/>
                </w:tcPr>
                <w:p w:rsidR="0078299B" w:rsidRPr="00B2002C" w:rsidRDefault="0078299B" w:rsidP="005A6E61">
                  <w:pPr>
                    <w:pStyle w:val="TableBodyText"/>
                    <w:ind w:right="28"/>
                    <w:rPr>
                      <w:rFonts w:asciiTheme="minorHAnsi" w:hAnsiTheme="minorHAnsi" w:cstheme="minorHAnsi"/>
                      <w:color w:val="000000"/>
                      <w:szCs w:val="18"/>
                    </w:rPr>
                  </w:pPr>
                </w:p>
              </w:tc>
            </w:tr>
            <w:tr w:rsidR="0078299B" w:rsidTr="005A6E61">
              <w:trPr>
                <w:trHeight w:hRule="exact" w:val="284"/>
              </w:trPr>
              <w:tc>
                <w:tcPr>
                  <w:tcW w:w="1574" w:type="pct"/>
                  <w:shd w:val="clear" w:color="auto" w:fill="auto"/>
                </w:tcPr>
                <w:p w:rsidR="0078299B" w:rsidRPr="00DB4B91" w:rsidRDefault="0078299B" w:rsidP="005A6E61">
                  <w:pPr>
                    <w:pStyle w:val="TableUnitsRow"/>
                    <w:ind w:left="262"/>
                    <w:jc w:val="left"/>
                    <w:rPr>
                      <w:sz w:val="16"/>
                      <w:szCs w:val="16"/>
                    </w:rPr>
                  </w:pPr>
                  <w:r w:rsidRPr="00DB4B91">
                    <w:rPr>
                      <w:sz w:val="16"/>
                      <w:szCs w:val="16"/>
                    </w:rPr>
                    <w:t>Lowest wealth quartile</w:t>
                  </w:r>
                </w:p>
              </w:tc>
              <w:tc>
                <w:tcPr>
                  <w:tcW w:w="920" w:type="pct"/>
                  <w:shd w:val="clear" w:color="auto" w:fill="auto"/>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608</w:t>
                  </w: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(1.1)</w:t>
                  </w:r>
                </w:p>
              </w:tc>
              <w:tc>
                <w:tcPr>
                  <w:tcW w:w="751"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17.1</w:t>
                  </w: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Pr="00B2002C">
                    <w:rPr>
                      <w:rFonts w:asciiTheme="minorHAnsi" w:hAnsiTheme="minorHAnsi" w:cstheme="minorHAnsi"/>
                      <w:color w:val="000000"/>
                      <w:szCs w:val="18"/>
                    </w:rPr>
                    <w:t>.7)</w:t>
                  </w:r>
                </w:p>
              </w:tc>
              <w:tc>
                <w:tcPr>
                  <w:tcW w:w="752"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0.25</w:t>
                  </w:r>
                </w:p>
              </w:tc>
              <w:tc>
                <w:tcPr>
                  <w:tcW w:w="335" w:type="pct"/>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.9)</w:t>
                  </w:r>
                </w:p>
              </w:tc>
            </w:tr>
            <w:tr w:rsidR="0078299B" w:rsidTr="005A6E61">
              <w:trPr>
                <w:trHeight w:hRule="exact" w:val="284"/>
              </w:trPr>
              <w:tc>
                <w:tcPr>
                  <w:tcW w:w="1574" w:type="pct"/>
                  <w:shd w:val="clear" w:color="auto" w:fill="auto"/>
                </w:tcPr>
                <w:p w:rsidR="0078299B" w:rsidRPr="00DB4B91" w:rsidRDefault="0078299B" w:rsidP="005A6E61">
                  <w:pPr>
                    <w:pStyle w:val="TableBodyText"/>
                    <w:ind w:left="262"/>
                    <w:jc w:val="left"/>
                    <w:rPr>
                      <w:sz w:val="16"/>
                      <w:szCs w:val="16"/>
                    </w:rPr>
                  </w:pPr>
                  <w:r w:rsidRPr="00DB4B91">
                    <w:rPr>
                      <w:sz w:val="16"/>
                      <w:szCs w:val="16"/>
                    </w:rPr>
                    <w:t>Second lowest wealth quartile</w:t>
                  </w:r>
                </w:p>
              </w:tc>
              <w:tc>
                <w:tcPr>
                  <w:tcW w:w="920" w:type="pct"/>
                  <w:shd w:val="clear" w:color="auto" w:fill="auto"/>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112</w:t>
                  </w:r>
                </w:p>
              </w:tc>
              <w:tc>
                <w:tcPr>
                  <w:tcW w:w="334"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.2)</w:t>
                  </w:r>
                </w:p>
              </w:tc>
              <w:tc>
                <w:tcPr>
                  <w:tcW w:w="751"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72.3</w:t>
                  </w: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(2.6)</w:t>
                  </w:r>
                </w:p>
              </w:tc>
              <w:tc>
                <w:tcPr>
                  <w:tcW w:w="752"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0.87</w:t>
                  </w:r>
                </w:p>
              </w:tc>
              <w:tc>
                <w:tcPr>
                  <w:tcW w:w="335" w:type="pct"/>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(2.9)</w:t>
                  </w:r>
                </w:p>
              </w:tc>
            </w:tr>
            <w:tr w:rsidR="0078299B" w:rsidTr="005A6E61">
              <w:trPr>
                <w:trHeight w:hRule="exact" w:val="284"/>
              </w:trPr>
              <w:tc>
                <w:tcPr>
                  <w:tcW w:w="1574" w:type="pct"/>
                  <w:shd w:val="clear" w:color="auto" w:fill="auto"/>
                </w:tcPr>
                <w:p w:rsidR="0078299B" w:rsidRPr="00DB4B91" w:rsidRDefault="0078299B" w:rsidP="005A6E61">
                  <w:pPr>
                    <w:pStyle w:val="TableBodyText"/>
                    <w:ind w:left="262"/>
                    <w:jc w:val="left"/>
                    <w:rPr>
                      <w:sz w:val="16"/>
                      <w:szCs w:val="16"/>
                    </w:rPr>
                  </w:pPr>
                  <w:r w:rsidRPr="00DB4B91">
                    <w:rPr>
                      <w:sz w:val="16"/>
                      <w:szCs w:val="16"/>
                    </w:rPr>
                    <w:t>Second highest wealth quartile</w:t>
                  </w:r>
                </w:p>
              </w:tc>
              <w:tc>
                <w:tcPr>
                  <w:tcW w:w="920" w:type="pct"/>
                  <w:shd w:val="clear" w:color="auto" w:fill="auto"/>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128</w:t>
                  </w:r>
                </w:p>
              </w:tc>
              <w:tc>
                <w:tcPr>
                  <w:tcW w:w="334"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.3)</w:t>
                  </w:r>
                </w:p>
              </w:tc>
              <w:tc>
                <w:tcPr>
                  <w:tcW w:w="751"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75.4</w:t>
                  </w: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(3.3)</w:t>
                  </w:r>
                </w:p>
              </w:tc>
              <w:tc>
                <w:tcPr>
                  <w:tcW w:w="752"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0.90</w:t>
                  </w:r>
                </w:p>
              </w:tc>
              <w:tc>
                <w:tcPr>
                  <w:tcW w:w="335" w:type="pct"/>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(3.6)</w:t>
                  </w:r>
                </w:p>
              </w:tc>
            </w:tr>
            <w:tr w:rsidR="0078299B" w:rsidTr="005A6E61">
              <w:trPr>
                <w:trHeight w:hRule="exact" w:val="284"/>
              </w:trPr>
              <w:tc>
                <w:tcPr>
                  <w:tcW w:w="1574" w:type="pct"/>
                  <w:shd w:val="clear" w:color="auto" w:fill="auto"/>
                </w:tcPr>
                <w:p w:rsidR="0078299B" w:rsidRPr="00DB4B91" w:rsidRDefault="0078299B" w:rsidP="005A6E61">
                  <w:pPr>
                    <w:pStyle w:val="TableBodyText"/>
                    <w:ind w:left="262"/>
                    <w:jc w:val="left"/>
                    <w:rPr>
                      <w:sz w:val="16"/>
                      <w:szCs w:val="16"/>
                    </w:rPr>
                  </w:pPr>
                  <w:r w:rsidRPr="00DB4B91">
                    <w:rPr>
                      <w:sz w:val="16"/>
                      <w:szCs w:val="16"/>
                    </w:rPr>
                    <w:t>Highest wealth quartile</w:t>
                  </w:r>
                </w:p>
              </w:tc>
              <w:tc>
                <w:tcPr>
                  <w:tcW w:w="920" w:type="pct"/>
                  <w:shd w:val="clear" w:color="auto" w:fill="auto"/>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933</w:t>
                  </w:r>
                </w:p>
              </w:tc>
              <w:tc>
                <w:tcPr>
                  <w:tcW w:w="334"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(1.3)</w:t>
                  </w:r>
                </w:p>
              </w:tc>
              <w:tc>
                <w:tcPr>
                  <w:tcW w:w="751"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110.4</w:t>
                  </w: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(3.6)</w:t>
                  </w:r>
                </w:p>
              </w:tc>
              <w:tc>
                <w:tcPr>
                  <w:tcW w:w="752"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1.11</w:t>
                  </w:r>
                </w:p>
              </w:tc>
              <w:tc>
                <w:tcPr>
                  <w:tcW w:w="335" w:type="pct"/>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(3.4)</w:t>
                  </w:r>
                </w:p>
              </w:tc>
            </w:tr>
            <w:tr w:rsidR="0078299B" w:rsidTr="00715D9C">
              <w:trPr>
                <w:trHeight w:hRule="exact" w:val="284"/>
              </w:trPr>
              <w:tc>
                <w:tcPr>
                  <w:tcW w:w="1574" w:type="pct"/>
                  <w:shd w:val="clear" w:color="auto" w:fill="F2F2F2"/>
                </w:tcPr>
                <w:p w:rsidR="0078299B" w:rsidRPr="00AE1360" w:rsidRDefault="0078299B" w:rsidP="005A6E61">
                  <w:pPr>
                    <w:pStyle w:val="TableBodyText"/>
                    <w:jc w:val="left"/>
                    <w:rPr>
                      <w:i/>
                    </w:rPr>
                  </w:pPr>
                  <w:r w:rsidRPr="00AE1360">
                    <w:rPr>
                      <w:i/>
                    </w:rPr>
                    <w:t xml:space="preserve">Couples: </w:t>
                  </w:r>
                  <w:r>
                    <w:rPr>
                      <w:i/>
                    </w:rPr>
                    <w:t>High income earner</w:t>
                  </w:r>
                </w:p>
              </w:tc>
              <w:tc>
                <w:tcPr>
                  <w:tcW w:w="920"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p>
              </w:tc>
              <w:tc>
                <w:tcPr>
                  <w:tcW w:w="334" w:type="pct"/>
                  <w:shd w:val="clear" w:color="auto" w:fill="F2F2F2"/>
                  <w:vAlign w:val="bottom"/>
                </w:tcPr>
                <w:p w:rsidR="0078299B" w:rsidRPr="00B2002C" w:rsidRDefault="0078299B" w:rsidP="005A6E61">
                  <w:pPr>
                    <w:pStyle w:val="TableBodyText"/>
                    <w:keepNext w:val="0"/>
                    <w:keepLines w:val="0"/>
                    <w:widowControl w:val="0"/>
                    <w:spacing w:after="0"/>
                    <w:jc w:val="center"/>
                    <w:rPr>
                      <w:rFonts w:asciiTheme="minorHAnsi" w:hAnsiTheme="minorHAnsi" w:cstheme="minorHAnsi"/>
                      <w:color w:val="000000"/>
                      <w:szCs w:val="18"/>
                    </w:rPr>
                  </w:pPr>
                </w:p>
              </w:tc>
              <w:tc>
                <w:tcPr>
                  <w:tcW w:w="751"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p>
              </w:tc>
              <w:tc>
                <w:tcPr>
                  <w:tcW w:w="334" w:type="pct"/>
                  <w:shd w:val="clear" w:color="auto" w:fill="F2F2F2"/>
                  <w:vAlign w:val="bottom"/>
                </w:tcPr>
                <w:p w:rsidR="0078299B" w:rsidRPr="00B2002C" w:rsidRDefault="0078299B" w:rsidP="005A6E61">
                  <w:pPr>
                    <w:widowControl w:val="0"/>
                    <w:spacing w:line="200" w:lineRule="atLeast"/>
                    <w:jc w:val="center"/>
                    <w:rPr>
                      <w:rFonts w:asciiTheme="minorHAnsi" w:hAnsiTheme="minorHAnsi" w:cstheme="minorHAnsi"/>
                      <w:color w:val="000000"/>
                      <w:sz w:val="18"/>
                      <w:szCs w:val="18"/>
                    </w:rPr>
                  </w:pPr>
                </w:p>
              </w:tc>
              <w:tc>
                <w:tcPr>
                  <w:tcW w:w="752"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p>
              </w:tc>
              <w:tc>
                <w:tcPr>
                  <w:tcW w:w="335" w:type="pct"/>
                  <w:shd w:val="clear" w:color="auto" w:fill="F2F2F2"/>
                  <w:vAlign w:val="bottom"/>
                </w:tcPr>
                <w:p w:rsidR="0078299B" w:rsidRPr="00B2002C" w:rsidRDefault="0078299B" w:rsidP="005A6E61">
                  <w:pPr>
                    <w:pStyle w:val="TableBodyText"/>
                    <w:ind w:right="28"/>
                    <w:rPr>
                      <w:rFonts w:asciiTheme="minorHAnsi" w:hAnsiTheme="minorHAnsi" w:cstheme="minorHAnsi"/>
                      <w:color w:val="000000"/>
                      <w:szCs w:val="18"/>
                    </w:rPr>
                  </w:pPr>
                </w:p>
              </w:tc>
            </w:tr>
            <w:tr w:rsidR="0078299B" w:rsidTr="00715D9C">
              <w:trPr>
                <w:trHeight w:hRule="exact" w:val="284"/>
              </w:trPr>
              <w:tc>
                <w:tcPr>
                  <w:tcW w:w="1574" w:type="pct"/>
                  <w:shd w:val="clear" w:color="auto" w:fill="F2F2F2"/>
                </w:tcPr>
                <w:p w:rsidR="0078299B" w:rsidRPr="00DB4B91" w:rsidRDefault="0078299B" w:rsidP="005A6E61">
                  <w:pPr>
                    <w:pStyle w:val="TableUnitsRow"/>
                    <w:ind w:left="262"/>
                    <w:jc w:val="left"/>
                    <w:rPr>
                      <w:sz w:val="16"/>
                      <w:szCs w:val="16"/>
                    </w:rPr>
                  </w:pPr>
                  <w:r w:rsidRPr="00DB4B91">
                    <w:rPr>
                      <w:sz w:val="16"/>
                      <w:szCs w:val="16"/>
                    </w:rPr>
                    <w:t>Lowest wealth quartile</w:t>
                  </w:r>
                </w:p>
              </w:tc>
              <w:tc>
                <w:tcPr>
                  <w:tcW w:w="920"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144</w:t>
                  </w:r>
                </w:p>
              </w:tc>
              <w:tc>
                <w:tcPr>
                  <w:tcW w:w="334"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.6)</w:t>
                  </w:r>
                </w:p>
              </w:tc>
              <w:tc>
                <w:tcPr>
                  <w:tcW w:w="751"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65.5</w:t>
                  </w:r>
                </w:p>
              </w:tc>
              <w:tc>
                <w:tcPr>
                  <w:tcW w:w="334"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(6.0)</w:t>
                  </w:r>
                </w:p>
              </w:tc>
              <w:tc>
                <w:tcPr>
                  <w:tcW w:w="752"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0.79</w:t>
                  </w:r>
                </w:p>
              </w:tc>
              <w:tc>
                <w:tcPr>
                  <w:tcW w:w="335" w:type="pct"/>
                  <w:shd w:val="clear" w:color="auto" w:fill="F2F2F2"/>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(6.5)</w:t>
                  </w:r>
                </w:p>
              </w:tc>
            </w:tr>
            <w:tr w:rsidR="0078299B" w:rsidTr="00715D9C">
              <w:trPr>
                <w:trHeight w:hRule="exact" w:val="284"/>
              </w:trPr>
              <w:tc>
                <w:tcPr>
                  <w:tcW w:w="1574" w:type="pct"/>
                  <w:shd w:val="clear" w:color="auto" w:fill="F2F2F2"/>
                </w:tcPr>
                <w:p w:rsidR="0078299B" w:rsidRPr="00DB4B91" w:rsidRDefault="0078299B" w:rsidP="005A6E61">
                  <w:pPr>
                    <w:pStyle w:val="TableBodyText"/>
                    <w:ind w:left="262"/>
                    <w:jc w:val="left"/>
                    <w:rPr>
                      <w:sz w:val="16"/>
                      <w:szCs w:val="16"/>
                    </w:rPr>
                  </w:pPr>
                  <w:r w:rsidRPr="00DB4B91">
                    <w:rPr>
                      <w:sz w:val="16"/>
                      <w:szCs w:val="16"/>
                    </w:rPr>
                    <w:t>Second lowest wealth quartile</w:t>
                  </w:r>
                </w:p>
              </w:tc>
              <w:tc>
                <w:tcPr>
                  <w:tcW w:w="920"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630</w:t>
                  </w:r>
                </w:p>
              </w:tc>
              <w:tc>
                <w:tcPr>
                  <w:tcW w:w="334"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(2.1)</w:t>
                  </w:r>
                </w:p>
              </w:tc>
              <w:tc>
                <w:tcPr>
                  <w:tcW w:w="751"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99.5</w:t>
                  </w:r>
                </w:p>
              </w:tc>
              <w:tc>
                <w:tcPr>
                  <w:tcW w:w="334"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(7.2)</w:t>
                  </w:r>
                </w:p>
              </w:tc>
              <w:tc>
                <w:tcPr>
                  <w:tcW w:w="752"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1.16</w:t>
                  </w:r>
                </w:p>
              </w:tc>
              <w:tc>
                <w:tcPr>
                  <w:tcW w:w="335" w:type="pct"/>
                  <w:shd w:val="clear" w:color="auto" w:fill="F2F2F2"/>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(7.6)</w:t>
                  </w:r>
                </w:p>
              </w:tc>
            </w:tr>
            <w:tr w:rsidR="0078299B" w:rsidTr="00715D9C">
              <w:trPr>
                <w:trHeight w:hRule="exact" w:val="284"/>
              </w:trPr>
              <w:tc>
                <w:tcPr>
                  <w:tcW w:w="1574" w:type="pct"/>
                  <w:shd w:val="clear" w:color="auto" w:fill="F2F2F2"/>
                </w:tcPr>
                <w:p w:rsidR="0078299B" w:rsidRPr="00DB4B91" w:rsidRDefault="0078299B" w:rsidP="005A6E61">
                  <w:pPr>
                    <w:pStyle w:val="TableBodyText"/>
                    <w:ind w:left="262"/>
                    <w:jc w:val="left"/>
                    <w:rPr>
                      <w:sz w:val="16"/>
                      <w:szCs w:val="16"/>
                    </w:rPr>
                  </w:pPr>
                  <w:r w:rsidRPr="00DB4B91">
                    <w:rPr>
                      <w:sz w:val="16"/>
                      <w:szCs w:val="16"/>
                    </w:rPr>
                    <w:t>Second highest wealth quartile</w:t>
                  </w:r>
                </w:p>
              </w:tc>
              <w:tc>
                <w:tcPr>
                  <w:tcW w:w="920"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249</w:t>
                  </w:r>
                </w:p>
              </w:tc>
              <w:tc>
                <w:tcPr>
                  <w:tcW w:w="334"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.7)</w:t>
                  </w:r>
                </w:p>
              </w:tc>
              <w:tc>
                <w:tcPr>
                  <w:tcW w:w="751"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92.0</w:t>
                  </w:r>
                </w:p>
              </w:tc>
              <w:tc>
                <w:tcPr>
                  <w:tcW w:w="334"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(6.0)</w:t>
                  </w:r>
                </w:p>
              </w:tc>
              <w:tc>
                <w:tcPr>
                  <w:tcW w:w="752"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1.08</w:t>
                  </w:r>
                </w:p>
              </w:tc>
              <w:tc>
                <w:tcPr>
                  <w:tcW w:w="335" w:type="pct"/>
                  <w:shd w:val="clear" w:color="auto" w:fill="F2F2F2"/>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(6.5)</w:t>
                  </w:r>
                </w:p>
              </w:tc>
            </w:tr>
            <w:tr w:rsidR="0078299B" w:rsidTr="00715D9C">
              <w:trPr>
                <w:trHeight w:hRule="exact" w:val="284"/>
              </w:trPr>
              <w:tc>
                <w:tcPr>
                  <w:tcW w:w="1574" w:type="pct"/>
                  <w:shd w:val="clear" w:color="auto" w:fill="F2F2F2"/>
                </w:tcPr>
                <w:p w:rsidR="0078299B" w:rsidRPr="00DB4B91" w:rsidRDefault="0078299B" w:rsidP="005A6E61">
                  <w:pPr>
                    <w:pStyle w:val="TableBodyText"/>
                    <w:ind w:left="262"/>
                    <w:jc w:val="left"/>
                    <w:rPr>
                      <w:sz w:val="16"/>
                      <w:szCs w:val="16"/>
                    </w:rPr>
                  </w:pPr>
                  <w:r w:rsidRPr="00DB4B91">
                    <w:rPr>
                      <w:sz w:val="16"/>
                      <w:szCs w:val="16"/>
                    </w:rPr>
                    <w:t>Highest wealth quartile</w:t>
                  </w:r>
                </w:p>
              </w:tc>
              <w:tc>
                <w:tcPr>
                  <w:tcW w:w="920"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w:t>
                  </w:r>
                  <w:r>
                    <w:rPr>
                      <w:rFonts w:asciiTheme="minorHAnsi" w:hAnsiTheme="minorHAnsi" w:cstheme="minorHAnsi"/>
                      <w:color w:val="000000"/>
                      <w:szCs w:val="18"/>
                    </w:rPr>
                    <w:t> </w:t>
                  </w:r>
                  <w:r w:rsidR="0078299B" w:rsidRPr="00B2002C">
                    <w:rPr>
                      <w:rFonts w:asciiTheme="minorHAnsi" w:hAnsiTheme="minorHAnsi" w:cstheme="minorHAnsi"/>
                      <w:color w:val="000000"/>
                      <w:szCs w:val="18"/>
                    </w:rPr>
                    <w:t>726</w:t>
                  </w:r>
                </w:p>
              </w:tc>
              <w:tc>
                <w:tcPr>
                  <w:tcW w:w="334"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(2.8)</w:t>
                  </w:r>
                </w:p>
              </w:tc>
              <w:tc>
                <w:tcPr>
                  <w:tcW w:w="751"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180.8</w:t>
                  </w:r>
                </w:p>
              </w:tc>
              <w:tc>
                <w:tcPr>
                  <w:tcW w:w="334" w:type="pct"/>
                  <w:shd w:val="clear" w:color="auto" w:fill="F2F2F2"/>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(6.5)</w:t>
                  </w:r>
                </w:p>
              </w:tc>
              <w:tc>
                <w:tcPr>
                  <w:tcW w:w="752" w:type="pct"/>
                  <w:shd w:val="clear" w:color="auto" w:fill="F2F2F2"/>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2.03</w:t>
                  </w:r>
                </w:p>
              </w:tc>
              <w:tc>
                <w:tcPr>
                  <w:tcW w:w="335" w:type="pct"/>
                  <w:shd w:val="clear" w:color="auto" w:fill="F2F2F2"/>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(6.7)</w:t>
                  </w:r>
                </w:p>
              </w:tc>
            </w:tr>
            <w:tr w:rsidR="0078299B" w:rsidTr="005A6E61">
              <w:trPr>
                <w:trHeight w:hRule="exact" w:val="284"/>
              </w:trPr>
              <w:tc>
                <w:tcPr>
                  <w:tcW w:w="1574" w:type="pct"/>
                  <w:shd w:val="clear" w:color="auto" w:fill="auto"/>
                </w:tcPr>
                <w:p w:rsidR="0078299B" w:rsidRPr="00AE1360" w:rsidRDefault="0078299B" w:rsidP="005A6E61">
                  <w:pPr>
                    <w:pStyle w:val="TableBodyText"/>
                    <w:jc w:val="left"/>
                    <w:rPr>
                      <w:i/>
                    </w:rPr>
                  </w:pPr>
                  <w:r w:rsidRPr="00AE1360">
                    <w:rPr>
                      <w:i/>
                    </w:rPr>
                    <w:t xml:space="preserve">Couples: </w:t>
                  </w:r>
                  <w:r>
                    <w:rPr>
                      <w:i/>
                    </w:rPr>
                    <w:t>Lower income earner</w:t>
                  </w:r>
                </w:p>
              </w:tc>
              <w:tc>
                <w:tcPr>
                  <w:tcW w:w="920" w:type="pct"/>
                  <w:shd w:val="clear" w:color="auto" w:fill="auto"/>
                  <w:vAlign w:val="bottom"/>
                </w:tcPr>
                <w:p w:rsidR="0078299B" w:rsidRPr="00B2002C" w:rsidRDefault="0078299B" w:rsidP="005A6E61">
                  <w:pPr>
                    <w:pStyle w:val="TableBodyText"/>
                    <w:rPr>
                      <w:rFonts w:asciiTheme="minorHAnsi" w:hAnsiTheme="minorHAnsi" w:cstheme="minorHAnsi"/>
                      <w:color w:val="000000"/>
                      <w:szCs w:val="18"/>
                    </w:rPr>
                  </w:pP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p>
              </w:tc>
              <w:tc>
                <w:tcPr>
                  <w:tcW w:w="751" w:type="pct"/>
                  <w:vAlign w:val="bottom"/>
                </w:tcPr>
                <w:p w:rsidR="0078299B" w:rsidRPr="00B2002C" w:rsidRDefault="0078299B" w:rsidP="005A6E61">
                  <w:pPr>
                    <w:pStyle w:val="TableBodyText"/>
                    <w:rPr>
                      <w:rFonts w:asciiTheme="minorHAnsi" w:hAnsiTheme="minorHAnsi" w:cstheme="minorHAnsi"/>
                      <w:color w:val="000000"/>
                      <w:szCs w:val="18"/>
                    </w:rPr>
                  </w:pP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p>
              </w:tc>
              <w:tc>
                <w:tcPr>
                  <w:tcW w:w="752" w:type="pct"/>
                  <w:vAlign w:val="bottom"/>
                </w:tcPr>
                <w:p w:rsidR="0078299B" w:rsidRPr="00B2002C" w:rsidRDefault="0078299B" w:rsidP="005A6E61">
                  <w:pPr>
                    <w:pStyle w:val="TableBodyText"/>
                    <w:rPr>
                      <w:rFonts w:asciiTheme="minorHAnsi" w:hAnsiTheme="minorHAnsi" w:cstheme="minorHAnsi"/>
                      <w:color w:val="000000"/>
                      <w:szCs w:val="18"/>
                    </w:rPr>
                  </w:pPr>
                </w:p>
              </w:tc>
              <w:tc>
                <w:tcPr>
                  <w:tcW w:w="335" w:type="pct"/>
                  <w:vAlign w:val="bottom"/>
                </w:tcPr>
                <w:p w:rsidR="0078299B" w:rsidRPr="00B2002C" w:rsidRDefault="0078299B" w:rsidP="005A6E61">
                  <w:pPr>
                    <w:pStyle w:val="TableBodyText"/>
                    <w:ind w:right="28"/>
                    <w:rPr>
                      <w:rFonts w:asciiTheme="minorHAnsi" w:hAnsiTheme="minorHAnsi" w:cstheme="minorHAnsi"/>
                      <w:color w:val="000000"/>
                      <w:szCs w:val="18"/>
                    </w:rPr>
                  </w:pPr>
                </w:p>
              </w:tc>
            </w:tr>
            <w:tr w:rsidR="0078299B" w:rsidTr="005A6E61">
              <w:trPr>
                <w:trHeight w:hRule="exact" w:val="284"/>
              </w:trPr>
              <w:tc>
                <w:tcPr>
                  <w:tcW w:w="1574" w:type="pct"/>
                  <w:shd w:val="clear" w:color="auto" w:fill="auto"/>
                </w:tcPr>
                <w:p w:rsidR="0078299B" w:rsidRPr="00DB4B91" w:rsidRDefault="0078299B" w:rsidP="005A6E61">
                  <w:pPr>
                    <w:pStyle w:val="TableUnitsRow"/>
                    <w:ind w:left="262"/>
                    <w:jc w:val="left"/>
                    <w:rPr>
                      <w:sz w:val="16"/>
                      <w:szCs w:val="16"/>
                    </w:rPr>
                  </w:pPr>
                  <w:r w:rsidRPr="00DB4B91">
                    <w:rPr>
                      <w:sz w:val="16"/>
                      <w:szCs w:val="16"/>
                    </w:rPr>
                    <w:t>Lowest wealth quartile</w:t>
                  </w:r>
                </w:p>
              </w:tc>
              <w:tc>
                <w:tcPr>
                  <w:tcW w:w="920" w:type="pct"/>
                  <w:shd w:val="clear" w:color="auto" w:fill="auto"/>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724</w:t>
                  </w: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(3.5)</w:t>
                  </w:r>
                </w:p>
              </w:tc>
              <w:tc>
                <w:tcPr>
                  <w:tcW w:w="751"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0.8</w:t>
                  </w: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Pr="00B2002C">
                    <w:rPr>
                      <w:rFonts w:asciiTheme="minorHAnsi" w:hAnsiTheme="minorHAnsi" w:cstheme="minorHAnsi"/>
                      <w:color w:val="000000"/>
                      <w:szCs w:val="18"/>
                    </w:rPr>
                    <w:t>.1)</w:t>
                  </w:r>
                </w:p>
              </w:tc>
              <w:tc>
                <w:tcPr>
                  <w:tcW w:w="752"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0.03</w:t>
                  </w:r>
                </w:p>
              </w:tc>
              <w:tc>
                <w:tcPr>
                  <w:tcW w:w="335" w:type="pct"/>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.3)</w:t>
                  </w:r>
                </w:p>
              </w:tc>
            </w:tr>
            <w:tr w:rsidR="0078299B" w:rsidTr="005A6E61">
              <w:trPr>
                <w:trHeight w:hRule="exact" w:val="284"/>
              </w:trPr>
              <w:tc>
                <w:tcPr>
                  <w:tcW w:w="1574" w:type="pct"/>
                  <w:shd w:val="clear" w:color="auto" w:fill="auto"/>
                </w:tcPr>
                <w:p w:rsidR="0078299B" w:rsidRPr="00DB4B91" w:rsidRDefault="0078299B" w:rsidP="005A6E61">
                  <w:pPr>
                    <w:pStyle w:val="TableBodyText"/>
                    <w:ind w:left="262"/>
                    <w:jc w:val="left"/>
                    <w:rPr>
                      <w:sz w:val="16"/>
                      <w:szCs w:val="16"/>
                    </w:rPr>
                  </w:pPr>
                  <w:r w:rsidRPr="00DB4B91">
                    <w:rPr>
                      <w:sz w:val="16"/>
                      <w:szCs w:val="16"/>
                    </w:rPr>
                    <w:t>Second lowest wealth quartile</w:t>
                  </w:r>
                </w:p>
              </w:tc>
              <w:tc>
                <w:tcPr>
                  <w:tcW w:w="920" w:type="pct"/>
                  <w:shd w:val="clear" w:color="auto" w:fill="auto"/>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879</w:t>
                  </w: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(4.0)</w:t>
                  </w:r>
                </w:p>
              </w:tc>
              <w:tc>
                <w:tcPr>
                  <w:tcW w:w="751"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1.2</w:t>
                  </w:r>
                </w:p>
              </w:tc>
              <w:tc>
                <w:tcPr>
                  <w:tcW w:w="334"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.1)</w:t>
                  </w:r>
                </w:p>
              </w:tc>
              <w:tc>
                <w:tcPr>
                  <w:tcW w:w="752"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0.02</w:t>
                  </w:r>
                </w:p>
              </w:tc>
              <w:tc>
                <w:tcPr>
                  <w:tcW w:w="335" w:type="pct"/>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.2)</w:t>
                  </w:r>
                </w:p>
              </w:tc>
            </w:tr>
            <w:tr w:rsidR="0078299B" w:rsidTr="005A6E61">
              <w:trPr>
                <w:trHeight w:hRule="exact" w:val="284"/>
              </w:trPr>
              <w:tc>
                <w:tcPr>
                  <w:tcW w:w="1574" w:type="pct"/>
                  <w:shd w:val="clear" w:color="auto" w:fill="auto"/>
                </w:tcPr>
                <w:p w:rsidR="0078299B" w:rsidRPr="00DB4B91" w:rsidRDefault="0078299B" w:rsidP="005A6E61">
                  <w:pPr>
                    <w:pStyle w:val="TableBodyText"/>
                    <w:ind w:left="262"/>
                    <w:jc w:val="left"/>
                    <w:rPr>
                      <w:sz w:val="16"/>
                      <w:szCs w:val="16"/>
                    </w:rPr>
                  </w:pPr>
                  <w:r w:rsidRPr="00DB4B91">
                    <w:rPr>
                      <w:sz w:val="16"/>
                      <w:szCs w:val="16"/>
                    </w:rPr>
                    <w:t>Second highest wealth quartile</w:t>
                  </w:r>
                </w:p>
              </w:tc>
              <w:tc>
                <w:tcPr>
                  <w:tcW w:w="920" w:type="pct"/>
                  <w:shd w:val="clear" w:color="auto" w:fill="auto"/>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1</w:t>
                  </w:r>
                  <w:r w:rsidR="00DC3809">
                    <w:rPr>
                      <w:rFonts w:asciiTheme="minorHAnsi" w:hAnsiTheme="minorHAnsi" w:cstheme="minorHAnsi"/>
                      <w:color w:val="000000"/>
                      <w:szCs w:val="18"/>
                    </w:rPr>
                    <w:t> </w:t>
                  </w:r>
                  <w:r w:rsidRPr="00B2002C">
                    <w:rPr>
                      <w:rFonts w:asciiTheme="minorHAnsi" w:hAnsiTheme="minorHAnsi" w:cstheme="minorHAnsi"/>
                      <w:color w:val="000000"/>
                      <w:szCs w:val="18"/>
                    </w:rPr>
                    <w:t>012</w:t>
                  </w:r>
                </w:p>
              </w:tc>
              <w:tc>
                <w:tcPr>
                  <w:tcW w:w="334" w:type="pct"/>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(4.5)</w:t>
                  </w:r>
                </w:p>
              </w:tc>
              <w:tc>
                <w:tcPr>
                  <w:tcW w:w="751"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2.0</w:t>
                  </w:r>
                </w:p>
              </w:tc>
              <w:tc>
                <w:tcPr>
                  <w:tcW w:w="334"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.2)</w:t>
                  </w:r>
                </w:p>
              </w:tc>
              <w:tc>
                <w:tcPr>
                  <w:tcW w:w="752" w:type="pct"/>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0.05</w:t>
                  </w:r>
                </w:p>
              </w:tc>
              <w:tc>
                <w:tcPr>
                  <w:tcW w:w="335" w:type="pct"/>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0078299B" w:rsidRPr="00B2002C">
                    <w:rPr>
                      <w:rFonts w:asciiTheme="minorHAnsi" w:hAnsiTheme="minorHAnsi" w:cstheme="minorHAnsi"/>
                      <w:color w:val="000000"/>
                      <w:szCs w:val="18"/>
                    </w:rPr>
                    <w:t>.4)</w:t>
                  </w:r>
                </w:p>
              </w:tc>
            </w:tr>
            <w:tr w:rsidR="0078299B" w:rsidTr="005A6E61">
              <w:trPr>
                <w:trHeight w:hRule="exact" w:val="284"/>
              </w:trPr>
              <w:tc>
                <w:tcPr>
                  <w:tcW w:w="1574" w:type="pct"/>
                  <w:tcBorders>
                    <w:bottom w:val="single" w:sz="6" w:space="0" w:color="BFBFBF"/>
                  </w:tcBorders>
                  <w:shd w:val="clear" w:color="auto" w:fill="auto"/>
                </w:tcPr>
                <w:p w:rsidR="0078299B" w:rsidRPr="00DB4B91" w:rsidRDefault="0078299B" w:rsidP="005A6E61">
                  <w:pPr>
                    <w:pStyle w:val="TableBodyText"/>
                    <w:ind w:left="262"/>
                    <w:jc w:val="left"/>
                    <w:rPr>
                      <w:sz w:val="16"/>
                      <w:szCs w:val="16"/>
                    </w:rPr>
                  </w:pPr>
                  <w:r w:rsidRPr="00DB4B91">
                    <w:rPr>
                      <w:sz w:val="16"/>
                      <w:szCs w:val="16"/>
                    </w:rPr>
                    <w:t>Highest wealth quartile</w:t>
                  </w:r>
                </w:p>
              </w:tc>
              <w:tc>
                <w:tcPr>
                  <w:tcW w:w="920" w:type="pct"/>
                  <w:tcBorders>
                    <w:bottom w:val="single" w:sz="6" w:space="0" w:color="BFBFBF"/>
                  </w:tcBorders>
                  <w:shd w:val="clear" w:color="auto" w:fill="auto"/>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63</w:t>
                  </w:r>
                </w:p>
              </w:tc>
              <w:tc>
                <w:tcPr>
                  <w:tcW w:w="334" w:type="pct"/>
                  <w:tcBorders>
                    <w:bottom w:val="single" w:sz="6" w:space="0" w:color="BFBFBF"/>
                  </w:tcBorders>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w:t>
                  </w:r>
                  <w:r w:rsidR="003B14D2">
                    <w:rPr>
                      <w:rFonts w:asciiTheme="minorHAnsi" w:hAnsiTheme="minorHAnsi" w:cstheme="minorHAnsi"/>
                      <w:color w:val="000000"/>
                      <w:szCs w:val="18"/>
                    </w:rPr>
                    <w:t>0</w:t>
                  </w:r>
                  <w:r w:rsidRPr="00B2002C">
                    <w:rPr>
                      <w:rFonts w:asciiTheme="minorHAnsi" w:hAnsiTheme="minorHAnsi" w:cstheme="minorHAnsi"/>
                      <w:color w:val="000000"/>
                      <w:szCs w:val="18"/>
                    </w:rPr>
                    <w:t>.2)</w:t>
                  </w:r>
                </w:p>
              </w:tc>
              <w:tc>
                <w:tcPr>
                  <w:tcW w:w="751" w:type="pct"/>
                  <w:tcBorders>
                    <w:bottom w:val="single" w:sz="6" w:space="0" w:color="BFBFBF"/>
                  </w:tcBorders>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50.6</w:t>
                  </w:r>
                </w:p>
              </w:tc>
              <w:tc>
                <w:tcPr>
                  <w:tcW w:w="334" w:type="pct"/>
                  <w:tcBorders>
                    <w:bottom w:val="single" w:sz="6" w:space="0" w:color="BFBFBF"/>
                  </w:tcBorders>
                  <w:vAlign w:val="bottom"/>
                </w:tcPr>
                <w:p w:rsidR="0078299B" w:rsidRPr="00B2002C" w:rsidRDefault="0078299B" w:rsidP="005A6E61">
                  <w:pPr>
                    <w:pStyle w:val="TableBodyText"/>
                    <w:rPr>
                      <w:rFonts w:asciiTheme="minorHAnsi" w:hAnsiTheme="minorHAnsi" w:cstheme="minorHAnsi"/>
                      <w:color w:val="000000"/>
                      <w:szCs w:val="18"/>
                    </w:rPr>
                  </w:pPr>
                  <w:r w:rsidRPr="00B2002C">
                    <w:rPr>
                      <w:rFonts w:asciiTheme="minorHAnsi" w:hAnsiTheme="minorHAnsi" w:cstheme="minorHAnsi"/>
                      <w:color w:val="000000"/>
                      <w:szCs w:val="18"/>
                    </w:rPr>
                    <w:t>(3.1)</w:t>
                  </w:r>
                </w:p>
              </w:tc>
              <w:tc>
                <w:tcPr>
                  <w:tcW w:w="752" w:type="pct"/>
                  <w:tcBorders>
                    <w:bottom w:val="single" w:sz="6" w:space="0" w:color="BFBFBF"/>
                  </w:tcBorders>
                  <w:vAlign w:val="bottom"/>
                </w:tcPr>
                <w:p w:rsidR="0078299B" w:rsidRPr="00B2002C" w:rsidRDefault="00DC3809" w:rsidP="005A6E61">
                  <w:pPr>
                    <w:pStyle w:val="TableBodyText"/>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0.61</w:t>
                  </w:r>
                </w:p>
              </w:tc>
              <w:tc>
                <w:tcPr>
                  <w:tcW w:w="335" w:type="pct"/>
                  <w:tcBorders>
                    <w:bottom w:val="single" w:sz="6" w:space="0" w:color="BFBFBF"/>
                  </w:tcBorders>
                  <w:vAlign w:val="bottom"/>
                </w:tcPr>
                <w:p w:rsidR="0078299B" w:rsidRPr="00B2002C" w:rsidRDefault="00DC3809" w:rsidP="005A6E61">
                  <w:pPr>
                    <w:pStyle w:val="TableBodyText"/>
                    <w:ind w:right="28"/>
                    <w:rPr>
                      <w:rFonts w:asciiTheme="minorHAnsi" w:hAnsiTheme="minorHAnsi" w:cstheme="minorHAnsi"/>
                      <w:color w:val="000000"/>
                      <w:szCs w:val="18"/>
                    </w:rPr>
                  </w:pPr>
                  <w:r>
                    <w:rPr>
                      <w:rFonts w:asciiTheme="minorHAnsi" w:hAnsiTheme="minorHAnsi" w:cstheme="minorHAnsi"/>
                      <w:color w:val="000000"/>
                      <w:szCs w:val="18"/>
                    </w:rPr>
                    <w:noBreakHyphen/>
                  </w:r>
                  <w:r w:rsidR="0078299B" w:rsidRPr="00B2002C">
                    <w:rPr>
                      <w:rFonts w:asciiTheme="minorHAnsi" w:hAnsiTheme="minorHAnsi" w:cstheme="minorHAnsi"/>
                      <w:color w:val="000000"/>
                      <w:szCs w:val="18"/>
                    </w:rPr>
                    <w:t>(3.2)</w:t>
                  </w:r>
                </w:p>
              </w:tc>
            </w:tr>
          </w:tbl>
          <w:p w:rsidR="0078299B" w:rsidRDefault="0078299B" w:rsidP="005A6E61">
            <w:pPr>
              <w:pStyle w:val="Box"/>
            </w:pPr>
          </w:p>
        </w:tc>
      </w:tr>
      <w:tr w:rsidR="0078299B" w:rsidTr="005A6E61">
        <w:trPr>
          <w:cantSplit/>
        </w:trPr>
        <w:tc>
          <w:tcPr>
            <w:tcW w:w="8771" w:type="dxa"/>
            <w:tcBorders>
              <w:top w:val="nil"/>
              <w:left w:val="nil"/>
              <w:bottom w:val="nil"/>
              <w:right w:val="nil"/>
            </w:tcBorders>
            <w:shd w:val="clear" w:color="auto" w:fill="auto"/>
          </w:tcPr>
          <w:p w:rsidR="0078299B" w:rsidRDefault="0078299B" w:rsidP="005A6E61">
            <w:pPr>
              <w:pStyle w:val="Note"/>
              <w:rPr>
                <w:i/>
              </w:rPr>
            </w:pPr>
            <w:r w:rsidRPr="008E77FE">
              <w:rPr>
                <w:rStyle w:val="NoteLabel"/>
              </w:rPr>
              <w:t>a</w:t>
            </w:r>
            <w:r>
              <w:t xml:space="preserve"> t</w:t>
            </w:r>
            <w:r w:rsidR="00DC3809">
              <w:noBreakHyphen/>
            </w:r>
            <w:r>
              <w:t>values are in parenthesis</w:t>
            </w:r>
            <w:r w:rsidR="00A7555B">
              <w:t>.</w:t>
            </w:r>
          </w:p>
        </w:tc>
      </w:tr>
      <w:tr w:rsidR="0078299B" w:rsidTr="005A6E61">
        <w:trPr>
          <w:cantSplit/>
        </w:trPr>
        <w:tc>
          <w:tcPr>
            <w:tcW w:w="8771" w:type="dxa"/>
            <w:tcBorders>
              <w:top w:val="nil"/>
              <w:left w:val="nil"/>
              <w:bottom w:val="nil"/>
              <w:right w:val="nil"/>
            </w:tcBorders>
            <w:shd w:val="clear" w:color="auto" w:fill="auto"/>
            <w:vAlign w:val="bottom"/>
          </w:tcPr>
          <w:p w:rsidR="0078299B" w:rsidRPr="00972A21" w:rsidRDefault="0010237A" w:rsidP="0099427E">
            <w:pPr>
              <w:pStyle w:val="Note"/>
              <w:spacing w:before="120" w:line="240" w:lineRule="auto"/>
              <w:rPr>
                <w:rStyle w:val="NoteLabel"/>
                <w:b w:val="0"/>
              </w:rPr>
            </w:pPr>
            <w:r w:rsidRPr="000C1E3A">
              <w:t>Commission estimates based on ABS (</w:t>
            </w:r>
            <w:r w:rsidRPr="000C1E3A">
              <w:rPr>
                <w:i/>
              </w:rPr>
              <w:t>Survey of Income and Housing, 2011</w:t>
            </w:r>
            <w:r w:rsidRPr="000C1E3A">
              <w:rPr>
                <w:i/>
              </w:rPr>
              <w:noBreakHyphen/>
              <w:t>12</w:t>
            </w:r>
            <w:r w:rsidRPr="000C1E3A">
              <w:t xml:space="preserve">, Cat. no. 6553.0, </w:t>
            </w:r>
            <w:r w:rsidR="0099427E">
              <w:t>B</w:t>
            </w:r>
            <w:r w:rsidRPr="000C1E3A">
              <w:t xml:space="preserve">asic </w:t>
            </w:r>
            <w:proofErr w:type="spellStart"/>
            <w:r w:rsidRPr="000C1E3A">
              <w:t>CURF</w:t>
            </w:r>
            <w:proofErr w:type="spellEnd"/>
            <w:r w:rsidRPr="000C1E3A">
              <w:t>).</w:t>
            </w:r>
          </w:p>
        </w:tc>
      </w:tr>
      <w:tr w:rsidR="0078299B" w:rsidTr="005A6E61">
        <w:trPr>
          <w:cantSplit/>
          <w:trHeight w:val="80"/>
        </w:trPr>
        <w:tc>
          <w:tcPr>
            <w:tcW w:w="8771" w:type="dxa"/>
            <w:tcBorders>
              <w:top w:val="nil"/>
              <w:left w:val="nil"/>
              <w:bottom w:val="single" w:sz="6" w:space="0" w:color="78A22F"/>
              <w:right w:val="nil"/>
            </w:tcBorders>
            <w:shd w:val="clear" w:color="auto" w:fill="auto"/>
          </w:tcPr>
          <w:p w:rsidR="0078299B" w:rsidRDefault="0078299B" w:rsidP="005A6E61">
            <w:pPr>
              <w:pStyle w:val="Box"/>
              <w:spacing w:before="0" w:line="120" w:lineRule="exact"/>
            </w:pPr>
          </w:p>
        </w:tc>
      </w:tr>
      <w:tr w:rsidR="0078299B" w:rsidRPr="000863A5" w:rsidTr="005A6E61">
        <w:trPr>
          <w:trHeight w:val="65"/>
        </w:trPr>
        <w:tc>
          <w:tcPr>
            <w:tcW w:w="8771" w:type="dxa"/>
            <w:tcBorders>
              <w:top w:val="single" w:sz="6" w:space="0" w:color="78A22F"/>
              <w:left w:val="nil"/>
              <w:bottom w:val="nil"/>
              <w:right w:val="nil"/>
            </w:tcBorders>
          </w:tcPr>
          <w:p w:rsidR="0078299B" w:rsidRPr="00626D32" w:rsidRDefault="0078299B" w:rsidP="005A6E61">
            <w:pPr>
              <w:pStyle w:val="BoxSpaceBelow"/>
            </w:pPr>
          </w:p>
        </w:tc>
      </w:tr>
    </w:tbl>
    <w:p w:rsidR="00C27B1A" w:rsidRDefault="00C27B1A" w:rsidP="004C0DED">
      <w:pPr>
        <w:pStyle w:val="BodyText"/>
      </w:pPr>
    </w:p>
    <w:p w:rsidR="004C0DED" w:rsidRDefault="004C0DED" w:rsidP="004C0DED">
      <w:pPr>
        <w:pStyle w:val="BodyText"/>
      </w:pPr>
      <w:r>
        <w:lastRenderedPageBreak/>
        <w:t>In general, the results indicate that earnings tend to rise with age initially, but then decline with age once individuals reach their mid</w:t>
      </w:r>
      <w:r w:rsidR="00DC3809">
        <w:noBreakHyphen/>
      </w:r>
      <w:proofErr w:type="spellStart"/>
      <w:r>
        <w:t>40s</w:t>
      </w:r>
      <w:proofErr w:type="spellEnd"/>
      <w:r>
        <w:t xml:space="preserve">. Individuals </w:t>
      </w:r>
      <w:r w:rsidR="003B14D2">
        <w:t>who head</w:t>
      </w:r>
      <w:r>
        <w:t xml:space="preserve"> higher wealth households earn more than </w:t>
      </w:r>
      <w:r w:rsidR="003B14D2">
        <w:t xml:space="preserve">individuals who head </w:t>
      </w:r>
      <w:r>
        <w:t xml:space="preserve">lower wealth households, and males earn more than females (for a given wealth quartile). </w:t>
      </w:r>
    </w:p>
    <w:p w:rsidR="0078299B" w:rsidRDefault="0078299B" w:rsidP="0078299B">
      <w:pPr>
        <w:pStyle w:val="BodyText"/>
      </w:pPr>
      <w:r>
        <w:t>A few w</w:t>
      </w:r>
      <w:r w:rsidRPr="003A2AC3">
        <w:t>age profiles were slightly altered to improve the behaviour of representative households.</w:t>
      </w:r>
      <w:r w:rsidRPr="006F6523">
        <w:rPr>
          <w:rStyle w:val="FootnoteReference"/>
        </w:rPr>
        <w:footnoteReference w:id="1"/>
      </w:r>
      <w:r w:rsidRPr="003A2AC3">
        <w:t xml:space="preserve"> </w:t>
      </w:r>
      <w:r>
        <w:t>These</w:t>
      </w:r>
      <w:r w:rsidRPr="003A2AC3">
        <w:t xml:space="preserve"> alterations involved </w:t>
      </w:r>
      <w:r w:rsidRPr="007D0AAD">
        <w:t>marginally</w:t>
      </w:r>
      <w:r w:rsidRPr="003A2AC3">
        <w:t xml:space="preserve"> strengthening the decline in wage earnings at older ages. </w:t>
      </w:r>
    </w:p>
    <w:p w:rsidR="00A7555B" w:rsidRDefault="00A7555B" w:rsidP="00A7555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7555B" w:rsidTr="009404A2">
        <w:tc>
          <w:tcPr>
            <w:tcW w:w="8771" w:type="dxa"/>
            <w:tcBorders>
              <w:top w:val="single" w:sz="6" w:space="0" w:color="78A22F"/>
              <w:left w:val="nil"/>
              <w:bottom w:val="nil"/>
              <w:right w:val="nil"/>
            </w:tcBorders>
            <w:shd w:val="clear" w:color="auto" w:fill="auto"/>
          </w:tcPr>
          <w:p w:rsidR="00A7555B" w:rsidRPr="00176D3F" w:rsidRDefault="00A7555B" w:rsidP="00492529">
            <w:pPr>
              <w:pStyle w:val="FigureTitle"/>
            </w:pPr>
            <w:r w:rsidRPr="00784A05">
              <w:rPr>
                <w:b w:val="0"/>
              </w:rPr>
              <w:t xml:space="preserve">Figure </w:t>
            </w:r>
            <w:bookmarkStart w:id="4" w:name="OLE_LINK9"/>
            <w:r>
              <w:rPr>
                <w:b w:val="0"/>
              </w:rPr>
              <w:t>1.</w:t>
            </w:r>
            <w:r>
              <w:rPr>
                <w:b w:val="0"/>
                <w:noProof/>
              </w:rPr>
              <w:t>1</w:t>
            </w:r>
            <w:bookmarkEnd w:id="4"/>
            <w:r>
              <w:tab/>
              <w:t>Examples of age</w:t>
            </w:r>
            <w:r w:rsidR="00DC3809">
              <w:noBreakHyphen/>
            </w:r>
            <w:r>
              <w:t>earnings functions</w:t>
            </w:r>
          </w:p>
        </w:tc>
      </w:tr>
      <w:tr w:rsidR="00A7555B" w:rsidTr="009404A2">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A7555B" w:rsidTr="009404A2">
              <w:trPr>
                <w:jc w:val="center"/>
              </w:trPr>
              <w:tc>
                <w:tcPr>
                  <w:tcW w:w="8504" w:type="dxa"/>
                  <w:tcBorders>
                    <w:top w:val="nil"/>
                    <w:bottom w:val="nil"/>
                  </w:tcBorders>
                </w:tcPr>
                <w:p w:rsidR="00A7555B" w:rsidRDefault="006C5552" w:rsidP="009404A2">
                  <w:pPr>
                    <w:pStyle w:val="Figure"/>
                    <w:spacing w:before="60" w:after="60"/>
                  </w:pPr>
                  <w:r>
                    <w:rPr>
                      <w:noProof/>
                    </w:rPr>
                    <w:drawing>
                      <wp:inline distT="0" distB="0" distL="0" distR="0" wp14:anchorId="46098AFF" wp14:editId="77263B64">
                        <wp:extent cx="5257800" cy="2800350"/>
                        <wp:effectExtent l="0" t="0" r="0" b="0"/>
                        <wp:docPr id="2" name="Picture 2" descr="Figure 1.1 Examples of age–earnings functions. This figure illustrates a continuous earnings function, measuring dollars earned per week at different ages. Three household types are depicted, single male headed households, single female headed households and males in couple headed households, of the second highest wealth quartile. The age-earnings function is of an inverted U shape, peaking at around mid-forties in age and one thousand to one thousand seven hundred in dollar value. Males in couples have the highest age-earnings function whilst single females have the low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0" cy="2800350"/>
                                </a:xfrm>
                                <a:prstGeom prst="rect">
                                  <a:avLst/>
                                </a:prstGeom>
                                <a:noFill/>
                                <a:ln>
                                  <a:noFill/>
                                </a:ln>
                              </pic:spPr>
                            </pic:pic>
                          </a:graphicData>
                        </a:graphic>
                      </wp:inline>
                    </w:drawing>
                  </w:r>
                </w:p>
              </w:tc>
            </w:tr>
            <w:tr w:rsidR="00A7555B" w:rsidTr="009404A2">
              <w:trPr>
                <w:jc w:val="center"/>
              </w:trPr>
              <w:tc>
                <w:tcPr>
                  <w:tcW w:w="8504" w:type="dxa"/>
                  <w:tcBorders>
                    <w:top w:val="nil"/>
                    <w:bottom w:val="nil"/>
                  </w:tcBorders>
                </w:tcPr>
                <w:p w:rsidR="00A7555B" w:rsidRDefault="006C5552" w:rsidP="009404A2">
                  <w:pPr>
                    <w:pStyle w:val="Figure"/>
                    <w:spacing w:before="60" w:after="60"/>
                  </w:pPr>
                  <w:r>
                    <w:rPr>
                      <w:noProof/>
                    </w:rPr>
                    <w:drawing>
                      <wp:inline distT="0" distB="0" distL="0" distR="0" wp14:anchorId="10C1549B" wp14:editId="63D779BA">
                        <wp:extent cx="5257800" cy="590550"/>
                        <wp:effectExtent l="0" t="0" r="0" b="0"/>
                        <wp:docPr id="3" name="Picture 3"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0" cy="590550"/>
                                </a:xfrm>
                                <a:prstGeom prst="rect">
                                  <a:avLst/>
                                </a:prstGeom>
                                <a:noFill/>
                                <a:ln>
                                  <a:noFill/>
                                </a:ln>
                              </pic:spPr>
                            </pic:pic>
                          </a:graphicData>
                        </a:graphic>
                      </wp:inline>
                    </w:drawing>
                  </w:r>
                </w:p>
              </w:tc>
            </w:tr>
          </w:tbl>
          <w:p w:rsidR="00A7555B" w:rsidRDefault="00A7555B" w:rsidP="009404A2">
            <w:pPr>
              <w:pStyle w:val="Figure"/>
            </w:pPr>
          </w:p>
        </w:tc>
      </w:tr>
      <w:tr w:rsidR="00A7555B" w:rsidRPr="00176D3F" w:rsidTr="009404A2">
        <w:tc>
          <w:tcPr>
            <w:tcW w:w="8771" w:type="dxa"/>
            <w:tcBorders>
              <w:top w:val="nil"/>
              <w:left w:val="nil"/>
              <w:bottom w:val="nil"/>
              <w:right w:val="nil"/>
            </w:tcBorders>
            <w:shd w:val="clear" w:color="auto" w:fill="auto"/>
          </w:tcPr>
          <w:p w:rsidR="00A7555B" w:rsidRPr="00176D3F" w:rsidRDefault="00A7555B" w:rsidP="009404A2">
            <w:pPr>
              <w:pStyle w:val="Note"/>
            </w:pPr>
            <w:proofErr w:type="spellStart"/>
            <w:r>
              <w:rPr>
                <w:rStyle w:val="NoteLabel"/>
              </w:rPr>
              <w:t>a</w:t>
            </w:r>
            <w:proofErr w:type="spellEnd"/>
            <w:r>
              <w:t xml:space="preserve"> The earnings functions are derived from individuals in the ABS </w:t>
            </w:r>
            <w:r w:rsidRPr="0099427E">
              <w:rPr>
                <w:i/>
              </w:rPr>
              <w:t>Survey of Income and Housing</w:t>
            </w:r>
            <w:r>
              <w:t xml:space="preserve"> that earned wage or salary income in 2011</w:t>
            </w:r>
            <w:r w:rsidR="00DC3809">
              <w:noBreakHyphen/>
            </w:r>
            <w:r>
              <w:t>12.</w:t>
            </w:r>
          </w:p>
        </w:tc>
      </w:tr>
      <w:tr w:rsidR="00A7555B" w:rsidRPr="00176D3F" w:rsidTr="009404A2">
        <w:tc>
          <w:tcPr>
            <w:tcW w:w="8771" w:type="dxa"/>
            <w:tcBorders>
              <w:top w:val="nil"/>
              <w:left w:val="nil"/>
              <w:bottom w:val="nil"/>
              <w:right w:val="nil"/>
            </w:tcBorders>
            <w:shd w:val="clear" w:color="auto" w:fill="auto"/>
          </w:tcPr>
          <w:p w:rsidR="00A7555B" w:rsidRPr="00176D3F" w:rsidRDefault="00E701B1" w:rsidP="0099427E">
            <w:pPr>
              <w:pStyle w:val="Source"/>
            </w:pPr>
            <w:r w:rsidRPr="000C1E3A">
              <w:t>Commission estimates based on ABS (</w:t>
            </w:r>
            <w:r w:rsidRPr="000C1E3A">
              <w:rPr>
                <w:i/>
              </w:rPr>
              <w:t>Survey of Income and Housing, 2011</w:t>
            </w:r>
            <w:r w:rsidRPr="000C1E3A">
              <w:rPr>
                <w:i/>
              </w:rPr>
              <w:noBreakHyphen/>
              <w:t>12</w:t>
            </w:r>
            <w:r w:rsidRPr="000C1E3A">
              <w:t xml:space="preserve">, Cat. no. 6553.0, </w:t>
            </w:r>
            <w:r w:rsidR="0099427E">
              <w:t>B</w:t>
            </w:r>
            <w:r w:rsidRPr="000C1E3A">
              <w:t xml:space="preserve">asic </w:t>
            </w:r>
            <w:proofErr w:type="spellStart"/>
            <w:r w:rsidRPr="000C1E3A">
              <w:t>CURF</w:t>
            </w:r>
            <w:proofErr w:type="spellEnd"/>
            <w:r w:rsidRPr="000C1E3A">
              <w:t>).</w:t>
            </w:r>
          </w:p>
        </w:tc>
      </w:tr>
      <w:tr w:rsidR="00A7555B" w:rsidTr="009404A2">
        <w:tc>
          <w:tcPr>
            <w:tcW w:w="8771" w:type="dxa"/>
            <w:tcBorders>
              <w:top w:val="nil"/>
              <w:left w:val="nil"/>
              <w:bottom w:val="single" w:sz="6" w:space="0" w:color="78A22F"/>
              <w:right w:val="nil"/>
            </w:tcBorders>
            <w:shd w:val="clear" w:color="auto" w:fill="auto"/>
          </w:tcPr>
          <w:p w:rsidR="00A7555B" w:rsidRDefault="00A7555B" w:rsidP="009404A2">
            <w:pPr>
              <w:pStyle w:val="Figurespace"/>
            </w:pPr>
          </w:p>
        </w:tc>
      </w:tr>
      <w:tr w:rsidR="00A7555B" w:rsidRPr="000863A5" w:rsidTr="009404A2">
        <w:tc>
          <w:tcPr>
            <w:tcW w:w="8771" w:type="dxa"/>
            <w:tcBorders>
              <w:top w:val="single" w:sz="6" w:space="0" w:color="78A22F"/>
              <w:left w:val="nil"/>
              <w:bottom w:val="nil"/>
              <w:right w:val="nil"/>
            </w:tcBorders>
          </w:tcPr>
          <w:p w:rsidR="00A7555B" w:rsidRPr="00626D32" w:rsidRDefault="00A7555B" w:rsidP="009404A2">
            <w:pPr>
              <w:pStyle w:val="BoxSpaceBelow"/>
            </w:pPr>
          </w:p>
        </w:tc>
      </w:tr>
    </w:tbl>
    <w:p w:rsidR="0078299B" w:rsidRDefault="0078299B" w:rsidP="004C0DED">
      <w:pPr>
        <w:pStyle w:val="Heading3"/>
      </w:pPr>
      <w:r>
        <w:lastRenderedPageBreak/>
        <w:t>Employment rates</w:t>
      </w:r>
    </w:p>
    <w:p w:rsidR="0078299B" w:rsidRDefault="0078299B" w:rsidP="0078299B">
      <w:pPr>
        <w:pStyle w:val="BodyText"/>
      </w:pPr>
      <w:r>
        <w:t>Not all households are headed by individuals that are employed and contributing to superannuation savings. Hence the earnings per representative household suggested by the age</w:t>
      </w:r>
      <w:r w:rsidR="00DC3809">
        <w:noBreakHyphen/>
      </w:r>
      <w:r>
        <w:t>earnings equations shown in table</w:t>
      </w:r>
      <w:r w:rsidR="00BB51C1">
        <w:t> </w:t>
      </w:r>
      <w:r w:rsidR="009D3A07">
        <w:t>1.1</w:t>
      </w:r>
      <w:r w:rsidR="007D25EF">
        <w:t xml:space="preserve"> </w:t>
      </w:r>
      <w:r>
        <w:t>(which are calculated</w:t>
      </w:r>
      <w:r w:rsidR="00E701B1">
        <w:t xml:space="preserve"> only for the subset of working</w:t>
      </w:r>
      <w:r>
        <w:t xml:space="preserve"> households) need to be adjusted to take account of this effect. </w:t>
      </w:r>
    </w:p>
    <w:p w:rsidR="0078299B" w:rsidRDefault="0078299B" w:rsidP="0078299B">
      <w:pPr>
        <w:pStyle w:val="BodyText"/>
      </w:pPr>
      <w:r w:rsidRPr="00DA6129">
        <w:t>The share of working households within each representative type was calculated for e</w:t>
      </w:r>
      <w:r>
        <w:t>ach age group in each of the 12 </w:t>
      </w:r>
      <w:r w:rsidR="003B14D2">
        <w:t xml:space="preserve">household types. </w:t>
      </w:r>
      <w:r w:rsidRPr="00DA6129">
        <w:t>Note that the share of working households was lowest amongst the lower wealth quartiles, but was typically higher in all other q</w:t>
      </w:r>
      <w:r w:rsidR="003B14D2">
        <w:t>uartiles, particularly for men.</w:t>
      </w:r>
      <w:r w:rsidRPr="006F6523">
        <w:rPr>
          <w:rStyle w:val="FootnoteReference"/>
        </w:rPr>
        <w:footnoteReference w:id="2"/>
      </w:r>
      <w:r w:rsidRPr="00DA6129">
        <w:t xml:space="preserve"> Estimates of average weekly household wage income in each representative household type were then derived by taking the estimated average weekly earnings for working households of this type (as per the earnings equations in table</w:t>
      </w:r>
      <w:r>
        <w:t> </w:t>
      </w:r>
      <w:r w:rsidR="009D3A07">
        <w:t>1.1</w:t>
      </w:r>
      <w:r w:rsidRPr="00DA6129">
        <w:t>) and multiplying them by the estimated proportions of working households of that age and type (figure </w:t>
      </w:r>
      <w:r w:rsidR="009D3A07">
        <w:t>1.1</w:t>
      </w:r>
      <w:r w:rsidRPr="00DA6129">
        <w:t xml:space="preserve">). </w:t>
      </w:r>
    </w:p>
    <w:p w:rsidR="0078299B" w:rsidRDefault="0078299B" w:rsidP="004C0DED">
      <w:pPr>
        <w:pStyle w:val="Heading2"/>
      </w:pPr>
      <w:r>
        <w:t>Savings and draw</w:t>
      </w:r>
      <w:r w:rsidR="006F280C">
        <w:t xml:space="preserve"> </w:t>
      </w:r>
      <w:r>
        <w:t>down</w:t>
      </w:r>
    </w:p>
    <w:p w:rsidR="003955DF" w:rsidRDefault="0078299B" w:rsidP="0078299B">
      <w:pPr>
        <w:pStyle w:val="BodyText"/>
      </w:pPr>
      <w:r>
        <w:t>The savings and drawdown parameters are principally sourced from the ABS</w:t>
      </w:r>
      <w:r w:rsidR="00FD45BE">
        <w:t>’</w:t>
      </w:r>
      <w:r>
        <w:t xml:space="preserve"> </w:t>
      </w:r>
      <w:proofErr w:type="spellStart"/>
      <w:r w:rsidR="009D3A07" w:rsidRPr="00305C02">
        <w:t>SIH</w:t>
      </w:r>
      <w:proofErr w:type="spellEnd"/>
      <w:r w:rsidR="009D3A07" w:rsidRPr="00305C02">
        <w:t xml:space="preserve"> </w:t>
      </w:r>
      <w:r w:rsidRPr="00305C02">
        <w:t xml:space="preserve">Basic </w:t>
      </w:r>
      <w:proofErr w:type="spellStart"/>
      <w:r w:rsidRPr="00305C02">
        <w:t>CURF</w:t>
      </w:r>
      <w:proofErr w:type="spellEnd"/>
      <w:r w:rsidRPr="00305C02">
        <w:t xml:space="preserve"> file for 2011</w:t>
      </w:r>
      <w:r w:rsidR="00DC3809">
        <w:noBreakHyphen/>
      </w:r>
      <w:r w:rsidRPr="00305C02">
        <w:t>12</w:t>
      </w:r>
      <w:r>
        <w:t xml:space="preserve">, and the </w:t>
      </w:r>
      <w:proofErr w:type="spellStart"/>
      <w:r w:rsidR="00FD45BE">
        <w:t>ATO’s</w:t>
      </w:r>
      <w:proofErr w:type="spellEnd"/>
      <w:r w:rsidR="00FD45BE">
        <w:t xml:space="preserve"> </w:t>
      </w:r>
      <w:r w:rsidR="00FD45BE" w:rsidRPr="00FD45BE">
        <w:rPr>
          <w:i/>
        </w:rPr>
        <w:t>2011</w:t>
      </w:r>
      <w:r w:rsidR="00DC3809">
        <w:rPr>
          <w:i/>
        </w:rPr>
        <w:noBreakHyphen/>
      </w:r>
      <w:r w:rsidR="00FD45BE" w:rsidRPr="00FD45BE">
        <w:rPr>
          <w:i/>
        </w:rPr>
        <w:t>12 individuals sample file</w:t>
      </w:r>
      <w:r>
        <w:t>. While both of these data sources are cross</w:t>
      </w:r>
      <w:r w:rsidR="00DC3809">
        <w:noBreakHyphen/>
      </w:r>
      <w:r>
        <w:t>sectional in nature, drawdown and savings rates are calculated by comparing averages between adjacent age categories for similar household types.</w:t>
      </w:r>
      <w:r w:rsidRPr="006F6523">
        <w:rPr>
          <w:rStyle w:val="FootnoteReference"/>
        </w:rPr>
        <w:footnoteReference w:id="3"/>
      </w:r>
      <w:r>
        <w:t xml:space="preserve"> Longitudinal data would be preferable to make these calculations, however the only other available longitudinal data set, </w:t>
      </w:r>
      <w:r w:rsidR="009D3A07">
        <w:t xml:space="preserve">the </w:t>
      </w:r>
      <w:r w:rsidR="009D3A07" w:rsidRPr="0099427E">
        <w:rPr>
          <w:i/>
        </w:rPr>
        <w:t>Household Income and Labour Dynamics</w:t>
      </w:r>
      <w:r w:rsidR="0099427E" w:rsidRPr="0099427E">
        <w:rPr>
          <w:i/>
        </w:rPr>
        <w:t xml:space="preserve"> in Australia</w:t>
      </w:r>
      <w:r w:rsidR="009D3A07">
        <w:t xml:space="preserve"> (HILDA) </w:t>
      </w:r>
      <w:r w:rsidR="0099427E">
        <w:t>survey</w:t>
      </w:r>
      <w:r>
        <w:t>, has insufficient observations to be useful when ‘spread across’ twelve household types and 13 age range categories, and only provides information relating to wealth stocks every four years. The parameters derived from the different data sources are summarised in</w:t>
      </w:r>
      <w:r w:rsidRPr="00EB662C">
        <w:t xml:space="preserve"> </w:t>
      </w:r>
      <w:r>
        <w:t>table</w:t>
      </w:r>
      <w:r w:rsidR="00DC3809">
        <w:t> </w:t>
      </w:r>
      <w:r w:rsidR="009D3A07">
        <w:t>1.2</w:t>
      </w:r>
      <w:r w:rsidR="00A440C1">
        <w:t>.</w:t>
      </w:r>
    </w:p>
    <w:p w:rsidR="003955DF" w:rsidRDefault="003955DF">
      <w:pPr>
        <w:pStyle w:val="BodyText"/>
      </w:pPr>
      <w:r>
        <w:br w:type="page"/>
      </w:r>
    </w:p>
    <w:p w:rsidR="003955DF" w:rsidRDefault="003955DF">
      <w:pPr>
        <w:pStyle w:val="BodyText"/>
        <w:sectPr w:rsidR="003955DF" w:rsidSect="002B0DEA">
          <w:headerReference w:type="even" r:id="rId15"/>
          <w:headerReference w:type="default" r:id="rId16"/>
          <w:footerReference w:type="even" r:id="rId17"/>
          <w:footerReference w:type="default" r:id="rId18"/>
          <w:pgSz w:w="11907" w:h="16840" w:code="9"/>
          <w:pgMar w:top="1985" w:right="1304" w:bottom="1418" w:left="1814" w:header="1701" w:footer="567" w:gutter="0"/>
          <w:pgNumType w:start="1" w:chapSep="period"/>
          <w:cols w:space="720"/>
        </w:sectPr>
      </w:pPr>
    </w:p>
    <w:p w:rsidR="003955DF" w:rsidRDefault="003955DF" w:rsidP="003955DF">
      <w:pPr>
        <w:pStyle w:val="BodyText"/>
      </w:pPr>
      <w:bookmarkStart w:id="5" w:name="_GoBack"/>
      <w:bookmarkEnd w:id="5"/>
    </w:p>
    <w:tbl>
      <w:tblPr>
        <w:tblW w:w="13586" w:type="dxa"/>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586"/>
      </w:tblGrid>
      <w:tr w:rsidR="003955DF" w:rsidTr="00AC226B">
        <w:tc>
          <w:tcPr>
            <w:tcW w:w="13586" w:type="dxa"/>
            <w:tcBorders>
              <w:top w:val="single" w:sz="6" w:space="0" w:color="78A22F"/>
              <w:left w:val="nil"/>
              <w:bottom w:val="nil"/>
              <w:right w:val="nil"/>
            </w:tcBorders>
            <w:shd w:val="clear" w:color="auto" w:fill="auto"/>
          </w:tcPr>
          <w:p w:rsidR="003955DF" w:rsidRPr="00784A05" w:rsidRDefault="003955DF" w:rsidP="00AC226B">
            <w:pPr>
              <w:pStyle w:val="TableTitle"/>
            </w:pPr>
            <w:r>
              <w:rPr>
                <w:b w:val="0"/>
              </w:rPr>
              <w:t>Table 1.</w:t>
            </w:r>
            <w:r>
              <w:rPr>
                <w:b w:val="0"/>
                <w:noProof/>
              </w:rPr>
              <w:t>2</w:t>
            </w:r>
            <w:r>
              <w:tab/>
              <w:t>Savings and drawdown data sources and notes</w:t>
            </w:r>
          </w:p>
        </w:tc>
      </w:tr>
      <w:tr w:rsidR="003955DF" w:rsidTr="00AC226B">
        <w:trPr>
          <w:cantSplit/>
        </w:trPr>
        <w:tc>
          <w:tcPr>
            <w:tcW w:w="13586"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46"/>
              <w:gridCol w:w="2269"/>
              <w:gridCol w:w="8787"/>
            </w:tblGrid>
            <w:tr w:rsidR="003955DF" w:rsidTr="00AC226B">
              <w:tc>
                <w:tcPr>
                  <w:tcW w:w="844" w:type="pct"/>
                  <w:tcBorders>
                    <w:top w:val="single" w:sz="6" w:space="0" w:color="BFBFBF"/>
                    <w:bottom w:val="single" w:sz="6" w:space="0" w:color="BFBFBF"/>
                  </w:tcBorders>
                  <w:shd w:val="clear" w:color="auto" w:fill="auto"/>
                  <w:tcMar>
                    <w:top w:w="28" w:type="dxa"/>
                  </w:tcMar>
                  <w:vAlign w:val="bottom"/>
                </w:tcPr>
                <w:p w:rsidR="003955DF" w:rsidRDefault="003955DF" w:rsidP="00AC226B">
                  <w:pPr>
                    <w:pStyle w:val="TableColumnHeading"/>
                    <w:jc w:val="left"/>
                  </w:pPr>
                  <w:r>
                    <w:t>Parameter</w:t>
                  </w:r>
                  <w:r>
                    <w:rPr>
                      <w:rStyle w:val="NoteLabel"/>
                      <w:i w:val="0"/>
                    </w:rPr>
                    <w:t>a</w:t>
                  </w:r>
                  <w:r>
                    <w:t xml:space="preserve"> </w:t>
                  </w:r>
                </w:p>
              </w:tc>
              <w:tc>
                <w:tcPr>
                  <w:tcW w:w="853" w:type="pct"/>
                  <w:tcBorders>
                    <w:top w:val="single" w:sz="6" w:space="0" w:color="BFBFBF"/>
                    <w:bottom w:val="single" w:sz="6" w:space="0" w:color="BFBFBF"/>
                  </w:tcBorders>
                  <w:shd w:val="clear" w:color="auto" w:fill="auto"/>
                  <w:tcMar>
                    <w:top w:w="28" w:type="dxa"/>
                  </w:tcMar>
                  <w:vAlign w:val="bottom"/>
                </w:tcPr>
                <w:p w:rsidR="003955DF" w:rsidRDefault="003955DF" w:rsidP="00AC226B">
                  <w:pPr>
                    <w:pStyle w:val="TableColumnHeading"/>
                    <w:jc w:val="left"/>
                  </w:pPr>
                  <w:r>
                    <w:t>Source</w:t>
                  </w:r>
                </w:p>
              </w:tc>
              <w:tc>
                <w:tcPr>
                  <w:tcW w:w="3303" w:type="pct"/>
                  <w:tcBorders>
                    <w:top w:val="single" w:sz="6" w:space="0" w:color="BFBFBF"/>
                    <w:bottom w:val="single" w:sz="6" w:space="0" w:color="BFBFBF"/>
                  </w:tcBorders>
                  <w:shd w:val="clear" w:color="auto" w:fill="auto"/>
                  <w:tcMar>
                    <w:top w:w="28" w:type="dxa"/>
                  </w:tcMar>
                  <w:vAlign w:val="bottom"/>
                </w:tcPr>
                <w:p w:rsidR="003955DF" w:rsidRDefault="003955DF" w:rsidP="00AC226B">
                  <w:pPr>
                    <w:pStyle w:val="TableColumnHeading"/>
                    <w:ind w:right="28"/>
                    <w:jc w:val="left"/>
                  </w:pPr>
                  <w:r>
                    <w:t>Notes</w:t>
                  </w:r>
                </w:p>
              </w:tc>
            </w:tr>
            <w:tr w:rsidR="003955DF" w:rsidTr="00AC226B">
              <w:tc>
                <w:tcPr>
                  <w:tcW w:w="844" w:type="pct"/>
                  <w:tcBorders>
                    <w:top w:val="single" w:sz="6" w:space="0" w:color="BFBFBF"/>
                  </w:tcBorders>
                </w:tcPr>
                <w:p w:rsidR="003955DF" w:rsidRDefault="003955DF" w:rsidP="00AC226B">
                  <w:pPr>
                    <w:pStyle w:val="TableUnitsRow"/>
                    <w:jc w:val="left"/>
                  </w:pPr>
                  <w:r>
                    <w:t>Salary sacrifice as a share of wage income</w:t>
                  </w:r>
                </w:p>
              </w:tc>
              <w:tc>
                <w:tcPr>
                  <w:tcW w:w="853" w:type="pct"/>
                  <w:tcBorders>
                    <w:top w:val="single" w:sz="6" w:space="0" w:color="BFBFBF"/>
                  </w:tcBorders>
                </w:tcPr>
                <w:p w:rsidR="003955DF" w:rsidRDefault="003955DF" w:rsidP="00AC226B">
                  <w:pPr>
                    <w:pStyle w:val="TableUnitsRow"/>
                    <w:jc w:val="left"/>
                  </w:pPr>
                  <w:proofErr w:type="spellStart"/>
                  <w:r>
                    <w:t>ATO</w:t>
                  </w:r>
                  <w:proofErr w:type="spellEnd"/>
                  <w:r>
                    <w:t xml:space="preserve"> 2% income tax return sample file for 2011</w:t>
                  </w:r>
                  <w:r>
                    <w:noBreakHyphen/>
                    <w:t>12</w:t>
                  </w:r>
                  <w:r>
                    <w:rPr>
                      <w:rStyle w:val="NoteLabel"/>
                    </w:rPr>
                    <w:t xml:space="preserve"> b</w:t>
                  </w:r>
                </w:p>
              </w:tc>
              <w:tc>
                <w:tcPr>
                  <w:tcW w:w="3303" w:type="pct"/>
                  <w:tcBorders>
                    <w:top w:val="single" w:sz="6" w:space="0" w:color="BFBFBF"/>
                  </w:tcBorders>
                </w:tcPr>
                <w:p w:rsidR="003955DF" w:rsidRDefault="003955DF" w:rsidP="00AC226B">
                  <w:pPr>
                    <w:pStyle w:val="TableUnitsRow"/>
                    <w:ind w:right="28"/>
                    <w:jc w:val="left"/>
                  </w:pPr>
                  <w:r>
                    <w:t>Calculated based on income test item ‘r</w:t>
                  </w:r>
                  <w:r w:rsidRPr="00857549">
                    <w:t>eportable employer superannuation contributions</w:t>
                  </w:r>
                  <w:r>
                    <w:t>’ and income item ‘salary/wage amount’. Salary sacrifice rates for those on transition to retirement pensions (</w:t>
                  </w:r>
                  <w:proofErr w:type="spellStart"/>
                  <w:r>
                    <w:t>TTR</w:t>
                  </w:r>
                  <w:proofErr w:type="spellEnd"/>
                  <w:r>
                    <w:t xml:space="preserve"> pensions) are derived in the same way for the subset of observations where receipt of ‘Australian annuity or superannuation income stream’ (either taxed or untaxed) and ‘wage income’ occurs.</w:t>
                  </w:r>
                </w:p>
              </w:tc>
            </w:tr>
            <w:tr w:rsidR="003955DF" w:rsidRPr="00F35E1D" w:rsidTr="00AC226B">
              <w:tc>
                <w:tcPr>
                  <w:tcW w:w="844" w:type="pct"/>
                  <w:shd w:val="clear" w:color="auto" w:fill="F2F2F2"/>
                </w:tcPr>
                <w:p w:rsidR="003955DF" w:rsidRDefault="003955DF" w:rsidP="00AC226B">
                  <w:pPr>
                    <w:pStyle w:val="TableBodyText"/>
                    <w:jc w:val="left"/>
                  </w:pPr>
                  <w:r>
                    <w:t>Additional superannuation contributions outside of salary sacrifice</w:t>
                  </w:r>
                </w:p>
              </w:tc>
              <w:tc>
                <w:tcPr>
                  <w:tcW w:w="853" w:type="pct"/>
                  <w:shd w:val="clear" w:color="auto" w:fill="F2F2F2"/>
                </w:tcPr>
                <w:p w:rsidR="003955DF" w:rsidRPr="0078299B" w:rsidRDefault="003955DF" w:rsidP="00AC226B">
                  <w:pPr>
                    <w:pStyle w:val="TableBodyText"/>
                    <w:jc w:val="left"/>
                  </w:pPr>
                  <w:r>
                    <w:t xml:space="preserve">ABS </w:t>
                  </w:r>
                  <w:proofErr w:type="spellStart"/>
                  <w:r>
                    <w:t>SIH</w:t>
                  </w:r>
                  <w:proofErr w:type="spellEnd"/>
                  <w:r>
                    <w:t xml:space="preserve"> 2</w:t>
                  </w:r>
                  <w:r w:rsidRPr="0078299B">
                    <w:t>011</w:t>
                  </w:r>
                  <w:r>
                    <w:noBreakHyphen/>
                  </w:r>
                  <w:r w:rsidRPr="0078299B">
                    <w:t xml:space="preserve">12 Basic </w:t>
                  </w:r>
                  <w:proofErr w:type="spellStart"/>
                  <w:r w:rsidRPr="0078299B">
                    <w:t>CURF</w:t>
                  </w:r>
                  <w:proofErr w:type="spellEnd"/>
                  <w:r w:rsidRPr="0078299B">
                    <w:t xml:space="preserve">, household and person files; unpublished </w:t>
                  </w:r>
                  <w:proofErr w:type="spellStart"/>
                  <w:r w:rsidRPr="0078299B">
                    <w:t>ATO</w:t>
                  </w:r>
                  <w:proofErr w:type="spellEnd"/>
                  <w:r w:rsidRPr="0078299B">
                    <w:t xml:space="preserve"> and superannuation fund data</w:t>
                  </w:r>
                </w:p>
              </w:tc>
              <w:tc>
                <w:tcPr>
                  <w:tcW w:w="3303" w:type="pct"/>
                  <w:shd w:val="clear" w:color="auto" w:fill="F2F2F2"/>
                </w:tcPr>
                <w:p w:rsidR="003955DF" w:rsidRPr="0078299B" w:rsidRDefault="003955DF" w:rsidP="00AC226B">
                  <w:pPr>
                    <w:pStyle w:val="TableBodyText"/>
                    <w:framePr w:w="2155" w:hSpace="227" w:vSpace="181" w:wrap="around" w:vAnchor="text" w:hAnchor="page" w:xAlign="outside" w:y="1"/>
                    <w:ind w:right="28"/>
                    <w:jc w:val="left"/>
                    <w:rPr>
                      <w:rStyle w:val="DraftingNote"/>
                      <w:color w:val="auto"/>
                      <w:sz w:val="18"/>
                      <w:szCs w:val="18"/>
                    </w:rPr>
                  </w:pPr>
                  <w:r w:rsidRPr="0078299B">
                    <w:t>Unpublished data from income tax returns and member contribution statements were used to derive the proportion of post</w:t>
                  </w:r>
                  <w:r>
                    <w:noBreakHyphen/>
                  </w:r>
                  <w:r w:rsidRPr="0078299B">
                    <w:t>tax contributions into superannuation as a share of post</w:t>
                  </w:r>
                  <w:r>
                    <w:noBreakHyphen/>
                  </w:r>
                  <w:r w:rsidRPr="0078299B">
                    <w:t>tax income for different income ranges by single males, single females and couples. The resulting contribution rates were then matched to the household types used in the model by comparing the corresponding after</w:t>
                  </w:r>
                  <w:r>
                    <w:noBreakHyphen/>
                  </w:r>
                  <w:r w:rsidRPr="0078299B">
                    <w:t xml:space="preserve">tax income ranges in the </w:t>
                  </w:r>
                  <w:proofErr w:type="spellStart"/>
                  <w:r>
                    <w:t>SIH</w:t>
                  </w:r>
                  <w:proofErr w:type="spellEnd"/>
                  <w:r>
                    <w:t>.</w:t>
                  </w:r>
                </w:p>
              </w:tc>
            </w:tr>
            <w:tr w:rsidR="003955DF" w:rsidTr="00AC226B">
              <w:tc>
                <w:tcPr>
                  <w:tcW w:w="844" w:type="pct"/>
                  <w:shd w:val="clear" w:color="auto" w:fill="auto"/>
                </w:tcPr>
                <w:p w:rsidR="003955DF" w:rsidRDefault="003955DF" w:rsidP="00AC226B">
                  <w:pPr>
                    <w:pStyle w:val="TableBodyText"/>
                    <w:jc w:val="left"/>
                  </w:pPr>
                  <w:r>
                    <w:t>Drawdown rates in general</w:t>
                  </w:r>
                </w:p>
              </w:tc>
              <w:tc>
                <w:tcPr>
                  <w:tcW w:w="853" w:type="pct"/>
                  <w:shd w:val="clear" w:color="auto" w:fill="auto"/>
                </w:tcPr>
                <w:p w:rsidR="003955DF" w:rsidRDefault="003955DF" w:rsidP="00AC226B">
                  <w:pPr>
                    <w:pStyle w:val="TableBodyText"/>
                    <w:jc w:val="left"/>
                  </w:pPr>
                  <w:r>
                    <w:t xml:space="preserve">ABS </w:t>
                  </w:r>
                  <w:proofErr w:type="spellStart"/>
                  <w:r>
                    <w:t>SIH</w:t>
                  </w:r>
                  <w:proofErr w:type="spellEnd"/>
                  <w:r>
                    <w:t xml:space="preserve"> 2011</w:t>
                  </w:r>
                  <w:r>
                    <w:noBreakHyphen/>
                    <w:t xml:space="preserve">12 Basic </w:t>
                  </w:r>
                  <w:proofErr w:type="spellStart"/>
                  <w:r>
                    <w:t>CURF</w:t>
                  </w:r>
                  <w:proofErr w:type="spellEnd"/>
                  <w:r>
                    <w:t>, Household file</w:t>
                  </w:r>
                </w:p>
              </w:tc>
              <w:tc>
                <w:tcPr>
                  <w:tcW w:w="3303" w:type="pct"/>
                  <w:shd w:val="clear" w:color="auto" w:fill="auto"/>
                </w:tcPr>
                <w:p w:rsidR="003955DF" w:rsidRDefault="003955DF" w:rsidP="00AC226B">
                  <w:pPr>
                    <w:pStyle w:val="TableBodyText"/>
                    <w:ind w:right="28"/>
                    <w:jc w:val="left"/>
                  </w:pPr>
                  <w:r>
                    <w:t>Calculated as the average annual percentage difference between age categories for the average value of non</w:t>
                  </w:r>
                  <w:r>
                    <w:noBreakHyphen/>
                    <w:t>superannuation assets, and the average value of superannuation assets.</w:t>
                  </w:r>
                  <w:r w:rsidRPr="00F370D7">
                    <w:rPr>
                      <w:rStyle w:val="NoteLabel"/>
                    </w:rPr>
                    <w:t>c</w:t>
                  </w:r>
                  <w:r>
                    <w:t xml:space="preserve"> Restricted to negative values. Restricted to ages 55 and above for post</w:t>
                  </w:r>
                  <w:r>
                    <w:noBreakHyphen/>
                    <w:t>retirement rates. Restricted to ages less than 55 for pre</w:t>
                  </w:r>
                  <w:r>
                    <w:noBreakHyphen/>
                    <w:t>retirement drawdown values.</w:t>
                  </w:r>
                </w:p>
              </w:tc>
            </w:tr>
            <w:tr w:rsidR="003955DF" w:rsidTr="00AC226B">
              <w:tc>
                <w:tcPr>
                  <w:tcW w:w="844" w:type="pct"/>
                  <w:shd w:val="clear" w:color="auto" w:fill="F2F2F2"/>
                </w:tcPr>
                <w:p w:rsidR="003955DF" w:rsidRDefault="003955DF" w:rsidP="00AC226B">
                  <w:pPr>
                    <w:pStyle w:val="TableBodyText"/>
                    <w:jc w:val="left"/>
                  </w:pPr>
                  <w:r>
                    <w:t>Savings rates in general</w:t>
                  </w:r>
                </w:p>
              </w:tc>
              <w:tc>
                <w:tcPr>
                  <w:tcW w:w="853" w:type="pct"/>
                  <w:shd w:val="clear" w:color="auto" w:fill="F2F2F2"/>
                </w:tcPr>
                <w:p w:rsidR="003955DF" w:rsidRDefault="003955DF" w:rsidP="00AC226B">
                  <w:pPr>
                    <w:pStyle w:val="TableBodyText"/>
                    <w:jc w:val="left"/>
                  </w:pPr>
                  <w:r>
                    <w:t xml:space="preserve">ABS </w:t>
                  </w:r>
                  <w:proofErr w:type="spellStart"/>
                  <w:r>
                    <w:t>SIH</w:t>
                  </w:r>
                  <w:proofErr w:type="spellEnd"/>
                  <w:r>
                    <w:t xml:space="preserve"> 2011</w:t>
                  </w:r>
                  <w:r>
                    <w:noBreakHyphen/>
                    <w:t xml:space="preserve">12 Basic </w:t>
                  </w:r>
                  <w:proofErr w:type="spellStart"/>
                  <w:r>
                    <w:t>CURF</w:t>
                  </w:r>
                  <w:proofErr w:type="spellEnd"/>
                  <w:r>
                    <w:t>, Household file</w:t>
                  </w:r>
                </w:p>
              </w:tc>
              <w:tc>
                <w:tcPr>
                  <w:tcW w:w="3303" w:type="pct"/>
                  <w:shd w:val="clear" w:color="auto" w:fill="F2F2F2"/>
                </w:tcPr>
                <w:p w:rsidR="003955DF" w:rsidRDefault="003955DF" w:rsidP="00AC226B">
                  <w:pPr>
                    <w:pStyle w:val="TableBodyText"/>
                    <w:ind w:right="28"/>
                    <w:jc w:val="left"/>
                  </w:pPr>
                  <w:r>
                    <w:t>Calculated as the average annual difference between age categories for the average value of non</w:t>
                  </w:r>
                  <w:r>
                    <w:noBreakHyphen/>
                    <w:t>superannuation assets, and the average value of superannuation assets, as a share of annualised disposable income. Restricted to positive values to calculate savings rates.</w:t>
                  </w:r>
                </w:p>
              </w:tc>
            </w:tr>
            <w:tr w:rsidR="003955DF" w:rsidTr="00AC226B">
              <w:tc>
                <w:tcPr>
                  <w:tcW w:w="844" w:type="pct"/>
                  <w:shd w:val="clear" w:color="auto" w:fill="auto"/>
                </w:tcPr>
                <w:p w:rsidR="003955DF" w:rsidRDefault="003955DF" w:rsidP="00AC226B">
                  <w:pPr>
                    <w:pStyle w:val="TableBodyText"/>
                    <w:jc w:val="left"/>
                  </w:pPr>
                  <w:r>
                    <w:t xml:space="preserve">Drawdown rates from </w:t>
                  </w:r>
                  <w:proofErr w:type="spellStart"/>
                  <w:r>
                    <w:t>TTR</w:t>
                  </w:r>
                  <w:proofErr w:type="spellEnd"/>
                  <w:r>
                    <w:t xml:space="preserve"> pensions arrangements</w:t>
                  </w:r>
                </w:p>
              </w:tc>
              <w:tc>
                <w:tcPr>
                  <w:tcW w:w="853" w:type="pct"/>
                  <w:shd w:val="clear" w:color="auto" w:fill="auto"/>
                </w:tcPr>
                <w:p w:rsidR="003955DF" w:rsidRDefault="003955DF" w:rsidP="00AC226B">
                  <w:pPr>
                    <w:pStyle w:val="TableBodyText"/>
                    <w:jc w:val="left"/>
                  </w:pPr>
                  <w:r>
                    <w:t xml:space="preserve">ABS </w:t>
                  </w:r>
                  <w:proofErr w:type="spellStart"/>
                  <w:r>
                    <w:t>SIH</w:t>
                  </w:r>
                  <w:proofErr w:type="spellEnd"/>
                  <w:r>
                    <w:t xml:space="preserve"> 2011</w:t>
                  </w:r>
                  <w:r>
                    <w:noBreakHyphen/>
                    <w:t xml:space="preserve">12 Basic </w:t>
                  </w:r>
                  <w:proofErr w:type="spellStart"/>
                  <w:r>
                    <w:t>CURF</w:t>
                  </w:r>
                  <w:proofErr w:type="spellEnd"/>
                  <w:r>
                    <w:t>, household and person files</w:t>
                  </w:r>
                </w:p>
              </w:tc>
              <w:tc>
                <w:tcPr>
                  <w:tcW w:w="3303" w:type="pct"/>
                  <w:shd w:val="clear" w:color="auto" w:fill="auto"/>
                </w:tcPr>
                <w:p w:rsidR="003955DF" w:rsidRDefault="003955DF" w:rsidP="00AC226B">
                  <w:pPr>
                    <w:pStyle w:val="TableBodyText"/>
                    <w:ind w:right="28"/>
                    <w:jc w:val="left"/>
                  </w:pPr>
                  <w:r>
                    <w:t xml:space="preserve">Calculated by identifying those using </w:t>
                  </w:r>
                  <w:proofErr w:type="spellStart"/>
                  <w:r>
                    <w:t>TTR</w:t>
                  </w:r>
                  <w:proofErr w:type="spellEnd"/>
                  <w:r>
                    <w:t xml:space="preserve"> pensions (simultaneous receipt of superannuation income and wage income), and taking the ratio of this income as a share of total superannuation balances.</w:t>
                  </w:r>
                </w:p>
              </w:tc>
            </w:tr>
            <w:tr w:rsidR="003955DF" w:rsidTr="00AC226B">
              <w:tc>
                <w:tcPr>
                  <w:tcW w:w="844" w:type="pct"/>
                  <w:shd w:val="clear" w:color="auto" w:fill="F2F2F2"/>
                </w:tcPr>
                <w:p w:rsidR="003955DF" w:rsidRDefault="003955DF" w:rsidP="00AC226B">
                  <w:pPr>
                    <w:pStyle w:val="TableBodyText"/>
                    <w:jc w:val="left"/>
                  </w:pPr>
                  <w:r>
                    <w:t>Assets in base year</w:t>
                  </w:r>
                </w:p>
              </w:tc>
              <w:tc>
                <w:tcPr>
                  <w:tcW w:w="853" w:type="pct"/>
                  <w:shd w:val="clear" w:color="auto" w:fill="F2F2F2"/>
                </w:tcPr>
                <w:p w:rsidR="003955DF" w:rsidRDefault="003955DF" w:rsidP="00AC226B">
                  <w:pPr>
                    <w:pStyle w:val="TableBodyText"/>
                    <w:jc w:val="left"/>
                  </w:pPr>
                  <w:r>
                    <w:t xml:space="preserve">ABS </w:t>
                  </w:r>
                  <w:proofErr w:type="spellStart"/>
                  <w:r>
                    <w:t>SIH</w:t>
                  </w:r>
                  <w:proofErr w:type="spellEnd"/>
                  <w:r>
                    <w:t xml:space="preserve"> 2011</w:t>
                  </w:r>
                  <w:r>
                    <w:noBreakHyphen/>
                    <w:t xml:space="preserve">12 Basic </w:t>
                  </w:r>
                  <w:proofErr w:type="spellStart"/>
                  <w:r>
                    <w:t>CURF</w:t>
                  </w:r>
                  <w:proofErr w:type="spellEnd"/>
                  <w:r>
                    <w:t>, Household file</w:t>
                  </w:r>
                </w:p>
              </w:tc>
              <w:tc>
                <w:tcPr>
                  <w:tcW w:w="3303" w:type="pct"/>
                  <w:shd w:val="clear" w:color="auto" w:fill="F2F2F2"/>
                </w:tcPr>
                <w:p w:rsidR="003955DF" w:rsidRDefault="003955DF" w:rsidP="00AC226B">
                  <w:pPr>
                    <w:pStyle w:val="TableBodyText"/>
                    <w:ind w:right="28"/>
                    <w:jc w:val="left"/>
                  </w:pPr>
                  <w:r>
                    <w:t>Average non</w:t>
                  </w:r>
                  <w:r>
                    <w:noBreakHyphen/>
                    <w:t>superannuation assets and superannuation assets.</w:t>
                  </w:r>
                </w:p>
              </w:tc>
            </w:tr>
          </w:tbl>
          <w:p w:rsidR="003955DF" w:rsidRDefault="003955DF" w:rsidP="00AC226B">
            <w:pPr>
              <w:pStyle w:val="Box"/>
            </w:pPr>
          </w:p>
        </w:tc>
      </w:tr>
      <w:tr w:rsidR="003955DF" w:rsidTr="00AC226B">
        <w:trPr>
          <w:cantSplit/>
        </w:trPr>
        <w:tc>
          <w:tcPr>
            <w:tcW w:w="13586" w:type="dxa"/>
            <w:tcBorders>
              <w:top w:val="nil"/>
              <w:left w:val="nil"/>
              <w:bottom w:val="nil"/>
              <w:right w:val="nil"/>
            </w:tcBorders>
            <w:shd w:val="clear" w:color="auto" w:fill="auto"/>
          </w:tcPr>
          <w:p w:rsidR="003955DF" w:rsidRDefault="003955DF" w:rsidP="00AC226B">
            <w:pPr>
              <w:pStyle w:val="Note"/>
              <w:rPr>
                <w:i/>
              </w:rPr>
            </w:pPr>
            <w:r>
              <w:rPr>
                <w:rStyle w:val="NoteLabel"/>
              </w:rPr>
              <w:t>a</w:t>
            </w:r>
            <w:r>
              <w:t xml:space="preserve"> Calculated for each household</w:t>
            </w:r>
            <w:r>
              <w:noBreakHyphen/>
              <w:t>type in each age range category.</w:t>
            </w:r>
            <w:r>
              <w:rPr>
                <w:rStyle w:val="NoteLabel"/>
              </w:rPr>
              <w:t xml:space="preserve"> b</w:t>
            </w:r>
            <w:r>
              <w:t xml:space="preserve"> </w:t>
            </w:r>
            <w:r w:rsidRPr="00F370D7">
              <w:t xml:space="preserve">Household types are </w:t>
            </w:r>
            <w:proofErr w:type="spellStart"/>
            <w:r w:rsidRPr="00F370D7">
              <w:t>proxied</w:t>
            </w:r>
            <w:proofErr w:type="spellEnd"/>
            <w:r w:rsidRPr="00F370D7">
              <w:t xml:space="preserve"> </w:t>
            </w:r>
            <w:r>
              <w:t xml:space="preserve">when using </w:t>
            </w:r>
            <w:proofErr w:type="spellStart"/>
            <w:r>
              <w:t>ATO</w:t>
            </w:r>
            <w:proofErr w:type="spellEnd"/>
            <w:r>
              <w:t xml:space="preserve"> data </w:t>
            </w:r>
            <w:r w:rsidRPr="00F370D7">
              <w:t xml:space="preserve">by their couple status and total income, as opposed to wealth, as </w:t>
            </w:r>
            <w:proofErr w:type="spellStart"/>
            <w:r w:rsidRPr="00F370D7">
              <w:t>ATO</w:t>
            </w:r>
            <w:proofErr w:type="spellEnd"/>
            <w:r w:rsidRPr="00F370D7">
              <w:t xml:space="preserve"> data contains no information on assets or liabilities.</w:t>
            </w:r>
            <w:r>
              <w:t xml:space="preserve"> </w:t>
            </w:r>
            <w:r w:rsidRPr="00F370D7">
              <w:rPr>
                <w:rStyle w:val="NoteLabel"/>
              </w:rPr>
              <w:t>c</w:t>
            </w:r>
            <w:r>
              <w:t xml:space="preserve"> Non</w:t>
            </w:r>
            <w:r>
              <w:noBreakHyphen/>
              <w:t>superannuation assets are defined as all asset categories except superannuation and the primary dwelling less the total liabilities on all assets apart from the primary dwelling. Superannuation assets are defined as the sum of government and non</w:t>
            </w:r>
            <w:r>
              <w:noBreakHyphen/>
              <w:t>government superannuation accounts.</w:t>
            </w:r>
          </w:p>
        </w:tc>
      </w:tr>
      <w:tr w:rsidR="003955DF" w:rsidTr="00AC226B">
        <w:trPr>
          <w:cantSplit/>
        </w:trPr>
        <w:tc>
          <w:tcPr>
            <w:tcW w:w="13586" w:type="dxa"/>
            <w:tcBorders>
              <w:top w:val="nil"/>
              <w:left w:val="nil"/>
              <w:bottom w:val="single" w:sz="6" w:space="0" w:color="78A22F"/>
              <w:right w:val="nil"/>
            </w:tcBorders>
            <w:shd w:val="clear" w:color="auto" w:fill="auto"/>
          </w:tcPr>
          <w:p w:rsidR="003955DF" w:rsidRDefault="003955DF" w:rsidP="00AC226B">
            <w:pPr>
              <w:pStyle w:val="Box"/>
              <w:spacing w:before="0" w:line="120" w:lineRule="exact"/>
            </w:pPr>
          </w:p>
        </w:tc>
      </w:tr>
      <w:tr w:rsidR="003955DF" w:rsidRPr="000863A5" w:rsidTr="00AC226B">
        <w:tc>
          <w:tcPr>
            <w:tcW w:w="13586" w:type="dxa"/>
            <w:tcBorders>
              <w:top w:val="single" w:sz="6" w:space="0" w:color="78A22F"/>
              <w:left w:val="nil"/>
              <w:bottom w:val="nil"/>
              <w:right w:val="nil"/>
            </w:tcBorders>
          </w:tcPr>
          <w:p w:rsidR="003955DF" w:rsidRPr="00626D32" w:rsidRDefault="003955DF" w:rsidP="00AC226B">
            <w:pPr>
              <w:pStyle w:val="BoxSpaceBelow"/>
            </w:pPr>
          </w:p>
        </w:tc>
      </w:tr>
    </w:tbl>
    <w:p w:rsidR="003955DF" w:rsidRDefault="003955DF" w:rsidP="0078299B">
      <w:pPr>
        <w:pStyle w:val="BodyText"/>
      </w:pPr>
    </w:p>
    <w:sectPr w:rsidR="003955DF" w:rsidSect="002B0DEA">
      <w:headerReference w:type="even" r:id="rId19"/>
      <w:headerReference w:type="default" r:id="rId20"/>
      <w:footerReference w:type="even" r:id="rId21"/>
      <w:footerReference w:type="default" r:id="rId22"/>
      <w:pgSz w:w="16840" w:h="11907" w:orient="landscape" w:code="9"/>
      <w:pgMar w:top="1814" w:right="1985" w:bottom="1304" w:left="1418" w:header="1701" w:footer="56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599" w:rsidRDefault="00433599">
      <w:r>
        <w:separator/>
      </w:r>
    </w:p>
  </w:endnote>
  <w:endnote w:type="continuationSeparator" w:id="0">
    <w:p w:rsidR="00433599" w:rsidRDefault="0043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55DF" w:rsidTr="005F48ED">
      <w:trPr>
        <w:trHeight w:hRule="exact" w:val="567"/>
      </w:trPr>
      <w:tc>
        <w:tcPr>
          <w:tcW w:w="510" w:type="dxa"/>
        </w:tcPr>
        <w:p w:rsidR="003955DF" w:rsidRPr="00A24443" w:rsidRDefault="003955D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B0DEA">
            <w:rPr>
              <w:rStyle w:val="PageNumber"/>
              <w:caps w:val="0"/>
              <w:noProof/>
            </w:rPr>
            <w:t>2</w:t>
          </w:r>
          <w:r w:rsidRPr="00A24443">
            <w:rPr>
              <w:rStyle w:val="PageNumber"/>
              <w:caps w:val="0"/>
            </w:rPr>
            <w:fldChar w:fldCharType="end"/>
          </w:r>
        </w:p>
      </w:tc>
      <w:tc>
        <w:tcPr>
          <w:tcW w:w="7767" w:type="dxa"/>
        </w:tcPr>
        <w:p w:rsidR="003955DF" w:rsidRPr="0013739A" w:rsidRDefault="00351164" w:rsidP="0013739A">
          <w:pPr>
            <w:pStyle w:val="Footer"/>
            <w:rPr>
              <w:rFonts w:cs="Arial"/>
            </w:rPr>
          </w:pPr>
          <w:r>
            <w:rPr>
              <w:rFonts w:cs="Arial"/>
            </w:rPr>
            <w:t>Superannuation Policy for Post-Retirement: Modelling supplement</w:t>
          </w:r>
        </w:p>
      </w:tc>
      <w:tc>
        <w:tcPr>
          <w:tcW w:w="510" w:type="dxa"/>
        </w:tcPr>
        <w:p w:rsidR="003955DF" w:rsidRDefault="003955DF" w:rsidP="0019293B">
          <w:pPr>
            <w:pStyle w:val="Footer"/>
          </w:pPr>
        </w:p>
      </w:tc>
    </w:tr>
  </w:tbl>
  <w:p w:rsidR="003955DF" w:rsidRDefault="003955DF" w:rsidP="0019293B">
    <w:pPr>
      <w:pStyle w:val="FooterEnd"/>
    </w:pPr>
  </w:p>
  <w:p w:rsidR="003955DF" w:rsidRDefault="003955DF">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55DF" w:rsidTr="005F48ED">
      <w:trPr>
        <w:trHeight w:hRule="exact" w:val="567"/>
      </w:trPr>
      <w:tc>
        <w:tcPr>
          <w:tcW w:w="510" w:type="dxa"/>
        </w:tcPr>
        <w:p w:rsidR="003955DF" w:rsidRDefault="003955DF">
          <w:pPr>
            <w:pStyle w:val="Footer"/>
            <w:ind w:right="360" w:firstLine="360"/>
          </w:pPr>
        </w:p>
      </w:tc>
      <w:tc>
        <w:tcPr>
          <w:tcW w:w="7767" w:type="dxa"/>
        </w:tcPr>
        <w:p w:rsidR="003955DF" w:rsidRPr="00BA5B14" w:rsidRDefault="00351164" w:rsidP="0013739A">
          <w:pPr>
            <w:pStyle w:val="Footer"/>
            <w:jc w:val="right"/>
            <w:rPr>
              <w:rFonts w:cs="Arial"/>
            </w:rPr>
          </w:pPr>
          <w:r>
            <w:rPr>
              <w:rFonts w:cs="Arial"/>
            </w:rPr>
            <w:t>Voluntary retirement module inputs</w:t>
          </w:r>
        </w:p>
      </w:tc>
      <w:tc>
        <w:tcPr>
          <w:tcW w:w="510" w:type="dxa"/>
        </w:tcPr>
        <w:p w:rsidR="003955DF" w:rsidRPr="00A24443" w:rsidRDefault="003955D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B0DEA">
            <w:rPr>
              <w:rStyle w:val="PageNumber"/>
              <w:caps w:val="0"/>
              <w:noProof/>
            </w:rPr>
            <w:t>1</w:t>
          </w:r>
          <w:r w:rsidRPr="00A24443">
            <w:rPr>
              <w:rStyle w:val="PageNumber"/>
              <w:caps w:val="0"/>
            </w:rPr>
            <w:fldChar w:fldCharType="end"/>
          </w:r>
        </w:p>
      </w:tc>
    </w:tr>
  </w:tbl>
  <w:p w:rsidR="003955DF" w:rsidRDefault="003955DF">
    <w:pPr>
      <w:pStyle w:val="FooterEnd"/>
    </w:pPr>
  </w:p>
  <w:p w:rsidR="003955DF" w:rsidRDefault="003955DF">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B0DEA">
            <w:rPr>
              <w:rStyle w:val="PageNumber"/>
              <w:caps w:val="0"/>
              <w:noProof/>
            </w:rPr>
            <w:t>6</w:t>
          </w:r>
          <w:r w:rsidRPr="00A24443">
            <w:rPr>
              <w:rStyle w:val="PageNumber"/>
              <w:caps w:val="0"/>
            </w:rPr>
            <w:fldChar w:fldCharType="end"/>
          </w:r>
        </w:p>
      </w:tc>
      <w:tc>
        <w:tcPr>
          <w:tcW w:w="7767" w:type="dxa"/>
        </w:tcPr>
        <w:p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76642C">
            <w:rPr>
              <w:rFonts w:cs="Arial"/>
            </w:rPr>
            <w:t>Superannuation Policy for Post-Retirement: Modelling supplement</w:t>
          </w:r>
          <w:r w:rsidRPr="00BA5B14">
            <w:rPr>
              <w:rFonts w:cs="Arial"/>
            </w:rPr>
            <w:fldChar w:fldCharType="end"/>
          </w:r>
          <w:bookmarkStart w:id="6" w:name="DraftReportEven"/>
          <w:bookmarkEnd w:id="6"/>
        </w:p>
      </w:tc>
      <w:tc>
        <w:tcPr>
          <w:tcW w:w="510" w:type="dxa"/>
        </w:tcPr>
        <w:p w:rsidR="00772909" w:rsidRDefault="00772909" w:rsidP="0019293B">
          <w:pPr>
            <w:pStyle w:val="Footer"/>
          </w:pPr>
        </w:p>
      </w:tc>
    </w:tr>
  </w:tbl>
  <w:p w:rsidR="00772909" w:rsidRDefault="00772909" w:rsidP="0019293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2B0DEA">
      <w:trPr>
        <w:trHeight w:hRule="exact" w:val="567"/>
        <w:jc w:val="right"/>
      </w:trPr>
      <w:tc>
        <w:tcPr>
          <w:tcW w:w="510" w:type="dxa"/>
        </w:tcPr>
        <w:p w:rsidR="00772909" w:rsidRDefault="00772909">
          <w:pPr>
            <w:pStyle w:val="Footer"/>
            <w:ind w:right="360" w:firstLine="360"/>
          </w:pPr>
        </w:p>
      </w:tc>
      <w:tc>
        <w:tcPr>
          <w:tcW w:w="7767" w:type="dxa"/>
        </w:tcPr>
        <w:p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351164">
            <w:rPr>
              <w:rFonts w:cs="Arial"/>
            </w:rPr>
            <w:t>Voluntary retirement module inputs</w:t>
          </w:r>
          <w:r w:rsidRPr="00BA5B14">
            <w:rPr>
              <w:rFonts w:cs="Arial"/>
            </w:rPr>
            <w:fldChar w:fldCharType="end"/>
          </w:r>
          <w:bookmarkStart w:id="7" w:name="DraftReportOdd"/>
          <w:bookmarkEnd w:id="7"/>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B0DEA">
            <w:rPr>
              <w:rStyle w:val="PageNumber"/>
              <w:caps w:val="0"/>
              <w:noProof/>
            </w:rPr>
            <w:t>5</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599" w:rsidRDefault="00433599">
      <w:r>
        <w:separator/>
      </w:r>
    </w:p>
  </w:footnote>
  <w:footnote w:type="continuationSeparator" w:id="0">
    <w:p w:rsidR="00433599" w:rsidRDefault="00433599">
      <w:r>
        <w:continuationSeparator/>
      </w:r>
    </w:p>
  </w:footnote>
  <w:footnote w:id="1">
    <w:p w:rsidR="0078299B" w:rsidRPr="00C44E4C" w:rsidRDefault="0078299B" w:rsidP="007D25EF">
      <w:pPr>
        <w:pStyle w:val="Footertext"/>
        <w:rPr>
          <w:b/>
        </w:rPr>
      </w:pPr>
      <w:r w:rsidRPr="006F6523">
        <w:rPr>
          <w:rStyle w:val="FootnoteReference"/>
        </w:rPr>
        <w:footnoteRef/>
      </w:r>
      <w:r>
        <w:tab/>
      </w:r>
      <w:r w:rsidRPr="007D25EF">
        <w:t>Some households have earnings equations that decrease at a relatively slow rate for older ages. Without adjustment, and given the assumption that all households have the same utility function parameters, this results in these households always retiring at an old age (around 75). This was corrected by marginally strengthening the decline in wage earnings at older ages for these households.</w:t>
      </w:r>
      <w:r w:rsidRPr="007D25EF" w:rsidDel="00C44E4C">
        <w:rPr>
          <w:rStyle w:val="DraftingNote"/>
          <w:b w:val="0"/>
          <w:color w:val="auto"/>
        </w:rPr>
        <w:t xml:space="preserve"> </w:t>
      </w:r>
    </w:p>
  </w:footnote>
  <w:footnote w:id="2">
    <w:p w:rsidR="0078299B" w:rsidRDefault="0078299B" w:rsidP="0078299B">
      <w:pPr>
        <w:pStyle w:val="FootnoteText"/>
      </w:pPr>
      <w:r w:rsidRPr="006F6523">
        <w:rPr>
          <w:rStyle w:val="FootnoteReference"/>
        </w:rPr>
        <w:footnoteRef/>
      </w:r>
      <w:r>
        <w:tab/>
        <w:t xml:space="preserve">The share of households was smoothed using a </w:t>
      </w:r>
      <w:proofErr w:type="spellStart"/>
      <w:r>
        <w:t>Hodrick</w:t>
      </w:r>
      <w:proofErr w:type="spellEnd"/>
      <w:r>
        <w:t xml:space="preserve">-Prescott filter with λ equal to 6.25. The </w:t>
      </w:r>
      <w:r w:rsidRPr="00DA6129">
        <w:t xml:space="preserve">share of working households </w:t>
      </w:r>
      <w:r>
        <w:t>was quite volatile across age groups for a few households. The average share was used for these households rather than the raw data.</w:t>
      </w:r>
    </w:p>
  </w:footnote>
  <w:footnote w:id="3">
    <w:p w:rsidR="0078299B" w:rsidRDefault="0078299B" w:rsidP="0078299B">
      <w:pPr>
        <w:pStyle w:val="FootnoteText"/>
      </w:pPr>
      <w:r w:rsidRPr="006F6523">
        <w:rPr>
          <w:rStyle w:val="FootnoteReference"/>
        </w:rPr>
        <w:footnoteRef/>
      </w:r>
      <w:r>
        <w:tab/>
        <w:t xml:space="preserve">Savings rates, drawdown rates and initial savings balances were smoothed using a </w:t>
      </w:r>
      <w:proofErr w:type="spellStart"/>
      <w:r>
        <w:t>Hodrick</w:t>
      </w:r>
      <w:proofErr w:type="spellEnd"/>
      <w:r>
        <w:t>-Prescott filter with λ equal to 6.25.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955DF">
      <w:tc>
        <w:tcPr>
          <w:tcW w:w="2155" w:type="dxa"/>
          <w:tcBorders>
            <w:top w:val="single" w:sz="24" w:space="0" w:color="auto"/>
          </w:tcBorders>
        </w:tcPr>
        <w:p w:rsidR="003955DF" w:rsidRDefault="003955DF">
          <w:pPr>
            <w:pStyle w:val="HeaderEven"/>
          </w:pPr>
        </w:p>
      </w:tc>
      <w:tc>
        <w:tcPr>
          <w:tcW w:w="6634" w:type="dxa"/>
          <w:tcBorders>
            <w:top w:val="single" w:sz="6" w:space="0" w:color="auto"/>
          </w:tcBorders>
        </w:tcPr>
        <w:p w:rsidR="003955DF" w:rsidRDefault="003955DF">
          <w:pPr>
            <w:pStyle w:val="HeaderEven"/>
          </w:pPr>
        </w:p>
      </w:tc>
    </w:tr>
  </w:tbl>
  <w:p w:rsidR="003955DF" w:rsidRDefault="003955DF">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955DF">
      <w:tc>
        <w:tcPr>
          <w:tcW w:w="6634" w:type="dxa"/>
          <w:tcBorders>
            <w:top w:val="single" w:sz="6" w:space="0" w:color="auto"/>
          </w:tcBorders>
        </w:tcPr>
        <w:p w:rsidR="003955DF" w:rsidRDefault="003955DF">
          <w:pPr>
            <w:pStyle w:val="HeaderOdd"/>
          </w:pPr>
        </w:p>
      </w:tc>
      <w:tc>
        <w:tcPr>
          <w:tcW w:w="2155" w:type="dxa"/>
          <w:tcBorders>
            <w:top w:val="single" w:sz="24" w:space="0" w:color="auto"/>
          </w:tcBorders>
        </w:tcPr>
        <w:p w:rsidR="003955DF" w:rsidRDefault="003955DF">
          <w:pPr>
            <w:pStyle w:val="HeaderOdd"/>
          </w:pPr>
        </w:p>
      </w:tc>
    </w:tr>
  </w:tbl>
  <w:p w:rsidR="003955DF" w:rsidRDefault="003955DF">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rsidTr="002B0DEA">
      <w:trPr>
        <w:jc w:val="right"/>
      </w:trPr>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3"/>
  </w:num>
  <w:num w:numId="3">
    <w:abstractNumId w:val="14"/>
  </w:num>
  <w:num w:numId="4">
    <w:abstractNumId w:val="4"/>
  </w:num>
  <w:num w:numId="5">
    <w:abstractNumId w:val="19"/>
  </w:num>
  <w:num w:numId="6">
    <w:abstractNumId w:val="16"/>
  </w:num>
  <w:num w:numId="7">
    <w:abstractNumId w:val="8"/>
  </w:num>
  <w:num w:numId="8">
    <w:abstractNumId w:val="15"/>
  </w:num>
  <w:num w:numId="9">
    <w:abstractNumId w:val="7"/>
  </w:num>
  <w:num w:numId="10">
    <w:abstractNumId w:val="6"/>
  </w:num>
  <w:num w:numId="11">
    <w:abstractNumId w:val="10"/>
  </w:num>
  <w:num w:numId="12">
    <w:abstractNumId w:val="11"/>
  </w:num>
  <w:num w:numId="13">
    <w:abstractNumId w:val="5"/>
  </w:num>
  <w:num w:numId="14">
    <w:abstractNumId w:val="17"/>
  </w:num>
  <w:num w:numId="15">
    <w:abstractNumId w:val="20"/>
  </w:num>
  <w:num w:numId="16">
    <w:abstractNumId w:val="13"/>
  </w:num>
  <w:num w:numId="17">
    <w:abstractNumId w:val="21"/>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9"/>
  </w:num>
  <w:num w:numId="2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Voluntary retirement module inputs"/>
    <w:docVar w:name="ShortReportTitle" w:val="Superannuation Policy for Post-Retirement: Modelling supplement"/>
  </w:docVars>
  <w:rsids>
    <w:rsidRoot w:val="0078299B"/>
    <w:rsid w:val="00012312"/>
    <w:rsid w:val="00017ADC"/>
    <w:rsid w:val="000227D5"/>
    <w:rsid w:val="000245AA"/>
    <w:rsid w:val="0003664B"/>
    <w:rsid w:val="0004111F"/>
    <w:rsid w:val="00055077"/>
    <w:rsid w:val="000565B3"/>
    <w:rsid w:val="00061279"/>
    <w:rsid w:val="0007150B"/>
    <w:rsid w:val="000938F5"/>
    <w:rsid w:val="00095663"/>
    <w:rsid w:val="00096E55"/>
    <w:rsid w:val="0009783E"/>
    <w:rsid w:val="000A2CEA"/>
    <w:rsid w:val="000B1022"/>
    <w:rsid w:val="000B601B"/>
    <w:rsid w:val="000C207E"/>
    <w:rsid w:val="000C2C4F"/>
    <w:rsid w:val="000D41E9"/>
    <w:rsid w:val="000F0035"/>
    <w:rsid w:val="000F04E7"/>
    <w:rsid w:val="000F060A"/>
    <w:rsid w:val="000F420B"/>
    <w:rsid w:val="0010237A"/>
    <w:rsid w:val="00110116"/>
    <w:rsid w:val="00120072"/>
    <w:rsid w:val="00126EB8"/>
    <w:rsid w:val="001274D4"/>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10B70"/>
    <w:rsid w:val="002135AB"/>
    <w:rsid w:val="002144BE"/>
    <w:rsid w:val="00216AC1"/>
    <w:rsid w:val="00242279"/>
    <w:rsid w:val="00243997"/>
    <w:rsid w:val="0024516C"/>
    <w:rsid w:val="00245C82"/>
    <w:rsid w:val="002653FB"/>
    <w:rsid w:val="002724BA"/>
    <w:rsid w:val="002757A1"/>
    <w:rsid w:val="00291B40"/>
    <w:rsid w:val="00294EE3"/>
    <w:rsid w:val="002B0DEA"/>
    <w:rsid w:val="002B4008"/>
    <w:rsid w:val="002C439F"/>
    <w:rsid w:val="002D0C42"/>
    <w:rsid w:val="002D0E8E"/>
    <w:rsid w:val="00301189"/>
    <w:rsid w:val="00301E4A"/>
    <w:rsid w:val="00305C02"/>
    <w:rsid w:val="003168B8"/>
    <w:rsid w:val="00322D64"/>
    <w:rsid w:val="00323E09"/>
    <w:rsid w:val="00333932"/>
    <w:rsid w:val="00350B7C"/>
    <w:rsid w:val="003510C8"/>
    <w:rsid w:val="00351164"/>
    <w:rsid w:val="003518AA"/>
    <w:rsid w:val="00352165"/>
    <w:rsid w:val="00353182"/>
    <w:rsid w:val="003565D9"/>
    <w:rsid w:val="003602E1"/>
    <w:rsid w:val="0037026F"/>
    <w:rsid w:val="00371240"/>
    <w:rsid w:val="00374731"/>
    <w:rsid w:val="00376E59"/>
    <w:rsid w:val="00377EC1"/>
    <w:rsid w:val="00380340"/>
    <w:rsid w:val="003919F9"/>
    <w:rsid w:val="003920CF"/>
    <w:rsid w:val="003955DF"/>
    <w:rsid w:val="003A77CE"/>
    <w:rsid w:val="003B14D2"/>
    <w:rsid w:val="003B23C2"/>
    <w:rsid w:val="003C38B5"/>
    <w:rsid w:val="003C5D99"/>
    <w:rsid w:val="003D1087"/>
    <w:rsid w:val="003E2F59"/>
    <w:rsid w:val="003E746B"/>
    <w:rsid w:val="003F0789"/>
    <w:rsid w:val="00401882"/>
    <w:rsid w:val="004100C8"/>
    <w:rsid w:val="00411DBD"/>
    <w:rsid w:val="00412ACE"/>
    <w:rsid w:val="004145D2"/>
    <w:rsid w:val="004260D4"/>
    <w:rsid w:val="00426CB4"/>
    <w:rsid w:val="00431249"/>
    <w:rsid w:val="00433599"/>
    <w:rsid w:val="00434C19"/>
    <w:rsid w:val="00450810"/>
    <w:rsid w:val="004555EF"/>
    <w:rsid w:val="00462C59"/>
    <w:rsid w:val="00470737"/>
    <w:rsid w:val="00477144"/>
    <w:rsid w:val="00491380"/>
    <w:rsid w:val="00492529"/>
    <w:rsid w:val="0049459F"/>
    <w:rsid w:val="004A38DD"/>
    <w:rsid w:val="004B43AE"/>
    <w:rsid w:val="004C0DED"/>
    <w:rsid w:val="004C30ED"/>
    <w:rsid w:val="004D5675"/>
    <w:rsid w:val="00517795"/>
    <w:rsid w:val="00523639"/>
    <w:rsid w:val="00531FE5"/>
    <w:rsid w:val="005402FA"/>
    <w:rsid w:val="005456AB"/>
    <w:rsid w:val="005729BD"/>
    <w:rsid w:val="00580154"/>
    <w:rsid w:val="00583C39"/>
    <w:rsid w:val="00586A90"/>
    <w:rsid w:val="00587F28"/>
    <w:rsid w:val="005909CF"/>
    <w:rsid w:val="00591E71"/>
    <w:rsid w:val="005A0D41"/>
    <w:rsid w:val="005D329F"/>
    <w:rsid w:val="005F48ED"/>
    <w:rsid w:val="00606E78"/>
    <w:rsid w:val="00607BF1"/>
    <w:rsid w:val="00630D4D"/>
    <w:rsid w:val="00632A74"/>
    <w:rsid w:val="00654D42"/>
    <w:rsid w:val="00666E02"/>
    <w:rsid w:val="006A4655"/>
    <w:rsid w:val="006B2B3C"/>
    <w:rsid w:val="006C1D81"/>
    <w:rsid w:val="006C4AD1"/>
    <w:rsid w:val="006C5552"/>
    <w:rsid w:val="006C7038"/>
    <w:rsid w:val="006D4198"/>
    <w:rsid w:val="006E73EF"/>
    <w:rsid w:val="006F280C"/>
    <w:rsid w:val="006F6523"/>
    <w:rsid w:val="007079C9"/>
    <w:rsid w:val="00714D4D"/>
    <w:rsid w:val="00715D9C"/>
    <w:rsid w:val="007266D3"/>
    <w:rsid w:val="00732029"/>
    <w:rsid w:val="007515F2"/>
    <w:rsid w:val="00754218"/>
    <w:rsid w:val="007604BB"/>
    <w:rsid w:val="0076642C"/>
    <w:rsid w:val="00772909"/>
    <w:rsid w:val="0078299B"/>
    <w:rsid w:val="00785232"/>
    <w:rsid w:val="0079701E"/>
    <w:rsid w:val="007A07B0"/>
    <w:rsid w:val="007A21EB"/>
    <w:rsid w:val="007B1A93"/>
    <w:rsid w:val="007C36C9"/>
    <w:rsid w:val="007D25EF"/>
    <w:rsid w:val="007D6401"/>
    <w:rsid w:val="007E01E4"/>
    <w:rsid w:val="007E7A12"/>
    <w:rsid w:val="007F7107"/>
    <w:rsid w:val="00800D4C"/>
    <w:rsid w:val="0081030F"/>
    <w:rsid w:val="00812F4A"/>
    <w:rsid w:val="0082087D"/>
    <w:rsid w:val="00835771"/>
    <w:rsid w:val="00842933"/>
    <w:rsid w:val="0086082C"/>
    <w:rsid w:val="00864ADC"/>
    <w:rsid w:val="00880153"/>
    <w:rsid w:val="00880F97"/>
    <w:rsid w:val="0088133A"/>
    <w:rsid w:val="0089285E"/>
    <w:rsid w:val="0089436C"/>
    <w:rsid w:val="008D365C"/>
    <w:rsid w:val="008D7622"/>
    <w:rsid w:val="009021A6"/>
    <w:rsid w:val="009030BF"/>
    <w:rsid w:val="00903B52"/>
    <w:rsid w:val="00903E4D"/>
    <w:rsid w:val="0091032F"/>
    <w:rsid w:val="00914368"/>
    <w:rsid w:val="00931076"/>
    <w:rsid w:val="009345D9"/>
    <w:rsid w:val="00934B15"/>
    <w:rsid w:val="00940C87"/>
    <w:rsid w:val="00942B62"/>
    <w:rsid w:val="009439B3"/>
    <w:rsid w:val="0095323B"/>
    <w:rsid w:val="00956A0C"/>
    <w:rsid w:val="00956BD9"/>
    <w:rsid w:val="00962489"/>
    <w:rsid w:val="00967CD3"/>
    <w:rsid w:val="00990C2C"/>
    <w:rsid w:val="0099427E"/>
    <w:rsid w:val="009A5171"/>
    <w:rsid w:val="009D3A07"/>
    <w:rsid w:val="009E1844"/>
    <w:rsid w:val="009F0D1B"/>
    <w:rsid w:val="009F5BBD"/>
    <w:rsid w:val="009F696D"/>
    <w:rsid w:val="009F6BC6"/>
    <w:rsid w:val="009F74EF"/>
    <w:rsid w:val="00A02826"/>
    <w:rsid w:val="00A15866"/>
    <w:rsid w:val="00A15D5A"/>
    <w:rsid w:val="00A17328"/>
    <w:rsid w:val="00A23A20"/>
    <w:rsid w:val="00A24443"/>
    <w:rsid w:val="00A268B9"/>
    <w:rsid w:val="00A2703A"/>
    <w:rsid w:val="00A33DFF"/>
    <w:rsid w:val="00A35115"/>
    <w:rsid w:val="00A36D9A"/>
    <w:rsid w:val="00A440C1"/>
    <w:rsid w:val="00A451DC"/>
    <w:rsid w:val="00A554AB"/>
    <w:rsid w:val="00A57062"/>
    <w:rsid w:val="00A67781"/>
    <w:rsid w:val="00A7555B"/>
    <w:rsid w:val="00A761F9"/>
    <w:rsid w:val="00A92B53"/>
    <w:rsid w:val="00A94FA6"/>
    <w:rsid w:val="00AA49A0"/>
    <w:rsid w:val="00AA6710"/>
    <w:rsid w:val="00AB0681"/>
    <w:rsid w:val="00AC3A15"/>
    <w:rsid w:val="00AD520B"/>
    <w:rsid w:val="00AE3BCC"/>
    <w:rsid w:val="00B02118"/>
    <w:rsid w:val="00B32E3F"/>
    <w:rsid w:val="00B425C3"/>
    <w:rsid w:val="00B440AD"/>
    <w:rsid w:val="00B45955"/>
    <w:rsid w:val="00B479BB"/>
    <w:rsid w:val="00B53E7E"/>
    <w:rsid w:val="00B6342E"/>
    <w:rsid w:val="00B7113F"/>
    <w:rsid w:val="00B911CA"/>
    <w:rsid w:val="00BA2BCF"/>
    <w:rsid w:val="00BA5B14"/>
    <w:rsid w:val="00BA73B6"/>
    <w:rsid w:val="00BA7E27"/>
    <w:rsid w:val="00BB2603"/>
    <w:rsid w:val="00BB4FCD"/>
    <w:rsid w:val="00BB51C1"/>
    <w:rsid w:val="00BC04E9"/>
    <w:rsid w:val="00BD13EA"/>
    <w:rsid w:val="00BE3808"/>
    <w:rsid w:val="00C03B88"/>
    <w:rsid w:val="00C062E9"/>
    <w:rsid w:val="00C07B64"/>
    <w:rsid w:val="00C13721"/>
    <w:rsid w:val="00C14FE4"/>
    <w:rsid w:val="00C27B1A"/>
    <w:rsid w:val="00C3066D"/>
    <w:rsid w:val="00C52416"/>
    <w:rsid w:val="00C543F4"/>
    <w:rsid w:val="00C6291C"/>
    <w:rsid w:val="00C633CB"/>
    <w:rsid w:val="00C65E42"/>
    <w:rsid w:val="00C664CD"/>
    <w:rsid w:val="00C736B7"/>
    <w:rsid w:val="00C81D4A"/>
    <w:rsid w:val="00C8762C"/>
    <w:rsid w:val="00CA00F9"/>
    <w:rsid w:val="00CA2961"/>
    <w:rsid w:val="00CB50D7"/>
    <w:rsid w:val="00CB7177"/>
    <w:rsid w:val="00CB7CED"/>
    <w:rsid w:val="00CC070F"/>
    <w:rsid w:val="00CC1998"/>
    <w:rsid w:val="00CC4946"/>
    <w:rsid w:val="00CC64A1"/>
    <w:rsid w:val="00CF3B11"/>
    <w:rsid w:val="00D15D58"/>
    <w:rsid w:val="00D270A4"/>
    <w:rsid w:val="00D31FE9"/>
    <w:rsid w:val="00D34E1B"/>
    <w:rsid w:val="00D376BA"/>
    <w:rsid w:val="00D434A0"/>
    <w:rsid w:val="00D45634"/>
    <w:rsid w:val="00D5568A"/>
    <w:rsid w:val="00D63D73"/>
    <w:rsid w:val="00D64452"/>
    <w:rsid w:val="00D66E1E"/>
    <w:rsid w:val="00D70696"/>
    <w:rsid w:val="00D75722"/>
    <w:rsid w:val="00D80CF5"/>
    <w:rsid w:val="00DA1F6D"/>
    <w:rsid w:val="00DA5BBA"/>
    <w:rsid w:val="00DB13D6"/>
    <w:rsid w:val="00DB26D2"/>
    <w:rsid w:val="00DB67C9"/>
    <w:rsid w:val="00DC0C95"/>
    <w:rsid w:val="00DC3809"/>
    <w:rsid w:val="00DC4F0B"/>
    <w:rsid w:val="00DD6580"/>
    <w:rsid w:val="00E01D7F"/>
    <w:rsid w:val="00E05C03"/>
    <w:rsid w:val="00E17C72"/>
    <w:rsid w:val="00E21FC6"/>
    <w:rsid w:val="00E345A7"/>
    <w:rsid w:val="00E431A9"/>
    <w:rsid w:val="00E669E2"/>
    <w:rsid w:val="00E701B1"/>
    <w:rsid w:val="00E76135"/>
    <w:rsid w:val="00E82F4F"/>
    <w:rsid w:val="00E864DF"/>
    <w:rsid w:val="00EB2CC3"/>
    <w:rsid w:val="00EB6566"/>
    <w:rsid w:val="00EC2844"/>
    <w:rsid w:val="00EC5500"/>
    <w:rsid w:val="00ED18F8"/>
    <w:rsid w:val="00EE6EDA"/>
    <w:rsid w:val="00EE778E"/>
    <w:rsid w:val="00EF4DA1"/>
    <w:rsid w:val="00EF6719"/>
    <w:rsid w:val="00EF6C6C"/>
    <w:rsid w:val="00F056FC"/>
    <w:rsid w:val="00F0632F"/>
    <w:rsid w:val="00F069AE"/>
    <w:rsid w:val="00F10476"/>
    <w:rsid w:val="00F135D8"/>
    <w:rsid w:val="00F31299"/>
    <w:rsid w:val="00F3534A"/>
    <w:rsid w:val="00F35BFB"/>
    <w:rsid w:val="00F368B2"/>
    <w:rsid w:val="00F36ACC"/>
    <w:rsid w:val="00F36E5E"/>
    <w:rsid w:val="00F51609"/>
    <w:rsid w:val="00F55C25"/>
    <w:rsid w:val="00F73727"/>
    <w:rsid w:val="00F766A7"/>
    <w:rsid w:val="00F81006"/>
    <w:rsid w:val="00F85325"/>
    <w:rsid w:val="00F94E42"/>
    <w:rsid w:val="00FD22B1"/>
    <w:rsid w:val="00FD33F1"/>
    <w:rsid w:val="00FD3566"/>
    <w:rsid w:val="00FD45BE"/>
    <w:rsid w:val="00FD7BAE"/>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8299B"/>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78299B"/>
  </w:style>
  <w:style w:type="character" w:customStyle="1" w:styleId="CommentTextChar">
    <w:name w:val="Comment Text Char"/>
    <w:basedOn w:val="DefaultParagraphFont"/>
    <w:link w:val="CommentText"/>
    <w:uiPriority w:val="99"/>
    <w:semiHidden/>
    <w:rsid w:val="0078299B"/>
    <w:rPr>
      <w:szCs w:val="24"/>
    </w:rPr>
  </w:style>
  <w:style w:type="paragraph" w:customStyle="1" w:styleId="Footertext">
    <w:name w:val="Footer text"/>
    <w:basedOn w:val="FootnoteText"/>
    <w:rsid w:val="007D25EF"/>
  </w:style>
  <w:style w:type="character" w:styleId="EndnoteReference">
    <w:name w:val="endnote reference"/>
    <w:basedOn w:val="DefaultParagraphFont"/>
    <w:rsid w:val="006F6523"/>
    <w:rPr>
      <w:vertAlign w:val="superscript"/>
    </w:rPr>
  </w:style>
  <w:style w:type="paragraph" w:styleId="CommentSubject">
    <w:name w:val="annotation subject"/>
    <w:basedOn w:val="CommentText"/>
    <w:next w:val="CommentText"/>
    <w:link w:val="CommentSubjectChar"/>
    <w:rsid w:val="00DC3809"/>
    <w:pPr>
      <w:spacing w:before="0" w:line="240" w:lineRule="auto"/>
      <w:ind w:left="0" w:firstLine="0"/>
    </w:pPr>
    <w:rPr>
      <w:b/>
      <w:bCs/>
      <w:szCs w:val="20"/>
    </w:rPr>
  </w:style>
  <w:style w:type="character" w:customStyle="1" w:styleId="CommentSubjectChar">
    <w:name w:val="Comment Subject Char"/>
    <w:basedOn w:val="CommentTextChar"/>
    <w:link w:val="CommentSubject"/>
    <w:rsid w:val="00DC3809"/>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8299B"/>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78299B"/>
  </w:style>
  <w:style w:type="character" w:customStyle="1" w:styleId="CommentTextChar">
    <w:name w:val="Comment Text Char"/>
    <w:basedOn w:val="DefaultParagraphFont"/>
    <w:link w:val="CommentText"/>
    <w:uiPriority w:val="99"/>
    <w:semiHidden/>
    <w:rsid w:val="0078299B"/>
    <w:rPr>
      <w:szCs w:val="24"/>
    </w:rPr>
  </w:style>
  <w:style w:type="paragraph" w:customStyle="1" w:styleId="Footertext">
    <w:name w:val="Footer text"/>
    <w:basedOn w:val="FootnoteText"/>
    <w:rsid w:val="007D25EF"/>
  </w:style>
  <w:style w:type="character" w:styleId="EndnoteReference">
    <w:name w:val="endnote reference"/>
    <w:basedOn w:val="DefaultParagraphFont"/>
    <w:rsid w:val="006F6523"/>
    <w:rPr>
      <w:vertAlign w:val="superscript"/>
    </w:rPr>
  </w:style>
  <w:style w:type="paragraph" w:styleId="CommentSubject">
    <w:name w:val="annotation subject"/>
    <w:basedOn w:val="CommentText"/>
    <w:next w:val="CommentText"/>
    <w:link w:val="CommentSubjectChar"/>
    <w:rsid w:val="00DC3809"/>
    <w:pPr>
      <w:spacing w:before="0" w:line="240" w:lineRule="auto"/>
      <w:ind w:left="0" w:firstLine="0"/>
    </w:pPr>
    <w:rPr>
      <w:b/>
      <w:bCs/>
      <w:szCs w:val="20"/>
    </w:rPr>
  </w:style>
  <w:style w:type="character" w:customStyle="1" w:styleId="CommentSubjectChar">
    <w:name w:val="Comment Subject Char"/>
    <w:basedOn w:val="CommentTextChar"/>
    <w:link w:val="CommentSubject"/>
    <w:rsid w:val="00DC3809"/>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10809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s" ma:contentTypeID="0x010100C6E8C21E118D7B41812BB8AD3D5DACD6" ma:contentTypeVersion="4" ma:contentTypeDescription="Create a new document." ma:contentTypeScope="" ma:versionID="83e03143a20d5434026975f3e59498e1">
  <xsd:schema xmlns:xsd="http://www.w3.org/2001/XMLSchema" xmlns:xs="http://www.w3.org/2001/XMLSchema" xmlns:p="http://schemas.microsoft.com/office/2006/metadata/properties" targetNamespace="http://schemas.microsoft.com/office/2006/metadata/properties" ma:root="true" ma:fieldsID="8b741d7760e7820ac40a9c32876c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E517E-B05F-4A01-8F1C-84C0AC3089D7}">
  <ds:schemaRefs>
    <ds:schemaRef ds:uri="http://schemas.microsoft.com/sharepoint/v3/contenttype/forms"/>
  </ds:schemaRefs>
</ds:datastoreItem>
</file>

<file path=customXml/itemProps2.xml><?xml version="1.0" encoding="utf-8"?>
<ds:datastoreItem xmlns:ds="http://schemas.openxmlformats.org/officeDocument/2006/customXml" ds:itemID="{51C821EC-886E-4053-964E-944DCD0FD1F5}">
  <ds:schemaRefs>
    <ds:schemaRef ds:uri="http://schemas.microsoft.com/office/2006/metadata/customXsn"/>
  </ds:schemaRefs>
</ds:datastoreItem>
</file>

<file path=customXml/itemProps3.xml><?xml version="1.0" encoding="utf-8"?>
<ds:datastoreItem xmlns:ds="http://schemas.openxmlformats.org/officeDocument/2006/customXml" ds:itemID="{1B4A1A64-B3F7-4227-B80C-520F63B74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B55484-6E37-4B68-A1FB-73B547C48355}">
  <ds:schemaRef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776A6801-F701-4F73-B7DE-62181ED0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4</TotalTime>
  <Pages>5</Pages>
  <Words>1482</Words>
  <Characters>8442</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Voluntary retirement module inputs</vt:lpstr>
    </vt:vector>
  </TitlesOfParts>
  <Company>Productivity Commission</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retirement module inputs</dc:title>
  <dc:subject>Superannuation Policy for Post-Retirement: Modelling supplement</dc:subject>
  <dc:creator>Productivity Commission</dc:creator>
  <dc:description>1.</dc:description>
  <cp:lastModifiedBy>Productivity Commission</cp:lastModifiedBy>
  <cp:revision>3</cp:revision>
  <cp:lastPrinted>2015-06-22T23:36:00Z</cp:lastPrinted>
  <dcterms:created xsi:type="dcterms:W3CDTF">2015-07-02T04:04:00Z</dcterms:created>
  <dcterms:modified xsi:type="dcterms:W3CDTF">2015-07-02T04:07:00Z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0x010100C6E8C21E118D7B41812BB8AD3D5DACD6</vt:lpwstr>
  </property>
</Properties>
</file>