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3058E0" w:rsidP="003058E0">
      <w:pPr>
        <w:pStyle w:val="Heading1"/>
        <w:spacing w:before="0"/>
      </w:pPr>
      <w:bookmarkStart w:id="0" w:name="ChapterNumber"/>
      <w:bookmarkStart w:id="1" w:name="_GoBack"/>
      <w:bookmarkEnd w:id="1"/>
      <w:r>
        <w:t>3</w:t>
      </w:r>
      <w:bookmarkEnd w:id="0"/>
      <w:r>
        <w:tab/>
      </w:r>
      <w:bookmarkStart w:id="2" w:name="ChapterTitle"/>
      <w:r>
        <w:t>Projection module: data sources and methodology</w:t>
      </w:r>
      <w:bookmarkEnd w:id="2"/>
    </w:p>
    <w:p w:rsidR="00D54F7E" w:rsidRDefault="00D54F7E" w:rsidP="00D54F7E">
      <w:pPr>
        <w:pStyle w:val="BodyText"/>
      </w:pPr>
      <w:bookmarkStart w:id="3" w:name="begin"/>
      <w:bookmarkEnd w:id="3"/>
      <w:r>
        <w:t xml:space="preserve">As part of its research </w:t>
      </w:r>
      <w:r w:rsidRPr="00BC2A49">
        <w:t xml:space="preserve">on </w:t>
      </w:r>
      <w:r w:rsidRPr="00625E0C">
        <w:rPr>
          <w:i/>
        </w:rPr>
        <w:t>Superannuation Policy for Post</w:t>
      </w:r>
      <w:r w:rsidR="0042151C">
        <w:rPr>
          <w:i/>
        </w:rPr>
        <w:noBreakHyphen/>
      </w:r>
      <w:r w:rsidRPr="00625E0C">
        <w:rPr>
          <w:i/>
        </w:rPr>
        <w:t>Retirement</w:t>
      </w:r>
      <w:r w:rsidRPr="00BC2A49">
        <w:t xml:space="preserve"> the Co</w:t>
      </w:r>
      <w:r>
        <w:t>mmission has developed a model — referred to as the Productivity Commission Retirement Model (</w:t>
      </w:r>
      <w:proofErr w:type="spellStart"/>
      <w:r w:rsidRPr="006E00CA">
        <w:t>PCRM</w:t>
      </w:r>
      <w:proofErr w:type="spellEnd"/>
      <w:r w:rsidRPr="006E00CA">
        <w:t>)</w:t>
      </w:r>
      <w:r>
        <w:t xml:space="preserve"> — to assess the effects of increasing the preservation age. The </w:t>
      </w:r>
      <w:proofErr w:type="spellStart"/>
      <w:r>
        <w:t>PCRM</w:t>
      </w:r>
      <w:proofErr w:type="spellEnd"/>
      <w:r>
        <w:t xml:space="preserve"> can be described as a ‘behavioural </w:t>
      </w:r>
      <w:proofErr w:type="spellStart"/>
      <w:r>
        <w:t>microsimulation</w:t>
      </w:r>
      <w:proofErr w:type="spellEnd"/>
      <w:r>
        <w:t xml:space="preserve">’ model. Behavioural </w:t>
      </w:r>
      <w:proofErr w:type="spellStart"/>
      <w:r>
        <w:t>microsimulation</w:t>
      </w:r>
      <w:proofErr w:type="spellEnd"/>
      <w:r>
        <w:t xml:space="preserve"> models seek to simulate individual or household level decisions, and are commonly used within an economic framework to assess the impact of policy changes (such as changes in tax and benefits) on governments’ fiscal positions and on labour supply. They are particularly useful where there is a wide variety of decision makers</w:t>
      </w:r>
      <w:r w:rsidR="000164B0">
        <w:t>, and where</w:t>
      </w:r>
      <w:r>
        <w:t xml:space="preserve"> complex policy changes are likely to impact these different decision makers in different ways.</w:t>
      </w:r>
    </w:p>
    <w:p w:rsidR="00D54F7E" w:rsidRDefault="00D54F7E" w:rsidP="00D54F7E">
      <w:pPr>
        <w:pStyle w:val="BodyText"/>
      </w:pPr>
      <w:r>
        <w:t>The Commission’s model consists of three modules:</w:t>
      </w:r>
    </w:p>
    <w:p w:rsidR="00D54F7E" w:rsidRDefault="00D54F7E" w:rsidP="00D54F7E">
      <w:pPr>
        <w:pStyle w:val="ListBullet"/>
      </w:pPr>
      <w:r w:rsidRPr="00BD6561">
        <w:rPr>
          <w:i/>
        </w:rPr>
        <w:t xml:space="preserve">a </w:t>
      </w:r>
      <w:r>
        <w:rPr>
          <w:i/>
        </w:rPr>
        <w:t>voluntary</w:t>
      </w:r>
      <w:r w:rsidRPr="00BD6561">
        <w:rPr>
          <w:i/>
        </w:rPr>
        <w:t xml:space="preserve"> retirement module</w:t>
      </w:r>
      <w:r>
        <w:t>, which seeks to gauge the behaviour of individuals who have some discretion in how they respond to policy changes</w:t>
      </w:r>
    </w:p>
    <w:p w:rsidR="00D54F7E" w:rsidRDefault="00D54F7E" w:rsidP="00D54F7E">
      <w:pPr>
        <w:pStyle w:val="ListBullet"/>
      </w:pPr>
      <w:r w:rsidRPr="00BD6561">
        <w:rPr>
          <w:i/>
        </w:rPr>
        <w:t>an involuntary retirement module</w:t>
      </w:r>
      <w:r>
        <w:t>, which seeks to account for those individuals who do not get to exercise choice around the timing of their retirement</w:t>
      </w:r>
    </w:p>
    <w:p w:rsidR="00D54F7E" w:rsidRDefault="00D54F7E" w:rsidP="00D54F7E">
      <w:pPr>
        <w:pStyle w:val="ListBullet"/>
      </w:pPr>
      <w:r w:rsidRPr="00BD6561">
        <w:rPr>
          <w:i/>
        </w:rPr>
        <w:t>a projection module</w:t>
      </w:r>
      <w:r>
        <w:t>, which seeks to weight the outcomes from the voluntary and involuntary retirement modules, both now and in the future.</w:t>
      </w:r>
    </w:p>
    <w:p w:rsidR="003058E0" w:rsidRDefault="00625E0C" w:rsidP="003058E0">
      <w:pPr>
        <w:pStyle w:val="BodyText"/>
      </w:pPr>
      <w:r>
        <w:t>This</w:t>
      </w:r>
      <w:r w:rsidR="00D54F7E">
        <w:t xml:space="preserve"> module makes projections about trends in population and household formation and calculates involuntary retirement probabilities — the role of this </w:t>
      </w:r>
      <w:r w:rsidR="00835471">
        <w:t>paper</w:t>
      </w:r>
      <w:r w:rsidR="00D54F7E">
        <w:t xml:space="preserve"> is to detail the data sources and methodology employed in doing so.</w:t>
      </w:r>
    </w:p>
    <w:p w:rsidR="003058E0" w:rsidRDefault="003058E0" w:rsidP="00BE1D25">
      <w:pPr>
        <w:pStyle w:val="Heading2nosectionno"/>
      </w:pPr>
      <w:r>
        <w:t>Population</w:t>
      </w:r>
    </w:p>
    <w:p w:rsidR="003058E0" w:rsidRDefault="003058E0" w:rsidP="003058E0">
      <w:pPr>
        <w:pStyle w:val="BodyText"/>
      </w:pPr>
      <w:r>
        <w:t xml:space="preserve">The population projections made by the module are based on those published in PC </w:t>
      </w:r>
      <w:r w:rsidR="004B628B" w:rsidRPr="004B628B">
        <w:t>(2013)</w:t>
      </w:r>
      <w:r>
        <w:t>. That paper projects future population by age and sex using assumptions about life expectancy, total fertility rates and net overseas migration (table 3.1</w:t>
      </w:r>
      <w:r w:rsidRPr="00456A82">
        <w:t>).</w:t>
      </w:r>
      <w:r>
        <w:t xml:space="preserve"> It projects the Australian population to increase to around 38 </w:t>
      </w:r>
      <w:r w:rsidRPr="002249A6">
        <w:t>million by 2059</w:t>
      </w:r>
      <w:r w:rsidR="0042151C">
        <w:noBreakHyphen/>
      </w:r>
      <w:r w:rsidRPr="002249A6">
        <w:t>60</w:t>
      </w:r>
      <w:r>
        <w:t xml:space="preserve"> (figure 3.1</w:t>
      </w:r>
      <w:r w:rsidR="003E3EB1">
        <w:t> left</w:t>
      </w:r>
      <w:r>
        <w:t>).</w:t>
      </w:r>
    </w:p>
    <w:p w:rsidR="003058E0" w:rsidRDefault="003058E0" w:rsidP="003058E0">
      <w:pPr>
        <w:pStyle w:val="BodyText"/>
      </w:pPr>
      <w:r>
        <w:t xml:space="preserve">These projections assume slightly more modest increases in life expectancy and a slightly lower total fertility rate compared to those underpinning the </w:t>
      </w:r>
      <w:r w:rsidRPr="002803E3">
        <w:rPr>
          <w:i/>
        </w:rPr>
        <w:t>2015 Intergenerational Report</w:t>
      </w:r>
      <w:r>
        <w:t xml:space="preserve"> leading to a smaller projected population. For these reasons, the </w:t>
      </w:r>
      <w:r w:rsidRPr="002803E3">
        <w:rPr>
          <w:i/>
        </w:rPr>
        <w:t>2015 Intergenerational Report</w:t>
      </w:r>
      <w:r>
        <w:t xml:space="preserve"> </w:t>
      </w:r>
      <w:r w:rsidR="00195C53" w:rsidRPr="00195C53">
        <w:rPr>
          <w:szCs w:val="24"/>
        </w:rPr>
        <w:t>(Australian Government 2015)</w:t>
      </w:r>
      <w:r>
        <w:t xml:space="preserve"> projects a larger future population (39.7 million by 2054</w:t>
      </w:r>
      <w:r w:rsidR="0042151C">
        <w:noBreakHyphen/>
      </w:r>
      <w:r>
        <w:t>55)</w:t>
      </w:r>
      <w:r w:rsidRPr="00D414E1">
        <w:t>.</w:t>
      </w:r>
    </w:p>
    <w:p w:rsidR="003058E0" w:rsidRDefault="003058E0" w:rsidP="003058E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058E0" w:rsidTr="00D414E1">
        <w:tc>
          <w:tcPr>
            <w:tcW w:w="8771" w:type="dxa"/>
            <w:tcBorders>
              <w:top w:val="single" w:sz="6" w:space="0" w:color="78A22F"/>
              <w:left w:val="nil"/>
              <w:bottom w:val="nil"/>
              <w:right w:val="nil"/>
            </w:tcBorders>
            <w:shd w:val="clear" w:color="auto" w:fill="auto"/>
          </w:tcPr>
          <w:p w:rsidR="003058E0" w:rsidRPr="00784A05" w:rsidRDefault="003058E0" w:rsidP="003058E0">
            <w:pPr>
              <w:pStyle w:val="TableTitle"/>
            </w:pPr>
            <w:r>
              <w:rPr>
                <w:b w:val="0"/>
              </w:rPr>
              <w:t xml:space="preserve">Table </w:t>
            </w:r>
            <w:bookmarkStart w:id="4" w:name="OLE_LINK14"/>
            <w:r>
              <w:rPr>
                <w:b w:val="0"/>
              </w:rPr>
              <w:t>3.</w:t>
            </w:r>
            <w:r>
              <w:rPr>
                <w:b w:val="0"/>
                <w:noProof/>
              </w:rPr>
              <w:t>1</w:t>
            </w:r>
            <w:bookmarkEnd w:id="4"/>
            <w:r>
              <w:tab/>
              <w:t>Population projections – key assumptions</w:t>
            </w:r>
          </w:p>
        </w:tc>
      </w:tr>
      <w:tr w:rsidR="003058E0" w:rsidTr="00D414E1">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8"/>
              <w:gridCol w:w="6779"/>
            </w:tblGrid>
            <w:tr w:rsidR="003058E0" w:rsidTr="00D414E1">
              <w:tc>
                <w:tcPr>
                  <w:tcW w:w="1006" w:type="pct"/>
                  <w:tcBorders>
                    <w:top w:val="single" w:sz="6" w:space="0" w:color="BFBFBF"/>
                    <w:bottom w:val="single" w:sz="6" w:space="0" w:color="BFBFBF"/>
                  </w:tcBorders>
                  <w:shd w:val="clear" w:color="auto" w:fill="auto"/>
                  <w:tcMar>
                    <w:top w:w="28" w:type="dxa"/>
                  </w:tcMar>
                </w:tcPr>
                <w:p w:rsidR="003058E0" w:rsidRDefault="003058E0" w:rsidP="00D414E1">
                  <w:pPr>
                    <w:pStyle w:val="TableColumnHeading"/>
                    <w:jc w:val="left"/>
                  </w:pPr>
                </w:p>
              </w:tc>
              <w:tc>
                <w:tcPr>
                  <w:tcW w:w="3994" w:type="pct"/>
                  <w:tcBorders>
                    <w:top w:val="single" w:sz="6" w:space="0" w:color="BFBFBF"/>
                    <w:bottom w:val="single" w:sz="6" w:space="0" w:color="BFBFBF"/>
                  </w:tcBorders>
                  <w:shd w:val="clear" w:color="auto" w:fill="auto"/>
                  <w:tcMar>
                    <w:top w:w="28" w:type="dxa"/>
                  </w:tcMar>
                </w:tcPr>
                <w:p w:rsidR="003058E0" w:rsidRDefault="003058E0" w:rsidP="00D414E1">
                  <w:pPr>
                    <w:pStyle w:val="TableColumnHeading"/>
                    <w:jc w:val="left"/>
                  </w:pPr>
                  <w:r>
                    <w:t>Assumption</w:t>
                  </w:r>
                </w:p>
              </w:tc>
            </w:tr>
            <w:tr w:rsidR="003058E0" w:rsidTr="00DA69A1">
              <w:tc>
                <w:tcPr>
                  <w:tcW w:w="1006" w:type="pct"/>
                  <w:shd w:val="clear" w:color="auto" w:fill="F2F2F2"/>
                </w:tcPr>
                <w:p w:rsidR="003058E0" w:rsidRDefault="003058E0" w:rsidP="00D414E1">
                  <w:pPr>
                    <w:pStyle w:val="TableBodyText"/>
                    <w:jc w:val="left"/>
                  </w:pPr>
                  <w:r>
                    <w:t>Life expectancy</w:t>
                  </w:r>
                </w:p>
              </w:tc>
              <w:tc>
                <w:tcPr>
                  <w:tcW w:w="3994" w:type="pct"/>
                  <w:shd w:val="clear" w:color="auto" w:fill="F2F2F2"/>
                </w:tcPr>
                <w:p w:rsidR="003058E0" w:rsidRDefault="003058E0" w:rsidP="00065B17">
                  <w:pPr>
                    <w:pStyle w:val="TableBodyText"/>
                    <w:ind w:right="28"/>
                    <w:jc w:val="left"/>
                  </w:pPr>
                  <w:r>
                    <w:t>Death rates are estimated using the Lee</w:t>
                  </w:r>
                  <w:r w:rsidR="0042151C">
                    <w:noBreakHyphen/>
                  </w:r>
                  <w:r>
                    <w:t>Carter method and drawing on historical trends over the last 30 years. By 2059</w:t>
                  </w:r>
                  <w:r w:rsidR="0042151C">
                    <w:noBreakHyphen/>
                  </w:r>
                  <w:r>
                    <w:t>60, the life expectancy of males is projected to be 89.1 years (compared with 80.3 years in 2012)</w:t>
                  </w:r>
                  <w:r w:rsidR="00C566CC">
                    <w:t>, and</w:t>
                  </w:r>
                  <w:r>
                    <w:t xml:space="preserve"> the life expectancy of females is projected to be 9</w:t>
                  </w:r>
                  <w:r w:rsidR="00065B17">
                    <w:t>1.4 years (compared to 84.6 in 2</w:t>
                  </w:r>
                  <w:r>
                    <w:t>012).</w:t>
                  </w:r>
                </w:p>
              </w:tc>
            </w:tr>
            <w:tr w:rsidR="003058E0" w:rsidTr="00D414E1">
              <w:tc>
                <w:tcPr>
                  <w:tcW w:w="1006" w:type="pct"/>
                </w:tcPr>
                <w:p w:rsidR="003058E0" w:rsidRDefault="003058E0" w:rsidP="00D414E1">
                  <w:pPr>
                    <w:pStyle w:val="TableBodyText"/>
                    <w:jc w:val="left"/>
                  </w:pPr>
                  <w:r>
                    <w:t>Fertility</w:t>
                  </w:r>
                </w:p>
              </w:tc>
              <w:tc>
                <w:tcPr>
                  <w:tcW w:w="3994" w:type="pct"/>
                </w:tcPr>
                <w:p w:rsidR="003058E0" w:rsidRDefault="003058E0" w:rsidP="00065B17">
                  <w:pPr>
                    <w:pStyle w:val="TableBodyText"/>
                    <w:ind w:right="28"/>
                    <w:jc w:val="left"/>
                  </w:pPr>
                  <w:r>
                    <w:t>The total fertility rate equal to 1.88 in 2011</w:t>
                  </w:r>
                  <w:r w:rsidR="0042151C">
                    <w:noBreakHyphen/>
                  </w:r>
                  <w:r>
                    <w:t>12 and is assumed to be equal to 1.85 in the long run. Age</w:t>
                  </w:r>
                  <w:r w:rsidR="0042151C">
                    <w:noBreakHyphen/>
                  </w:r>
                  <w:r>
                    <w:t>specific fertility rates are calculated by multiplying the total fertility rate by the age</w:t>
                  </w:r>
                  <w:r w:rsidR="0042151C">
                    <w:noBreakHyphen/>
                  </w:r>
                  <w:r>
                    <w:t>shares of the total rate. The projected age</w:t>
                  </w:r>
                  <w:r w:rsidR="0042151C">
                    <w:noBreakHyphen/>
                  </w:r>
                  <w:r>
                    <w:t>shares are largely based on the age</w:t>
                  </w:r>
                  <w:r w:rsidR="0042151C">
                    <w:noBreakHyphen/>
                  </w:r>
                  <w:r>
                    <w:t>shares for 2011</w:t>
                  </w:r>
                  <w:r w:rsidR="0042151C">
                    <w:noBreakHyphen/>
                  </w:r>
                  <w:r>
                    <w:t>12, but also assume increasing age</w:t>
                  </w:r>
                  <w:r w:rsidR="0042151C">
                    <w:noBreakHyphen/>
                  </w:r>
                  <w:r>
                    <w:t>shares for older women.</w:t>
                  </w:r>
                </w:p>
              </w:tc>
            </w:tr>
            <w:tr w:rsidR="003058E0" w:rsidTr="00DA69A1">
              <w:tc>
                <w:tcPr>
                  <w:tcW w:w="1006" w:type="pct"/>
                  <w:tcBorders>
                    <w:bottom w:val="single" w:sz="6" w:space="0" w:color="BFBFBF"/>
                  </w:tcBorders>
                  <w:shd w:val="clear" w:color="auto" w:fill="F2F2F2"/>
                </w:tcPr>
                <w:p w:rsidR="003058E0" w:rsidRPr="00DA6129" w:rsidRDefault="003058E0" w:rsidP="00D414E1">
                  <w:pPr>
                    <w:pStyle w:val="TableBodyText"/>
                    <w:jc w:val="left"/>
                  </w:pPr>
                  <w:r w:rsidRPr="00DA6129">
                    <w:t>Net overseas migration (NOM)</w:t>
                  </w:r>
                </w:p>
              </w:tc>
              <w:tc>
                <w:tcPr>
                  <w:tcW w:w="3994" w:type="pct"/>
                  <w:tcBorders>
                    <w:bottom w:val="single" w:sz="6" w:space="0" w:color="BFBFBF"/>
                  </w:tcBorders>
                  <w:shd w:val="clear" w:color="auto" w:fill="F2F2F2"/>
                </w:tcPr>
                <w:p w:rsidR="003058E0" w:rsidRPr="00DA6129" w:rsidRDefault="003058E0" w:rsidP="00065B17">
                  <w:pPr>
                    <w:pStyle w:val="TableBodyText"/>
                    <w:ind w:right="28"/>
                    <w:jc w:val="left"/>
                  </w:pPr>
                  <w:r w:rsidRPr="00DA6129">
                    <w:t>NOM is equal to 230 000 in 2011</w:t>
                  </w:r>
                  <w:r w:rsidR="0042151C">
                    <w:noBreakHyphen/>
                  </w:r>
                  <w:r w:rsidRPr="00DA6129">
                    <w:t>12 and is assumed to be equal to 180 000 in the long run.</w:t>
                  </w:r>
                  <w:r w:rsidR="0042151C">
                    <w:t xml:space="preserve"> </w:t>
                  </w:r>
                </w:p>
              </w:tc>
            </w:tr>
          </w:tbl>
          <w:p w:rsidR="003058E0" w:rsidRDefault="003058E0" w:rsidP="00D414E1">
            <w:pPr>
              <w:pStyle w:val="Box"/>
            </w:pPr>
          </w:p>
        </w:tc>
      </w:tr>
      <w:tr w:rsidR="003058E0" w:rsidTr="00D414E1">
        <w:trPr>
          <w:cantSplit/>
        </w:trPr>
        <w:tc>
          <w:tcPr>
            <w:tcW w:w="8771" w:type="dxa"/>
            <w:tcBorders>
              <w:top w:val="nil"/>
              <w:left w:val="nil"/>
              <w:bottom w:val="nil"/>
              <w:right w:val="nil"/>
            </w:tcBorders>
            <w:shd w:val="clear" w:color="auto" w:fill="auto"/>
          </w:tcPr>
          <w:p w:rsidR="003058E0" w:rsidRDefault="003058E0" w:rsidP="00D414E1">
            <w:pPr>
              <w:pStyle w:val="Source"/>
            </w:pPr>
            <w:r>
              <w:rPr>
                <w:i/>
              </w:rPr>
              <w:t>Source</w:t>
            </w:r>
            <w:r w:rsidRPr="00167F06">
              <w:t>:</w:t>
            </w:r>
            <w:r w:rsidR="00195C53">
              <w:t xml:space="preserve"> PC </w:t>
            </w:r>
            <w:r w:rsidR="004B628B" w:rsidRPr="004B628B">
              <w:rPr>
                <w:rFonts w:cs="Arial"/>
              </w:rPr>
              <w:t>(2013)</w:t>
            </w:r>
            <w:r>
              <w:t>.</w:t>
            </w:r>
          </w:p>
        </w:tc>
      </w:tr>
      <w:tr w:rsidR="003058E0" w:rsidTr="00D414E1">
        <w:trPr>
          <w:cantSplit/>
        </w:trPr>
        <w:tc>
          <w:tcPr>
            <w:tcW w:w="8771" w:type="dxa"/>
            <w:tcBorders>
              <w:top w:val="nil"/>
              <w:left w:val="nil"/>
              <w:bottom w:val="single" w:sz="6" w:space="0" w:color="78A22F"/>
              <w:right w:val="nil"/>
            </w:tcBorders>
            <w:shd w:val="clear" w:color="auto" w:fill="auto"/>
          </w:tcPr>
          <w:p w:rsidR="003058E0" w:rsidRDefault="003058E0" w:rsidP="00D414E1">
            <w:pPr>
              <w:pStyle w:val="Box"/>
              <w:spacing w:before="0" w:line="120" w:lineRule="exact"/>
            </w:pPr>
          </w:p>
        </w:tc>
      </w:tr>
      <w:tr w:rsidR="003058E0" w:rsidRPr="000863A5" w:rsidTr="00D414E1">
        <w:tc>
          <w:tcPr>
            <w:tcW w:w="8771" w:type="dxa"/>
            <w:tcBorders>
              <w:top w:val="single" w:sz="6" w:space="0" w:color="78A22F"/>
              <w:left w:val="nil"/>
              <w:bottom w:val="nil"/>
              <w:right w:val="nil"/>
            </w:tcBorders>
          </w:tcPr>
          <w:p w:rsidR="003058E0" w:rsidRPr="00626D32" w:rsidRDefault="003058E0" w:rsidP="00D414E1">
            <w:pPr>
              <w:pStyle w:val="BoxSpaceBelow"/>
            </w:pPr>
          </w:p>
        </w:tc>
      </w:tr>
    </w:tbl>
    <w:p w:rsidR="003058E0" w:rsidRDefault="003058E0" w:rsidP="003058E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058E0" w:rsidTr="00D414E1">
        <w:tc>
          <w:tcPr>
            <w:tcW w:w="8771" w:type="dxa"/>
            <w:tcBorders>
              <w:top w:val="single" w:sz="6" w:space="0" w:color="78A22F"/>
              <w:left w:val="nil"/>
              <w:bottom w:val="nil"/>
              <w:right w:val="nil"/>
            </w:tcBorders>
            <w:shd w:val="clear" w:color="auto" w:fill="auto"/>
          </w:tcPr>
          <w:p w:rsidR="003058E0" w:rsidRPr="00176D3F" w:rsidRDefault="003058E0" w:rsidP="00950663">
            <w:pPr>
              <w:pStyle w:val="FigureTitle"/>
            </w:pPr>
            <w:r w:rsidRPr="00784A05">
              <w:rPr>
                <w:b w:val="0"/>
              </w:rPr>
              <w:t xml:space="preserve">Figure </w:t>
            </w:r>
            <w:bookmarkStart w:id="5" w:name="OLE_LINK15"/>
            <w:r>
              <w:rPr>
                <w:b w:val="0"/>
              </w:rPr>
              <w:t>3.</w:t>
            </w:r>
            <w:r>
              <w:rPr>
                <w:b w:val="0"/>
                <w:noProof/>
              </w:rPr>
              <w:t>1</w:t>
            </w:r>
            <w:bookmarkEnd w:id="5"/>
            <w:r>
              <w:tab/>
              <w:t>Population projection</w:t>
            </w:r>
            <w:r w:rsidR="00775BE8">
              <w:t xml:space="preserve"> and household formation</w:t>
            </w:r>
            <w:r w:rsidR="00950663">
              <w:t>,</w:t>
            </w:r>
            <w:r>
              <w:t xml:space="preserve"> 2012–2055</w:t>
            </w:r>
          </w:p>
        </w:tc>
      </w:tr>
      <w:tr w:rsidR="003058E0" w:rsidTr="00D414E1">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3A2D26" w:rsidTr="003A2D26">
              <w:trPr>
                <w:jc w:val="center"/>
              </w:trPr>
              <w:tc>
                <w:tcPr>
                  <w:tcW w:w="4252" w:type="dxa"/>
                  <w:tcBorders>
                    <w:top w:val="nil"/>
                    <w:bottom w:val="nil"/>
                  </w:tcBorders>
                </w:tcPr>
                <w:p w:rsidR="003A2D26" w:rsidRDefault="00D207A5" w:rsidP="00D414E1">
                  <w:pPr>
                    <w:pStyle w:val="Figure"/>
                    <w:spacing w:before="60" w:after="60"/>
                  </w:pPr>
                  <w:r>
                    <w:rPr>
                      <w:noProof/>
                    </w:rPr>
                    <w:drawing>
                      <wp:inline distT="0" distB="0" distL="0" distR="0">
                        <wp:extent cx="2493010" cy="2519045"/>
                        <wp:effectExtent l="0" t="0" r="2540" b="0"/>
                        <wp:docPr id="5" name="Picture 5" descr="Figure 3.1 Population projection and household formation, 2012-2055. This figure contains two charts. The left hand side chart shows the projected total population and a sub group of 65 and over, for the years 2012 to 2055. The population is expected to increase from low twenty millions to high thirty millions within this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3010" cy="2519045"/>
                                </a:xfrm>
                                <a:prstGeom prst="rect">
                                  <a:avLst/>
                                </a:prstGeom>
                                <a:noFill/>
                                <a:ln>
                                  <a:noFill/>
                                </a:ln>
                              </pic:spPr>
                            </pic:pic>
                          </a:graphicData>
                        </a:graphic>
                      </wp:inline>
                    </w:drawing>
                  </w:r>
                </w:p>
              </w:tc>
              <w:tc>
                <w:tcPr>
                  <w:tcW w:w="4252" w:type="dxa"/>
                  <w:tcBorders>
                    <w:top w:val="nil"/>
                    <w:bottom w:val="nil"/>
                  </w:tcBorders>
                </w:tcPr>
                <w:p w:rsidR="003A2D26" w:rsidRDefault="00D207A5" w:rsidP="00D414E1">
                  <w:pPr>
                    <w:pStyle w:val="Figure"/>
                    <w:spacing w:before="60" w:after="60"/>
                  </w:pPr>
                  <w:r>
                    <w:rPr>
                      <w:noProof/>
                    </w:rPr>
                    <w:drawing>
                      <wp:inline distT="0" distB="0" distL="0" distR="0">
                        <wp:extent cx="2519045" cy="2519045"/>
                        <wp:effectExtent l="0" t="0" r="0" b="0"/>
                        <wp:docPr id="6" name="Picture 6" descr="On the right hand side, the chart shows the proportion of single relative to couple headed households over the period 2012 to 2055. The relative proportion of single headed household increases from high thirty per cent to low forty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9045" cy="2519045"/>
                                </a:xfrm>
                                <a:prstGeom prst="rect">
                                  <a:avLst/>
                                </a:prstGeom>
                                <a:noFill/>
                                <a:ln>
                                  <a:noFill/>
                                </a:ln>
                              </pic:spPr>
                            </pic:pic>
                          </a:graphicData>
                        </a:graphic>
                      </wp:inline>
                    </w:drawing>
                  </w:r>
                </w:p>
              </w:tc>
            </w:tr>
          </w:tbl>
          <w:p w:rsidR="003058E0" w:rsidRDefault="003058E0" w:rsidP="00D414E1">
            <w:pPr>
              <w:pStyle w:val="Figure"/>
            </w:pPr>
          </w:p>
        </w:tc>
      </w:tr>
      <w:tr w:rsidR="003058E0" w:rsidRPr="00176D3F" w:rsidTr="00D414E1">
        <w:tc>
          <w:tcPr>
            <w:tcW w:w="8771" w:type="dxa"/>
            <w:tcBorders>
              <w:top w:val="nil"/>
              <w:left w:val="nil"/>
              <w:bottom w:val="nil"/>
              <w:right w:val="nil"/>
            </w:tcBorders>
            <w:shd w:val="clear" w:color="auto" w:fill="auto"/>
          </w:tcPr>
          <w:p w:rsidR="003058E0" w:rsidRPr="00176D3F" w:rsidRDefault="003058E0" w:rsidP="00195C53">
            <w:pPr>
              <w:pStyle w:val="Source"/>
            </w:pPr>
            <w:r w:rsidRPr="00784A05">
              <w:rPr>
                <w:i/>
              </w:rPr>
              <w:t>Data source</w:t>
            </w:r>
            <w:r w:rsidRPr="00176D3F">
              <w:t xml:space="preserve">: </w:t>
            </w:r>
            <w:r w:rsidR="00195C53">
              <w:t xml:space="preserve">PC </w:t>
            </w:r>
            <w:r w:rsidR="004B628B" w:rsidRPr="004B628B">
              <w:rPr>
                <w:rFonts w:cs="Arial"/>
              </w:rPr>
              <w:t>(2013)</w:t>
            </w:r>
            <w:r w:rsidR="00195C53">
              <w:t>.</w:t>
            </w:r>
          </w:p>
        </w:tc>
      </w:tr>
      <w:tr w:rsidR="003058E0" w:rsidTr="00D414E1">
        <w:tc>
          <w:tcPr>
            <w:tcW w:w="8771" w:type="dxa"/>
            <w:tcBorders>
              <w:top w:val="nil"/>
              <w:left w:val="nil"/>
              <w:bottom w:val="single" w:sz="6" w:space="0" w:color="78A22F"/>
              <w:right w:val="nil"/>
            </w:tcBorders>
            <w:shd w:val="clear" w:color="auto" w:fill="auto"/>
          </w:tcPr>
          <w:p w:rsidR="003058E0" w:rsidRDefault="003058E0" w:rsidP="00D414E1">
            <w:pPr>
              <w:pStyle w:val="Figurespace"/>
            </w:pPr>
          </w:p>
        </w:tc>
      </w:tr>
      <w:tr w:rsidR="003058E0" w:rsidRPr="000863A5" w:rsidTr="00D414E1">
        <w:tc>
          <w:tcPr>
            <w:tcW w:w="8771" w:type="dxa"/>
            <w:tcBorders>
              <w:top w:val="single" w:sz="6" w:space="0" w:color="78A22F"/>
              <w:left w:val="nil"/>
              <w:bottom w:val="nil"/>
              <w:right w:val="nil"/>
            </w:tcBorders>
          </w:tcPr>
          <w:p w:rsidR="003058E0" w:rsidRPr="00626D32" w:rsidRDefault="003058E0" w:rsidP="00D414E1">
            <w:pPr>
              <w:pStyle w:val="BoxSpaceBelow"/>
            </w:pPr>
          </w:p>
        </w:tc>
      </w:tr>
    </w:tbl>
    <w:p w:rsidR="003058E0" w:rsidRPr="000B651D" w:rsidRDefault="003058E0" w:rsidP="00BE1D25">
      <w:pPr>
        <w:pStyle w:val="Heading2nosectionno"/>
      </w:pPr>
      <w:r>
        <w:t>Household formation</w:t>
      </w:r>
    </w:p>
    <w:p w:rsidR="003058E0" w:rsidRPr="00CD3B5D" w:rsidRDefault="003058E0" w:rsidP="003058E0">
      <w:pPr>
        <w:pStyle w:val="BodyText"/>
      </w:pPr>
      <w:r w:rsidRPr="00CD3B5D">
        <w:t xml:space="preserve">The </w:t>
      </w:r>
      <w:proofErr w:type="spellStart"/>
      <w:r w:rsidRPr="00CD3B5D">
        <w:t>PCRM</w:t>
      </w:r>
      <w:proofErr w:type="spellEnd"/>
      <w:r w:rsidRPr="00CD3B5D">
        <w:t xml:space="preserve"> requires </w:t>
      </w:r>
      <w:r>
        <w:t>projections</w:t>
      </w:r>
      <w:r w:rsidRPr="00CD3B5D">
        <w:t xml:space="preserve"> of the </w:t>
      </w:r>
      <w:r>
        <w:t>proportion (by age) of individuals who will be in a couple in future years</w:t>
      </w:r>
      <w:r w:rsidRPr="00CD3B5D">
        <w:t>.</w:t>
      </w:r>
      <w:r>
        <w:t xml:space="preserve"> This is used to determine the split between single and couple households. </w:t>
      </w:r>
    </w:p>
    <w:p w:rsidR="003058E0" w:rsidRDefault="003058E0" w:rsidP="003058E0">
      <w:pPr>
        <w:pStyle w:val="BodyText"/>
      </w:pPr>
      <w:r w:rsidRPr="00E01AFA">
        <w:lastRenderedPageBreak/>
        <w:t>The</w:t>
      </w:r>
      <w:r>
        <w:t xml:space="preserve"> household formation projections used in the model </w:t>
      </w:r>
      <w:r w:rsidRPr="00E01AFA">
        <w:t xml:space="preserve">are </w:t>
      </w:r>
      <w:r>
        <w:t xml:space="preserve">largely </w:t>
      </w:r>
      <w:r w:rsidRPr="00E01AFA">
        <w:t xml:space="preserve">based on </w:t>
      </w:r>
      <w:r>
        <w:t>a</w:t>
      </w:r>
      <w:r w:rsidRPr="00E01AFA">
        <w:t xml:space="preserve"> methodology used by the ABS </w:t>
      </w:r>
      <w:r w:rsidRPr="00015368">
        <w:t>(2015)</w:t>
      </w:r>
      <w:r>
        <w:t xml:space="preserve"> </w:t>
      </w:r>
      <w:r w:rsidRPr="00E01AFA">
        <w:t xml:space="preserve">with </w:t>
      </w:r>
      <w:r>
        <w:t xml:space="preserve">some </w:t>
      </w:r>
      <w:r w:rsidRPr="00E01AFA">
        <w:t>slight variations.</w:t>
      </w:r>
      <w:r w:rsidRPr="00CF487C">
        <w:rPr>
          <w:rStyle w:val="FootnoteReference"/>
        </w:rPr>
        <w:footnoteReference w:id="1"/>
      </w:r>
      <w:r w:rsidRPr="00E01AFA">
        <w:t xml:space="preserve"> </w:t>
      </w:r>
      <w:r>
        <w:t>The aggregate projections show a slight decrease in the proportion of individuals in a couple household over time (figure </w:t>
      </w:r>
      <w:r w:rsidR="003E3EB1">
        <w:t>3.</w:t>
      </w:r>
      <w:r w:rsidR="003E3EB1">
        <w:rPr>
          <w:noProof/>
        </w:rPr>
        <w:t>1</w:t>
      </w:r>
      <w:r w:rsidR="003E3EB1">
        <w:t> right</w:t>
      </w:r>
      <w:r>
        <w:t xml:space="preserve">). </w:t>
      </w:r>
    </w:p>
    <w:p w:rsidR="003058E0" w:rsidRDefault="003058E0" w:rsidP="00BE1D25">
      <w:pPr>
        <w:pStyle w:val="Heading2nosectionno"/>
      </w:pPr>
      <w:r>
        <w:t>Involuntary retirement rates</w:t>
      </w:r>
    </w:p>
    <w:p w:rsidR="003058E0" w:rsidRDefault="003058E0" w:rsidP="003058E0">
      <w:pPr>
        <w:pStyle w:val="BodyText"/>
      </w:pPr>
      <w:r>
        <w:t xml:space="preserve">Not all individuals retire at their ‘optimal’ retirement age. Some may become unemployed and unable to return to the workforce, while others may be forced to retire for health reasons. In order to account for this, involuntary retirement probabilities were calculated. </w:t>
      </w:r>
    </w:p>
    <w:p w:rsidR="003058E0" w:rsidRDefault="003058E0" w:rsidP="003058E0">
      <w:pPr>
        <w:pStyle w:val="BodyText"/>
      </w:pPr>
      <w:r>
        <w:t xml:space="preserve">Involuntary retirement </w:t>
      </w:r>
      <w:r w:rsidRPr="00311A4E">
        <w:t xml:space="preserve">probabilities </w:t>
      </w:r>
      <w:r>
        <w:t>were</w:t>
      </w:r>
      <w:r w:rsidRPr="00311A4E">
        <w:t xml:space="preserve"> </w:t>
      </w:r>
      <w:r w:rsidRPr="005948EB">
        <w:t xml:space="preserve">constructed using data from </w:t>
      </w:r>
      <w:r>
        <w:t xml:space="preserve">wave eleven (2011) of the </w:t>
      </w:r>
      <w:r w:rsidR="003643DA">
        <w:t>Household Income and Labour Dynamics (</w:t>
      </w:r>
      <w:r w:rsidRPr="005948EB">
        <w:t>HILDA</w:t>
      </w:r>
      <w:r w:rsidR="003643DA">
        <w:t>)</w:t>
      </w:r>
      <w:r w:rsidRPr="005948EB">
        <w:t xml:space="preserve"> </w:t>
      </w:r>
      <w:r>
        <w:t>survey, and are based on individuals who declared themselves to be completely retired from the workforce (table 3.2). The probabilities were calculated by taking the proportion of individuals who involuntarily retire in a given period relative to those who worked in the previous period (12 months prior).</w:t>
      </w:r>
      <w:r w:rsidRPr="00CF487C">
        <w:rPr>
          <w:rStyle w:val="FootnoteReference"/>
        </w:rPr>
        <w:footnoteReference w:id="2"/>
      </w:r>
    </w:p>
    <w:p w:rsidR="00950663" w:rsidRDefault="003058E0" w:rsidP="003058E0">
      <w:pPr>
        <w:pStyle w:val="BodyText"/>
      </w:pPr>
      <w:r>
        <w:t>Involuntary retirement probabilities were sub</w:t>
      </w:r>
      <w:r w:rsidR="0042151C">
        <w:noBreakHyphen/>
      </w:r>
      <w:r>
        <w:t>divided into five</w:t>
      </w:r>
      <w:r w:rsidR="0042151C">
        <w:noBreakHyphen/>
      </w:r>
      <w:r>
        <w:t>year age cohorts starting at age 50 (those aged 70+ years were grouped together), to provide a bett</w:t>
      </w:r>
      <w:r w:rsidR="00950663">
        <w:t>er understanding of individual</w:t>
      </w:r>
      <w:r>
        <w:t xml:space="preserve"> retirement behaviour at different ages.</w:t>
      </w:r>
      <w:r w:rsidRPr="00CF487C">
        <w:rPr>
          <w:rStyle w:val="FootnoteReference"/>
        </w:rPr>
        <w:footnoteReference w:id="3"/>
      </w:r>
      <w:r>
        <w:t xml:space="preserve"> Probabilities were further disaggregated </w:t>
      </w:r>
      <w:r w:rsidR="003643DA">
        <w:t>for each of</w:t>
      </w:r>
      <w:r>
        <w:t xml:space="preserve"> </w:t>
      </w:r>
      <w:r w:rsidR="003643DA">
        <w:t>12 </w:t>
      </w:r>
      <w:r w:rsidR="000A3FD3">
        <w:t xml:space="preserve">representative </w:t>
      </w:r>
      <w:r>
        <w:t xml:space="preserve">household types. This was achieved by taking averages of involuntary retirement probabilities by household type and using these averages to weight the aggregate probabilities by age (table 3.2). </w:t>
      </w:r>
    </w:p>
    <w:p w:rsidR="003058E0" w:rsidRPr="00CE2EB4" w:rsidRDefault="00950663" w:rsidP="003058E0">
      <w:pPr>
        <w:pStyle w:val="BodyText"/>
      </w:pPr>
      <w:r>
        <w:t>A special set of involuntary retirement probabilities were also calculated for 50 year olds. This is to account for individuals who have been out of the workforce for most of their lives</w:t>
      </w:r>
      <w:r w:rsidR="00E820FB">
        <w:t>,</w:t>
      </w:r>
      <w:r>
        <w:t xml:space="preserve"> and thus </w:t>
      </w:r>
      <w:r w:rsidR="00CF487C">
        <w:t xml:space="preserve">do not have the </w:t>
      </w:r>
      <w:r w:rsidR="0067760A">
        <w:t>option</w:t>
      </w:r>
      <w:r w:rsidR="00CF487C">
        <w:t xml:space="preserve"> to involuntarily retire</w:t>
      </w:r>
      <w:r>
        <w:t xml:space="preserve">. These probabilities are calculated from the ABS </w:t>
      </w:r>
      <w:r w:rsidRPr="00287A49">
        <w:rPr>
          <w:i/>
        </w:rPr>
        <w:t>Survey of Income and Housing</w:t>
      </w:r>
      <w:r>
        <w:t xml:space="preserve"> (</w:t>
      </w:r>
      <w:proofErr w:type="spellStart"/>
      <w:r>
        <w:t>SIH</w:t>
      </w:r>
      <w:proofErr w:type="spellEnd"/>
      <w:r>
        <w:t>) and vary by household type.</w:t>
      </w:r>
      <w:r w:rsidRPr="00CF487C">
        <w:rPr>
          <w:rStyle w:val="FootnoteReference"/>
        </w:rPr>
        <w:footnoteReference w:id="4"/>
      </w:r>
      <w:r>
        <w:t xml:space="preserve"> </w:t>
      </w:r>
    </w:p>
    <w:p w:rsidR="003058E0" w:rsidRDefault="003058E0" w:rsidP="003058E0">
      <w:pPr>
        <w:pStyle w:val="BodyText"/>
        <w:keepNext/>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058E0" w:rsidTr="00D414E1">
        <w:tc>
          <w:tcPr>
            <w:tcW w:w="8771" w:type="dxa"/>
            <w:tcBorders>
              <w:top w:val="single" w:sz="6" w:space="0" w:color="78A22F"/>
              <w:left w:val="nil"/>
              <w:bottom w:val="nil"/>
              <w:right w:val="nil"/>
            </w:tcBorders>
            <w:shd w:val="clear" w:color="auto" w:fill="auto"/>
          </w:tcPr>
          <w:p w:rsidR="003058E0" w:rsidRDefault="003058E0" w:rsidP="00D414E1">
            <w:pPr>
              <w:pStyle w:val="TableTitle"/>
            </w:pPr>
            <w:r>
              <w:rPr>
                <w:b w:val="0"/>
              </w:rPr>
              <w:t xml:space="preserve">Table </w:t>
            </w:r>
            <w:bookmarkStart w:id="6" w:name="OLE_LINK37"/>
            <w:r>
              <w:rPr>
                <w:b w:val="0"/>
              </w:rPr>
              <w:t>3.</w:t>
            </w:r>
            <w:r>
              <w:rPr>
                <w:b w:val="0"/>
                <w:noProof/>
              </w:rPr>
              <w:t>2</w:t>
            </w:r>
            <w:bookmarkEnd w:id="6"/>
            <w:r>
              <w:tab/>
              <w:t>Estimated annual involuntary retirement probabilities</w:t>
            </w:r>
          </w:p>
          <w:p w:rsidR="003058E0" w:rsidRPr="006438D6" w:rsidRDefault="003058E0" w:rsidP="00D414E1">
            <w:pPr>
              <w:pStyle w:val="Subtitle"/>
            </w:pPr>
            <w:r w:rsidRPr="006438D6">
              <w:t>Per cent</w:t>
            </w:r>
          </w:p>
        </w:tc>
      </w:tr>
      <w:tr w:rsidR="003058E0" w:rsidTr="00D414E1">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77"/>
              <w:gridCol w:w="1250"/>
              <w:gridCol w:w="1276"/>
              <w:gridCol w:w="1276"/>
              <w:gridCol w:w="1276"/>
              <w:gridCol w:w="1132"/>
            </w:tblGrid>
            <w:tr w:rsidR="003058E0" w:rsidTr="00D414E1">
              <w:tc>
                <w:tcPr>
                  <w:tcW w:w="1341" w:type="pct"/>
                  <w:tcBorders>
                    <w:top w:val="single" w:sz="6" w:space="0" w:color="BFBFBF"/>
                    <w:bottom w:val="single" w:sz="6" w:space="0" w:color="BFBFBF"/>
                  </w:tcBorders>
                  <w:shd w:val="clear" w:color="auto" w:fill="auto"/>
                  <w:tcMar>
                    <w:top w:w="28" w:type="dxa"/>
                  </w:tcMar>
                </w:tcPr>
                <w:p w:rsidR="003058E0" w:rsidRDefault="003058E0" w:rsidP="00435F01">
                  <w:pPr>
                    <w:pStyle w:val="TableColumnHeading"/>
                    <w:jc w:val="left"/>
                  </w:pPr>
                  <w:r>
                    <w:t>Household type</w:t>
                  </w:r>
                  <w:r w:rsidRPr="008E77FE">
                    <w:rPr>
                      <w:rStyle w:val="NoteLabel"/>
                    </w:rPr>
                    <w:t>a</w:t>
                  </w:r>
                </w:p>
              </w:tc>
              <w:tc>
                <w:tcPr>
                  <w:tcW w:w="736" w:type="pct"/>
                  <w:tcBorders>
                    <w:top w:val="single" w:sz="6" w:space="0" w:color="BFBFBF"/>
                    <w:bottom w:val="single" w:sz="6" w:space="0" w:color="BFBFBF"/>
                  </w:tcBorders>
                </w:tcPr>
                <w:p w:rsidR="003058E0" w:rsidRDefault="003058E0" w:rsidP="00D414E1">
                  <w:pPr>
                    <w:pStyle w:val="TableColumnHeading"/>
                  </w:pPr>
                  <w:r>
                    <w:rPr>
                      <w:color w:val="000000"/>
                    </w:rPr>
                    <w:t>50</w:t>
                  </w:r>
                  <w:r w:rsidR="0042151C">
                    <w:rPr>
                      <w:color w:val="000000"/>
                    </w:rPr>
                    <w:noBreakHyphen/>
                  </w:r>
                  <w:r>
                    <w:rPr>
                      <w:color w:val="000000"/>
                    </w:rPr>
                    <w:t>54 years</w:t>
                  </w:r>
                  <w:r>
                    <w:rPr>
                      <w:rStyle w:val="NoteLabel"/>
                    </w:rPr>
                    <w:t>b</w:t>
                  </w:r>
                </w:p>
              </w:tc>
              <w:tc>
                <w:tcPr>
                  <w:tcW w:w="752" w:type="pct"/>
                  <w:tcBorders>
                    <w:top w:val="single" w:sz="6" w:space="0" w:color="BFBFBF"/>
                    <w:bottom w:val="single" w:sz="6" w:space="0" w:color="BFBFBF"/>
                  </w:tcBorders>
                </w:tcPr>
                <w:p w:rsidR="003058E0" w:rsidRDefault="003058E0" w:rsidP="00D414E1">
                  <w:pPr>
                    <w:pStyle w:val="TableColumnHeading"/>
                  </w:pPr>
                  <w:r>
                    <w:rPr>
                      <w:color w:val="000000"/>
                    </w:rPr>
                    <w:t>55</w:t>
                  </w:r>
                  <w:r w:rsidR="0042151C">
                    <w:rPr>
                      <w:color w:val="000000"/>
                    </w:rPr>
                    <w:noBreakHyphen/>
                  </w:r>
                  <w:r>
                    <w:rPr>
                      <w:color w:val="000000"/>
                    </w:rPr>
                    <w:t>59 years</w:t>
                  </w:r>
                </w:p>
              </w:tc>
              <w:tc>
                <w:tcPr>
                  <w:tcW w:w="752" w:type="pct"/>
                  <w:tcBorders>
                    <w:top w:val="single" w:sz="6" w:space="0" w:color="BFBFBF"/>
                    <w:bottom w:val="single" w:sz="6" w:space="0" w:color="BFBFBF"/>
                  </w:tcBorders>
                </w:tcPr>
                <w:p w:rsidR="003058E0" w:rsidRDefault="003058E0" w:rsidP="00D414E1">
                  <w:pPr>
                    <w:pStyle w:val="TableColumnHeading"/>
                  </w:pPr>
                  <w:r>
                    <w:rPr>
                      <w:color w:val="000000"/>
                    </w:rPr>
                    <w:t>60</w:t>
                  </w:r>
                  <w:r w:rsidR="0042151C">
                    <w:rPr>
                      <w:color w:val="000000"/>
                    </w:rPr>
                    <w:noBreakHyphen/>
                  </w:r>
                  <w:r>
                    <w:rPr>
                      <w:color w:val="000000"/>
                    </w:rPr>
                    <w:t>64 years</w:t>
                  </w:r>
                </w:p>
              </w:tc>
              <w:tc>
                <w:tcPr>
                  <w:tcW w:w="752" w:type="pct"/>
                  <w:tcBorders>
                    <w:top w:val="single" w:sz="6" w:space="0" w:color="BFBFBF"/>
                    <w:bottom w:val="single" w:sz="6" w:space="0" w:color="BFBFBF"/>
                  </w:tcBorders>
                  <w:shd w:val="clear" w:color="auto" w:fill="auto"/>
                  <w:tcMar>
                    <w:top w:w="28" w:type="dxa"/>
                  </w:tcMar>
                </w:tcPr>
                <w:p w:rsidR="003058E0" w:rsidRDefault="003058E0" w:rsidP="00D414E1">
                  <w:pPr>
                    <w:pStyle w:val="TableColumnHeading"/>
                  </w:pPr>
                  <w:r>
                    <w:rPr>
                      <w:color w:val="000000"/>
                    </w:rPr>
                    <w:t>65</w:t>
                  </w:r>
                  <w:r w:rsidR="0042151C">
                    <w:rPr>
                      <w:color w:val="000000"/>
                    </w:rPr>
                    <w:noBreakHyphen/>
                  </w:r>
                  <w:r>
                    <w:rPr>
                      <w:color w:val="000000"/>
                    </w:rPr>
                    <w:t>69 years</w:t>
                  </w:r>
                </w:p>
              </w:tc>
              <w:tc>
                <w:tcPr>
                  <w:tcW w:w="667" w:type="pct"/>
                  <w:tcBorders>
                    <w:top w:val="single" w:sz="6" w:space="0" w:color="BFBFBF"/>
                    <w:bottom w:val="single" w:sz="6" w:space="0" w:color="BFBFBF"/>
                  </w:tcBorders>
                  <w:shd w:val="clear" w:color="auto" w:fill="auto"/>
                  <w:tcMar>
                    <w:top w:w="28" w:type="dxa"/>
                  </w:tcMar>
                </w:tcPr>
                <w:p w:rsidR="003058E0" w:rsidRDefault="003058E0" w:rsidP="00D414E1">
                  <w:pPr>
                    <w:pStyle w:val="TableColumnHeading"/>
                    <w:ind w:right="28"/>
                  </w:pPr>
                  <w:r>
                    <w:rPr>
                      <w:color w:val="000000"/>
                    </w:rPr>
                    <w:t>70 years and over</w:t>
                  </w:r>
                </w:p>
              </w:tc>
            </w:tr>
            <w:tr w:rsidR="003058E0" w:rsidTr="00435F01">
              <w:tc>
                <w:tcPr>
                  <w:tcW w:w="1341" w:type="pct"/>
                  <w:shd w:val="clear" w:color="auto" w:fill="F2F2F2"/>
                  <w:vAlign w:val="center"/>
                </w:tcPr>
                <w:p w:rsidR="003058E0" w:rsidRDefault="003058E0" w:rsidP="00435F01">
                  <w:pPr>
                    <w:pStyle w:val="TableBodyText"/>
                    <w:jc w:val="left"/>
                  </w:pPr>
                  <w:r w:rsidRPr="00850B32">
                    <w:rPr>
                      <w:rFonts w:cs="Arial"/>
                      <w:color w:val="000000"/>
                      <w:szCs w:val="18"/>
                    </w:rPr>
                    <w:t xml:space="preserve">Single male – </w:t>
                  </w:r>
                  <w:proofErr w:type="spellStart"/>
                  <w:r w:rsidRPr="00850B32">
                    <w:rPr>
                      <w:rFonts w:cs="Arial"/>
                      <w:color w:val="000000"/>
                      <w:szCs w:val="18"/>
                    </w:rPr>
                    <w:t>WQ</w:t>
                  </w:r>
                  <w:proofErr w:type="spellEnd"/>
                  <w:r w:rsidRPr="00850B32">
                    <w:rPr>
                      <w:rFonts w:cs="Arial"/>
                      <w:color w:val="000000"/>
                      <w:szCs w:val="18"/>
                    </w:rPr>
                    <w:t xml:space="preserve"> 1</w:t>
                  </w:r>
                </w:p>
              </w:tc>
              <w:tc>
                <w:tcPr>
                  <w:tcW w:w="736" w:type="pct"/>
                  <w:shd w:val="clear" w:color="auto" w:fill="F2F2F2"/>
                </w:tcPr>
                <w:p w:rsidR="003058E0" w:rsidRDefault="003058E0" w:rsidP="00D414E1">
                  <w:pPr>
                    <w:pStyle w:val="TableBodyText"/>
                  </w:pPr>
                  <w:r w:rsidRPr="007C740A">
                    <w:t xml:space="preserve"> 1.13 </w:t>
                  </w:r>
                </w:p>
              </w:tc>
              <w:tc>
                <w:tcPr>
                  <w:tcW w:w="752" w:type="pct"/>
                  <w:shd w:val="clear" w:color="auto" w:fill="F2F2F2"/>
                </w:tcPr>
                <w:p w:rsidR="003058E0" w:rsidRDefault="003058E0" w:rsidP="00D414E1">
                  <w:pPr>
                    <w:pStyle w:val="TableBodyText"/>
                  </w:pPr>
                  <w:r w:rsidRPr="007C740A">
                    <w:t xml:space="preserve"> 1.22 </w:t>
                  </w:r>
                </w:p>
              </w:tc>
              <w:tc>
                <w:tcPr>
                  <w:tcW w:w="752" w:type="pct"/>
                  <w:shd w:val="clear" w:color="auto" w:fill="F2F2F2"/>
                </w:tcPr>
                <w:p w:rsidR="003058E0" w:rsidRDefault="003058E0" w:rsidP="00D414E1">
                  <w:pPr>
                    <w:pStyle w:val="TableBodyText"/>
                  </w:pPr>
                  <w:r w:rsidRPr="007C740A">
                    <w:t xml:space="preserve"> 3.59 </w:t>
                  </w:r>
                </w:p>
              </w:tc>
              <w:tc>
                <w:tcPr>
                  <w:tcW w:w="752" w:type="pct"/>
                  <w:shd w:val="clear" w:color="auto" w:fill="F2F2F2"/>
                </w:tcPr>
                <w:p w:rsidR="003058E0" w:rsidRDefault="003058E0" w:rsidP="00D414E1">
                  <w:pPr>
                    <w:pStyle w:val="TableBodyText"/>
                  </w:pPr>
                  <w:r w:rsidRPr="007C740A">
                    <w:t xml:space="preserve"> 6.62 </w:t>
                  </w:r>
                </w:p>
              </w:tc>
              <w:tc>
                <w:tcPr>
                  <w:tcW w:w="667" w:type="pct"/>
                  <w:shd w:val="clear" w:color="auto" w:fill="F2F2F2"/>
                </w:tcPr>
                <w:p w:rsidR="003058E0" w:rsidRDefault="003058E0" w:rsidP="00D414E1">
                  <w:pPr>
                    <w:pStyle w:val="TableBodyText"/>
                    <w:ind w:right="28"/>
                  </w:pPr>
                  <w:r w:rsidRPr="007C740A">
                    <w:t xml:space="preserve"> 9.87 </w:t>
                  </w:r>
                </w:p>
              </w:tc>
            </w:tr>
            <w:tr w:rsidR="003058E0" w:rsidTr="00435F01">
              <w:tc>
                <w:tcPr>
                  <w:tcW w:w="1341" w:type="pct"/>
                  <w:shd w:val="clear" w:color="auto" w:fill="F2F2F2"/>
                  <w:vAlign w:val="center"/>
                </w:tcPr>
                <w:p w:rsidR="003058E0" w:rsidRDefault="003058E0" w:rsidP="00435F01">
                  <w:pPr>
                    <w:pStyle w:val="TableBodyText"/>
                    <w:jc w:val="left"/>
                  </w:pPr>
                  <w:r w:rsidRPr="00850B32">
                    <w:rPr>
                      <w:rFonts w:cs="Arial"/>
                      <w:color w:val="000000"/>
                      <w:szCs w:val="18"/>
                    </w:rPr>
                    <w:t xml:space="preserve">Single male – </w:t>
                  </w:r>
                  <w:proofErr w:type="spellStart"/>
                  <w:r w:rsidRPr="00850B32">
                    <w:rPr>
                      <w:rFonts w:cs="Arial"/>
                      <w:color w:val="000000"/>
                      <w:szCs w:val="18"/>
                    </w:rPr>
                    <w:t>WQ</w:t>
                  </w:r>
                  <w:proofErr w:type="spellEnd"/>
                  <w:r w:rsidRPr="00850B32">
                    <w:rPr>
                      <w:rFonts w:cs="Arial"/>
                      <w:color w:val="000000"/>
                      <w:szCs w:val="18"/>
                    </w:rPr>
                    <w:t xml:space="preserve"> 2</w:t>
                  </w:r>
                </w:p>
              </w:tc>
              <w:tc>
                <w:tcPr>
                  <w:tcW w:w="736" w:type="pct"/>
                  <w:shd w:val="clear" w:color="auto" w:fill="F2F2F2"/>
                </w:tcPr>
                <w:p w:rsidR="003058E0" w:rsidRDefault="003058E0" w:rsidP="00D414E1">
                  <w:pPr>
                    <w:pStyle w:val="TableBodyText"/>
                  </w:pPr>
                  <w:r w:rsidRPr="007C740A">
                    <w:t xml:space="preserve"> 0.36 </w:t>
                  </w:r>
                </w:p>
              </w:tc>
              <w:tc>
                <w:tcPr>
                  <w:tcW w:w="752" w:type="pct"/>
                  <w:shd w:val="clear" w:color="auto" w:fill="F2F2F2"/>
                </w:tcPr>
                <w:p w:rsidR="003058E0" w:rsidRDefault="003058E0" w:rsidP="00D414E1">
                  <w:pPr>
                    <w:pStyle w:val="TableBodyText"/>
                  </w:pPr>
                  <w:r w:rsidRPr="007C740A">
                    <w:t xml:space="preserve"> 2.67 </w:t>
                  </w:r>
                </w:p>
              </w:tc>
              <w:tc>
                <w:tcPr>
                  <w:tcW w:w="752" w:type="pct"/>
                  <w:shd w:val="clear" w:color="auto" w:fill="F2F2F2"/>
                </w:tcPr>
                <w:p w:rsidR="003058E0" w:rsidRDefault="003058E0" w:rsidP="00D414E1">
                  <w:pPr>
                    <w:pStyle w:val="TableBodyText"/>
                  </w:pPr>
                  <w:r w:rsidRPr="007C740A">
                    <w:t xml:space="preserve"> 1.47 </w:t>
                  </w:r>
                </w:p>
              </w:tc>
              <w:tc>
                <w:tcPr>
                  <w:tcW w:w="752" w:type="pct"/>
                  <w:shd w:val="clear" w:color="auto" w:fill="F2F2F2"/>
                </w:tcPr>
                <w:p w:rsidR="003058E0" w:rsidRDefault="003058E0" w:rsidP="00D414E1">
                  <w:pPr>
                    <w:pStyle w:val="TableBodyText"/>
                  </w:pPr>
                  <w:r w:rsidRPr="007C740A">
                    <w:t xml:space="preserve"> 7.23 </w:t>
                  </w:r>
                </w:p>
              </w:tc>
              <w:tc>
                <w:tcPr>
                  <w:tcW w:w="667" w:type="pct"/>
                  <w:shd w:val="clear" w:color="auto" w:fill="F2F2F2"/>
                </w:tcPr>
                <w:p w:rsidR="003058E0" w:rsidRDefault="003058E0" w:rsidP="00D414E1">
                  <w:pPr>
                    <w:pStyle w:val="TableBodyText"/>
                    <w:ind w:right="28"/>
                  </w:pPr>
                  <w:r w:rsidRPr="007C740A">
                    <w:t xml:space="preserve"> 9.99 </w:t>
                  </w:r>
                </w:p>
              </w:tc>
            </w:tr>
            <w:tr w:rsidR="003058E0" w:rsidTr="00435F01">
              <w:tc>
                <w:tcPr>
                  <w:tcW w:w="1341" w:type="pct"/>
                  <w:shd w:val="clear" w:color="auto" w:fill="F2F2F2"/>
                  <w:vAlign w:val="center"/>
                </w:tcPr>
                <w:p w:rsidR="003058E0" w:rsidRDefault="003058E0" w:rsidP="00435F01">
                  <w:pPr>
                    <w:pStyle w:val="TableBodyText"/>
                    <w:jc w:val="left"/>
                  </w:pPr>
                  <w:r w:rsidRPr="00850B32">
                    <w:rPr>
                      <w:rFonts w:cs="Arial"/>
                      <w:color w:val="000000"/>
                      <w:szCs w:val="18"/>
                    </w:rPr>
                    <w:t xml:space="preserve">Single male – </w:t>
                  </w:r>
                  <w:proofErr w:type="spellStart"/>
                  <w:r w:rsidRPr="00850B32">
                    <w:rPr>
                      <w:rFonts w:cs="Arial"/>
                      <w:color w:val="000000"/>
                      <w:szCs w:val="18"/>
                    </w:rPr>
                    <w:t>WQ</w:t>
                  </w:r>
                  <w:proofErr w:type="spellEnd"/>
                  <w:r w:rsidRPr="00850B32">
                    <w:rPr>
                      <w:rFonts w:cs="Arial"/>
                      <w:color w:val="000000"/>
                      <w:szCs w:val="18"/>
                    </w:rPr>
                    <w:t xml:space="preserve"> 3</w:t>
                  </w:r>
                </w:p>
              </w:tc>
              <w:tc>
                <w:tcPr>
                  <w:tcW w:w="736" w:type="pct"/>
                  <w:shd w:val="clear" w:color="auto" w:fill="F2F2F2"/>
                </w:tcPr>
                <w:p w:rsidR="003058E0" w:rsidRDefault="003058E0" w:rsidP="00D414E1">
                  <w:pPr>
                    <w:pStyle w:val="TableBodyText"/>
                  </w:pPr>
                  <w:r w:rsidRPr="007C740A">
                    <w:t xml:space="preserve"> 0.43 </w:t>
                  </w:r>
                </w:p>
              </w:tc>
              <w:tc>
                <w:tcPr>
                  <w:tcW w:w="752" w:type="pct"/>
                  <w:shd w:val="clear" w:color="auto" w:fill="F2F2F2"/>
                </w:tcPr>
                <w:p w:rsidR="003058E0" w:rsidRDefault="003058E0" w:rsidP="00D414E1">
                  <w:pPr>
                    <w:pStyle w:val="TableBodyText"/>
                  </w:pPr>
                  <w:r w:rsidRPr="007C740A">
                    <w:t xml:space="preserve"> 0.31 </w:t>
                  </w:r>
                </w:p>
              </w:tc>
              <w:tc>
                <w:tcPr>
                  <w:tcW w:w="752" w:type="pct"/>
                  <w:shd w:val="clear" w:color="auto" w:fill="F2F2F2"/>
                </w:tcPr>
                <w:p w:rsidR="003058E0" w:rsidRDefault="003058E0" w:rsidP="00D414E1">
                  <w:pPr>
                    <w:pStyle w:val="TableBodyText"/>
                  </w:pPr>
                  <w:r w:rsidRPr="007C740A">
                    <w:t xml:space="preserve"> 3.61 </w:t>
                  </w:r>
                </w:p>
              </w:tc>
              <w:tc>
                <w:tcPr>
                  <w:tcW w:w="752" w:type="pct"/>
                  <w:shd w:val="clear" w:color="auto" w:fill="F2F2F2"/>
                </w:tcPr>
                <w:p w:rsidR="003058E0" w:rsidRDefault="003058E0" w:rsidP="00D414E1">
                  <w:pPr>
                    <w:pStyle w:val="TableBodyText"/>
                  </w:pPr>
                  <w:r w:rsidRPr="007C740A">
                    <w:t xml:space="preserve"> 6.14 </w:t>
                  </w:r>
                </w:p>
              </w:tc>
              <w:tc>
                <w:tcPr>
                  <w:tcW w:w="667" w:type="pct"/>
                  <w:shd w:val="clear" w:color="auto" w:fill="F2F2F2"/>
                </w:tcPr>
                <w:p w:rsidR="003058E0" w:rsidRDefault="003058E0" w:rsidP="00D414E1">
                  <w:pPr>
                    <w:pStyle w:val="TableBodyText"/>
                    <w:ind w:right="28"/>
                  </w:pPr>
                  <w:r w:rsidRPr="007C740A">
                    <w:t xml:space="preserve"> 7.82 </w:t>
                  </w:r>
                </w:p>
              </w:tc>
            </w:tr>
            <w:tr w:rsidR="003058E0" w:rsidTr="00435F01">
              <w:tc>
                <w:tcPr>
                  <w:tcW w:w="1341" w:type="pct"/>
                  <w:shd w:val="clear" w:color="auto" w:fill="F2F2F2"/>
                  <w:vAlign w:val="center"/>
                </w:tcPr>
                <w:p w:rsidR="003058E0" w:rsidRDefault="003058E0" w:rsidP="00435F01">
                  <w:pPr>
                    <w:pStyle w:val="TableBodyText"/>
                    <w:jc w:val="left"/>
                  </w:pPr>
                  <w:r w:rsidRPr="00850B32">
                    <w:rPr>
                      <w:rFonts w:cs="Arial"/>
                      <w:color w:val="000000"/>
                      <w:szCs w:val="18"/>
                    </w:rPr>
                    <w:t xml:space="preserve">Single male – </w:t>
                  </w:r>
                  <w:proofErr w:type="spellStart"/>
                  <w:r w:rsidRPr="00850B32">
                    <w:rPr>
                      <w:rFonts w:cs="Arial"/>
                      <w:color w:val="000000"/>
                      <w:szCs w:val="18"/>
                    </w:rPr>
                    <w:t>WQ</w:t>
                  </w:r>
                  <w:proofErr w:type="spellEnd"/>
                  <w:r w:rsidRPr="00850B32">
                    <w:rPr>
                      <w:rFonts w:cs="Arial"/>
                      <w:color w:val="000000"/>
                      <w:szCs w:val="18"/>
                    </w:rPr>
                    <w:t xml:space="preserve"> 4</w:t>
                  </w:r>
                </w:p>
              </w:tc>
              <w:tc>
                <w:tcPr>
                  <w:tcW w:w="736" w:type="pct"/>
                  <w:shd w:val="clear" w:color="auto" w:fill="F2F2F2"/>
                </w:tcPr>
                <w:p w:rsidR="003058E0" w:rsidRDefault="003058E0" w:rsidP="00D414E1">
                  <w:pPr>
                    <w:pStyle w:val="TableBodyText"/>
                  </w:pPr>
                  <w:r w:rsidRPr="007C740A">
                    <w:t xml:space="preserve"> 0.16 </w:t>
                  </w:r>
                </w:p>
              </w:tc>
              <w:tc>
                <w:tcPr>
                  <w:tcW w:w="752" w:type="pct"/>
                  <w:shd w:val="clear" w:color="auto" w:fill="F2F2F2"/>
                </w:tcPr>
                <w:p w:rsidR="003058E0" w:rsidRDefault="003058E0" w:rsidP="00D414E1">
                  <w:pPr>
                    <w:pStyle w:val="TableBodyText"/>
                  </w:pPr>
                  <w:r w:rsidRPr="007C740A">
                    <w:t xml:space="preserve"> 0.46 </w:t>
                  </w:r>
                </w:p>
              </w:tc>
              <w:tc>
                <w:tcPr>
                  <w:tcW w:w="752" w:type="pct"/>
                  <w:shd w:val="clear" w:color="auto" w:fill="F2F2F2"/>
                </w:tcPr>
                <w:p w:rsidR="003058E0" w:rsidRDefault="003058E0" w:rsidP="00D414E1">
                  <w:pPr>
                    <w:pStyle w:val="TableBodyText"/>
                  </w:pPr>
                  <w:r w:rsidRPr="007C740A">
                    <w:t xml:space="preserve"> 1.07 </w:t>
                  </w:r>
                </w:p>
              </w:tc>
              <w:tc>
                <w:tcPr>
                  <w:tcW w:w="752" w:type="pct"/>
                  <w:shd w:val="clear" w:color="auto" w:fill="F2F2F2"/>
                </w:tcPr>
                <w:p w:rsidR="003058E0" w:rsidRDefault="003058E0" w:rsidP="00D414E1">
                  <w:pPr>
                    <w:pStyle w:val="TableBodyText"/>
                  </w:pPr>
                  <w:r w:rsidRPr="007C740A">
                    <w:t xml:space="preserve"> 1.51 </w:t>
                  </w:r>
                </w:p>
              </w:tc>
              <w:tc>
                <w:tcPr>
                  <w:tcW w:w="667" w:type="pct"/>
                  <w:shd w:val="clear" w:color="auto" w:fill="F2F2F2"/>
                </w:tcPr>
                <w:p w:rsidR="003058E0" w:rsidRDefault="003058E0" w:rsidP="00D414E1">
                  <w:pPr>
                    <w:pStyle w:val="TableBodyText"/>
                    <w:ind w:right="28"/>
                  </w:pPr>
                  <w:r w:rsidRPr="007C740A">
                    <w:t xml:space="preserve"> 0.80 </w:t>
                  </w:r>
                </w:p>
              </w:tc>
            </w:tr>
            <w:tr w:rsidR="003058E0" w:rsidTr="00D414E1">
              <w:tc>
                <w:tcPr>
                  <w:tcW w:w="1341" w:type="pct"/>
                  <w:shd w:val="clear" w:color="auto" w:fill="auto"/>
                  <w:vAlign w:val="center"/>
                </w:tcPr>
                <w:p w:rsidR="003058E0" w:rsidRDefault="003058E0" w:rsidP="00435F01">
                  <w:pPr>
                    <w:pStyle w:val="TableBodyText"/>
                    <w:jc w:val="left"/>
                  </w:pPr>
                  <w:r w:rsidRPr="00850B32">
                    <w:rPr>
                      <w:rFonts w:cs="Arial"/>
                      <w:color w:val="000000"/>
                      <w:szCs w:val="18"/>
                    </w:rPr>
                    <w:t xml:space="preserve">Single female – </w:t>
                  </w:r>
                  <w:proofErr w:type="spellStart"/>
                  <w:r w:rsidRPr="00850B32">
                    <w:rPr>
                      <w:rFonts w:cs="Arial"/>
                      <w:color w:val="000000"/>
                      <w:szCs w:val="18"/>
                    </w:rPr>
                    <w:t>WQ</w:t>
                  </w:r>
                  <w:proofErr w:type="spellEnd"/>
                  <w:r w:rsidRPr="00850B32">
                    <w:rPr>
                      <w:rFonts w:cs="Arial"/>
                      <w:color w:val="000000"/>
                      <w:szCs w:val="18"/>
                    </w:rPr>
                    <w:t xml:space="preserve"> 1</w:t>
                  </w:r>
                </w:p>
              </w:tc>
              <w:tc>
                <w:tcPr>
                  <w:tcW w:w="736" w:type="pct"/>
                </w:tcPr>
                <w:p w:rsidR="003058E0" w:rsidRDefault="003058E0" w:rsidP="00D414E1">
                  <w:pPr>
                    <w:pStyle w:val="TableBodyText"/>
                  </w:pPr>
                  <w:r w:rsidRPr="007F430D">
                    <w:t xml:space="preserve"> 1.81 </w:t>
                  </w:r>
                </w:p>
              </w:tc>
              <w:tc>
                <w:tcPr>
                  <w:tcW w:w="752" w:type="pct"/>
                </w:tcPr>
                <w:p w:rsidR="003058E0" w:rsidRDefault="003058E0" w:rsidP="00D414E1">
                  <w:pPr>
                    <w:pStyle w:val="TableBodyText"/>
                  </w:pPr>
                  <w:r w:rsidRPr="007F430D">
                    <w:t xml:space="preserve"> 1.95 </w:t>
                  </w:r>
                </w:p>
              </w:tc>
              <w:tc>
                <w:tcPr>
                  <w:tcW w:w="752" w:type="pct"/>
                </w:tcPr>
                <w:p w:rsidR="003058E0" w:rsidRDefault="003058E0" w:rsidP="00D414E1">
                  <w:pPr>
                    <w:pStyle w:val="TableBodyText"/>
                  </w:pPr>
                  <w:r w:rsidRPr="007F430D">
                    <w:t xml:space="preserve"> 5.74 </w:t>
                  </w:r>
                </w:p>
              </w:tc>
              <w:tc>
                <w:tcPr>
                  <w:tcW w:w="752" w:type="pct"/>
                  <w:shd w:val="clear" w:color="auto" w:fill="auto"/>
                </w:tcPr>
                <w:p w:rsidR="003058E0" w:rsidRDefault="003058E0" w:rsidP="00D414E1">
                  <w:pPr>
                    <w:pStyle w:val="TableBodyText"/>
                  </w:pPr>
                  <w:r w:rsidRPr="007F430D">
                    <w:t xml:space="preserve"> 10.57 </w:t>
                  </w:r>
                </w:p>
              </w:tc>
              <w:tc>
                <w:tcPr>
                  <w:tcW w:w="667" w:type="pct"/>
                  <w:shd w:val="clear" w:color="auto" w:fill="auto"/>
                </w:tcPr>
                <w:p w:rsidR="003058E0" w:rsidRDefault="003058E0" w:rsidP="00D414E1">
                  <w:pPr>
                    <w:pStyle w:val="TableBodyText"/>
                    <w:ind w:right="28"/>
                  </w:pPr>
                  <w:r w:rsidRPr="007F430D">
                    <w:t xml:space="preserve"> 15.75 </w:t>
                  </w:r>
                </w:p>
              </w:tc>
            </w:tr>
            <w:tr w:rsidR="003058E0" w:rsidTr="00D414E1">
              <w:tc>
                <w:tcPr>
                  <w:tcW w:w="1341" w:type="pct"/>
                  <w:shd w:val="clear" w:color="auto" w:fill="auto"/>
                  <w:vAlign w:val="center"/>
                </w:tcPr>
                <w:p w:rsidR="003058E0" w:rsidRDefault="003058E0" w:rsidP="00435F01">
                  <w:pPr>
                    <w:pStyle w:val="TableBodyText"/>
                    <w:jc w:val="left"/>
                  </w:pPr>
                  <w:r w:rsidRPr="00850B32">
                    <w:rPr>
                      <w:rFonts w:cs="Arial"/>
                      <w:color w:val="000000"/>
                      <w:szCs w:val="18"/>
                    </w:rPr>
                    <w:t xml:space="preserve">Single female – </w:t>
                  </w:r>
                  <w:proofErr w:type="spellStart"/>
                  <w:r w:rsidRPr="00850B32">
                    <w:rPr>
                      <w:rFonts w:cs="Arial"/>
                      <w:color w:val="000000"/>
                      <w:szCs w:val="18"/>
                    </w:rPr>
                    <w:t>WQ</w:t>
                  </w:r>
                  <w:proofErr w:type="spellEnd"/>
                  <w:r w:rsidRPr="00850B32">
                    <w:rPr>
                      <w:rFonts w:cs="Arial"/>
                      <w:color w:val="000000"/>
                      <w:szCs w:val="18"/>
                    </w:rPr>
                    <w:t xml:space="preserve"> 2</w:t>
                  </w:r>
                </w:p>
              </w:tc>
              <w:tc>
                <w:tcPr>
                  <w:tcW w:w="736" w:type="pct"/>
                </w:tcPr>
                <w:p w:rsidR="003058E0" w:rsidRDefault="003058E0" w:rsidP="00D414E1">
                  <w:pPr>
                    <w:pStyle w:val="TableBodyText"/>
                  </w:pPr>
                  <w:r w:rsidRPr="007F430D">
                    <w:t xml:space="preserve"> 0.19 </w:t>
                  </w:r>
                </w:p>
              </w:tc>
              <w:tc>
                <w:tcPr>
                  <w:tcW w:w="752" w:type="pct"/>
                </w:tcPr>
                <w:p w:rsidR="003058E0" w:rsidRDefault="003058E0" w:rsidP="00D414E1">
                  <w:pPr>
                    <w:pStyle w:val="TableBodyText"/>
                  </w:pPr>
                  <w:r w:rsidRPr="007F430D">
                    <w:t xml:space="preserve"> 1.40 </w:t>
                  </w:r>
                </w:p>
              </w:tc>
              <w:tc>
                <w:tcPr>
                  <w:tcW w:w="752" w:type="pct"/>
                </w:tcPr>
                <w:p w:rsidR="003058E0" w:rsidRDefault="003058E0" w:rsidP="00D414E1">
                  <w:pPr>
                    <w:pStyle w:val="TableBodyText"/>
                  </w:pPr>
                  <w:r w:rsidRPr="007F430D">
                    <w:t xml:space="preserve"> 0.77 </w:t>
                  </w:r>
                </w:p>
              </w:tc>
              <w:tc>
                <w:tcPr>
                  <w:tcW w:w="752" w:type="pct"/>
                  <w:shd w:val="clear" w:color="auto" w:fill="auto"/>
                </w:tcPr>
                <w:p w:rsidR="003058E0" w:rsidRDefault="003058E0" w:rsidP="00D414E1">
                  <w:pPr>
                    <w:pStyle w:val="TableBodyText"/>
                  </w:pPr>
                  <w:r w:rsidRPr="007F430D">
                    <w:t xml:space="preserve"> 3.78 </w:t>
                  </w:r>
                </w:p>
              </w:tc>
              <w:tc>
                <w:tcPr>
                  <w:tcW w:w="667" w:type="pct"/>
                  <w:shd w:val="clear" w:color="auto" w:fill="auto"/>
                </w:tcPr>
                <w:p w:rsidR="003058E0" w:rsidRDefault="003058E0" w:rsidP="00D414E1">
                  <w:pPr>
                    <w:pStyle w:val="TableBodyText"/>
                    <w:ind w:right="28"/>
                  </w:pPr>
                  <w:r w:rsidRPr="007F430D">
                    <w:t xml:space="preserve"> 5.23 </w:t>
                  </w:r>
                </w:p>
              </w:tc>
            </w:tr>
            <w:tr w:rsidR="003058E0" w:rsidTr="00D414E1">
              <w:tc>
                <w:tcPr>
                  <w:tcW w:w="1341" w:type="pct"/>
                  <w:shd w:val="clear" w:color="auto" w:fill="auto"/>
                  <w:vAlign w:val="center"/>
                </w:tcPr>
                <w:p w:rsidR="003058E0" w:rsidRDefault="003058E0" w:rsidP="00435F01">
                  <w:pPr>
                    <w:pStyle w:val="TableBodyText"/>
                    <w:jc w:val="left"/>
                  </w:pPr>
                  <w:r w:rsidRPr="00850B32">
                    <w:rPr>
                      <w:rFonts w:cs="Arial"/>
                      <w:color w:val="000000"/>
                      <w:szCs w:val="18"/>
                    </w:rPr>
                    <w:t xml:space="preserve">Single female – </w:t>
                  </w:r>
                  <w:proofErr w:type="spellStart"/>
                  <w:r w:rsidRPr="00850B32">
                    <w:rPr>
                      <w:rFonts w:cs="Arial"/>
                      <w:color w:val="000000"/>
                      <w:szCs w:val="18"/>
                    </w:rPr>
                    <w:t>WQ</w:t>
                  </w:r>
                  <w:proofErr w:type="spellEnd"/>
                  <w:r w:rsidRPr="00850B32">
                    <w:rPr>
                      <w:rFonts w:cs="Arial"/>
                      <w:color w:val="000000"/>
                      <w:szCs w:val="18"/>
                    </w:rPr>
                    <w:t xml:space="preserve"> 3</w:t>
                  </w:r>
                </w:p>
              </w:tc>
              <w:tc>
                <w:tcPr>
                  <w:tcW w:w="736" w:type="pct"/>
                </w:tcPr>
                <w:p w:rsidR="003058E0" w:rsidRDefault="003058E0" w:rsidP="00D414E1">
                  <w:pPr>
                    <w:pStyle w:val="TableBodyText"/>
                  </w:pPr>
                  <w:r w:rsidRPr="007F430D">
                    <w:t xml:space="preserve"> 0.40 </w:t>
                  </w:r>
                </w:p>
              </w:tc>
              <w:tc>
                <w:tcPr>
                  <w:tcW w:w="752" w:type="pct"/>
                </w:tcPr>
                <w:p w:rsidR="003058E0" w:rsidRDefault="003058E0" w:rsidP="00D414E1">
                  <w:pPr>
                    <w:pStyle w:val="TableBodyText"/>
                  </w:pPr>
                  <w:r w:rsidRPr="007F430D">
                    <w:t xml:space="preserve"> 0.29 </w:t>
                  </w:r>
                </w:p>
              </w:tc>
              <w:tc>
                <w:tcPr>
                  <w:tcW w:w="752" w:type="pct"/>
                </w:tcPr>
                <w:p w:rsidR="003058E0" w:rsidRDefault="003058E0" w:rsidP="00D414E1">
                  <w:pPr>
                    <w:pStyle w:val="TableBodyText"/>
                  </w:pPr>
                  <w:r w:rsidRPr="007F430D">
                    <w:t xml:space="preserve"> 3.39 </w:t>
                  </w:r>
                </w:p>
              </w:tc>
              <w:tc>
                <w:tcPr>
                  <w:tcW w:w="752" w:type="pct"/>
                  <w:shd w:val="clear" w:color="auto" w:fill="auto"/>
                </w:tcPr>
                <w:p w:rsidR="003058E0" w:rsidRDefault="003058E0" w:rsidP="00D414E1">
                  <w:pPr>
                    <w:pStyle w:val="TableBodyText"/>
                  </w:pPr>
                  <w:r w:rsidRPr="007F430D">
                    <w:t xml:space="preserve"> 5.75 </w:t>
                  </w:r>
                </w:p>
              </w:tc>
              <w:tc>
                <w:tcPr>
                  <w:tcW w:w="667" w:type="pct"/>
                  <w:shd w:val="clear" w:color="auto" w:fill="auto"/>
                </w:tcPr>
                <w:p w:rsidR="003058E0" w:rsidRDefault="003058E0" w:rsidP="00D414E1">
                  <w:pPr>
                    <w:pStyle w:val="TableBodyText"/>
                    <w:ind w:right="28"/>
                  </w:pPr>
                  <w:r w:rsidRPr="007F430D">
                    <w:t xml:space="preserve"> 7.33 </w:t>
                  </w:r>
                </w:p>
              </w:tc>
            </w:tr>
            <w:tr w:rsidR="003058E0" w:rsidTr="00D414E1">
              <w:tc>
                <w:tcPr>
                  <w:tcW w:w="1341" w:type="pct"/>
                  <w:shd w:val="clear" w:color="auto" w:fill="auto"/>
                  <w:vAlign w:val="center"/>
                </w:tcPr>
                <w:p w:rsidR="003058E0" w:rsidRDefault="003058E0" w:rsidP="00435F01">
                  <w:pPr>
                    <w:pStyle w:val="TableBodyText"/>
                    <w:jc w:val="left"/>
                  </w:pPr>
                  <w:r w:rsidRPr="00850B32">
                    <w:rPr>
                      <w:rFonts w:cs="Arial"/>
                      <w:color w:val="000000"/>
                      <w:szCs w:val="18"/>
                    </w:rPr>
                    <w:t xml:space="preserve">Single female – </w:t>
                  </w:r>
                  <w:proofErr w:type="spellStart"/>
                  <w:r w:rsidRPr="00850B32">
                    <w:rPr>
                      <w:rFonts w:cs="Arial"/>
                      <w:color w:val="000000"/>
                      <w:szCs w:val="18"/>
                    </w:rPr>
                    <w:t>WQ</w:t>
                  </w:r>
                  <w:proofErr w:type="spellEnd"/>
                  <w:r w:rsidRPr="00850B32">
                    <w:rPr>
                      <w:rFonts w:cs="Arial"/>
                      <w:color w:val="000000"/>
                      <w:szCs w:val="18"/>
                    </w:rPr>
                    <w:t xml:space="preserve"> 4</w:t>
                  </w:r>
                </w:p>
              </w:tc>
              <w:tc>
                <w:tcPr>
                  <w:tcW w:w="736" w:type="pct"/>
                </w:tcPr>
                <w:p w:rsidR="003058E0" w:rsidRDefault="003058E0" w:rsidP="00D414E1">
                  <w:pPr>
                    <w:pStyle w:val="TableBodyText"/>
                  </w:pPr>
                  <w:r w:rsidRPr="007F430D">
                    <w:t xml:space="preserve"> 0.17 </w:t>
                  </w:r>
                </w:p>
              </w:tc>
              <w:tc>
                <w:tcPr>
                  <w:tcW w:w="752" w:type="pct"/>
                </w:tcPr>
                <w:p w:rsidR="003058E0" w:rsidRDefault="003058E0" w:rsidP="00D414E1">
                  <w:pPr>
                    <w:pStyle w:val="TableBodyText"/>
                  </w:pPr>
                  <w:r w:rsidRPr="007F430D">
                    <w:t xml:space="preserve"> 0.48 </w:t>
                  </w:r>
                </w:p>
              </w:tc>
              <w:tc>
                <w:tcPr>
                  <w:tcW w:w="752" w:type="pct"/>
                </w:tcPr>
                <w:p w:rsidR="003058E0" w:rsidRDefault="003058E0" w:rsidP="00D414E1">
                  <w:pPr>
                    <w:pStyle w:val="TableBodyText"/>
                  </w:pPr>
                  <w:r w:rsidRPr="007F430D">
                    <w:t xml:space="preserve"> 1.12 </w:t>
                  </w:r>
                </w:p>
              </w:tc>
              <w:tc>
                <w:tcPr>
                  <w:tcW w:w="752" w:type="pct"/>
                  <w:shd w:val="clear" w:color="auto" w:fill="auto"/>
                </w:tcPr>
                <w:p w:rsidR="003058E0" w:rsidRDefault="003058E0" w:rsidP="00D414E1">
                  <w:pPr>
                    <w:pStyle w:val="TableBodyText"/>
                  </w:pPr>
                  <w:r w:rsidRPr="007F430D">
                    <w:t xml:space="preserve"> 1.58 </w:t>
                  </w:r>
                </w:p>
              </w:tc>
              <w:tc>
                <w:tcPr>
                  <w:tcW w:w="667" w:type="pct"/>
                  <w:shd w:val="clear" w:color="auto" w:fill="auto"/>
                </w:tcPr>
                <w:p w:rsidR="003058E0" w:rsidRDefault="003058E0" w:rsidP="00D414E1">
                  <w:pPr>
                    <w:pStyle w:val="TableBodyText"/>
                    <w:ind w:right="28"/>
                  </w:pPr>
                  <w:r w:rsidRPr="007F430D">
                    <w:t xml:space="preserve"> 0.84 </w:t>
                  </w:r>
                </w:p>
              </w:tc>
            </w:tr>
            <w:tr w:rsidR="003058E0" w:rsidTr="00435F01">
              <w:tc>
                <w:tcPr>
                  <w:tcW w:w="1341" w:type="pct"/>
                  <w:shd w:val="clear" w:color="auto" w:fill="F2F2F2"/>
                  <w:vAlign w:val="center"/>
                </w:tcPr>
                <w:p w:rsidR="003058E0" w:rsidRDefault="003058E0" w:rsidP="00435F01">
                  <w:pPr>
                    <w:pStyle w:val="TableBodyText"/>
                    <w:jc w:val="left"/>
                  </w:pPr>
                  <w:r w:rsidRPr="00850B32">
                    <w:rPr>
                      <w:rFonts w:cs="Arial"/>
                      <w:color w:val="000000"/>
                      <w:szCs w:val="18"/>
                    </w:rPr>
                    <w:t xml:space="preserve">Couple – </w:t>
                  </w:r>
                  <w:proofErr w:type="spellStart"/>
                  <w:r w:rsidRPr="00850B32">
                    <w:rPr>
                      <w:rFonts w:cs="Arial"/>
                      <w:color w:val="000000"/>
                      <w:szCs w:val="18"/>
                    </w:rPr>
                    <w:t>WQ</w:t>
                  </w:r>
                  <w:proofErr w:type="spellEnd"/>
                  <w:r w:rsidRPr="00850B32">
                    <w:rPr>
                      <w:rFonts w:cs="Arial"/>
                      <w:color w:val="000000"/>
                      <w:szCs w:val="18"/>
                    </w:rPr>
                    <w:t xml:space="preserve"> 1</w:t>
                  </w:r>
                </w:p>
              </w:tc>
              <w:tc>
                <w:tcPr>
                  <w:tcW w:w="736" w:type="pct"/>
                  <w:shd w:val="clear" w:color="auto" w:fill="F2F2F2"/>
                </w:tcPr>
                <w:p w:rsidR="003058E0" w:rsidRDefault="003058E0" w:rsidP="00D414E1">
                  <w:pPr>
                    <w:pStyle w:val="TableBodyText"/>
                  </w:pPr>
                  <w:r w:rsidRPr="00361676">
                    <w:t xml:space="preserve"> 1.27 </w:t>
                  </w:r>
                </w:p>
              </w:tc>
              <w:tc>
                <w:tcPr>
                  <w:tcW w:w="752" w:type="pct"/>
                  <w:shd w:val="clear" w:color="auto" w:fill="F2F2F2"/>
                </w:tcPr>
                <w:p w:rsidR="003058E0" w:rsidRDefault="003058E0" w:rsidP="00D414E1">
                  <w:pPr>
                    <w:pStyle w:val="TableBodyText"/>
                  </w:pPr>
                  <w:r w:rsidRPr="00361676">
                    <w:t xml:space="preserve"> 1.36 </w:t>
                  </w:r>
                </w:p>
              </w:tc>
              <w:tc>
                <w:tcPr>
                  <w:tcW w:w="752" w:type="pct"/>
                  <w:shd w:val="clear" w:color="auto" w:fill="F2F2F2"/>
                </w:tcPr>
                <w:p w:rsidR="003058E0" w:rsidRDefault="003058E0" w:rsidP="00D414E1">
                  <w:pPr>
                    <w:pStyle w:val="TableBodyText"/>
                  </w:pPr>
                  <w:r w:rsidRPr="00361676">
                    <w:t xml:space="preserve"> 4.01 </w:t>
                  </w:r>
                </w:p>
              </w:tc>
              <w:tc>
                <w:tcPr>
                  <w:tcW w:w="752" w:type="pct"/>
                  <w:shd w:val="clear" w:color="auto" w:fill="F2F2F2"/>
                </w:tcPr>
                <w:p w:rsidR="003058E0" w:rsidRDefault="003058E0" w:rsidP="00D414E1">
                  <w:pPr>
                    <w:pStyle w:val="TableBodyText"/>
                  </w:pPr>
                  <w:r w:rsidRPr="00361676">
                    <w:t xml:space="preserve"> 7.38 </w:t>
                  </w:r>
                </w:p>
              </w:tc>
              <w:tc>
                <w:tcPr>
                  <w:tcW w:w="667" w:type="pct"/>
                  <w:shd w:val="clear" w:color="auto" w:fill="F2F2F2"/>
                </w:tcPr>
                <w:p w:rsidR="003058E0" w:rsidRDefault="003058E0" w:rsidP="00D414E1">
                  <w:pPr>
                    <w:pStyle w:val="TableBodyText"/>
                    <w:ind w:right="28"/>
                  </w:pPr>
                  <w:r w:rsidRPr="00361676">
                    <w:t xml:space="preserve"> 11.00 </w:t>
                  </w:r>
                </w:p>
              </w:tc>
            </w:tr>
            <w:tr w:rsidR="003058E0" w:rsidTr="00435F01">
              <w:tc>
                <w:tcPr>
                  <w:tcW w:w="1341" w:type="pct"/>
                  <w:shd w:val="clear" w:color="auto" w:fill="F2F2F2"/>
                  <w:vAlign w:val="center"/>
                </w:tcPr>
                <w:p w:rsidR="003058E0" w:rsidRDefault="003058E0" w:rsidP="00435F01">
                  <w:pPr>
                    <w:pStyle w:val="TableBodyText"/>
                    <w:jc w:val="left"/>
                  </w:pPr>
                  <w:r w:rsidRPr="00850B32">
                    <w:rPr>
                      <w:rFonts w:cs="Arial"/>
                      <w:color w:val="000000"/>
                      <w:szCs w:val="18"/>
                    </w:rPr>
                    <w:t xml:space="preserve">Couple – </w:t>
                  </w:r>
                  <w:proofErr w:type="spellStart"/>
                  <w:r w:rsidRPr="00850B32">
                    <w:rPr>
                      <w:rFonts w:cs="Arial"/>
                      <w:color w:val="000000"/>
                      <w:szCs w:val="18"/>
                    </w:rPr>
                    <w:t>WQ</w:t>
                  </w:r>
                  <w:proofErr w:type="spellEnd"/>
                  <w:r w:rsidRPr="00850B32">
                    <w:rPr>
                      <w:rFonts w:cs="Arial"/>
                      <w:color w:val="000000"/>
                      <w:szCs w:val="18"/>
                    </w:rPr>
                    <w:t xml:space="preserve"> 2</w:t>
                  </w:r>
                </w:p>
              </w:tc>
              <w:tc>
                <w:tcPr>
                  <w:tcW w:w="736" w:type="pct"/>
                  <w:shd w:val="clear" w:color="auto" w:fill="F2F2F2"/>
                </w:tcPr>
                <w:p w:rsidR="003058E0" w:rsidRDefault="003058E0" w:rsidP="00D414E1">
                  <w:pPr>
                    <w:pStyle w:val="TableBodyText"/>
                  </w:pPr>
                  <w:r w:rsidRPr="00361676">
                    <w:t xml:space="preserve"> 0.29 </w:t>
                  </w:r>
                </w:p>
              </w:tc>
              <w:tc>
                <w:tcPr>
                  <w:tcW w:w="752" w:type="pct"/>
                  <w:shd w:val="clear" w:color="auto" w:fill="F2F2F2"/>
                </w:tcPr>
                <w:p w:rsidR="003058E0" w:rsidRDefault="003058E0" w:rsidP="00D414E1">
                  <w:pPr>
                    <w:pStyle w:val="TableBodyText"/>
                  </w:pPr>
                  <w:r w:rsidRPr="00361676">
                    <w:t xml:space="preserve"> 2.10 </w:t>
                  </w:r>
                </w:p>
              </w:tc>
              <w:tc>
                <w:tcPr>
                  <w:tcW w:w="752" w:type="pct"/>
                  <w:shd w:val="clear" w:color="auto" w:fill="F2F2F2"/>
                </w:tcPr>
                <w:p w:rsidR="003058E0" w:rsidRDefault="003058E0" w:rsidP="00D414E1">
                  <w:pPr>
                    <w:pStyle w:val="TableBodyText"/>
                  </w:pPr>
                  <w:r w:rsidRPr="00361676">
                    <w:t xml:space="preserve"> 1.15 </w:t>
                  </w:r>
                </w:p>
              </w:tc>
              <w:tc>
                <w:tcPr>
                  <w:tcW w:w="752" w:type="pct"/>
                  <w:shd w:val="clear" w:color="auto" w:fill="F2F2F2"/>
                </w:tcPr>
                <w:p w:rsidR="003058E0" w:rsidRDefault="003058E0" w:rsidP="00D414E1">
                  <w:pPr>
                    <w:pStyle w:val="TableBodyText"/>
                  </w:pPr>
                  <w:r w:rsidRPr="00361676">
                    <w:t xml:space="preserve"> 5.69 </w:t>
                  </w:r>
                </w:p>
              </w:tc>
              <w:tc>
                <w:tcPr>
                  <w:tcW w:w="667" w:type="pct"/>
                  <w:shd w:val="clear" w:color="auto" w:fill="F2F2F2"/>
                </w:tcPr>
                <w:p w:rsidR="003058E0" w:rsidRDefault="003058E0" w:rsidP="00D414E1">
                  <w:pPr>
                    <w:pStyle w:val="TableBodyText"/>
                    <w:ind w:right="28"/>
                  </w:pPr>
                  <w:r w:rsidRPr="00361676">
                    <w:t xml:space="preserve"> 7.86 </w:t>
                  </w:r>
                </w:p>
              </w:tc>
            </w:tr>
            <w:tr w:rsidR="003058E0" w:rsidTr="00435F01">
              <w:tc>
                <w:tcPr>
                  <w:tcW w:w="1341" w:type="pct"/>
                  <w:shd w:val="clear" w:color="auto" w:fill="F2F2F2"/>
                  <w:vAlign w:val="center"/>
                </w:tcPr>
                <w:p w:rsidR="003058E0" w:rsidRDefault="003058E0" w:rsidP="00435F01">
                  <w:pPr>
                    <w:pStyle w:val="TableBodyText"/>
                    <w:jc w:val="left"/>
                  </w:pPr>
                  <w:r w:rsidRPr="00850B32">
                    <w:rPr>
                      <w:rFonts w:cs="Arial"/>
                      <w:color w:val="000000"/>
                      <w:szCs w:val="18"/>
                    </w:rPr>
                    <w:t xml:space="preserve">Couple – </w:t>
                  </w:r>
                  <w:proofErr w:type="spellStart"/>
                  <w:r w:rsidRPr="00850B32">
                    <w:rPr>
                      <w:rFonts w:cs="Arial"/>
                      <w:color w:val="000000"/>
                      <w:szCs w:val="18"/>
                    </w:rPr>
                    <w:t>WQ</w:t>
                  </w:r>
                  <w:proofErr w:type="spellEnd"/>
                  <w:r w:rsidRPr="00850B32">
                    <w:rPr>
                      <w:rFonts w:cs="Arial"/>
                      <w:color w:val="000000"/>
                      <w:szCs w:val="18"/>
                    </w:rPr>
                    <w:t xml:space="preserve"> 3</w:t>
                  </w:r>
                </w:p>
              </w:tc>
              <w:tc>
                <w:tcPr>
                  <w:tcW w:w="736" w:type="pct"/>
                  <w:shd w:val="clear" w:color="auto" w:fill="F2F2F2"/>
                </w:tcPr>
                <w:p w:rsidR="003058E0" w:rsidRDefault="003058E0" w:rsidP="00D414E1">
                  <w:pPr>
                    <w:pStyle w:val="TableBodyText"/>
                  </w:pPr>
                  <w:r w:rsidRPr="00361676">
                    <w:t xml:space="preserve"> 0.40 </w:t>
                  </w:r>
                </w:p>
              </w:tc>
              <w:tc>
                <w:tcPr>
                  <w:tcW w:w="752" w:type="pct"/>
                  <w:shd w:val="clear" w:color="auto" w:fill="F2F2F2"/>
                </w:tcPr>
                <w:p w:rsidR="003058E0" w:rsidRDefault="003058E0" w:rsidP="00D414E1">
                  <w:pPr>
                    <w:pStyle w:val="TableBodyText"/>
                  </w:pPr>
                  <w:r w:rsidRPr="00361676">
                    <w:t xml:space="preserve"> 0.29 </w:t>
                  </w:r>
                </w:p>
              </w:tc>
              <w:tc>
                <w:tcPr>
                  <w:tcW w:w="752" w:type="pct"/>
                  <w:shd w:val="clear" w:color="auto" w:fill="F2F2F2"/>
                </w:tcPr>
                <w:p w:rsidR="003058E0" w:rsidRDefault="003058E0" w:rsidP="00D414E1">
                  <w:pPr>
                    <w:pStyle w:val="TableBodyText"/>
                  </w:pPr>
                  <w:r w:rsidRPr="00361676">
                    <w:t xml:space="preserve"> 3.38 </w:t>
                  </w:r>
                </w:p>
              </w:tc>
              <w:tc>
                <w:tcPr>
                  <w:tcW w:w="752" w:type="pct"/>
                  <w:shd w:val="clear" w:color="auto" w:fill="F2F2F2"/>
                </w:tcPr>
                <w:p w:rsidR="003058E0" w:rsidRDefault="003058E0" w:rsidP="00D414E1">
                  <w:pPr>
                    <w:pStyle w:val="TableBodyText"/>
                  </w:pPr>
                  <w:r w:rsidRPr="00361676">
                    <w:t xml:space="preserve"> 5.74 </w:t>
                  </w:r>
                </w:p>
              </w:tc>
              <w:tc>
                <w:tcPr>
                  <w:tcW w:w="667" w:type="pct"/>
                  <w:shd w:val="clear" w:color="auto" w:fill="F2F2F2"/>
                </w:tcPr>
                <w:p w:rsidR="003058E0" w:rsidRDefault="003058E0" w:rsidP="00D414E1">
                  <w:pPr>
                    <w:pStyle w:val="TableBodyText"/>
                    <w:ind w:right="28"/>
                  </w:pPr>
                  <w:r w:rsidRPr="00361676">
                    <w:t xml:space="preserve"> 7.32 </w:t>
                  </w:r>
                </w:p>
              </w:tc>
            </w:tr>
            <w:tr w:rsidR="003058E0" w:rsidTr="00435F01">
              <w:tc>
                <w:tcPr>
                  <w:tcW w:w="1341" w:type="pct"/>
                  <w:tcBorders>
                    <w:bottom w:val="single" w:sz="6" w:space="0" w:color="BFBFBF"/>
                  </w:tcBorders>
                  <w:shd w:val="clear" w:color="auto" w:fill="F2F2F2"/>
                  <w:vAlign w:val="center"/>
                </w:tcPr>
                <w:p w:rsidR="003058E0" w:rsidRDefault="003058E0" w:rsidP="00435F01">
                  <w:pPr>
                    <w:pStyle w:val="TableBodyText"/>
                    <w:jc w:val="left"/>
                  </w:pPr>
                  <w:r w:rsidRPr="00850B32">
                    <w:rPr>
                      <w:rFonts w:cs="Arial"/>
                      <w:color w:val="000000"/>
                      <w:szCs w:val="18"/>
                    </w:rPr>
                    <w:t xml:space="preserve">Couple – </w:t>
                  </w:r>
                  <w:proofErr w:type="spellStart"/>
                  <w:r w:rsidRPr="00850B32">
                    <w:rPr>
                      <w:rFonts w:cs="Arial"/>
                      <w:color w:val="000000"/>
                      <w:szCs w:val="18"/>
                    </w:rPr>
                    <w:t>WQ</w:t>
                  </w:r>
                  <w:proofErr w:type="spellEnd"/>
                  <w:r w:rsidRPr="00850B32">
                    <w:rPr>
                      <w:rFonts w:cs="Arial"/>
                      <w:color w:val="000000"/>
                      <w:szCs w:val="18"/>
                    </w:rPr>
                    <w:t xml:space="preserve"> 4</w:t>
                  </w:r>
                </w:p>
              </w:tc>
              <w:tc>
                <w:tcPr>
                  <w:tcW w:w="736" w:type="pct"/>
                  <w:tcBorders>
                    <w:bottom w:val="single" w:sz="6" w:space="0" w:color="BFBFBF"/>
                  </w:tcBorders>
                  <w:shd w:val="clear" w:color="auto" w:fill="F2F2F2"/>
                </w:tcPr>
                <w:p w:rsidR="003058E0" w:rsidRDefault="003058E0" w:rsidP="00D414E1">
                  <w:pPr>
                    <w:pStyle w:val="TableBodyText"/>
                  </w:pPr>
                  <w:r w:rsidRPr="00361676">
                    <w:t xml:space="preserve"> 0.19 </w:t>
                  </w:r>
                </w:p>
              </w:tc>
              <w:tc>
                <w:tcPr>
                  <w:tcW w:w="752" w:type="pct"/>
                  <w:tcBorders>
                    <w:bottom w:val="single" w:sz="6" w:space="0" w:color="BFBFBF"/>
                  </w:tcBorders>
                  <w:shd w:val="clear" w:color="auto" w:fill="F2F2F2"/>
                </w:tcPr>
                <w:p w:rsidR="003058E0" w:rsidRDefault="003058E0" w:rsidP="00D414E1">
                  <w:pPr>
                    <w:pStyle w:val="TableBodyText"/>
                  </w:pPr>
                  <w:r w:rsidRPr="00361676">
                    <w:t xml:space="preserve"> 0.52 </w:t>
                  </w:r>
                </w:p>
              </w:tc>
              <w:tc>
                <w:tcPr>
                  <w:tcW w:w="752" w:type="pct"/>
                  <w:tcBorders>
                    <w:bottom w:val="single" w:sz="6" w:space="0" w:color="BFBFBF"/>
                  </w:tcBorders>
                  <w:shd w:val="clear" w:color="auto" w:fill="F2F2F2"/>
                </w:tcPr>
                <w:p w:rsidR="003058E0" w:rsidRDefault="003058E0" w:rsidP="00D414E1">
                  <w:pPr>
                    <w:pStyle w:val="TableBodyText"/>
                  </w:pPr>
                  <w:r w:rsidRPr="00361676">
                    <w:t xml:space="preserve"> 1.23 </w:t>
                  </w:r>
                </w:p>
              </w:tc>
              <w:tc>
                <w:tcPr>
                  <w:tcW w:w="752" w:type="pct"/>
                  <w:tcBorders>
                    <w:bottom w:val="single" w:sz="6" w:space="0" w:color="BFBFBF"/>
                  </w:tcBorders>
                  <w:shd w:val="clear" w:color="auto" w:fill="F2F2F2"/>
                </w:tcPr>
                <w:p w:rsidR="003058E0" w:rsidRDefault="003058E0" w:rsidP="00D414E1">
                  <w:pPr>
                    <w:pStyle w:val="TableBodyText"/>
                  </w:pPr>
                  <w:r w:rsidRPr="00361676">
                    <w:t xml:space="preserve"> 1.74 </w:t>
                  </w:r>
                </w:p>
              </w:tc>
              <w:tc>
                <w:tcPr>
                  <w:tcW w:w="667" w:type="pct"/>
                  <w:tcBorders>
                    <w:bottom w:val="single" w:sz="6" w:space="0" w:color="BFBFBF"/>
                  </w:tcBorders>
                  <w:shd w:val="clear" w:color="auto" w:fill="F2F2F2"/>
                </w:tcPr>
                <w:p w:rsidR="003058E0" w:rsidRDefault="003058E0" w:rsidP="00D414E1">
                  <w:pPr>
                    <w:pStyle w:val="TableBodyText"/>
                    <w:ind w:right="28"/>
                  </w:pPr>
                  <w:r w:rsidRPr="00361676">
                    <w:t xml:space="preserve"> 0.92 </w:t>
                  </w:r>
                </w:p>
              </w:tc>
            </w:tr>
          </w:tbl>
          <w:p w:rsidR="003058E0" w:rsidRDefault="003058E0" w:rsidP="00D414E1">
            <w:pPr>
              <w:pStyle w:val="Box"/>
            </w:pPr>
          </w:p>
        </w:tc>
      </w:tr>
      <w:tr w:rsidR="003058E0" w:rsidTr="00D414E1">
        <w:trPr>
          <w:cantSplit/>
        </w:trPr>
        <w:tc>
          <w:tcPr>
            <w:tcW w:w="8771" w:type="dxa"/>
            <w:tcBorders>
              <w:top w:val="nil"/>
              <w:left w:val="nil"/>
              <w:bottom w:val="nil"/>
              <w:right w:val="nil"/>
            </w:tcBorders>
            <w:shd w:val="clear" w:color="auto" w:fill="auto"/>
          </w:tcPr>
          <w:p w:rsidR="003058E0" w:rsidRDefault="003058E0" w:rsidP="00950663">
            <w:pPr>
              <w:pStyle w:val="Note"/>
              <w:rPr>
                <w:i/>
              </w:rPr>
            </w:pPr>
            <w:r w:rsidRPr="008E77FE">
              <w:rPr>
                <w:rStyle w:val="NoteLabel"/>
              </w:rPr>
              <w:t>a</w:t>
            </w:r>
            <w:r>
              <w:t xml:space="preserve"> Wealth quartile 1</w:t>
            </w:r>
            <w:r w:rsidR="00950663">
              <w:t xml:space="preserve"> (</w:t>
            </w:r>
            <w:proofErr w:type="spellStart"/>
            <w:r w:rsidR="00950663">
              <w:t>WQ</w:t>
            </w:r>
            <w:proofErr w:type="spellEnd"/>
            <w:r w:rsidR="00950663">
              <w:t xml:space="preserve"> 1)</w:t>
            </w:r>
            <w:r>
              <w:t xml:space="preserve"> is the lowest wealth quartile and wealth quartile 4</w:t>
            </w:r>
            <w:r w:rsidR="00950663">
              <w:t xml:space="preserve"> (</w:t>
            </w:r>
            <w:proofErr w:type="spellStart"/>
            <w:r w:rsidR="00950663">
              <w:t>WQ</w:t>
            </w:r>
            <w:proofErr w:type="spellEnd"/>
            <w:r w:rsidR="00950663">
              <w:t xml:space="preserve"> 4)</w:t>
            </w:r>
            <w:r>
              <w:t xml:space="preserve"> is the highest wealth quartile. </w:t>
            </w:r>
            <w:r>
              <w:rPr>
                <w:rStyle w:val="NoteLabel"/>
              </w:rPr>
              <w:t>b</w:t>
            </w:r>
            <w:r>
              <w:t xml:space="preserve"> Age refers to the age of the respondent at the time of the survey and is restricted to individuals who reported that they retired in the past four years. It was not possible to restrict the sample to those who retired in the previous 12 months due to the limited number of observations, hence the four</w:t>
            </w:r>
            <w:r w:rsidR="0042151C">
              <w:noBreakHyphen/>
            </w:r>
            <w:r>
              <w:t>yearly data ha</w:t>
            </w:r>
            <w:r w:rsidR="00950663">
              <w:t>ve</w:t>
            </w:r>
            <w:r>
              <w:t xml:space="preserve"> been annualised.</w:t>
            </w:r>
          </w:p>
        </w:tc>
      </w:tr>
      <w:tr w:rsidR="003058E0" w:rsidTr="00D414E1">
        <w:trPr>
          <w:cantSplit/>
        </w:trPr>
        <w:tc>
          <w:tcPr>
            <w:tcW w:w="8771" w:type="dxa"/>
            <w:tcBorders>
              <w:top w:val="nil"/>
              <w:left w:val="nil"/>
              <w:bottom w:val="nil"/>
              <w:right w:val="nil"/>
            </w:tcBorders>
            <w:shd w:val="clear" w:color="auto" w:fill="auto"/>
          </w:tcPr>
          <w:p w:rsidR="003058E0" w:rsidRDefault="003058E0" w:rsidP="00950663">
            <w:pPr>
              <w:pStyle w:val="Source"/>
            </w:pPr>
            <w:r>
              <w:rPr>
                <w:i/>
              </w:rPr>
              <w:t>Source</w:t>
            </w:r>
            <w:r w:rsidRPr="00167F06">
              <w:t>:</w:t>
            </w:r>
            <w:r>
              <w:t xml:space="preserve"> </w:t>
            </w:r>
            <w:r w:rsidR="00950663">
              <w:t>Commission estimates based on HILDA (2013, release 13, wave 11)</w:t>
            </w:r>
            <w:r>
              <w:t>.</w:t>
            </w:r>
          </w:p>
        </w:tc>
      </w:tr>
      <w:tr w:rsidR="003058E0" w:rsidTr="00D414E1">
        <w:trPr>
          <w:cantSplit/>
        </w:trPr>
        <w:tc>
          <w:tcPr>
            <w:tcW w:w="8771" w:type="dxa"/>
            <w:tcBorders>
              <w:top w:val="nil"/>
              <w:left w:val="nil"/>
              <w:bottom w:val="single" w:sz="6" w:space="0" w:color="78A22F"/>
              <w:right w:val="nil"/>
            </w:tcBorders>
            <w:shd w:val="clear" w:color="auto" w:fill="auto"/>
          </w:tcPr>
          <w:p w:rsidR="003058E0" w:rsidRDefault="003058E0" w:rsidP="00D414E1">
            <w:pPr>
              <w:pStyle w:val="Box"/>
              <w:spacing w:before="0" w:line="120" w:lineRule="exact"/>
            </w:pPr>
          </w:p>
        </w:tc>
      </w:tr>
      <w:tr w:rsidR="003058E0" w:rsidRPr="000863A5" w:rsidTr="00D414E1">
        <w:tc>
          <w:tcPr>
            <w:tcW w:w="8771" w:type="dxa"/>
            <w:tcBorders>
              <w:top w:val="single" w:sz="6" w:space="0" w:color="78A22F"/>
              <w:left w:val="nil"/>
              <w:bottom w:val="nil"/>
              <w:right w:val="nil"/>
            </w:tcBorders>
          </w:tcPr>
          <w:p w:rsidR="003058E0" w:rsidRPr="00626D32" w:rsidRDefault="003058E0" w:rsidP="00D414E1">
            <w:pPr>
              <w:pStyle w:val="BoxSpaceBelow"/>
            </w:pPr>
          </w:p>
        </w:tc>
      </w:tr>
    </w:tbl>
    <w:p w:rsidR="00950663" w:rsidRPr="00DB7087" w:rsidRDefault="00D94424" w:rsidP="00DB7087">
      <w:pPr>
        <w:pStyle w:val="Heading2nosectionno"/>
      </w:pPr>
      <w:r w:rsidRPr="00DB7087">
        <w:t>References</w:t>
      </w:r>
    </w:p>
    <w:p w:rsidR="004B628B" w:rsidRPr="00DB7087" w:rsidRDefault="004B628B" w:rsidP="00565722">
      <w:pPr>
        <w:pStyle w:val="Reference"/>
      </w:pPr>
      <w:r w:rsidRPr="00DB7087">
        <w:t>ABS (Australian Bureau of Statistics) 2015, 3236.0 - Household and Family Projections, Australia, 2011 to 2036, http://</w:t>
      </w:r>
      <w:proofErr w:type="spellStart"/>
      <w:r w:rsidRPr="00DB7087">
        <w:t>www.abs.gov.au</w:t>
      </w:r>
      <w:proofErr w:type="spellEnd"/>
      <w:r w:rsidRPr="00DB7087">
        <w:t>/</w:t>
      </w:r>
      <w:proofErr w:type="spellStart"/>
      <w:r w:rsidRPr="00DB7087">
        <w:t>AUSSTATS</w:t>
      </w:r>
      <w:proofErr w:type="spellEnd"/>
      <w:r w:rsidRPr="00DB7087">
        <w:t>/abs@.</w:t>
      </w:r>
      <w:proofErr w:type="spellStart"/>
      <w:r w:rsidRPr="00DB7087">
        <w:t>nsf</w:t>
      </w:r>
      <w:proofErr w:type="spellEnd"/>
      <w:r w:rsidRPr="00DB7087">
        <w:t>/Lookup/</w:t>
      </w:r>
      <w:r w:rsidR="00DB7087">
        <w:br/>
      </w:r>
      <w:proofErr w:type="spellStart"/>
      <w:r w:rsidRPr="00DB7087">
        <w:t>3236.0Main+Features12011%20to%202</w:t>
      </w:r>
      <w:proofErr w:type="spellEnd"/>
      <w:r w:rsidR="0042151C" w:rsidRPr="00DB7087">
        <w:t> </w:t>
      </w:r>
      <w:proofErr w:type="spellStart"/>
      <w:r w:rsidRPr="00DB7087">
        <w:t>036?OpenDocument</w:t>
      </w:r>
      <w:proofErr w:type="spellEnd"/>
      <w:r w:rsidR="00DB7087">
        <w:br/>
      </w:r>
      <w:r w:rsidRPr="00DB7087">
        <w:t>(accessed 20 April 2015).</w:t>
      </w:r>
    </w:p>
    <w:p w:rsidR="004B628B" w:rsidRPr="00DB7087" w:rsidRDefault="004B628B" w:rsidP="00565722">
      <w:pPr>
        <w:pStyle w:val="Reference"/>
      </w:pPr>
      <w:r w:rsidRPr="00DB7087">
        <w:t xml:space="preserve">Australian Government 2015, </w:t>
      </w:r>
      <w:r w:rsidRPr="00565722">
        <w:rPr>
          <w:i/>
        </w:rPr>
        <w:t>2015 Intergenerational Report: Australia in 2055</w:t>
      </w:r>
      <w:r w:rsidRPr="00DB7087">
        <w:t>, March, Commonwealth of Australia, Canberra.</w:t>
      </w:r>
    </w:p>
    <w:p w:rsidR="004B628B" w:rsidRPr="00DB7087" w:rsidRDefault="004B628B" w:rsidP="00565722">
      <w:pPr>
        <w:pStyle w:val="Reference"/>
      </w:pPr>
      <w:r w:rsidRPr="00DB7087">
        <w:t xml:space="preserve">PC (Productivity Commission) 2013, </w:t>
      </w:r>
      <w:r w:rsidRPr="00565722">
        <w:rPr>
          <w:i/>
        </w:rPr>
        <w:t>An Ageing Australia: Preparing for the Future</w:t>
      </w:r>
      <w:r w:rsidRPr="00DB7087">
        <w:t>, Commission Research Paper, Canberra.</w:t>
      </w:r>
    </w:p>
    <w:sectPr w:rsidR="004B628B" w:rsidRPr="00DB7087" w:rsidSect="00606E78">
      <w:headerReference w:type="even" r:id="rId11"/>
      <w:headerReference w:type="default" r:id="rId12"/>
      <w:footerReference w:type="even" r:id="rId13"/>
      <w:footerReference w:type="default" r:id="rId14"/>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8E0" w:rsidRDefault="003058E0">
      <w:r>
        <w:separator/>
      </w:r>
    </w:p>
  </w:endnote>
  <w:endnote w:type="continuationSeparator" w:id="0">
    <w:p w:rsidR="003058E0" w:rsidRDefault="0030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B1248">
            <w:rPr>
              <w:rStyle w:val="PageNumber"/>
              <w:caps w:val="0"/>
              <w:noProof/>
            </w:rPr>
            <w:t>2</w:t>
          </w:r>
          <w:r w:rsidRPr="00A24443">
            <w:rPr>
              <w:rStyle w:val="PageNumber"/>
              <w:caps w:val="0"/>
            </w:rPr>
            <w:fldChar w:fldCharType="end"/>
          </w:r>
        </w:p>
      </w:tc>
      <w:tc>
        <w:tcPr>
          <w:tcW w:w="7767" w:type="dxa"/>
        </w:tcPr>
        <w:p w:rsidR="00772909" w:rsidRPr="0013739A" w:rsidRDefault="00435F01" w:rsidP="0013739A">
          <w:pPr>
            <w:pStyle w:val="Footer"/>
            <w:rPr>
              <w:rFonts w:cs="Arial"/>
            </w:rPr>
          </w:pPr>
          <w:r>
            <w:rPr>
              <w:rFonts w:cs="Arial"/>
            </w:rPr>
            <w:t>Superannuation Policy for Post-Retirement: Modelling supplement</w:t>
          </w:r>
          <w:bookmarkStart w:id="7" w:name="DraftReportEven"/>
          <w:bookmarkEnd w:id="7"/>
        </w:p>
      </w:tc>
      <w:tc>
        <w:tcPr>
          <w:tcW w:w="510" w:type="dxa"/>
        </w:tcPr>
        <w:p w:rsidR="00772909" w:rsidRDefault="00772909" w:rsidP="0019293B">
          <w:pPr>
            <w:pStyle w:val="Footer"/>
          </w:pPr>
        </w:p>
      </w:tc>
    </w:tr>
  </w:tbl>
  <w:p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Default="00772909">
          <w:pPr>
            <w:pStyle w:val="Footer"/>
            <w:ind w:right="360" w:firstLine="360"/>
          </w:pPr>
        </w:p>
      </w:tc>
      <w:tc>
        <w:tcPr>
          <w:tcW w:w="7767" w:type="dxa"/>
        </w:tcPr>
        <w:p w:rsidR="00772909" w:rsidRPr="00BA5B14" w:rsidRDefault="00435F01" w:rsidP="0013739A">
          <w:pPr>
            <w:pStyle w:val="Footer"/>
            <w:jc w:val="right"/>
            <w:rPr>
              <w:rFonts w:cs="Arial"/>
            </w:rPr>
          </w:pPr>
          <w:r>
            <w:rPr>
              <w:rFonts w:cs="Arial"/>
            </w:rPr>
            <w:t>Projection module: data sources and methodology</w:t>
          </w:r>
          <w:bookmarkStart w:id="8" w:name="DraftReportOdd"/>
          <w:bookmarkEnd w:id="8"/>
        </w:p>
      </w:tc>
      <w:tc>
        <w:tcPr>
          <w:tcW w:w="510" w:type="dxa"/>
        </w:tcPr>
        <w:p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B1248">
            <w:rPr>
              <w:rStyle w:val="PageNumber"/>
              <w:caps w:val="0"/>
              <w:noProof/>
            </w:rPr>
            <w:t>1</w:t>
          </w:r>
          <w:r w:rsidRPr="00A24443">
            <w:rPr>
              <w:rStyle w:val="PageNumber"/>
              <w:caps w:val="0"/>
            </w:rPr>
            <w:fldChar w:fldCharType="end"/>
          </w:r>
        </w:p>
      </w:tc>
    </w:tr>
  </w:tbl>
  <w:p w:rsidR="00772909" w:rsidRDefault="0077290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8E0" w:rsidRDefault="003058E0">
      <w:r>
        <w:separator/>
      </w:r>
    </w:p>
  </w:footnote>
  <w:footnote w:type="continuationSeparator" w:id="0">
    <w:p w:rsidR="003058E0" w:rsidRDefault="003058E0">
      <w:r>
        <w:continuationSeparator/>
      </w:r>
    </w:p>
  </w:footnote>
  <w:footnote w:id="1">
    <w:p w:rsidR="003058E0" w:rsidRDefault="003058E0" w:rsidP="003058E0">
      <w:pPr>
        <w:pStyle w:val="FootnoteText"/>
      </w:pPr>
      <w:r w:rsidRPr="00CF487C">
        <w:rPr>
          <w:rStyle w:val="FootnoteReference"/>
        </w:rPr>
        <w:footnoteRef/>
      </w:r>
      <w:r>
        <w:tab/>
      </w:r>
      <w:r w:rsidRPr="00E01AFA">
        <w:t xml:space="preserve">First, the projection period is 2012-2055 (compared with 2011-2036 in the ABS report), and second, living arrangement types are aggregated </w:t>
      </w:r>
      <w:r>
        <w:t>in</w:t>
      </w:r>
      <w:r w:rsidRPr="00E01AFA">
        <w:t>to two main categories: single headed households and couple headed households.</w:t>
      </w:r>
    </w:p>
  </w:footnote>
  <w:footnote w:id="2">
    <w:p w:rsidR="003058E0" w:rsidRDefault="003058E0" w:rsidP="003058E0">
      <w:pPr>
        <w:pStyle w:val="FootnoteText"/>
      </w:pPr>
      <w:r w:rsidRPr="00CF487C">
        <w:rPr>
          <w:rStyle w:val="FootnoteReference"/>
        </w:rPr>
        <w:footnoteRef/>
      </w:r>
      <w:r>
        <w:tab/>
        <w:t xml:space="preserve">See </w:t>
      </w:r>
      <w:r w:rsidR="003643DA">
        <w:t>supplementary paper 5</w:t>
      </w:r>
      <w:r>
        <w:t xml:space="preserve"> for more information on the calculation of involuntary retirement rates.</w:t>
      </w:r>
    </w:p>
  </w:footnote>
  <w:footnote w:id="3">
    <w:p w:rsidR="003058E0" w:rsidRDefault="003058E0" w:rsidP="003058E0">
      <w:pPr>
        <w:pStyle w:val="FootnoteText"/>
      </w:pPr>
      <w:r w:rsidRPr="00CF487C">
        <w:rPr>
          <w:rStyle w:val="FootnoteReference"/>
        </w:rPr>
        <w:footnoteRef/>
      </w:r>
      <w:r>
        <w:tab/>
        <w:t>The involuntary retirement probabilities presented in table </w:t>
      </w:r>
      <w:r w:rsidR="003643DA">
        <w:t>3</w:t>
      </w:r>
      <w:r>
        <w:t xml:space="preserve">.2 were smoothed across ages using a </w:t>
      </w:r>
      <w:proofErr w:type="spellStart"/>
      <w:r>
        <w:t>Hodrick</w:t>
      </w:r>
      <w:proofErr w:type="spellEnd"/>
      <w:r>
        <w:t>-Prescott filter with λ equal to 6.25 before being used as a model input.</w:t>
      </w:r>
    </w:p>
  </w:footnote>
  <w:footnote w:id="4">
    <w:p w:rsidR="00950663" w:rsidRDefault="00950663" w:rsidP="00950663">
      <w:pPr>
        <w:pStyle w:val="FootnoteText"/>
      </w:pPr>
      <w:r w:rsidRPr="00CF487C">
        <w:rPr>
          <w:rStyle w:val="FootnoteReference"/>
        </w:rPr>
        <w:footnoteRef/>
      </w:r>
      <w:r>
        <w:tab/>
        <w:t xml:space="preserve">The involuntary retirement probabilities at age 50 were altered for some households who were not in the lowest wealth quartile. This was to ensure that the highest wealth quartiles had the lowest involuntary retirement probabilities.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tc>
        <w:tcPr>
          <w:tcW w:w="2155" w:type="dxa"/>
          <w:tcBorders>
            <w:top w:val="single" w:sz="24" w:space="0" w:color="auto"/>
          </w:tcBorders>
        </w:tcPr>
        <w:p w:rsidR="00772909" w:rsidRDefault="00772909" w:rsidP="0019293B">
          <w:pPr>
            <w:pStyle w:val="HeaderEven"/>
          </w:pPr>
        </w:p>
      </w:tc>
      <w:tc>
        <w:tcPr>
          <w:tcW w:w="6634" w:type="dxa"/>
          <w:tcBorders>
            <w:top w:val="single" w:sz="6" w:space="0" w:color="auto"/>
          </w:tcBorders>
        </w:tcPr>
        <w:p w:rsidR="00772909" w:rsidRDefault="00772909" w:rsidP="0019293B">
          <w:pPr>
            <w:pStyle w:val="HeaderEven"/>
          </w:pPr>
        </w:p>
      </w:tc>
    </w:tr>
  </w:tbl>
  <w:p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tc>
        <w:tcPr>
          <w:tcW w:w="6634" w:type="dxa"/>
          <w:tcBorders>
            <w:top w:val="single" w:sz="6" w:space="0" w:color="auto"/>
          </w:tcBorders>
        </w:tcPr>
        <w:p w:rsidR="00772909" w:rsidRDefault="00772909" w:rsidP="00E669E2">
          <w:pPr>
            <w:pStyle w:val="HeaderOdd"/>
          </w:pPr>
        </w:p>
      </w:tc>
      <w:tc>
        <w:tcPr>
          <w:tcW w:w="2155" w:type="dxa"/>
          <w:tcBorders>
            <w:top w:val="single" w:sz="24" w:space="0" w:color="auto"/>
          </w:tcBorders>
        </w:tcPr>
        <w:p w:rsidR="00772909" w:rsidRDefault="00772909" w:rsidP="00E669E2">
          <w:pPr>
            <w:pStyle w:val="HeaderOdd"/>
          </w:pPr>
        </w:p>
      </w:tc>
    </w:tr>
  </w:tbl>
  <w:p w:rsidR="00772909" w:rsidRDefault="0077290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Projection module: data sources and methodology"/>
    <w:docVar w:name="ShortReportTitle" w:val="Superannuation Policy for Post-Retirement: Modelling supplement"/>
  </w:docVars>
  <w:rsids>
    <w:rsidRoot w:val="003058E0"/>
    <w:rsid w:val="000164B0"/>
    <w:rsid w:val="000227D5"/>
    <w:rsid w:val="000245AA"/>
    <w:rsid w:val="0003664B"/>
    <w:rsid w:val="0004111F"/>
    <w:rsid w:val="00055077"/>
    <w:rsid w:val="000565B3"/>
    <w:rsid w:val="00065B17"/>
    <w:rsid w:val="0007150B"/>
    <w:rsid w:val="000938F5"/>
    <w:rsid w:val="00095663"/>
    <w:rsid w:val="00096E55"/>
    <w:rsid w:val="0009783E"/>
    <w:rsid w:val="000A3FD3"/>
    <w:rsid w:val="000B1022"/>
    <w:rsid w:val="000B601B"/>
    <w:rsid w:val="000C207E"/>
    <w:rsid w:val="000D41E9"/>
    <w:rsid w:val="000F0035"/>
    <w:rsid w:val="000F04E7"/>
    <w:rsid w:val="000F060A"/>
    <w:rsid w:val="000F420B"/>
    <w:rsid w:val="00110116"/>
    <w:rsid w:val="00120072"/>
    <w:rsid w:val="00126EB8"/>
    <w:rsid w:val="001274D4"/>
    <w:rsid w:val="001363AA"/>
    <w:rsid w:val="0013739A"/>
    <w:rsid w:val="00142165"/>
    <w:rsid w:val="00162434"/>
    <w:rsid w:val="00183E82"/>
    <w:rsid w:val="001878BB"/>
    <w:rsid w:val="00191AE0"/>
    <w:rsid w:val="0019293B"/>
    <w:rsid w:val="0019426B"/>
    <w:rsid w:val="00195C53"/>
    <w:rsid w:val="001A6A4B"/>
    <w:rsid w:val="001C0865"/>
    <w:rsid w:val="001C0AED"/>
    <w:rsid w:val="001C3ABA"/>
    <w:rsid w:val="001C5111"/>
    <w:rsid w:val="001E5498"/>
    <w:rsid w:val="001E7BE8"/>
    <w:rsid w:val="001F0248"/>
    <w:rsid w:val="001F3EB3"/>
    <w:rsid w:val="001F4F86"/>
    <w:rsid w:val="00202C2C"/>
    <w:rsid w:val="00203050"/>
    <w:rsid w:val="002135AB"/>
    <w:rsid w:val="002144BE"/>
    <w:rsid w:val="00234809"/>
    <w:rsid w:val="00242279"/>
    <w:rsid w:val="00243997"/>
    <w:rsid w:val="0024516C"/>
    <w:rsid w:val="00245C82"/>
    <w:rsid w:val="002724BA"/>
    <w:rsid w:val="00287A49"/>
    <w:rsid w:val="00291B40"/>
    <w:rsid w:val="002B4008"/>
    <w:rsid w:val="002C439F"/>
    <w:rsid w:val="002D0C42"/>
    <w:rsid w:val="002D0E8E"/>
    <w:rsid w:val="00301189"/>
    <w:rsid w:val="00301E4A"/>
    <w:rsid w:val="003058E0"/>
    <w:rsid w:val="003168B8"/>
    <w:rsid w:val="00322D64"/>
    <w:rsid w:val="00323E09"/>
    <w:rsid w:val="00333932"/>
    <w:rsid w:val="00336EB5"/>
    <w:rsid w:val="003518AA"/>
    <w:rsid w:val="00352165"/>
    <w:rsid w:val="00353182"/>
    <w:rsid w:val="003565D9"/>
    <w:rsid w:val="003602E1"/>
    <w:rsid w:val="003643DA"/>
    <w:rsid w:val="0037026F"/>
    <w:rsid w:val="00371240"/>
    <w:rsid w:val="00374731"/>
    <w:rsid w:val="00376E59"/>
    <w:rsid w:val="00377EC1"/>
    <w:rsid w:val="00380340"/>
    <w:rsid w:val="003919F9"/>
    <w:rsid w:val="003920CF"/>
    <w:rsid w:val="003A2D26"/>
    <w:rsid w:val="003B1248"/>
    <w:rsid w:val="003B23C2"/>
    <w:rsid w:val="003C38B5"/>
    <w:rsid w:val="003C5D99"/>
    <w:rsid w:val="003D1087"/>
    <w:rsid w:val="003E2F59"/>
    <w:rsid w:val="003E3EB1"/>
    <w:rsid w:val="003E746B"/>
    <w:rsid w:val="003F0789"/>
    <w:rsid w:val="00401882"/>
    <w:rsid w:val="00405718"/>
    <w:rsid w:val="004100C8"/>
    <w:rsid w:val="00411DBD"/>
    <w:rsid w:val="00412ACE"/>
    <w:rsid w:val="004145D2"/>
    <w:rsid w:val="0042151C"/>
    <w:rsid w:val="00426CB4"/>
    <w:rsid w:val="00431249"/>
    <w:rsid w:val="00434C19"/>
    <w:rsid w:val="00435F01"/>
    <w:rsid w:val="00450810"/>
    <w:rsid w:val="00462C59"/>
    <w:rsid w:val="00470737"/>
    <w:rsid w:val="00477144"/>
    <w:rsid w:val="00491380"/>
    <w:rsid w:val="0049459F"/>
    <w:rsid w:val="004A38DD"/>
    <w:rsid w:val="004B43AE"/>
    <w:rsid w:val="004B628B"/>
    <w:rsid w:val="004C30ED"/>
    <w:rsid w:val="004D5675"/>
    <w:rsid w:val="00517795"/>
    <w:rsid w:val="00523639"/>
    <w:rsid w:val="00531FE5"/>
    <w:rsid w:val="005402FA"/>
    <w:rsid w:val="00565722"/>
    <w:rsid w:val="005729BD"/>
    <w:rsid w:val="00580154"/>
    <w:rsid w:val="00583C39"/>
    <w:rsid w:val="00586A90"/>
    <w:rsid w:val="00587F28"/>
    <w:rsid w:val="005909CF"/>
    <w:rsid w:val="00591E71"/>
    <w:rsid w:val="005A0D41"/>
    <w:rsid w:val="005D329F"/>
    <w:rsid w:val="005F48ED"/>
    <w:rsid w:val="00606E78"/>
    <w:rsid w:val="00607BF1"/>
    <w:rsid w:val="00625E0C"/>
    <w:rsid w:val="00630D4D"/>
    <w:rsid w:val="00632A74"/>
    <w:rsid w:val="00654D42"/>
    <w:rsid w:val="00666E02"/>
    <w:rsid w:val="0067760A"/>
    <w:rsid w:val="006A4655"/>
    <w:rsid w:val="006B2B3C"/>
    <w:rsid w:val="006C1D81"/>
    <w:rsid w:val="006C7038"/>
    <w:rsid w:val="006E73EF"/>
    <w:rsid w:val="007079C9"/>
    <w:rsid w:val="00714D4D"/>
    <w:rsid w:val="007266D3"/>
    <w:rsid w:val="00732029"/>
    <w:rsid w:val="007604BB"/>
    <w:rsid w:val="00772909"/>
    <w:rsid w:val="00775BE8"/>
    <w:rsid w:val="00785232"/>
    <w:rsid w:val="0079701E"/>
    <w:rsid w:val="007A21EB"/>
    <w:rsid w:val="007B1A93"/>
    <w:rsid w:val="007C36C9"/>
    <w:rsid w:val="007D6401"/>
    <w:rsid w:val="007E01E4"/>
    <w:rsid w:val="007E7A12"/>
    <w:rsid w:val="007F7107"/>
    <w:rsid w:val="00800D4C"/>
    <w:rsid w:val="0081030F"/>
    <w:rsid w:val="00812F4A"/>
    <w:rsid w:val="0082087D"/>
    <w:rsid w:val="00835471"/>
    <w:rsid w:val="00835771"/>
    <w:rsid w:val="00842933"/>
    <w:rsid w:val="0086082C"/>
    <w:rsid w:val="00864ADC"/>
    <w:rsid w:val="00880153"/>
    <w:rsid w:val="00880F97"/>
    <w:rsid w:val="0088133A"/>
    <w:rsid w:val="0089285E"/>
    <w:rsid w:val="0089436C"/>
    <w:rsid w:val="008D365C"/>
    <w:rsid w:val="008D7622"/>
    <w:rsid w:val="009021A6"/>
    <w:rsid w:val="009030BF"/>
    <w:rsid w:val="00903B52"/>
    <w:rsid w:val="0091032F"/>
    <w:rsid w:val="00914368"/>
    <w:rsid w:val="00931076"/>
    <w:rsid w:val="009345D9"/>
    <w:rsid w:val="00934B15"/>
    <w:rsid w:val="00940C87"/>
    <w:rsid w:val="00942B62"/>
    <w:rsid w:val="00950663"/>
    <w:rsid w:val="0095323B"/>
    <w:rsid w:val="00956A0C"/>
    <w:rsid w:val="00956BD9"/>
    <w:rsid w:val="00962489"/>
    <w:rsid w:val="00967CD3"/>
    <w:rsid w:val="00990C2C"/>
    <w:rsid w:val="009A5171"/>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B0681"/>
    <w:rsid w:val="00AC3A15"/>
    <w:rsid w:val="00AD520B"/>
    <w:rsid w:val="00AE3BCC"/>
    <w:rsid w:val="00B425C3"/>
    <w:rsid w:val="00B440AD"/>
    <w:rsid w:val="00B479BB"/>
    <w:rsid w:val="00B53E7E"/>
    <w:rsid w:val="00B6342E"/>
    <w:rsid w:val="00B7113F"/>
    <w:rsid w:val="00BA2094"/>
    <w:rsid w:val="00BA2BCF"/>
    <w:rsid w:val="00BA5B14"/>
    <w:rsid w:val="00BA73B6"/>
    <w:rsid w:val="00BA7E27"/>
    <w:rsid w:val="00BB2603"/>
    <w:rsid w:val="00BB4FCD"/>
    <w:rsid w:val="00BC04E9"/>
    <w:rsid w:val="00BD13EA"/>
    <w:rsid w:val="00BE16A2"/>
    <w:rsid w:val="00BE1D25"/>
    <w:rsid w:val="00BE3808"/>
    <w:rsid w:val="00C03B88"/>
    <w:rsid w:val="00C062E9"/>
    <w:rsid w:val="00C07B64"/>
    <w:rsid w:val="00C13721"/>
    <w:rsid w:val="00C14FE4"/>
    <w:rsid w:val="00C3066D"/>
    <w:rsid w:val="00C52416"/>
    <w:rsid w:val="00C543F4"/>
    <w:rsid w:val="00C566CC"/>
    <w:rsid w:val="00C6291C"/>
    <w:rsid w:val="00C633CB"/>
    <w:rsid w:val="00C664CD"/>
    <w:rsid w:val="00C736B7"/>
    <w:rsid w:val="00C81D4A"/>
    <w:rsid w:val="00C8762C"/>
    <w:rsid w:val="00CA00F9"/>
    <w:rsid w:val="00CA2961"/>
    <w:rsid w:val="00CA3914"/>
    <w:rsid w:val="00CB50D7"/>
    <w:rsid w:val="00CB7177"/>
    <w:rsid w:val="00CB7CED"/>
    <w:rsid w:val="00CC070F"/>
    <w:rsid w:val="00CC1998"/>
    <w:rsid w:val="00CC4946"/>
    <w:rsid w:val="00CC64A1"/>
    <w:rsid w:val="00CF3B11"/>
    <w:rsid w:val="00CF487C"/>
    <w:rsid w:val="00CF766C"/>
    <w:rsid w:val="00D207A5"/>
    <w:rsid w:val="00D270A4"/>
    <w:rsid w:val="00D31FE9"/>
    <w:rsid w:val="00D34E1B"/>
    <w:rsid w:val="00D376BA"/>
    <w:rsid w:val="00D434A0"/>
    <w:rsid w:val="00D45634"/>
    <w:rsid w:val="00D54F7E"/>
    <w:rsid w:val="00D5568A"/>
    <w:rsid w:val="00D63D73"/>
    <w:rsid w:val="00D64452"/>
    <w:rsid w:val="00D66E1E"/>
    <w:rsid w:val="00D70696"/>
    <w:rsid w:val="00D75722"/>
    <w:rsid w:val="00D80CF5"/>
    <w:rsid w:val="00D94424"/>
    <w:rsid w:val="00DA5BBA"/>
    <w:rsid w:val="00DA69A1"/>
    <w:rsid w:val="00DA7A91"/>
    <w:rsid w:val="00DB26D2"/>
    <w:rsid w:val="00DB67C9"/>
    <w:rsid w:val="00DB7087"/>
    <w:rsid w:val="00DC0C95"/>
    <w:rsid w:val="00DC4F0B"/>
    <w:rsid w:val="00DD6580"/>
    <w:rsid w:val="00DF550A"/>
    <w:rsid w:val="00E01D7F"/>
    <w:rsid w:val="00E05C03"/>
    <w:rsid w:val="00E17C72"/>
    <w:rsid w:val="00E21FC6"/>
    <w:rsid w:val="00E431A9"/>
    <w:rsid w:val="00E669E2"/>
    <w:rsid w:val="00E76135"/>
    <w:rsid w:val="00E820FB"/>
    <w:rsid w:val="00E82F4F"/>
    <w:rsid w:val="00E864DF"/>
    <w:rsid w:val="00EA7C96"/>
    <w:rsid w:val="00EB2CC3"/>
    <w:rsid w:val="00EC2844"/>
    <w:rsid w:val="00EC5500"/>
    <w:rsid w:val="00ED129F"/>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annotation reference"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058E0"/>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3058E0"/>
  </w:style>
  <w:style w:type="character" w:customStyle="1" w:styleId="CommentTextChar">
    <w:name w:val="Comment Text Char"/>
    <w:basedOn w:val="DefaultParagraphFont"/>
    <w:link w:val="CommentText"/>
    <w:uiPriority w:val="99"/>
    <w:semiHidden/>
    <w:rsid w:val="003058E0"/>
    <w:rPr>
      <w:szCs w:val="24"/>
    </w:rPr>
  </w:style>
  <w:style w:type="paragraph" w:styleId="Bibliography">
    <w:name w:val="Bibliography"/>
    <w:basedOn w:val="Normal"/>
    <w:next w:val="Normal"/>
    <w:uiPriority w:val="37"/>
    <w:unhideWhenUsed/>
    <w:rsid w:val="00336EB5"/>
    <w:pPr>
      <w:spacing w:after="240"/>
      <w:ind w:left="720" w:hanging="720"/>
    </w:pPr>
  </w:style>
  <w:style w:type="character" w:styleId="EndnoteReference">
    <w:name w:val="endnote reference"/>
    <w:basedOn w:val="DefaultParagraphFont"/>
    <w:rsid w:val="00CF48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annotation reference"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058E0"/>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3058E0"/>
  </w:style>
  <w:style w:type="character" w:customStyle="1" w:styleId="CommentTextChar">
    <w:name w:val="Comment Text Char"/>
    <w:basedOn w:val="DefaultParagraphFont"/>
    <w:link w:val="CommentText"/>
    <w:uiPriority w:val="99"/>
    <w:semiHidden/>
    <w:rsid w:val="003058E0"/>
    <w:rPr>
      <w:szCs w:val="24"/>
    </w:rPr>
  </w:style>
  <w:style w:type="paragraph" w:styleId="Bibliography">
    <w:name w:val="Bibliography"/>
    <w:basedOn w:val="Normal"/>
    <w:next w:val="Normal"/>
    <w:uiPriority w:val="37"/>
    <w:unhideWhenUsed/>
    <w:rsid w:val="00336EB5"/>
    <w:pPr>
      <w:spacing w:after="240"/>
      <w:ind w:left="720" w:hanging="720"/>
    </w:pPr>
  </w:style>
  <w:style w:type="character" w:styleId="EndnoteReference">
    <w:name w:val="endnote reference"/>
    <w:basedOn w:val="DefaultParagraphFont"/>
    <w:rsid w:val="00CF4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64B4E-80BF-4AF3-BFE6-947857FAF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4</Pages>
  <Words>1089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Projection module: data sources and methodology</vt:lpstr>
    </vt:vector>
  </TitlesOfParts>
  <Company>Productivity Commission</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Projection module: data sources and methodology</dc:title>
  <dc:subject>Superannuation Policy for Post-Retirement: Modelling supplement</dc:subject>
  <dc:creator>Productivity Commission</dc:creator>
  <dc:description>3.</dc:description>
  <cp:lastModifiedBy>Productivity Commission</cp:lastModifiedBy>
  <cp:revision>2</cp:revision>
  <cp:lastPrinted>2015-07-01T22:16:00Z</cp:lastPrinted>
  <dcterms:created xsi:type="dcterms:W3CDTF">2015-07-02T04:18:00Z</dcterms:created>
  <dcterms:modified xsi:type="dcterms:W3CDTF">2015-07-02T04:18:00Z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id="jdL7pBpY"/&gt;&lt;style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