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Default="00ED6F8F" w:rsidP="00ED6F8F">
      <w:pPr>
        <w:pStyle w:val="Heading1"/>
        <w:spacing w:before="0"/>
      </w:pPr>
      <w:bookmarkStart w:id="0" w:name="ChapterNumber"/>
      <w:bookmarkStart w:id="1" w:name="_GoBack"/>
      <w:bookmarkEnd w:id="1"/>
      <w:r>
        <w:t>4</w:t>
      </w:r>
      <w:bookmarkEnd w:id="0"/>
      <w:r>
        <w:tab/>
      </w:r>
      <w:bookmarkStart w:id="2" w:name="ChapterTitle"/>
      <w:r>
        <w:t>The calibration process</w:t>
      </w:r>
      <w:bookmarkEnd w:id="2"/>
    </w:p>
    <w:p w:rsidR="00ED6F8F" w:rsidRDefault="00ED6F8F" w:rsidP="00ED6F8F">
      <w:pPr>
        <w:pStyle w:val="BodyText"/>
      </w:pPr>
      <w:bookmarkStart w:id="3" w:name="begin"/>
      <w:bookmarkEnd w:id="3"/>
      <w:r>
        <w:t xml:space="preserve">As part of its research </w:t>
      </w:r>
      <w:r w:rsidRPr="00BC2A49">
        <w:t>on Superannuation Policy for Post</w:t>
      </w:r>
      <w:r w:rsidR="00892797">
        <w:noBreakHyphen/>
      </w:r>
      <w:r w:rsidRPr="00BC2A49">
        <w:t>Retirement the Co</w:t>
      </w:r>
      <w:r>
        <w:t>mmission has developed a model — referred to as the Productivity Commission Retirement Model (</w:t>
      </w:r>
      <w:r w:rsidRPr="006E00CA">
        <w:t>PCRM)</w:t>
      </w:r>
      <w:r>
        <w:t xml:space="preserve"> — to assess the effects of increasing the preservation age. The PCRM can be described as a ‘behavioural microsimulation’ model. Behavioural microsimulation models seek to simulate individual or household level decisions, and are commonly used within an economic framework to assess the impact of policy changes (such as changes in tax and benefits) on governments’ fiscal positions and on labour supply. They are particularly useful where there is a wide variety of decision makers</w:t>
      </w:r>
      <w:r w:rsidR="0083244E">
        <w:t>, and where</w:t>
      </w:r>
      <w:r>
        <w:t xml:space="preserve"> complex policy changes are likely to impact these different decision makers in different ways.</w:t>
      </w:r>
    </w:p>
    <w:p w:rsidR="001B5C55" w:rsidRDefault="00ED6F8F" w:rsidP="00841287">
      <w:pPr>
        <w:pStyle w:val="BodyText"/>
      </w:pPr>
      <w:r>
        <w:t xml:space="preserve">The role of this </w:t>
      </w:r>
      <w:r w:rsidR="00FC2F88">
        <w:t xml:space="preserve">paper </w:t>
      </w:r>
      <w:r>
        <w:t xml:space="preserve">is to outline the </w:t>
      </w:r>
      <w:r w:rsidR="001B5C55">
        <w:t xml:space="preserve">process by which PCRM was </w:t>
      </w:r>
      <w:r>
        <w:t>calibrat</w:t>
      </w:r>
      <w:r w:rsidR="001B5C55">
        <w:t>ed</w:t>
      </w:r>
      <w:r>
        <w:t>.</w:t>
      </w:r>
      <w:r w:rsidR="00FC2F88">
        <w:t xml:space="preserve"> </w:t>
      </w:r>
      <w:r w:rsidR="00841287">
        <w:t xml:space="preserve">As </w:t>
      </w:r>
      <w:r>
        <w:t>discussed</w:t>
      </w:r>
      <w:r w:rsidR="00841287">
        <w:t xml:space="preserve"> in </w:t>
      </w:r>
      <w:r>
        <w:t>supplementary</w:t>
      </w:r>
      <w:r w:rsidR="00841287">
        <w:t xml:space="preserve"> paper</w:t>
      </w:r>
      <w:r>
        <w:t> 6</w:t>
      </w:r>
      <w:r w:rsidR="00841287">
        <w:t xml:space="preserve">, the </w:t>
      </w:r>
      <w:r>
        <w:t xml:space="preserve">PCRM </w:t>
      </w:r>
      <w:r w:rsidR="00841287">
        <w:t xml:space="preserve">could not be calibrated using data on households </w:t>
      </w:r>
      <w:r w:rsidR="00994156">
        <w:t>that</w:t>
      </w:r>
      <w:r w:rsidR="00841287">
        <w:t xml:space="preserve"> will be affected by a change in the preservation age. This is because younger workers today (who would be affected by a preservation age change) have not yet reached retirement age. </w:t>
      </w:r>
    </w:p>
    <w:p w:rsidR="00841287" w:rsidRDefault="00841287" w:rsidP="00841287">
      <w:pPr>
        <w:pStyle w:val="BodyText"/>
      </w:pPr>
      <w:r>
        <w:t>Instead, the model was calibrated using data on the retirement decisions of older workers and thus implicitly assumes that younger workers have the same preferences as older workers.</w:t>
      </w:r>
      <w:r w:rsidR="001B5C55">
        <w:t xml:space="preserve"> </w:t>
      </w:r>
      <w:r>
        <w:t xml:space="preserve">Data drawn from the ABS </w:t>
      </w:r>
      <w:r w:rsidRPr="00EE495F">
        <w:rPr>
          <w:i/>
        </w:rPr>
        <w:t>Survey of Income and Housing</w:t>
      </w:r>
      <w:r>
        <w:t xml:space="preserve"> </w:t>
      </w:r>
      <w:r w:rsidR="001B5C55">
        <w:t xml:space="preserve">(SIH) </w:t>
      </w:r>
      <w:r>
        <w:t>on the proportion of individuals who were in the labour force after age 50 were used in the calibration process. For couple households, individuals were only considered to be retired when both members of the couple were out of the labour force.</w:t>
      </w:r>
      <w:r w:rsidRPr="00D17E36">
        <w:rPr>
          <w:rStyle w:val="FootnoteReference"/>
        </w:rPr>
        <w:footnoteReference w:id="1"/>
      </w:r>
      <w:r>
        <w:t xml:space="preserve"> Utility function parameters were varied so that the retirement age profile for 50 year olds (assuming no future changes to current policy settings) produced by the PCRM was similar to the retirement age profile from the SIH. A comparison between the model output and the data are presented in </w:t>
      </w:r>
      <w:r w:rsidR="00892797">
        <w:t>f</w:t>
      </w:r>
      <w:r>
        <w:t>igure </w:t>
      </w:r>
      <w:r w:rsidR="00ED6F8F" w:rsidRPr="00ED6F8F">
        <w:t>4.1</w:t>
      </w:r>
      <w:r>
        <w:t>. Table</w:t>
      </w:r>
      <w:r w:rsidR="001B5C55">
        <w:t> 4.1</w:t>
      </w:r>
      <w:r>
        <w:t xml:space="preserve"> presents the calibrated values of the parameters. </w:t>
      </w:r>
    </w:p>
    <w:p w:rsidR="00841287" w:rsidRDefault="00841287" w:rsidP="00841287">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4A0" w:firstRow="1" w:lastRow="0" w:firstColumn="1" w:lastColumn="0" w:noHBand="0" w:noVBand="1"/>
      </w:tblPr>
      <w:tblGrid>
        <w:gridCol w:w="8771"/>
      </w:tblGrid>
      <w:tr w:rsidR="00841287" w:rsidTr="00D414E1">
        <w:tc>
          <w:tcPr>
            <w:tcW w:w="8771" w:type="dxa"/>
            <w:tcBorders>
              <w:top w:val="single" w:sz="6" w:space="0" w:color="78A22F"/>
              <w:left w:val="nil"/>
              <w:bottom w:val="nil"/>
              <w:right w:val="nil"/>
            </w:tcBorders>
            <w:hideMark/>
          </w:tcPr>
          <w:p w:rsidR="00841287" w:rsidRDefault="00841287" w:rsidP="003C1794">
            <w:pPr>
              <w:pStyle w:val="FigureTitle"/>
            </w:pPr>
            <w:r>
              <w:rPr>
                <w:b w:val="0"/>
              </w:rPr>
              <w:t>Figure</w:t>
            </w:r>
            <w:r w:rsidRPr="00784A05">
              <w:rPr>
                <w:b w:val="0"/>
              </w:rPr>
              <w:t xml:space="preserve"> </w:t>
            </w:r>
            <w:r w:rsidR="00ED6F8F">
              <w:rPr>
                <w:b w:val="0"/>
              </w:rPr>
              <w:t>4.</w:t>
            </w:r>
            <w:r w:rsidR="00ED6F8F">
              <w:rPr>
                <w:b w:val="0"/>
                <w:noProof/>
              </w:rPr>
              <w:t>1</w:t>
            </w:r>
            <w:r>
              <w:tab/>
              <w:t>Comparison of retirement distributions — PCRM and SIH</w:t>
            </w:r>
          </w:p>
        </w:tc>
      </w:tr>
      <w:tr w:rsidR="00841287" w:rsidTr="00D414E1">
        <w:tc>
          <w:tcPr>
            <w:tcW w:w="8771" w:type="dxa"/>
            <w:tcBorders>
              <w:top w:val="nil"/>
              <w:left w:val="nil"/>
              <w:bottom w:val="nil"/>
              <w:right w:val="nil"/>
            </w:tcBorders>
            <w:tcMar>
              <w:top w:w="28" w:type="dxa"/>
              <w:left w:w="142" w:type="dxa"/>
              <w:bottom w:w="28" w:type="dxa"/>
              <w:right w:w="142" w:type="dxa"/>
            </w:tcMar>
            <w:hideMark/>
          </w:tcPr>
          <w:tbl>
            <w:tblPr>
              <w:tblW w:w="8505" w:type="dxa"/>
              <w:jc w:val="center"/>
              <w:tblBorders>
                <w:top w:val="single" w:sz="6" w:space="0" w:color="F2F2F2" w:themeColor="accent4"/>
                <w:bottom w:val="single" w:sz="6" w:space="0" w:color="F2F2F2" w:themeColor="accent4"/>
              </w:tblBorders>
              <w:tblLayout w:type="fixed"/>
              <w:tblCellMar>
                <w:top w:w="28" w:type="dxa"/>
              </w:tblCellMar>
              <w:tblLook w:val="04A0" w:firstRow="1" w:lastRow="0" w:firstColumn="1" w:lastColumn="0" w:noHBand="0" w:noVBand="1"/>
            </w:tblPr>
            <w:tblGrid>
              <w:gridCol w:w="8505"/>
            </w:tblGrid>
            <w:tr w:rsidR="00841287" w:rsidTr="0090022A">
              <w:trPr>
                <w:jc w:val="center"/>
              </w:trPr>
              <w:tc>
                <w:tcPr>
                  <w:tcW w:w="8505" w:type="dxa"/>
                  <w:tcBorders>
                    <w:top w:val="nil"/>
                    <w:left w:val="nil"/>
                    <w:bottom w:val="nil"/>
                    <w:right w:val="nil"/>
                  </w:tcBorders>
                  <w:hideMark/>
                </w:tcPr>
                <w:p w:rsidR="00841287" w:rsidRDefault="00537361" w:rsidP="00D414E1">
                  <w:pPr>
                    <w:pStyle w:val="Figure"/>
                    <w:spacing w:before="60" w:after="60"/>
                  </w:pPr>
                  <w:r>
                    <w:rPr>
                      <w:noProof/>
                    </w:rPr>
                    <w:drawing>
                      <wp:inline distT="0" distB="0" distL="0" distR="0" wp14:anchorId="2C2F46A6" wp14:editId="2CB622D3">
                        <wp:extent cx="5263515" cy="2799080"/>
                        <wp:effectExtent l="0" t="0" r="0" b="1270"/>
                        <wp:docPr id="3" name="Picture 3" descr="Figure 4.1 comparison of retirement distributions — PCRM and SIH. A two line graph which illustrates difference between proportion of population classified as retired using data drawn from Survey of Income and Housing 2011 – 2012 compared to the calibrated  PCRM out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63515" cy="2799080"/>
                                </a:xfrm>
                                <a:prstGeom prst="rect">
                                  <a:avLst/>
                                </a:prstGeom>
                                <a:noFill/>
                                <a:ln>
                                  <a:noFill/>
                                </a:ln>
                              </pic:spPr>
                            </pic:pic>
                          </a:graphicData>
                        </a:graphic>
                      </wp:inline>
                    </w:drawing>
                  </w:r>
                </w:p>
              </w:tc>
            </w:tr>
          </w:tbl>
          <w:p w:rsidR="00841287" w:rsidRDefault="00841287" w:rsidP="00D414E1">
            <w:pPr>
              <w:pStyle w:val="Figure"/>
            </w:pPr>
          </w:p>
        </w:tc>
      </w:tr>
      <w:tr w:rsidR="00841287" w:rsidTr="00D414E1">
        <w:tc>
          <w:tcPr>
            <w:tcW w:w="8771" w:type="dxa"/>
            <w:tcBorders>
              <w:top w:val="nil"/>
              <w:left w:val="nil"/>
              <w:bottom w:val="nil"/>
              <w:right w:val="nil"/>
            </w:tcBorders>
            <w:hideMark/>
          </w:tcPr>
          <w:p w:rsidR="00841287" w:rsidRDefault="00841287" w:rsidP="00D414E1">
            <w:pPr>
              <w:pStyle w:val="Source"/>
            </w:pPr>
            <w:r>
              <w:rPr>
                <w:i/>
              </w:rPr>
              <w:t>Data source</w:t>
            </w:r>
            <w:r>
              <w:t xml:space="preserve">: </w:t>
            </w:r>
            <w:r w:rsidR="00FC2F88" w:rsidRPr="00F356B5">
              <w:t>Commission estimates based on ABS (</w:t>
            </w:r>
            <w:r w:rsidR="00FC2F88" w:rsidRPr="00F356B5">
              <w:rPr>
                <w:i/>
              </w:rPr>
              <w:t>Survey of Income and Housing, 2011</w:t>
            </w:r>
            <w:r w:rsidR="00FC2F88">
              <w:rPr>
                <w:i/>
              </w:rPr>
              <w:noBreakHyphen/>
            </w:r>
            <w:r w:rsidR="00FC2F88" w:rsidRPr="00F356B5">
              <w:rPr>
                <w:i/>
              </w:rPr>
              <w:t>12</w:t>
            </w:r>
            <w:r w:rsidR="00FC2F88">
              <w:t>, Cat. no. </w:t>
            </w:r>
            <w:r w:rsidR="00FC2F88" w:rsidRPr="00F356B5">
              <w:t>6553.0, basic CURF)</w:t>
            </w:r>
            <w:r w:rsidR="00FC2F88">
              <w:t>.</w:t>
            </w:r>
          </w:p>
        </w:tc>
      </w:tr>
      <w:tr w:rsidR="00841287" w:rsidTr="00D414E1">
        <w:tc>
          <w:tcPr>
            <w:tcW w:w="8771" w:type="dxa"/>
            <w:tcBorders>
              <w:top w:val="nil"/>
              <w:left w:val="nil"/>
              <w:bottom w:val="single" w:sz="6" w:space="0" w:color="78A22F"/>
              <w:right w:val="nil"/>
            </w:tcBorders>
          </w:tcPr>
          <w:p w:rsidR="00841287" w:rsidRDefault="00841287" w:rsidP="00D414E1">
            <w:pPr>
              <w:pStyle w:val="Figurespace"/>
            </w:pPr>
          </w:p>
        </w:tc>
      </w:tr>
      <w:tr w:rsidR="00841287" w:rsidTr="00D414E1">
        <w:tc>
          <w:tcPr>
            <w:tcW w:w="8771" w:type="dxa"/>
            <w:tcBorders>
              <w:top w:val="single" w:sz="6" w:space="0" w:color="78A22F"/>
              <w:left w:val="nil"/>
              <w:bottom w:val="nil"/>
              <w:right w:val="nil"/>
            </w:tcBorders>
            <w:hideMark/>
          </w:tcPr>
          <w:p w:rsidR="00841287" w:rsidRDefault="00841287" w:rsidP="00D414E1">
            <w:pPr>
              <w:pStyle w:val="BoxSpaceBelow"/>
            </w:pPr>
          </w:p>
        </w:tc>
      </w:tr>
    </w:tbl>
    <w:p w:rsidR="00841287" w:rsidRDefault="00841287" w:rsidP="00841287">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841287" w:rsidTr="00D414E1">
        <w:tc>
          <w:tcPr>
            <w:tcW w:w="8771" w:type="dxa"/>
            <w:tcBorders>
              <w:top w:val="single" w:sz="6" w:space="0" w:color="78A22F"/>
              <w:left w:val="nil"/>
              <w:bottom w:val="nil"/>
              <w:right w:val="nil"/>
            </w:tcBorders>
            <w:shd w:val="clear" w:color="auto" w:fill="auto"/>
          </w:tcPr>
          <w:p w:rsidR="00841287" w:rsidRPr="00784A05" w:rsidRDefault="00841287" w:rsidP="00D414E1">
            <w:pPr>
              <w:pStyle w:val="TableTitle"/>
            </w:pPr>
            <w:r>
              <w:rPr>
                <w:b w:val="0"/>
              </w:rPr>
              <w:t xml:space="preserve">Table </w:t>
            </w:r>
            <w:bookmarkStart w:id="4" w:name="OLE_LINK19"/>
            <w:r w:rsidR="00ED6F8F">
              <w:rPr>
                <w:b w:val="0"/>
              </w:rPr>
              <w:t>4.</w:t>
            </w:r>
            <w:r w:rsidR="00ED6F8F">
              <w:rPr>
                <w:b w:val="0"/>
                <w:noProof/>
              </w:rPr>
              <w:t>1</w:t>
            </w:r>
            <w:bookmarkEnd w:id="4"/>
            <w:r>
              <w:tab/>
              <w:t>Calibrated parameters</w:t>
            </w:r>
          </w:p>
        </w:tc>
      </w:tr>
      <w:tr w:rsidR="00841287" w:rsidTr="00D414E1">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395"/>
              <w:gridCol w:w="4264"/>
              <w:gridCol w:w="2828"/>
            </w:tblGrid>
            <w:tr w:rsidR="00841287" w:rsidTr="00D414E1">
              <w:tc>
                <w:tcPr>
                  <w:tcW w:w="822" w:type="pct"/>
                  <w:tcBorders>
                    <w:top w:val="single" w:sz="6" w:space="0" w:color="BFBFBF"/>
                    <w:bottom w:val="single" w:sz="6" w:space="0" w:color="BFBFBF"/>
                  </w:tcBorders>
                  <w:shd w:val="clear" w:color="auto" w:fill="auto"/>
                  <w:tcMar>
                    <w:top w:w="28" w:type="dxa"/>
                  </w:tcMar>
                </w:tcPr>
                <w:p w:rsidR="00841287" w:rsidRDefault="00841287" w:rsidP="00D414E1">
                  <w:pPr>
                    <w:pStyle w:val="TableColumnHeading"/>
                    <w:jc w:val="left"/>
                  </w:pPr>
                  <w:r>
                    <w:t>Parameter</w:t>
                  </w:r>
                </w:p>
              </w:tc>
              <w:tc>
                <w:tcPr>
                  <w:tcW w:w="2512" w:type="pct"/>
                  <w:tcBorders>
                    <w:top w:val="single" w:sz="6" w:space="0" w:color="BFBFBF"/>
                    <w:bottom w:val="single" w:sz="6" w:space="0" w:color="BFBFBF"/>
                  </w:tcBorders>
                  <w:shd w:val="clear" w:color="auto" w:fill="auto"/>
                  <w:tcMar>
                    <w:top w:w="28" w:type="dxa"/>
                  </w:tcMar>
                </w:tcPr>
                <w:p w:rsidR="00841287" w:rsidRDefault="00841287" w:rsidP="00D414E1">
                  <w:pPr>
                    <w:pStyle w:val="TableColumnHeading"/>
                  </w:pPr>
                  <w:r>
                    <w:t>Parameter description</w:t>
                  </w:r>
                </w:p>
              </w:tc>
              <w:tc>
                <w:tcPr>
                  <w:tcW w:w="1666" w:type="pct"/>
                  <w:tcBorders>
                    <w:top w:val="single" w:sz="6" w:space="0" w:color="BFBFBF"/>
                    <w:bottom w:val="single" w:sz="6" w:space="0" w:color="BFBFBF"/>
                  </w:tcBorders>
                  <w:shd w:val="clear" w:color="auto" w:fill="auto"/>
                  <w:tcMar>
                    <w:top w:w="28" w:type="dxa"/>
                  </w:tcMar>
                </w:tcPr>
                <w:p w:rsidR="00841287" w:rsidRDefault="00841287" w:rsidP="00D414E1">
                  <w:pPr>
                    <w:pStyle w:val="TableColumnHeading"/>
                    <w:ind w:right="28"/>
                  </w:pPr>
                  <w:r>
                    <w:t xml:space="preserve">Parameter value </w:t>
                  </w:r>
                </w:p>
              </w:tc>
            </w:tr>
            <w:tr w:rsidR="00841287" w:rsidTr="00D414E1">
              <w:tc>
                <w:tcPr>
                  <w:tcW w:w="822" w:type="pct"/>
                </w:tcPr>
                <w:p w:rsidR="00841287" w:rsidRPr="0055565A" w:rsidRDefault="00841287" w:rsidP="00D414E1">
                  <w:pPr>
                    <w:pStyle w:val="TableBodyText"/>
                    <w:jc w:val="left"/>
                    <w:rPr>
                      <w:rFonts w:ascii="Times New Roman" w:hAnsi="Times New Roman"/>
                      <w:sz w:val="20"/>
                    </w:rPr>
                  </w:pPr>
                  <w:r w:rsidRPr="0055565A">
                    <w:rPr>
                      <w:rFonts w:ascii="Times New Roman" w:hAnsi="Times New Roman"/>
                      <w:i/>
                      <w:sz w:val="20"/>
                    </w:rPr>
                    <w:t>δ</w:t>
                  </w:r>
                </w:p>
              </w:tc>
              <w:tc>
                <w:tcPr>
                  <w:tcW w:w="2512" w:type="pct"/>
                </w:tcPr>
                <w:p w:rsidR="00841287" w:rsidRDefault="00841287" w:rsidP="00D414E1">
                  <w:pPr>
                    <w:pStyle w:val="TableBodyText"/>
                  </w:pPr>
                  <w:r>
                    <w:t>Discount rate (rate of time preference)</w:t>
                  </w:r>
                </w:p>
              </w:tc>
              <w:tc>
                <w:tcPr>
                  <w:tcW w:w="1666" w:type="pct"/>
                </w:tcPr>
                <w:p w:rsidR="00841287" w:rsidRPr="00F8796A" w:rsidRDefault="00841287" w:rsidP="00D414E1">
                  <w:pPr>
                    <w:pStyle w:val="TableBodyText"/>
                    <w:ind w:right="28"/>
                  </w:pPr>
                  <w:r w:rsidRPr="00DA6129">
                    <w:t>0.0</w:t>
                  </w:r>
                  <w:r>
                    <w:t>4</w:t>
                  </w:r>
                  <w:r w:rsidRPr="00DA6129">
                    <w:t xml:space="preserve"> </w:t>
                  </w:r>
                </w:p>
              </w:tc>
            </w:tr>
            <w:tr w:rsidR="00841287" w:rsidTr="00D414E1">
              <w:tc>
                <w:tcPr>
                  <w:tcW w:w="822" w:type="pct"/>
                </w:tcPr>
                <w:p w:rsidR="00841287" w:rsidRPr="0055565A" w:rsidRDefault="00841287" w:rsidP="00D414E1">
                  <w:pPr>
                    <w:pStyle w:val="TableBodyText"/>
                    <w:jc w:val="left"/>
                    <w:rPr>
                      <w:rFonts w:ascii="Times New Roman" w:hAnsi="Times New Roman"/>
                      <w:sz w:val="20"/>
                    </w:rPr>
                  </w:pPr>
                  <w:r w:rsidRPr="0055565A">
                    <w:rPr>
                      <w:rFonts w:ascii="Times New Roman" w:hAnsi="Times New Roman"/>
                      <w:sz w:val="20"/>
                    </w:rPr>
                    <w:t>α</w:t>
                  </w:r>
                </w:p>
              </w:tc>
              <w:tc>
                <w:tcPr>
                  <w:tcW w:w="2512" w:type="pct"/>
                </w:tcPr>
                <w:p w:rsidR="00841287" w:rsidRDefault="00841287" w:rsidP="00D414E1">
                  <w:pPr>
                    <w:pStyle w:val="TableBodyText"/>
                  </w:pPr>
                  <w:r>
                    <w:t>Base preference for non</w:t>
                  </w:r>
                  <w:r w:rsidR="00892797">
                    <w:noBreakHyphen/>
                  </w:r>
                  <w:r>
                    <w:t>work activities</w:t>
                  </w:r>
                </w:p>
              </w:tc>
              <w:tc>
                <w:tcPr>
                  <w:tcW w:w="1666" w:type="pct"/>
                </w:tcPr>
                <w:p w:rsidR="00841287" w:rsidRPr="00F8796A" w:rsidRDefault="00841287" w:rsidP="00D414E1">
                  <w:pPr>
                    <w:pStyle w:val="TableBodyText"/>
                    <w:ind w:right="28"/>
                  </w:pPr>
                  <w:r w:rsidRPr="00DA6129">
                    <w:t>0.3</w:t>
                  </w:r>
                  <w:r>
                    <w:t>85</w:t>
                  </w:r>
                </w:p>
              </w:tc>
            </w:tr>
            <w:tr w:rsidR="00841287" w:rsidTr="00D414E1">
              <w:tc>
                <w:tcPr>
                  <w:tcW w:w="822" w:type="pct"/>
                </w:tcPr>
                <w:p w:rsidR="00841287" w:rsidRPr="0055565A" w:rsidRDefault="00841287" w:rsidP="00D414E1">
                  <w:pPr>
                    <w:pStyle w:val="TableBodyText"/>
                    <w:jc w:val="left"/>
                    <w:rPr>
                      <w:rFonts w:ascii="Times New Roman" w:hAnsi="Times New Roman"/>
                      <w:sz w:val="20"/>
                    </w:rPr>
                  </w:pPr>
                  <w:r w:rsidRPr="0055565A">
                    <w:rPr>
                      <w:rFonts w:ascii="Times New Roman" w:hAnsi="Times New Roman"/>
                      <w:sz w:val="20"/>
                    </w:rPr>
                    <w:t>ρ</w:t>
                  </w:r>
                </w:p>
              </w:tc>
              <w:tc>
                <w:tcPr>
                  <w:tcW w:w="2512" w:type="pct"/>
                </w:tcPr>
                <w:p w:rsidR="00841287" w:rsidRDefault="00841287" w:rsidP="00D414E1">
                  <w:pPr>
                    <w:pStyle w:val="TableBodyText"/>
                  </w:pPr>
                  <w:r>
                    <w:t>Intra</w:t>
                  </w:r>
                  <w:r w:rsidR="00892797">
                    <w:noBreakHyphen/>
                  </w:r>
                  <w:r>
                    <w:t>temporal substitution elasticity</w:t>
                  </w:r>
                </w:p>
              </w:tc>
              <w:tc>
                <w:tcPr>
                  <w:tcW w:w="1666" w:type="pct"/>
                </w:tcPr>
                <w:p w:rsidR="00841287" w:rsidRPr="00F8796A" w:rsidRDefault="00841287" w:rsidP="00D414E1">
                  <w:pPr>
                    <w:pStyle w:val="TableBodyText"/>
                    <w:ind w:right="28"/>
                  </w:pPr>
                  <w:r w:rsidRPr="00DA6129">
                    <w:t>0.80</w:t>
                  </w:r>
                </w:p>
              </w:tc>
            </w:tr>
            <w:tr w:rsidR="00841287" w:rsidTr="00D414E1">
              <w:tc>
                <w:tcPr>
                  <w:tcW w:w="822" w:type="pct"/>
                </w:tcPr>
                <w:p w:rsidR="00841287" w:rsidRPr="0055565A" w:rsidRDefault="00841287" w:rsidP="00D414E1">
                  <w:pPr>
                    <w:pStyle w:val="TableBodyText"/>
                    <w:jc w:val="left"/>
                    <w:rPr>
                      <w:rFonts w:ascii="Times New Roman" w:hAnsi="Times New Roman"/>
                      <w:sz w:val="20"/>
                    </w:rPr>
                  </w:pPr>
                  <w:r w:rsidRPr="0055565A">
                    <w:rPr>
                      <w:rFonts w:ascii="Times New Roman" w:hAnsi="Times New Roman"/>
                      <w:sz w:val="20"/>
                    </w:rPr>
                    <w:t>β</w:t>
                  </w:r>
                </w:p>
              </w:tc>
              <w:tc>
                <w:tcPr>
                  <w:tcW w:w="2512" w:type="pct"/>
                </w:tcPr>
                <w:p w:rsidR="00841287" w:rsidRDefault="00841287" w:rsidP="00D414E1">
                  <w:pPr>
                    <w:pStyle w:val="TableBodyText"/>
                  </w:pPr>
                  <w:r>
                    <w:t>Preference for bequests</w:t>
                  </w:r>
                </w:p>
              </w:tc>
              <w:tc>
                <w:tcPr>
                  <w:tcW w:w="1666" w:type="pct"/>
                </w:tcPr>
                <w:p w:rsidR="00841287" w:rsidRPr="00F8796A" w:rsidRDefault="00841287" w:rsidP="00D414E1">
                  <w:pPr>
                    <w:pStyle w:val="TableBodyText"/>
                    <w:ind w:right="28"/>
                  </w:pPr>
                  <w:r w:rsidRPr="00DA6129">
                    <w:t>0.</w:t>
                  </w:r>
                  <w:r>
                    <w:t>65</w:t>
                  </w:r>
                </w:p>
              </w:tc>
            </w:tr>
            <w:tr w:rsidR="00841287" w:rsidTr="00FC2F88">
              <w:tc>
                <w:tcPr>
                  <w:tcW w:w="822" w:type="pct"/>
                  <w:shd w:val="clear" w:color="auto" w:fill="auto"/>
                </w:tcPr>
                <w:p w:rsidR="00841287" w:rsidRPr="0055565A" w:rsidRDefault="00841287" w:rsidP="00D414E1">
                  <w:pPr>
                    <w:pStyle w:val="TableBodyText"/>
                    <w:jc w:val="left"/>
                    <w:rPr>
                      <w:rFonts w:ascii="Times New Roman" w:hAnsi="Times New Roman"/>
                      <w:sz w:val="20"/>
                    </w:rPr>
                  </w:pPr>
                  <w:r w:rsidRPr="0055565A">
                    <w:rPr>
                      <w:rFonts w:ascii="Times New Roman" w:hAnsi="Times New Roman"/>
                      <w:sz w:val="20"/>
                    </w:rPr>
                    <w:t>ν</w:t>
                  </w:r>
                </w:p>
              </w:tc>
              <w:tc>
                <w:tcPr>
                  <w:tcW w:w="2512" w:type="pct"/>
                  <w:shd w:val="clear" w:color="auto" w:fill="auto"/>
                </w:tcPr>
                <w:p w:rsidR="00841287" w:rsidRDefault="00841287" w:rsidP="00D414E1">
                  <w:pPr>
                    <w:pStyle w:val="TableBodyText"/>
                  </w:pPr>
                  <w:r>
                    <w:t>Diminishing returns to bequests parameter</w:t>
                  </w:r>
                </w:p>
              </w:tc>
              <w:tc>
                <w:tcPr>
                  <w:tcW w:w="1666" w:type="pct"/>
                  <w:shd w:val="clear" w:color="auto" w:fill="auto"/>
                </w:tcPr>
                <w:p w:rsidR="00841287" w:rsidRPr="00F8796A" w:rsidRDefault="00841287" w:rsidP="00D414E1">
                  <w:pPr>
                    <w:pStyle w:val="TableBodyText"/>
                    <w:ind w:right="28"/>
                  </w:pPr>
                  <w:r>
                    <w:t>0.8</w:t>
                  </w:r>
                </w:p>
              </w:tc>
            </w:tr>
            <w:tr w:rsidR="00841287" w:rsidTr="00FC2F88">
              <w:tc>
                <w:tcPr>
                  <w:tcW w:w="822" w:type="pct"/>
                  <w:shd w:val="clear" w:color="auto" w:fill="auto"/>
                </w:tcPr>
                <w:p w:rsidR="00841287" w:rsidRPr="0055565A" w:rsidRDefault="00841287" w:rsidP="00D414E1">
                  <w:pPr>
                    <w:pStyle w:val="TableBodyText"/>
                    <w:jc w:val="left"/>
                    <w:rPr>
                      <w:rFonts w:ascii="Times New Roman" w:hAnsi="Times New Roman"/>
                      <w:sz w:val="20"/>
                    </w:rPr>
                  </w:pPr>
                  <w:r w:rsidRPr="0055565A">
                    <w:rPr>
                      <w:rFonts w:ascii="Times New Roman" w:hAnsi="Times New Roman"/>
                      <w:i/>
                      <w:sz w:val="20"/>
                    </w:rPr>
                    <w:t>τ</w:t>
                  </w:r>
                </w:p>
              </w:tc>
              <w:tc>
                <w:tcPr>
                  <w:tcW w:w="2512" w:type="pct"/>
                  <w:shd w:val="clear" w:color="auto" w:fill="auto"/>
                </w:tcPr>
                <w:p w:rsidR="00841287" w:rsidRDefault="00841287" w:rsidP="00D414E1">
                  <w:pPr>
                    <w:pStyle w:val="TableBodyText"/>
                  </w:pPr>
                  <w:r>
                    <w:t>Shift parameter for bequests</w:t>
                  </w:r>
                </w:p>
              </w:tc>
              <w:tc>
                <w:tcPr>
                  <w:tcW w:w="1666" w:type="pct"/>
                  <w:shd w:val="clear" w:color="auto" w:fill="auto"/>
                </w:tcPr>
                <w:p w:rsidR="00841287" w:rsidRPr="00DA6129" w:rsidRDefault="00841287" w:rsidP="00D414E1">
                  <w:pPr>
                    <w:pStyle w:val="TableBodyText"/>
                    <w:ind w:right="28"/>
                  </w:pPr>
                  <w:r>
                    <w:t>0.5</w:t>
                  </w:r>
                </w:p>
              </w:tc>
            </w:tr>
          </w:tbl>
          <w:p w:rsidR="00841287" w:rsidRDefault="00841287" w:rsidP="00D414E1">
            <w:pPr>
              <w:pStyle w:val="Box"/>
            </w:pPr>
          </w:p>
        </w:tc>
      </w:tr>
      <w:tr w:rsidR="00701608" w:rsidTr="00E739A2">
        <w:trPr>
          <w:cantSplit/>
        </w:trPr>
        <w:tc>
          <w:tcPr>
            <w:tcW w:w="8771" w:type="dxa"/>
            <w:tcBorders>
              <w:top w:val="nil"/>
              <w:left w:val="nil"/>
              <w:bottom w:val="single" w:sz="6" w:space="0" w:color="78A22F"/>
              <w:right w:val="nil"/>
            </w:tcBorders>
            <w:shd w:val="clear" w:color="auto" w:fill="auto"/>
          </w:tcPr>
          <w:p w:rsidR="00701608" w:rsidRDefault="00701608" w:rsidP="00E739A2">
            <w:pPr>
              <w:pStyle w:val="Box"/>
              <w:spacing w:before="0" w:line="120" w:lineRule="exact"/>
            </w:pPr>
          </w:p>
        </w:tc>
      </w:tr>
      <w:tr w:rsidR="00701608" w:rsidRPr="000863A5" w:rsidTr="00E739A2">
        <w:tc>
          <w:tcPr>
            <w:tcW w:w="8771" w:type="dxa"/>
            <w:tcBorders>
              <w:top w:val="single" w:sz="6" w:space="0" w:color="78A22F"/>
              <w:left w:val="nil"/>
              <w:bottom w:val="nil"/>
              <w:right w:val="nil"/>
            </w:tcBorders>
          </w:tcPr>
          <w:p w:rsidR="00701608" w:rsidRPr="00626D32" w:rsidRDefault="00701608" w:rsidP="00E739A2">
            <w:pPr>
              <w:pStyle w:val="BoxSpaceBelow"/>
            </w:pPr>
          </w:p>
        </w:tc>
      </w:tr>
    </w:tbl>
    <w:p w:rsidR="00D434A0" w:rsidRDefault="00D434A0" w:rsidP="00D10313">
      <w:pPr>
        <w:pStyle w:val="BodyText"/>
      </w:pPr>
    </w:p>
    <w:sectPr w:rsidR="00D434A0" w:rsidSect="00606E78">
      <w:headerReference w:type="even" r:id="rId10"/>
      <w:headerReference w:type="default" r:id="rId11"/>
      <w:footerReference w:type="even" r:id="rId12"/>
      <w:footerReference w:type="default" r:id="rId13"/>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F08" w:rsidRDefault="00624F08">
      <w:r>
        <w:separator/>
      </w:r>
    </w:p>
  </w:endnote>
  <w:endnote w:type="continuationSeparator" w:id="0">
    <w:p w:rsidR="00624F08" w:rsidRDefault="0062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rsidTr="005F48ED">
      <w:trPr>
        <w:trHeight w:hRule="exact" w:val="567"/>
      </w:trPr>
      <w:tc>
        <w:tcPr>
          <w:tcW w:w="510" w:type="dxa"/>
        </w:tcPr>
        <w:p w:rsidR="00772909" w:rsidRPr="00A24443" w:rsidRDefault="00772909"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FA7E69">
            <w:rPr>
              <w:rStyle w:val="PageNumber"/>
              <w:caps w:val="0"/>
              <w:noProof/>
            </w:rPr>
            <w:t>2</w:t>
          </w:r>
          <w:r w:rsidRPr="00A24443">
            <w:rPr>
              <w:rStyle w:val="PageNumber"/>
              <w:caps w:val="0"/>
            </w:rPr>
            <w:fldChar w:fldCharType="end"/>
          </w:r>
        </w:p>
      </w:tc>
      <w:tc>
        <w:tcPr>
          <w:tcW w:w="7767" w:type="dxa"/>
        </w:tcPr>
        <w:p w:rsidR="00772909" w:rsidRPr="0013739A" w:rsidRDefault="00ED6F8F" w:rsidP="0013739A">
          <w:pPr>
            <w:pStyle w:val="Footer"/>
            <w:rPr>
              <w:rFonts w:cs="Arial"/>
            </w:rPr>
          </w:pPr>
          <w:r>
            <w:rPr>
              <w:rFonts w:cs="Arial"/>
            </w:rPr>
            <w:t>Superannuation Policy for Post-Retirement: Modelling supplement</w:t>
          </w:r>
          <w:bookmarkStart w:id="5" w:name="DraftReportEven"/>
          <w:bookmarkEnd w:id="5"/>
        </w:p>
      </w:tc>
      <w:tc>
        <w:tcPr>
          <w:tcW w:w="510" w:type="dxa"/>
        </w:tcPr>
        <w:p w:rsidR="00772909" w:rsidRDefault="00772909" w:rsidP="0019293B">
          <w:pPr>
            <w:pStyle w:val="Footer"/>
          </w:pPr>
        </w:p>
      </w:tc>
    </w:tr>
  </w:tbl>
  <w:p w:rsidR="00772909" w:rsidRDefault="00772909"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rsidTr="005F48ED">
      <w:trPr>
        <w:trHeight w:hRule="exact" w:val="567"/>
      </w:trPr>
      <w:tc>
        <w:tcPr>
          <w:tcW w:w="510" w:type="dxa"/>
        </w:tcPr>
        <w:p w:rsidR="00772909" w:rsidRDefault="00772909">
          <w:pPr>
            <w:pStyle w:val="Footer"/>
            <w:ind w:right="360" w:firstLine="360"/>
          </w:pPr>
        </w:p>
      </w:tc>
      <w:tc>
        <w:tcPr>
          <w:tcW w:w="7767" w:type="dxa"/>
        </w:tcPr>
        <w:p w:rsidR="00772909" w:rsidRPr="00BA5B14" w:rsidRDefault="00ED6F8F" w:rsidP="0013739A">
          <w:pPr>
            <w:pStyle w:val="Footer"/>
            <w:jc w:val="right"/>
            <w:rPr>
              <w:rFonts w:cs="Arial"/>
            </w:rPr>
          </w:pPr>
          <w:r>
            <w:rPr>
              <w:rFonts w:cs="Arial"/>
            </w:rPr>
            <w:t>The calibration process</w:t>
          </w:r>
          <w:bookmarkStart w:id="6" w:name="DraftReportOdd"/>
          <w:bookmarkEnd w:id="6"/>
        </w:p>
      </w:tc>
      <w:tc>
        <w:tcPr>
          <w:tcW w:w="510" w:type="dxa"/>
        </w:tcPr>
        <w:p w:rsidR="00772909" w:rsidRPr="00A24443" w:rsidRDefault="0077290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FA7E69">
            <w:rPr>
              <w:rStyle w:val="PageNumber"/>
              <w:caps w:val="0"/>
              <w:noProof/>
            </w:rPr>
            <w:t>1</w:t>
          </w:r>
          <w:r w:rsidRPr="00A24443">
            <w:rPr>
              <w:rStyle w:val="PageNumber"/>
              <w:caps w:val="0"/>
            </w:rPr>
            <w:fldChar w:fldCharType="end"/>
          </w:r>
        </w:p>
      </w:tc>
    </w:tr>
  </w:tbl>
  <w:p w:rsidR="00772909" w:rsidRDefault="00772909">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F08" w:rsidRDefault="00624F08">
      <w:r>
        <w:separator/>
      </w:r>
    </w:p>
  </w:footnote>
  <w:footnote w:type="continuationSeparator" w:id="0">
    <w:p w:rsidR="00624F08" w:rsidRDefault="00624F08">
      <w:r>
        <w:continuationSeparator/>
      </w:r>
    </w:p>
  </w:footnote>
  <w:footnote w:id="1">
    <w:p w:rsidR="00841287" w:rsidRDefault="00841287" w:rsidP="00841287">
      <w:pPr>
        <w:pStyle w:val="FootnoteText"/>
      </w:pPr>
      <w:r w:rsidRPr="00D17E36">
        <w:rPr>
          <w:rStyle w:val="FootnoteReference"/>
        </w:rPr>
        <w:footnoteRef/>
      </w:r>
      <w:r>
        <w:tab/>
        <w:t>This requirement meant that census data on retirement age could not be used for calibration.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772909">
      <w:tc>
        <w:tcPr>
          <w:tcW w:w="2155" w:type="dxa"/>
          <w:tcBorders>
            <w:top w:val="single" w:sz="24" w:space="0" w:color="auto"/>
          </w:tcBorders>
        </w:tcPr>
        <w:p w:rsidR="00772909" w:rsidRDefault="00772909" w:rsidP="0019293B">
          <w:pPr>
            <w:pStyle w:val="HeaderEven"/>
          </w:pPr>
        </w:p>
      </w:tc>
      <w:tc>
        <w:tcPr>
          <w:tcW w:w="6634" w:type="dxa"/>
          <w:tcBorders>
            <w:top w:val="single" w:sz="6" w:space="0" w:color="auto"/>
          </w:tcBorders>
        </w:tcPr>
        <w:p w:rsidR="00772909" w:rsidRDefault="00772909" w:rsidP="0019293B">
          <w:pPr>
            <w:pStyle w:val="HeaderEven"/>
          </w:pPr>
        </w:p>
      </w:tc>
    </w:tr>
  </w:tbl>
  <w:p w:rsidR="00772909" w:rsidRDefault="00772909"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72909">
      <w:tc>
        <w:tcPr>
          <w:tcW w:w="6634" w:type="dxa"/>
          <w:tcBorders>
            <w:top w:val="single" w:sz="6" w:space="0" w:color="auto"/>
          </w:tcBorders>
        </w:tcPr>
        <w:p w:rsidR="00772909" w:rsidRDefault="00772909" w:rsidP="00E669E2">
          <w:pPr>
            <w:pStyle w:val="HeaderOdd"/>
          </w:pPr>
        </w:p>
      </w:tc>
      <w:tc>
        <w:tcPr>
          <w:tcW w:w="2155" w:type="dxa"/>
          <w:tcBorders>
            <w:top w:val="single" w:sz="24" w:space="0" w:color="auto"/>
          </w:tcBorders>
        </w:tcPr>
        <w:p w:rsidR="00772909" w:rsidRDefault="00772909" w:rsidP="00E669E2">
          <w:pPr>
            <w:pStyle w:val="HeaderOdd"/>
          </w:pPr>
        </w:p>
      </w:tc>
    </w:tr>
  </w:tbl>
  <w:p w:rsidR="00772909" w:rsidRDefault="00772909"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3"/>
  </w:num>
  <w:num w:numId="4">
    <w:abstractNumId w:val="3"/>
  </w:num>
  <w:num w:numId="5">
    <w:abstractNumId w:val="18"/>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19"/>
  </w:num>
  <w:num w:numId="16">
    <w:abstractNumId w:val="12"/>
  </w:num>
  <w:num w:numId="17">
    <w:abstractNumId w:val="20"/>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7"/>
  </w:num>
  <w:num w:numId="2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The calibration process"/>
    <w:docVar w:name="ShortReportTitle" w:val="Superannuation Policy for Post-Retirement: Modelling supplement"/>
  </w:docVars>
  <w:rsids>
    <w:rsidRoot w:val="00841287"/>
    <w:rsid w:val="000227D5"/>
    <w:rsid w:val="000245AA"/>
    <w:rsid w:val="0003664B"/>
    <w:rsid w:val="0004111F"/>
    <w:rsid w:val="00055077"/>
    <w:rsid w:val="000565B3"/>
    <w:rsid w:val="0007150B"/>
    <w:rsid w:val="000938F5"/>
    <w:rsid w:val="0009399D"/>
    <w:rsid w:val="00095663"/>
    <w:rsid w:val="00096E55"/>
    <w:rsid w:val="0009783E"/>
    <w:rsid w:val="000B1022"/>
    <w:rsid w:val="000B601B"/>
    <w:rsid w:val="000C207E"/>
    <w:rsid w:val="000D41E9"/>
    <w:rsid w:val="000F0035"/>
    <w:rsid w:val="000F04E7"/>
    <w:rsid w:val="000F060A"/>
    <w:rsid w:val="000F420B"/>
    <w:rsid w:val="00110116"/>
    <w:rsid w:val="00120072"/>
    <w:rsid w:val="00126EB8"/>
    <w:rsid w:val="001274D4"/>
    <w:rsid w:val="001363AA"/>
    <w:rsid w:val="0013739A"/>
    <w:rsid w:val="00142165"/>
    <w:rsid w:val="00162434"/>
    <w:rsid w:val="00183E82"/>
    <w:rsid w:val="001878BB"/>
    <w:rsid w:val="00191AE0"/>
    <w:rsid w:val="0019293B"/>
    <w:rsid w:val="0019426B"/>
    <w:rsid w:val="001A6A4B"/>
    <w:rsid w:val="001B5C55"/>
    <w:rsid w:val="001C0865"/>
    <w:rsid w:val="001C0AED"/>
    <w:rsid w:val="001C3ABA"/>
    <w:rsid w:val="001C5111"/>
    <w:rsid w:val="001E36CD"/>
    <w:rsid w:val="001E7BE8"/>
    <w:rsid w:val="001F0248"/>
    <w:rsid w:val="001F3EB3"/>
    <w:rsid w:val="001F4F86"/>
    <w:rsid w:val="00202C2C"/>
    <w:rsid w:val="00203050"/>
    <w:rsid w:val="002135AB"/>
    <w:rsid w:val="002144BE"/>
    <w:rsid w:val="00242279"/>
    <w:rsid w:val="00243997"/>
    <w:rsid w:val="0024516C"/>
    <w:rsid w:val="00245C82"/>
    <w:rsid w:val="002724BA"/>
    <w:rsid w:val="00291B40"/>
    <w:rsid w:val="002B4008"/>
    <w:rsid w:val="002C439F"/>
    <w:rsid w:val="002D0C42"/>
    <w:rsid w:val="002D0E8E"/>
    <w:rsid w:val="00301189"/>
    <w:rsid w:val="00301E4A"/>
    <w:rsid w:val="003168B8"/>
    <w:rsid w:val="00322D64"/>
    <w:rsid w:val="00323E09"/>
    <w:rsid w:val="00333932"/>
    <w:rsid w:val="003518AA"/>
    <w:rsid w:val="00352165"/>
    <w:rsid w:val="00353182"/>
    <w:rsid w:val="003565D9"/>
    <w:rsid w:val="003602E1"/>
    <w:rsid w:val="0037026F"/>
    <w:rsid w:val="00371240"/>
    <w:rsid w:val="00374731"/>
    <w:rsid w:val="00376E59"/>
    <w:rsid w:val="00377EC1"/>
    <w:rsid w:val="00380340"/>
    <w:rsid w:val="003919F9"/>
    <w:rsid w:val="003920CF"/>
    <w:rsid w:val="003B23C2"/>
    <w:rsid w:val="003C1794"/>
    <w:rsid w:val="003C38B5"/>
    <w:rsid w:val="003C5D99"/>
    <w:rsid w:val="003D1087"/>
    <w:rsid w:val="003E2F59"/>
    <w:rsid w:val="003E746B"/>
    <w:rsid w:val="003F0789"/>
    <w:rsid w:val="00401882"/>
    <w:rsid w:val="004100C8"/>
    <w:rsid w:val="00411DBD"/>
    <w:rsid w:val="00412ACE"/>
    <w:rsid w:val="004145D2"/>
    <w:rsid w:val="00426CB4"/>
    <w:rsid w:val="00431249"/>
    <w:rsid w:val="00434C19"/>
    <w:rsid w:val="00450810"/>
    <w:rsid w:val="00462C59"/>
    <w:rsid w:val="00470737"/>
    <w:rsid w:val="00477144"/>
    <w:rsid w:val="00491380"/>
    <w:rsid w:val="0049459F"/>
    <w:rsid w:val="004A38DD"/>
    <w:rsid w:val="004B43AE"/>
    <w:rsid w:val="004C30ED"/>
    <w:rsid w:val="004D5675"/>
    <w:rsid w:val="00517795"/>
    <w:rsid w:val="00523639"/>
    <w:rsid w:val="00531FE5"/>
    <w:rsid w:val="0053423B"/>
    <w:rsid w:val="00537361"/>
    <w:rsid w:val="005402FA"/>
    <w:rsid w:val="0055565A"/>
    <w:rsid w:val="005729BD"/>
    <w:rsid w:val="00580154"/>
    <w:rsid w:val="00583C39"/>
    <w:rsid w:val="00586A90"/>
    <w:rsid w:val="00587F28"/>
    <w:rsid w:val="005909CF"/>
    <w:rsid w:val="00591E71"/>
    <w:rsid w:val="005A0D41"/>
    <w:rsid w:val="005D329F"/>
    <w:rsid w:val="005F48ED"/>
    <w:rsid w:val="00606E78"/>
    <w:rsid w:val="00607BF1"/>
    <w:rsid w:val="00624F08"/>
    <w:rsid w:val="00630D4D"/>
    <w:rsid w:val="00632A74"/>
    <w:rsid w:val="00654D42"/>
    <w:rsid w:val="00666E02"/>
    <w:rsid w:val="006A4655"/>
    <w:rsid w:val="006B2B3C"/>
    <w:rsid w:val="006C1D81"/>
    <w:rsid w:val="006C7038"/>
    <w:rsid w:val="006E73EF"/>
    <w:rsid w:val="00701608"/>
    <w:rsid w:val="007079C9"/>
    <w:rsid w:val="00714D4D"/>
    <w:rsid w:val="007266D3"/>
    <w:rsid w:val="00732029"/>
    <w:rsid w:val="007604BB"/>
    <w:rsid w:val="00772909"/>
    <w:rsid w:val="00785232"/>
    <w:rsid w:val="0079701E"/>
    <w:rsid w:val="007A21EB"/>
    <w:rsid w:val="007B1A93"/>
    <w:rsid w:val="007C36C9"/>
    <w:rsid w:val="007D6401"/>
    <w:rsid w:val="007E01E4"/>
    <w:rsid w:val="007E7A12"/>
    <w:rsid w:val="007F7107"/>
    <w:rsid w:val="00800D4C"/>
    <w:rsid w:val="0081030F"/>
    <w:rsid w:val="00812F4A"/>
    <w:rsid w:val="0082087D"/>
    <w:rsid w:val="00823F45"/>
    <w:rsid w:val="0083244E"/>
    <w:rsid w:val="00835771"/>
    <w:rsid w:val="00841287"/>
    <w:rsid w:val="00842933"/>
    <w:rsid w:val="0086082C"/>
    <w:rsid w:val="00864ADC"/>
    <w:rsid w:val="00880153"/>
    <w:rsid w:val="00880F97"/>
    <w:rsid w:val="0088133A"/>
    <w:rsid w:val="00892797"/>
    <w:rsid w:val="0089285E"/>
    <w:rsid w:val="0089436C"/>
    <w:rsid w:val="008D365C"/>
    <w:rsid w:val="008D7622"/>
    <w:rsid w:val="0090022A"/>
    <w:rsid w:val="009021A6"/>
    <w:rsid w:val="009030BF"/>
    <w:rsid w:val="00903B52"/>
    <w:rsid w:val="0091032F"/>
    <w:rsid w:val="00914368"/>
    <w:rsid w:val="00931076"/>
    <w:rsid w:val="009345D9"/>
    <w:rsid w:val="00934B15"/>
    <w:rsid w:val="00940C87"/>
    <w:rsid w:val="00942B62"/>
    <w:rsid w:val="0095323B"/>
    <w:rsid w:val="00956A0C"/>
    <w:rsid w:val="00956BD9"/>
    <w:rsid w:val="00962489"/>
    <w:rsid w:val="00967CD3"/>
    <w:rsid w:val="00990C2C"/>
    <w:rsid w:val="00994156"/>
    <w:rsid w:val="009A5171"/>
    <w:rsid w:val="009E1844"/>
    <w:rsid w:val="009F0D1B"/>
    <w:rsid w:val="009F5BBD"/>
    <w:rsid w:val="009F696D"/>
    <w:rsid w:val="009F6BC6"/>
    <w:rsid w:val="009F74EF"/>
    <w:rsid w:val="00A02826"/>
    <w:rsid w:val="00A15D5A"/>
    <w:rsid w:val="00A17328"/>
    <w:rsid w:val="00A23A20"/>
    <w:rsid w:val="00A24443"/>
    <w:rsid w:val="00A268B9"/>
    <w:rsid w:val="00A2703A"/>
    <w:rsid w:val="00A33DFF"/>
    <w:rsid w:val="00A35115"/>
    <w:rsid w:val="00A36D9A"/>
    <w:rsid w:val="00A451DC"/>
    <w:rsid w:val="00A554AB"/>
    <w:rsid w:val="00A57062"/>
    <w:rsid w:val="00A67781"/>
    <w:rsid w:val="00A761F9"/>
    <w:rsid w:val="00A92B53"/>
    <w:rsid w:val="00A94FA6"/>
    <w:rsid w:val="00AA49A0"/>
    <w:rsid w:val="00AA65CB"/>
    <w:rsid w:val="00AA6710"/>
    <w:rsid w:val="00AB0681"/>
    <w:rsid w:val="00AC3A15"/>
    <w:rsid w:val="00AD520B"/>
    <w:rsid w:val="00AE3BCC"/>
    <w:rsid w:val="00AF1EB9"/>
    <w:rsid w:val="00B425C3"/>
    <w:rsid w:val="00B440AD"/>
    <w:rsid w:val="00B479BB"/>
    <w:rsid w:val="00B53E7E"/>
    <w:rsid w:val="00B6342E"/>
    <w:rsid w:val="00B7113F"/>
    <w:rsid w:val="00BA2BCF"/>
    <w:rsid w:val="00BA5B14"/>
    <w:rsid w:val="00BA73B6"/>
    <w:rsid w:val="00BA7E27"/>
    <w:rsid w:val="00BB2603"/>
    <w:rsid w:val="00BB4FCD"/>
    <w:rsid w:val="00BC04E9"/>
    <w:rsid w:val="00BD13EA"/>
    <w:rsid w:val="00BE3808"/>
    <w:rsid w:val="00C03B88"/>
    <w:rsid w:val="00C062E9"/>
    <w:rsid w:val="00C07B64"/>
    <w:rsid w:val="00C13721"/>
    <w:rsid w:val="00C14FE4"/>
    <w:rsid w:val="00C3066D"/>
    <w:rsid w:val="00C52416"/>
    <w:rsid w:val="00C543F4"/>
    <w:rsid w:val="00C6291C"/>
    <w:rsid w:val="00C633CB"/>
    <w:rsid w:val="00C664CD"/>
    <w:rsid w:val="00C736B7"/>
    <w:rsid w:val="00C81D4A"/>
    <w:rsid w:val="00C8762C"/>
    <w:rsid w:val="00CA00F9"/>
    <w:rsid w:val="00CA2961"/>
    <w:rsid w:val="00CA4CA6"/>
    <w:rsid w:val="00CB50D7"/>
    <w:rsid w:val="00CB7177"/>
    <w:rsid w:val="00CB7CED"/>
    <w:rsid w:val="00CC070F"/>
    <w:rsid w:val="00CC1998"/>
    <w:rsid w:val="00CC4946"/>
    <w:rsid w:val="00CC64A1"/>
    <w:rsid w:val="00CF3B11"/>
    <w:rsid w:val="00D10313"/>
    <w:rsid w:val="00D270A4"/>
    <w:rsid w:val="00D31FE9"/>
    <w:rsid w:val="00D34E1B"/>
    <w:rsid w:val="00D376BA"/>
    <w:rsid w:val="00D434A0"/>
    <w:rsid w:val="00D45634"/>
    <w:rsid w:val="00D5568A"/>
    <w:rsid w:val="00D63D73"/>
    <w:rsid w:val="00D64452"/>
    <w:rsid w:val="00D66E1E"/>
    <w:rsid w:val="00D70696"/>
    <w:rsid w:val="00D75722"/>
    <w:rsid w:val="00D80CF5"/>
    <w:rsid w:val="00DA5BBA"/>
    <w:rsid w:val="00DB26D2"/>
    <w:rsid w:val="00DB67C9"/>
    <w:rsid w:val="00DC0C95"/>
    <w:rsid w:val="00DC4F0B"/>
    <w:rsid w:val="00DD6580"/>
    <w:rsid w:val="00E01D7F"/>
    <w:rsid w:val="00E05C03"/>
    <w:rsid w:val="00E17C72"/>
    <w:rsid w:val="00E21FC6"/>
    <w:rsid w:val="00E431A9"/>
    <w:rsid w:val="00E669E2"/>
    <w:rsid w:val="00E76135"/>
    <w:rsid w:val="00E82F4F"/>
    <w:rsid w:val="00E864DF"/>
    <w:rsid w:val="00EB2CC3"/>
    <w:rsid w:val="00EC2844"/>
    <w:rsid w:val="00EC5500"/>
    <w:rsid w:val="00ED18F8"/>
    <w:rsid w:val="00ED6F8F"/>
    <w:rsid w:val="00EE6EDA"/>
    <w:rsid w:val="00EE778E"/>
    <w:rsid w:val="00EF6719"/>
    <w:rsid w:val="00EF6C6C"/>
    <w:rsid w:val="00F05403"/>
    <w:rsid w:val="00F056FC"/>
    <w:rsid w:val="00F0632F"/>
    <w:rsid w:val="00F069AE"/>
    <w:rsid w:val="00F10476"/>
    <w:rsid w:val="00F135D8"/>
    <w:rsid w:val="00F31299"/>
    <w:rsid w:val="00F3534A"/>
    <w:rsid w:val="00F35BFB"/>
    <w:rsid w:val="00F36ACC"/>
    <w:rsid w:val="00F51609"/>
    <w:rsid w:val="00F55C25"/>
    <w:rsid w:val="00F73727"/>
    <w:rsid w:val="00F766A7"/>
    <w:rsid w:val="00F81006"/>
    <w:rsid w:val="00F85325"/>
    <w:rsid w:val="00FA7E69"/>
    <w:rsid w:val="00FC2F88"/>
    <w:rsid w:val="00FD22B1"/>
    <w:rsid w:val="00FD33F1"/>
    <w:rsid w:val="00FD3566"/>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841287"/>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FootnoteTextChar">
    <w:name w:val="Footnote Text Char"/>
    <w:basedOn w:val="DefaultParagraphFont"/>
    <w:link w:val="FootnoteText"/>
    <w:rsid w:val="008412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841287"/>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FootnoteTextChar">
    <w:name w:val="Footnote Text Char"/>
    <w:basedOn w:val="DefaultParagraphFont"/>
    <w:link w:val="FootnoteText"/>
    <w:rsid w:val="00841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9504B-5548-458B-B55B-AAF0B891A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0</TotalTime>
  <Pages>2</Pages>
  <Words>396</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The calibration process</vt:lpstr>
    </vt:vector>
  </TitlesOfParts>
  <Company>Productivity Commission</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calibration process</dc:title>
  <dc:subject>Superannuation Policy for Post-Retirement: Modelling supplement</dc:subject>
  <dc:creator>Productivity Commission</dc:creator>
  <dc:description>4.</dc:description>
  <cp:lastModifiedBy>Productivity Commission</cp:lastModifiedBy>
  <cp:revision>2</cp:revision>
  <cp:lastPrinted>2014-07-13T11:30:00Z</cp:lastPrinted>
  <dcterms:created xsi:type="dcterms:W3CDTF">2015-07-02T04:23:00Z</dcterms:created>
  <dcterms:modified xsi:type="dcterms:W3CDTF">2015-07-02T04:23:00Z</dcterms:modified>
</cp:coreProperties>
</file>