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5F222C" w:rsidP="005F222C">
      <w:pPr>
        <w:pStyle w:val="Heading1"/>
        <w:spacing w:before="0"/>
      </w:pPr>
      <w:bookmarkStart w:id="0" w:name="ChapterNumber"/>
      <w:r>
        <w:t>5</w:t>
      </w:r>
      <w:bookmarkEnd w:id="0"/>
      <w:r>
        <w:tab/>
      </w:r>
      <w:bookmarkStart w:id="1" w:name="ChapterTitle"/>
      <w:r>
        <w:t>An illustration of model results</w:t>
      </w:r>
      <w:bookmarkEnd w:id="1"/>
    </w:p>
    <w:p w:rsidR="00FC1FD0" w:rsidRDefault="00FC1FD0" w:rsidP="00FC1FD0">
      <w:pPr>
        <w:pStyle w:val="BodyText"/>
      </w:pPr>
      <w:bookmarkStart w:id="2" w:name="begin"/>
      <w:bookmarkEnd w:id="2"/>
      <w:r>
        <w:t xml:space="preserve">As part of its research </w:t>
      </w:r>
      <w:r w:rsidRPr="00BC2A49">
        <w:t xml:space="preserve">on </w:t>
      </w:r>
      <w:r w:rsidRPr="00E17577">
        <w:rPr>
          <w:i/>
        </w:rPr>
        <w:t>Superannuation Policy for Post</w:t>
      </w:r>
      <w:r w:rsidR="006842CC">
        <w:rPr>
          <w:i/>
        </w:rPr>
        <w:noBreakHyphen/>
      </w:r>
      <w:r w:rsidRPr="00E17577">
        <w:rPr>
          <w:i/>
        </w:rPr>
        <w:t>Retirement</w:t>
      </w:r>
      <w:r w:rsidRPr="00BC2A49">
        <w:t xml:space="preserve"> the Co</w:t>
      </w:r>
      <w:r>
        <w:t xml:space="preserve">mmission has developed a model — referred to as the </w:t>
      </w:r>
      <w:r w:rsidRPr="00E17577">
        <w:rPr>
          <w:i/>
        </w:rPr>
        <w:t>Productivity Commission Retirement Model</w:t>
      </w:r>
      <w:r>
        <w:t xml:space="preserve"> (</w:t>
      </w:r>
      <w:r w:rsidRPr="006E00CA">
        <w:t>PCRM)</w:t>
      </w:r>
      <w:r>
        <w:t xml:space="preserve"> — to assess the effects of increasing the preservation age. The PCRM can be described as a ‘behavioural microsimulation’ model. Behavioural microsimulation models seek to simulate individual or household level decisions, and are commonly used within an economic framework to assess the impact of policy changes (such as changes in tax and benefits) on governments’ fiscal positions and on labour supply. They are particularly useful where there is a wide variety of decision makers</w:t>
      </w:r>
      <w:r w:rsidR="00CD3C44">
        <w:t>, and where</w:t>
      </w:r>
      <w:r>
        <w:t xml:space="preserve"> complex policy changes are likely to impact these different decision makers in different ways.</w:t>
      </w:r>
    </w:p>
    <w:p w:rsidR="00FC1FD0" w:rsidRDefault="00FC1FD0" w:rsidP="00FC1FD0">
      <w:pPr>
        <w:pStyle w:val="BodyText"/>
      </w:pPr>
      <w:r>
        <w:t>The role of this paper is to illustrate how income and savings balances fluctuate over an individual’s lifetime</w:t>
      </w:r>
      <w:r w:rsidR="00E17577">
        <w:t>,</w:t>
      </w:r>
      <w:r>
        <w:t xml:space="preserve"> and how </w:t>
      </w:r>
      <w:r>
        <w:rPr>
          <w:szCs w:val="24"/>
        </w:rPr>
        <w:t>households determine their response to a change in the preservation age in the PCRM.</w:t>
      </w:r>
    </w:p>
    <w:p w:rsidR="00357732" w:rsidRDefault="00357732" w:rsidP="00A72BE2">
      <w:pPr>
        <w:pStyle w:val="Heading2"/>
      </w:pPr>
      <w:r>
        <w:t>Income and savings over the life cycle</w:t>
      </w:r>
    </w:p>
    <w:p w:rsidR="00357732" w:rsidRDefault="00FC1FD0" w:rsidP="00357732">
      <w:pPr>
        <w:pStyle w:val="BodyText"/>
      </w:pPr>
      <w:r>
        <w:t xml:space="preserve">The following life </w:t>
      </w:r>
      <w:r w:rsidR="00357732">
        <w:t>cycle diagrams are designed to illustrate how income and savings balances fluctuate over an individual’s lifetime (figures </w:t>
      </w:r>
      <w:r>
        <w:t>5.1 and 5.2 respectively</w:t>
      </w:r>
      <w:r w:rsidR="00357732">
        <w:t>). In these illustrations, individuals are assumed to begin work at the age of 20 and to retire at the age of 65. Two house</w:t>
      </w:r>
      <w:r w:rsidR="00A72BE2">
        <w:t>holds are presented as examples.</w:t>
      </w:r>
      <w:r w:rsidR="00357732">
        <w:t xml:space="preserve"> </w:t>
      </w:r>
    </w:p>
    <w:p w:rsidR="00357732" w:rsidRDefault="00357732" w:rsidP="00357732">
      <w:pPr>
        <w:pStyle w:val="ListBullet"/>
      </w:pPr>
      <w:r>
        <w:t xml:space="preserve">Household A is a single male in the </w:t>
      </w:r>
      <w:r w:rsidRPr="002F4137">
        <w:t xml:space="preserve">second </w:t>
      </w:r>
      <w:r w:rsidRPr="002F4137">
        <w:rPr>
          <w:i/>
        </w:rPr>
        <w:t>lowest</w:t>
      </w:r>
      <w:r>
        <w:t xml:space="preserve"> wealth quartile (for single males of a given age). </w:t>
      </w:r>
    </w:p>
    <w:p w:rsidR="00357732" w:rsidRDefault="00357732" w:rsidP="00357732">
      <w:pPr>
        <w:pStyle w:val="ListBullet"/>
      </w:pPr>
      <w:r>
        <w:t xml:space="preserve">Household B is a single male in the </w:t>
      </w:r>
      <w:r w:rsidRPr="002F4137">
        <w:rPr>
          <w:i/>
        </w:rPr>
        <w:t>highest</w:t>
      </w:r>
      <w:r w:rsidRPr="002F4137">
        <w:t xml:space="preserve"> wealth</w:t>
      </w:r>
      <w:r>
        <w:t xml:space="preserve"> quartile (for single males of a given age).</w:t>
      </w:r>
    </w:p>
    <w:p w:rsidR="00357732" w:rsidRDefault="00357732" w:rsidP="00357732">
      <w:pPr>
        <w:pStyle w:val="BodyText"/>
      </w:pPr>
      <w:r>
        <w:t>Income is derived from three sources:</w:t>
      </w:r>
    </w:p>
    <w:p w:rsidR="00357732" w:rsidRDefault="00357732" w:rsidP="00357732">
      <w:pPr>
        <w:pStyle w:val="ListBullet"/>
      </w:pPr>
      <w:r>
        <w:t>Wage income — this is only earned while an individual is working (</w:t>
      </w:r>
      <w:r w:rsidR="00A72BE2">
        <w:t>that is,</w:t>
      </w:r>
      <w:r>
        <w:t xml:space="preserve"> up to 65</w:t>
      </w:r>
      <w:r w:rsidR="005076F5">
        <w:t> </w:t>
      </w:r>
      <w:r>
        <w:t>years in this example). Wage income has an ‘inverted</w:t>
      </w:r>
      <w:r w:rsidR="006842CC">
        <w:noBreakHyphen/>
      </w:r>
      <w:r>
        <w:t>U’ relationship with age.</w:t>
      </w:r>
    </w:p>
    <w:p w:rsidR="00357732" w:rsidRDefault="00357732" w:rsidP="00357732">
      <w:pPr>
        <w:pStyle w:val="ListBullet"/>
      </w:pPr>
      <w:r>
        <w:t>Draw</w:t>
      </w:r>
      <w:r w:rsidR="00A72BE2">
        <w:t xml:space="preserve"> </w:t>
      </w:r>
      <w:r>
        <w:t>down of savings — this occurs immediately after retirement until savings are extinguished. Draw</w:t>
      </w:r>
      <w:r w:rsidR="00A72BE2">
        <w:t xml:space="preserve"> </w:t>
      </w:r>
      <w:r>
        <w:t>down of superannuation and non</w:t>
      </w:r>
      <w:r w:rsidR="006842CC">
        <w:noBreakHyphen/>
      </w:r>
      <w:r>
        <w:t>superannuation savings occurs simultaneously.</w:t>
      </w:r>
    </w:p>
    <w:p w:rsidR="00357732" w:rsidRDefault="00357732" w:rsidP="00357732">
      <w:pPr>
        <w:pStyle w:val="ListBullet"/>
      </w:pPr>
      <w:r>
        <w:t>Age Pension — this is only available when individuals meet the relevant asset and income tests.</w:t>
      </w:r>
    </w:p>
    <w:p w:rsidR="00357732" w:rsidRDefault="00357732" w:rsidP="00357732">
      <w:pPr>
        <w:pStyle w:val="BodyText"/>
      </w:pPr>
      <w:r>
        <w:t xml:space="preserve">Savings </w:t>
      </w:r>
      <w:r w:rsidR="005076F5">
        <w:t>are</w:t>
      </w:r>
      <w:r>
        <w:t xml:space="preserve"> </w:t>
      </w:r>
      <w:r w:rsidR="005076F5">
        <w:t xml:space="preserve">accumulated </w:t>
      </w:r>
      <w:r>
        <w:t>in</w:t>
      </w:r>
      <w:r w:rsidR="005076F5">
        <w:t xml:space="preserve"> the form of</w:t>
      </w:r>
      <w:r>
        <w:t xml:space="preserve"> both superannuation and non</w:t>
      </w:r>
      <w:r w:rsidR="006842CC">
        <w:noBreakHyphen/>
      </w:r>
      <w:r>
        <w:t>superannuation assets.</w:t>
      </w:r>
    </w:p>
    <w:p w:rsidR="00357732" w:rsidRDefault="00357732" w:rsidP="0035773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57732" w:rsidTr="00D414E1">
        <w:tc>
          <w:tcPr>
            <w:tcW w:w="8771" w:type="dxa"/>
            <w:tcBorders>
              <w:top w:val="single" w:sz="6" w:space="0" w:color="78A22F"/>
              <w:left w:val="nil"/>
              <w:bottom w:val="nil"/>
              <w:right w:val="nil"/>
            </w:tcBorders>
            <w:shd w:val="clear" w:color="auto" w:fill="auto"/>
          </w:tcPr>
          <w:p w:rsidR="00357732" w:rsidRPr="00176D3F" w:rsidRDefault="00357732" w:rsidP="00D414E1">
            <w:pPr>
              <w:pStyle w:val="FigureTitle"/>
            </w:pPr>
            <w:r w:rsidRPr="00784A05">
              <w:rPr>
                <w:b w:val="0"/>
              </w:rPr>
              <w:t xml:space="preserve">Figure </w:t>
            </w:r>
            <w:bookmarkStart w:id="3" w:name="OLE_LINK20"/>
            <w:r w:rsidR="005F222C">
              <w:rPr>
                <w:b w:val="0"/>
              </w:rPr>
              <w:t>5.</w:t>
            </w:r>
            <w:r w:rsidR="005F222C">
              <w:rPr>
                <w:b w:val="0"/>
                <w:noProof/>
              </w:rPr>
              <w:t>1</w:t>
            </w:r>
            <w:bookmarkEnd w:id="3"/>
            <w:r>
              <w:tab/>
              <w:t>Lifetime income</w:t>
            </w:r>
            <w:r w:rsidRPr="00A72BE2">
              <w:rPr>
                <w:rStyle w:val="NoteLabel"/>
                <w:b/>
              </w:rPr>
              <w:t>a</w:t>
            </w:r>
          </w:p>
        </w:tc>
      </w:tr>
      <w:tr w:rsidR="00357732" w:rsidTr="00D414E1">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357732" w:rsidTr="00C0169D">
              <w:trPr>
                <w:jc w:val="center"/>
              </w:trPr>
              <w:tc>
                <w:tcPr>
                  <w:tcW w:w="8504" w:type="dxa"/>
                  <w:tcBorders>
                    <w:top w:val="nil"/>
                    <w:bottom w:val="nil"/>
                  </w:tcBorders>
                </w:tcPr>
                <w:p w:rsidR="00357732" w:rsidRDefault="00624CD4" w:rsidP="00D414E1">
                  <w:pPr>
                    <w:pStyle w:val="Figure"/>
                    <w:spacing w:before="60" w:after="60"/>
                  </w:pPr>
                  <w:r>
                    <w:rPr>
                      <w:noProof/>
                    </w:rPr>
                    <w:drawing>
                      <wp:inline distT="0" distB="0" distL="0" distR="0" wp14:anchorId="2A026434" wp14:editId="38CAF835">
                        <wp:extent cx="5262245" cy="2803525"/>
                        <wp:effectExtent l="0" t="0" r="0" b="0"/>
                        <wp:docPr id="4" name="Picture 4" descr="Figure 5.1 Lifetime income. This figure illustrates the wage income, age pension receipt and savings drawdown  over their life cycle for the two household mentioned previously. Household A and Household 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2245" cy="2803525"/>
                                </a:xfrm>
                                <a:prstGeom prst="rect">
                                  <a:avLst/>
                                </a:prstGeom>
                                <a:noFill/>
                                <a:ln>
                                  <a:noFill/>
                                </a:ln>
                              </pic:spPr>
                            </pic:pic>
                          </a:graphicData>
                        </a:graphic>
                      </wp:inline>
                    </w:drawing>
                  </w:r>
                </w:p>
              </w:tc>
            </w:tr>
            <w:tr w:rsidR="00C0169D" w:rsidTr="00C0169D">
              <w:trPr>
                <w:jc w:val="center"/>
              </w:trPr>
              <w:tc>
                <w:tcPr>
                  <w:tcW w:w="8504" w:type="dxa"/>
                  <w:tcBorders>
                    <w:top w:val="nil"/>
                    <w:bottom w:val="nil"/>
                  </w:tcBorders>
                </w:tcPr>
                <w:p w:rsidR="00C0169D" w:rsidRDefault="00624CD4" w:rsidP="00D414E1">
                  <w:pPr>
                    <w:pStyle w:val="Figure"/>
                    <w:spacing w:before="60" w:after="60"/>
                  </w:pPr>
                  <w:r>
                    <w:rPr>
                      <w:noProof/>
                    </w:rPr>
                    <w:drawing>
                      <wp:inline distT="0" distB="0" distL="0" distR="0" wp14:anchorId="5DA0D082" wp14:editId="7D6C0176">
                        <wp:extent cx="5262245" cy="629920"/>
                        <wp:effectExtent l="0" t="0" r="0" b="0"/>
                        <wp:docPr id="5" name="Picture 5" descr="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2245" cy="629920"/>
                                </a:xfrm>
                                <a:prstGeom prst="rect">
                                  <a:avLst/>
                                </a:prstGeom>
                                <a:noFill/>
                                <a:ln>
                                  <a:noFill/>
                                </a:ln>
                              </pic:spPr>
                            </pic:pic>
                          </a:graphicData>
                        </a:graphic>
                      </wp:inline>
                    </w:drawing>
                  </w:r>
                </w:p>
              </w:tc>
            </w:tr>
          </w:tbl>
          <w:p w:rsidR="00357732" w:rsidRDefault="00357732" w:rsidP="00D414E1">
            <w:pPr>
              <w:pStyle w:val="Figure"/>
            </w:pPr>
          </w:p>
        </w:tc>
      </w:tr>
      <w:tr w:rsidR="00357732" w:rsidRPr="00176D3F" w:rsidTr="00D414E1">
        <w:tc>
          <w:tcPr>
            <w:tcW w:w="8771" w:type="dxa"/>
            <w:tcBorders>
              <w:top w:val="nil"/>
              <w:left w:val="nil"/>
              <w:bottom w:val="nil"/>
              <w:right w:val="nil"/>
            </w:tcBorders>
            <w:shd w:val="clear" w:color="auto" w:fill="auto"/>
          </w:tcPr>
          <w:p w:rsidR="00357732" w:rsidRPr="00176D3F" w:rsidRDefault="00357732" w:rsidP="00FC1FD0">
            <w:pPr>
              <w:pStyle w:val="Note"/>
            </w:pPr>
            <w:r>
              <w:rPr>
                <w:rStyle w:val="NoteLabel"/>
              </w:rPr>
              <w:t>a</w:t>
            </w:r>
            <w:r>
              <w:t xml:space="preserve"> Household A is a single male in the second lowest wealth quartile (for single males of a given age). Household B is a single male in the highest wealth quartile (for single males of a given age).</w:t>
            </w:r>
          </w:p>
        </w:tc>
      </w:tr>
      <w:tr w:rsidR="00357732" w:rsidTr="00D414E1">
        <w:tc>
          <w:tcPr>
            <w:tcW w:w="8771" w:type="dxa"/>
            <w:tcBorders>
              <w:top w:val="nil"/>
              <w:left w:val="nil"/>
              <w:bottom w:val="single" w:sz="6" w:space="0" w:color="78A22F"/>
              <w:right w:val="nil"/>
            </w:tcBorders>
            <w:shd w:val="clear" w:color="auto" w:fill="auto"/>
          </w:tcPr>
          <w:p w:rsidR="00357732" w:rsidRDefault="00357732" w:rsidP="00D414E1">
            <w:pPr>
              <w:pStyle w:val="Figurespace"/>
            </w:pPr>
          </w:p>
        </w:tc>
      </w:tr>
      <w:tr w:rsidR="00357732" w:rsidRPr="000863A5" w:rsidTr="00D414E1">
        <w:tc>
          <w:tcPr>
            <w:tcW w:w="8771" w:type="dxa"/>
            <w:tcBorders>
              <w:top w:val="single" w:sz="6" w:space="0" w:color="78A22F"/>
              <w:left w:val="nil"/>
              <w:bottom w:val="nil"/>
              <w:right w:val="nil"/>
            </w:tcBorders>
          </w:tcPr>
          <w:p w:rsidR="00357732" w:rsidRPr="00626D32" w:rsidRDefault="00357732" w:rsidP="00D414E1">
            <w:pPr>
              <w:pStyle w:val="BoxSpaceBelow"/>
            </w:pPr>
          </w:p>
        </w:tc>
      </w:tr>
    </w:tbl>
    <w:p w:rsidR="00357732" w:rsidRDefault="00357732" w:rsidP="00357732">
      <w:pPr>
        <w:pStyle w:val="BodyText"/>
        <w:keepNext/>
      </w:pPr>
      <w:r>
        <w:t>These figures show that over the course of their lifetimes:</w:t>
      </w:r>
    </w:p>
    <w:p w:rsidR="00357732" w:rsidRDefault="00357732" w:rsidP="00357732">
      <w:pPr>
        <w:pStyle w:val="ListBullet"/>
        <w:keepNext/>
      </w:pPr>
      <w:r>
        <w:t>Household</w:t>
      </w:r>
      <w:r w:rsidR="00A72BE2">
        <w:t xml:space="preserve"> B earns more wage income than H</w:t>
      </w:r>
      <w:r>
        <w:t>ousehold A.</w:t>
      </w:r>
    </w:p>
    <w:p w:rsidR="00357732" w:rsidRDefault="00357732" w:rsidP="00357732">
      <w:pPr>
        <w:pStyle w:val="ListBullet"/>
        <w:keepNext/>
      </w:pPr>
      <w:r>
        <w:t>Household B accumulates</w:t>
      </w:r>
      <w:r w:rsidR="00A72BE2">
        <w:t xml:space="preserve"> a larger savings balance than H</w:t>
      </w:r>
      <w:r>
        <w:t>ousehold A and thus receives more income when drawing down assets and exhausts savings at an older age (96 compared to 86 years old).</w:t>
      </w:r>
      <w:r w:rsidRPr="00D17E36">
        <w:rPr>
          <w:rStyle w:val="FootnoteReference"/>
        </w:rPr>
        <w:footnoteReference w:id="1"/>
      </w:r>
    </w:p>
    <w:p w:rsidR="00357732" w:rsidRDefault="00357732" w:rsidP="00357732">
      <w:pPr>
        <w:pStyle w:val="ListBullet"/>
        <w:keepNext/>
      </w:pPr>
      <w:r>
        <w:t>Household B has a larger proportion of total savings in non</w:t>
      </w:r>
      <w:r w:rsidR="006842CC">
        <w:noBreakHyphen/>
      </w:r>
      <w:r>
        <w:t>superannuation assets.</w:t>
      </w:r>
    </w:p>
    <w:p w:rsidR="00357732" w:rsidRDefault="00357732" w:rsidP="00357732">
      <w:pPr>
        <w:pStyle w:val="ListBullet"/>
      </w:pPr>
      <w:r>
        <w:t>Household A receives the Age Pension (and obtains the full pension) at a younger age than household B.</w:t>
      </w:r>
    </w:p>
    <w:p w:rsidR="00357732" w:rsidRDefault="00357732" w:rsidP="0035773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Pr>
      <w:tblGrid>
        <w:gridCol w:w="8771"/>
      </w:tblGrid>
      <w:tr w:rsidR="00357732" w:rsidTr="00D414E1">
        <w:tc>
          <w:tcPr>
            <w:tcW w:w="8771" w:type="dxa"/>
            <w:tcBorders>
              <w:top w:val="single" w:sz="6" w:space="0" w:color="78A22F"/>
              <w:left w:val="nil"/>
              <w:bottom w:val="nil"/>
              <w:right w:val="nil"/>
            </w:tcBorders>
            <w:hideMark/>
          </w:tcPr>
          <w:p w:rsidR="00357732" w:rsidRDefault="00357732" w:rsidP="00D414E1">
            <w:pPr>
              <w:pStyle w:val="FigureTitle"/>
            </w:pPr>
            <w:r>
              <w:rPr>
                <w:b w:val="0"/>
              </w:rPr>
              <w:t xml:space="preserve">Figure </w:t>
            </w:r>
            <w:bookmarkStart w:id="4" w:name="OLE_LINK21"/>
            <w:r w:rsidR="005F222C">
              <w:rPr>
                <w:b w:val="0"/>
              </w:rPr>
              <w:t>5.</w:t>
            </w:r>
            <w:r w:rsidR="005F222C">
              <w:rPr>
                <w:b w:val="0"/>
                <w:noProof/>
              </w:rPr>
              <w:t>2</w:t>
            </w:r>
            <w:bookmarkEnd w:id="4"/>
            <w:r>
              <w:tab/>
              <w:t>Lifetime savings balances</w:t>
            </w:r>
            <w:r w:rsidRPr="00A72BE2">
              <w:rPr>
                <w:rStyle w:val="NoteLabel"/>
                <w:b/>
              </w:rPr>
              <w:t>a</w:t>
            </w:r>
          </w:p>
        </w:tc>
      </w:tr>
      <w:tr w:rsidR="00357732" w:rsidTr="00D414E1">
        <w:tc>
          <w:tcPr>
            <w:tcW w:w="8771" w:type="dxa"/>
            <w:tcBorders>
              <w:top w:val="nil"/>
              <w:left w:val="nil"/>
              <w:bottom w:val="nil"/>
              <w:right w:val="nil"/>
            </w:tcBorders>
            <w:tcMar>
              <w:top w:w="28" w:type="dxa"/>
              <w:left w:w="142" w:type="dxa"/>
              <w:bottom w:w="28" w:type="dxa"/>
              <w:right w:w="142" w:type="dxa"/>
            </w:tcMar>
            <w:hideMark/>
          </w:tcPr>
          <w:tbl>
            <w:tblPr>
              <w:tblW w:w="8505" w:type="dxa"/>
              <w:jc w:val="center"/>
              <w:tblBorders>
                <w:top w:val="single" w:sz="6" w:space="0" w:color="F2F2F2" w:themeColor="accent4"/>
                <w:bottom w:val="single" w:sz="6" w:space="0" w:color="F2F2F2" w:themeColor="accent4"/>
              </w:tblBorders>
              <w:tblLayout w:type="fixed"/>
              <w:tblCellMar>
                <w:top w:w="28" w:type="dxa"/>
              </w:tblCellMar>
              <w:tblLook w:val="04A0" w:firstRow="1" w:lastRow="0" w:firstColumn="1" w:lastColumn="0" w:noHBand="0" w:noVBand="1"/>
            </w:tblPr>
            <w:tblGrid>
              <w:gridCol w:w="8505"/>
            </w:tblGrid>
            <w:tr w:rsidR="00357732" w:rsidTr="004B329F">
              <w:trPr>
                <w:jc w:val="center"/>
              </w:trPr>
              <w:tc>
                <w:tcPr>
                  <w:tcW w:w="8505" w:type="dxa"/>
                  <w:tcBorders>
                    <w:top w:val="nil"/>
                    <w:left w:val="nil"/>
                    <w:bottom w:val="nil"/>
                    <w:right w:val="nil"/>
                  </w:tcBorders>
                  <w:hideMark/>
                </w:tcPr>
                <w:p w:rsidR="00357732" w:rsidRDefault="00387430" w:rsidP="00D414E1">
                  <w:pPr>
                    <w:pStyle w:val="Figure"/>
                    <w:spacing w:before="60" w:after="60"/>
                  </w:pPr>
                  <w:r>
                    <w:rPr>
                      <w:noProof/>
                    </w:rPr>
                    <w:drawing>
                      <wp:inline distT="0" distB="0" distL="0" distR="0" wp14:anchorId="3380FDD6" wp14:editId="7696B8DB">
                        <wp:extent cx="5262245" cy="2803525"/>
                        <wp:effectExtent l="0" t="0" r="0" b="0"/>
                        <wp:docPr id="1" name="Picture 1" descr="Figure 5.2 Lifetime Savings balances. This figure illustrates the total savings balance, superannuation balance and non-superannuation savings balance for the same household A and household B over their life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2245" cy="2803525"/>
                                </a:xfrm>
                                <a:prstGeom prst="rect">
                                  <a:avLst/>
                                </a:prstGeom>
                                <a:noFill/>
                                <a:ln>
                                  <a:noFill/>
                                </a:ln>
                              </pic:spPr>
                            </pic:pic>
                          </a:graphicData>
                        </a:graphic>
                      </wp:inline>
                    </w:drawing>
                  </w:r>
                </w:p>
              </w:tc>
            </w:tr>
            <w:tr w:rsidR="004B329F" w:rsidTr="004B329F">
              <w:trPr>
                <w:jc w:val="center"/>
              </w:trPr>
              <w:tc>
                <w:tcPr>
                  <w:tcW w:w="8505" w:type="dxa"/>
                  <w:tcBorders>
                    <w:top w:val="nil"/>
                    <w:left w:val="nil"/>
                    <w:bottom w:val="nil"/>
                    <w:right w:val="nil"/>
                  </w:tcBorders>
                </w:tcPr>
                <w:p w:rsidR="004B329F" w:rsidRDefault="00624CD4" w:rsidP="00D414E1">
                  <w:pPr>
                    <w:pStyle w:val="Figure"/>
                    <w:spacing w:before="60" w:after="60"/>
                  </w:pPr>
                  <w:r>
                    <w:rPr>
                      <w:noProof/>
                    </w:rPr>
                    <w:drawing>
                      <wp:inline distT="0" distB="0" distL="0" distR="0" wp14:anchorId="0F3E99A8" wp14:editId="6F996B50">
                        <wp:extent cx="5262245" cy="655320"/>
                        <wp:effectExtent l="0" t="0" r="0" b="0"/>
                        <wp:docPr id="7" name="Picture 7" descr="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2245" cy="655320"/>
                                </a:xfrm>
                                <a:prstGeom prst="rect">
                                  <a:avLst/>
                                </a:prstGeom>
                                <a:noFill/>
                                <a:ln>
                                  <a:noFill/>
                                </a:ln>
                              </pic:spPr>
                            </pic:pic>
                          </a:graphicData>
                        </a:graphic>
                      </wp:inline>
                    </w:drawing>
                  </w:r>
                </w:p>
              </w:tc>
            </w:tr>
          </w:tbl>
          <w:p w:rsidR="00357732" w:rsidRDefault="00357732" w:rsidP="00D414E1">
            <w:pPr>
              <w:pStyle w:val="Figure"/>
            </w:pPr>
          </w:p>
        </w:tc>
      </w:tr>
      <w:tr w:rsidR="00357732" w:rsidTr="00D414E1">
        <w:tc>
          <w:tcPr>
            <w:tcW w:w="8771" w:type="dxa"/>
            <w:tcBorders>
              <w:top w:val="nil"/>
              <w:left w:val="nil"/>
              <w:bottom w:val="nil"/>
              <w:right w:val="nil"/>
            </w:tcBorders>
            <w:hideMark/>
          </w:tcPr>
          <w:p w:rsidR="00357732" w:rsidRDefault="00357732" w:rsidP="00FC1FD0">
            <w:pPr>
              <w:pStyle w:val="Note"/>
            </w:pPr>
            <w:r>
              <w:rPr>
                <w:rStyle w:val="NoteLabel"/>
              </w:rPr>
              <w:t>a</w:t>
            </w:r>
            <w:r>
              <w:t xml:space="preserve"> Household A is a single male in the second lowest wealth quartile (for single males of a given age). Household</w:t>
            </w:r>
            <w:r w:rsidDel="00C96EA9">
              <w:t xml:space="preserve"> </w:t>
            </w:r>
            <w:r>
              <w:t>B is a single male in the highest wealth quartile (for single males of a given age).</w:t>
            </w:r>
          </w:p>
        </w:tc>
      </w:tr>
      <w:tr w:rsidR="00357732" w:rsidTr="00D414E1">
        <w:tc>
          <w:tcPr>
            <w:tcW w:w="8771" w:type="dxa"/>
            <w:tcBorders>
              <w:top w:val="nil"/>
              <w:left w:val="nil"/>
              <w:bottom w:val="single" w:sz="6" w:space="0" w:color="78A22F"/>
              <w:right w:val="nil"/>
            </w:tcBorders>
          </w:tcPr>
          <w:p w:rsidR="00357732" w:rsidRDefault="00357732" w:rsidP="00D414E1">
            <w:pPr>
              <w:pStyle w:val="Figurespace"/>
            </w:pPr>
          </w:p>
        </w:tc>
      </w:tr>
      <w:tr w:rsidR="00357732" w:rsidTr="00D414E1">
        <w:tc>
          <w:tcPr>
            <w:tcW w:w="8771" w:type="dxa"/>
            <w:tcBorders>
              <w:top w:val="single" w:sz="6" w:space="0" w:color="78A22F"/>
              <w:left w:val="nil"/>
              <w:bottom w:val="nil"/>
              <w:right w:val="nil"/>
            </w:tcBorders>
            <w:hideMark/>
          </w:tcPr>
          <w:p w:rsidR="00357732" w:rsidRDefault="00357732" w:rsidP="00D414E1">
            <w:pPr>
              <w:pStyle w:val="BoxSpaceBelow"/>
            </w:pPr>
          </w:p>
        </w:tc>
      </w:tr>
    </w:tbl>
    <w:p w:rsidR="00357732" w:rsidRDefault="00357732" w:rsidP="0000030B">
      <w:pPr>
        <w:pStyle w:val="Heading2"/>
      </w:pPr>
      <w:r>
        <w:t xml:space="preserve">Illustrating the decision making process </w:t>
      </w:r>
    </w:p>
    <w:p w:rsidR="00FC1FD0" w:rsidRDefault="00FC1FD0" w:rsidP="00357732">
      <w:pPr>
        <w:pStyle w:val="BodyText"/>
        <w:rPr>
          <w:szCs w:val="24"/>
        </w:rPr>
      </w:pPr>
      <w:r>
        <w:rPr>
          <w:szCs w:val="24"/>
        </w:rPr>
        <w:t>This section illustrates how H</w:t>
      </w:r>
      <w:r w:rsidR="00357732">
        <w:rPr>
          <w:szCs w:val="24"/>
        </w:rPr>
        <w:t>ousehold A determ</w:t>
      </w:r>
      <w:r>
        <w:rPr>
          <w:szCs w:val="24"/>
        </w:rPr>
        <w:t xml:space="preserve">ines their response to an </w:t>
      </w:r>
      <w:r w:rsidRPr="00FC1FD0">
        <w:rPr>
          <w:szCs w:val="24"/>
        </w:rPr>
        <w:t xml:space="preserve">increase in the preservation age (from 60 to 65) that phases in from 2035 (the phase in is completed </w:t>
      </w:r>
      <w:r w:rsidR="00364F32" w:rsidRPr="00FC1FD0">
        <w:rPr>
          <w:szCs w:val="24"/>
        </w:rPr>
        <w:t>by</w:t>
      </w:r>
      <w:r w:rsidR="00364F32">
        <w:rPr>
          <w:szCs w:val="24"/>
        </w:rPr>
        <w:t> </w:t>
      </w:r>
      <w:r w:rsidRPr="00FC1FD0">
        <w:rPr>
          <w:szCs w:val="24"/>
        </w:rPr>
        <w:t>2043)</w:t>
      </w:r>
      <w:r w:rsidR="00A72BE2">
        <w:rPr>
          <w:szCs w:val="24"/>
        </w:rPr>
        <w:t xml:space="preserve"> (Policy 1A)</w:t>
      </w:r>
      <w:r w:rsidRPr="00FC1FD0">
        <w:rPr>
          <w:szCs w:val="24"/>
        </w:rPr>
        <w:t xml:space="preserve">. </w:t>
      </w:r>
    </w:p>
    <w:p w:rsidR="00357732" w:rsidRDefault="00357732" w:rsidP="00357732">
      <w:pPr>
        <w:pStyle w:val="BodyText"/>
        <w:rPr>
          <w:szCs w:val="24"/>
        </w:rPr>
      </w:pPr>
      <w:r>
        <w:rPr>
          <w:szCs w:val="24"/>
        </w:rPr>
        <w:t>The lifetime discounted utility derived for each retirement age for Household A is presented in table </w:t>
      </w:r>
      <w:r w:rsidR="00A72BE2">
        <w:rPr>
          <w:szCs w:val="24"/>
        </w:rPr>
        <w:t>5.1.</w:t>
      </w:r>
      <w:r>
        <w:rPr>
          <w:szCs w:val="24"/>
        </w:rPr>
        <w:t xml:space="preserve"> Household A chooses to retire at the age of 67 under </w:t>
      </w:r>
      <w:r w:rsidR="00FC1FD0">
        <w:rPr>
          <w:szCs w:val="24"/>
        </w:rPr>
        <w:t>the base case. This is because H</w:t>
      </w:r>
      <w:r>
        <w:rPr>
          <w:szCs w:val="24"/>
        </w:rPr>
        <w:t xml:space="preserve">ousehold A has a relatively small superannuation balance and </w:t>
      </w:r>
      <w:r w:rsidR="00A72BE2">
        <w:rPr>
          <w:szCs w:val="24"/>
        </w:rPr>
        <w:t xml:space="preserve">so </w:t>
      </w:r>
      <w:r>
        <w:rPr>
          <w:szCs w:val="24"/>
        </w:rPr>
        <w:t xml:space="preserve">intends to retire when they reach the Age Pension age. </w:t>
      </w:r>
    </w:p>
    <w:p w:rsidR="00357732" w:rsidRDefault="00357732" w:rsidP="00357732">
      <w:pPr>
        <w:pStyle w:val="BodyText"/>
        <w:rPr>
          <w:szCs w:val="24"/>
        </w:rPr>
      </w:pPr>
      <w:r>
        <w:rPr>
          <w:szCs w:val="24"/>
        </w:rPr>
        <w:t xml:space="preserve">Under </w:t>
      </w:r>
      <w:r w:rsidR="00A72BE2">
        <w:rPr>
          <w:szCs w:val="24"/>
        </w:rPr>
        <w:t>P</w:t>
      </w:r>
      <w:r>
        <w:rPr>
          <w:szCs w:val="24"/>
        </w:rPr>
        <w:t>olicy</w:t>
      </w:r>
      <w:r w:rsidR="00A72BE2">
        <w:rPr>
          <w:szCs w:val="24"/>
        </w:rPr>
        <w:t> 1A</w:t>
      </w:r>
      <w:r>
        <w:rPr>
          <w:szCs w:val="24"/>
        </w:rPr>
        <w:t>, there is a lower utility value for retirement ages l</w:t>
      </w:r>
      <w:r w:rsidR="00A72BE2">
        <w:rPr>
          <w:szCs w:val="24"/>
        </w:rPr>
        <w:t>ess</w:t>
      </w:r>
      <w:r>
        <w:rPr>
          <w:szCs w:val="24"/>
        </w:rPr>
        <w:t xml:space="preserve"> than the age of 65 and no change to utility for ages 65 and above. Household A does not change their </w:t>
      </w:r>
      <w:bookmarkStart w:id="5" w:name="_GoBack"/>
      <w:bookmarkEnd w:id="5"/>
      <w:r>
        <w:rPr>
          <w:szCs w:val="24"/>
        </w:rPr>
        <w:t>retirement age because the utility for their original retirement age remains unchanged and the utility associated with other retirement ages is either the same or lower under the policy.</w:t>
      </w:r>
    </w:p>
    <w:p w:rsidR="00357732" w:rsidRDefault="00357732" w:rsidP="0035773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57732" w:rsidTr="00D414E1">
        <w:tc>
          <w:tcPr>
            <w:tcW w:w="8771" w:type="dxa"/>
            <w:tcBorders>
              <w:top w:val="single" w:sz="6" w:space="0" w:color="78A22F"/>
              <w:left w:val="nil"/>
              <w:bottom w:val="nil"/>
              <w:right w:val="nil"/>
            </w:tcBorders>
            <w:shd w:val="clear" w:color="auto" w:fill="auto"/>
          </w:tcPr>
          <w:p w:rsidR="00357732" w:rsidRPr="00784A05" w:rsidRDefault="00357732" w:rsidP="00D414E1">
            <w:pPr>
              <w:pStyle w:val="TableTitle"/>
            </w:pPr>
            <w:r>
              <w:rPr>
                <w:b w:val="0"/>
              </w:rPr>
              <w:t xml:space="preserve">Table </w:t>
            </w:r>
            <w:bookmarkStart w:id="6" w:name="OLE_LINK22"/>
            <w:r w:rsidR="005F222C">
              <w:rPr>
                <w:b w:val="0"/>
              </w:rPr>
              <w:t>5.</w:t>
            </w:r>
            <w:r w:rsidR="005F222C">
              <w:rPr>
                <w:b w:val="0"/>
                <w:noProof/>
              </w:rPr>
              <w:t>1</w:t>
            </w:r>
            <w:bookmarkEnd w:id="6"/>
            <w:r>
              <w:tab/>
              <w:t>Utility for example Household A</w:t>
            </w:r>
            <w:r w:rsidRPr="00A72BE2">
              <w:rPr>
                <w:rStyle w:val="NoteLabel"/>
                <w:b/>
              </w:rPr>
              <w:t>a</w:t>
            </w:r>
          </w:p>
        </w:tc>
      </w:tr>
      <w:tr w:rsidR="00357732" w:rsidTr="00D414E1">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2"/>
              <w:gridCol w:w="2123"/>
              <w:gridCol w:w="2122"/>
              <w:gridCol w:w="2120"/>
            </w:tblGrid>
            <w:tr w:rsidR="00357732" w:rsidTr="00D414E1">
              <w:tc>
                <w:tcPr>
                  <w:tcW w:w="1250" w:type="pct"/>
                  <w:tcBorders>
                    <w:top w:val="single" w:sz="6" w:space="0" w:color="BFBFBF"/>
                    <w:bottom w:val="single" w:sz="6" w:space="0" w:color="BFBFBF"/>
                  </w:tcBorders>
                  <w:shd w:val="clear" w:color="auto" w:fill="auto"/>
                  <w:tcMar>
                    <w:top w:w="28" w:type="dxa"/>
                  </w:tcMar>
                </w:tcPr>
                <w:p w:rsidR="00357732" w:rsidRDefault="00357732" w:rsidP="00D414E1">
                  <w:pPr>
                    <w:pStyle w:val="TableColumnHeading"/>
                    <w:jc w:val="left"/>
                  </w:pPr>
                  <w:r>
                    <w:t>Retirement age</w:t>
                  </w:r>
                </w:p>
              </w:tc>
              <w:tc>
                <w:tcPr>
                  <w:tcW w:w="1251" w:type="pct"/>
                  <w:tcBorders>
                    <w:top w:val="single" w:sz="6" w:space="0" w:color="BFBFBF"/>
                    <w:bottom w:val="single" w:sz="6" w:space="0" w:color="BFBFBF"/>
                  </w:tcBorders>
                  <w:shd w:val="clear" w:color="auto" w:fill="auto"/>
                  <w:tcMar>
                    <w:top w:w="28" w:type="dxa"/>
                  </w:tcMar>
                </w:tcPr>
                <w:p w:rsidR="00357732" w:rsidRDefault="00357732" w:rsidP="00D414E1">
                  <w:pPr>
                    <w:pStyle w:val="TableColumnHeading"/>
                  </w:pPr>
                  <w:r>
                    <w:t>Utility under base</w:t>
                  </w:r>
                </w:p>
              </w:tc>
              <w:tc>
                <w:tcPr>
                  <w:tcW w:w="1250" w:type="pct"/>
                  <w:tcBorders>
                    <w:top w:val="single" w:sz="6" w:space="0" w:color="BFBFBF"/>
                    <w:bottom w:val="single" w:sz="6" w:space="0" w:color="BFBFBF"/>
                  </w:tcBorders>
                </w:tcPr>
                <w:p w:rsidR="00357732" w:rsidRDefault="00357732" w:rsidP="00D414E1">
                  <w:pPr>
                    <w:pStyle w:val="TableColumnHeading"/>
                    <w:ind w:right="28"/>
                  </w:pPr>
                  <w:r>
                    <w:t>Utility under policy</w:t>
                  </w:r>
                </w:p>
              </w:tc>
              <w:tc>
                <w:tcPr>
                  <w:tcW w:w="1249" w:type="pct"/>
                  <w:tcBorders>
                    <w:top w:val="single" w:sz="6" w:space="0" w:color="BFBFBF"/>
                    <w:bottom w:val="single" w:sz="6" w:space="0" w:color="BFBFBF"/>
                  </w:tcBorders>
                  <w:shd w:val="clear" w:color="auto" w:fill="auto"/>
                  <w:tcMar>
                    <w:top w:w="28" w:type="dxa"/>
                  </w:tcMar>
                </w:tcPr>
                <w:p w:rsidR="00357732" w:rsidRDefault="00357732" w:rsidP="00D414E1">
                  <w:pPr>
                    <w:pStyle w:val="TableColumnHeading"/>
                    <w:ind w:right="28"/>
                  </w:pPr>
                  <w:r>
                    <w:t>Difference</w:t>
                  </w:r>
                </w:p>
              </w:tc>
            </w:tr>
            <w:tr w:rsidR="00357732" w:rsidTr="00D414E1">
              <w:tc>
                <w:tcPr>
                  <w:tcW w:w="1250" w:type="pct"/>
                </w:tcPr>
                <w:p w:rsidR="00357732" w:rsidRDefault="00357732" w:rsidP="00D414E1">
                  <w:pPr>
                    <w:pStyle w:val="TableBodyText"/>
                    <w:jc w:val="left"/>
                  </w:pPr>
                  <w:r>
                    <w:t>50</w:t>
                  </w:r>
                </w:p>
              </w:tc>
              <w:tc>
                <w:tcPr>
                  <w:tcW w:w="1251" w:type="pct"/>
                  <w:vAlign w:val="center"/>
                </w:tcPr>
                <w:p w:rsidR="00357732" w:rsidRDefault="00357732" w:rsidP="00D414E1">
                  <w:pPr>
                    <w:pStyle w:val="TableBodyText"/>
                  </w:pPr>
                  <w:r>
                    <w:rPr>
                      <w:rFonts w:cs="Arial"/>
                      <w:color w:val="000000"/>
                      <w:szCs w:val="18"/>
                    </w:rPr>
                    <w:t>3.283</w:t>
                  </w:r>
                </w:p>
              </w:tc>
              <w:tc>
                <w:tcPr>
                  <w:tcW w:w="1250" w:type="pct"/>
                  <w:vAlign w:val="center"/>
                </w:tcPr>
                <w:p w:rsidR="00357732" w:rsidRDefault="00357732" w:rsidP="00D414E1">
                  <w:pPr>
                    <w:pStyle w:val="TableBodyText"/>
                  </w:pPr>
                  <w:r>
                    <w:rPr>
                      <w:rFonts w:cs="Arial"/>
                      <w:color w:val="000000"/>
                      <w:szCs w:val="18"/>
                    </w:rPr>
                    <w:t>3.217</w:t>
                  </w:r>
                </w:p>
              </w:tc>
              <w:tc>
                <w:tcPr>
                  <w:tcW w:w="1249" w:type="pct"/>
                  <w:vAlign w:val="center"/>
                </w:tcPr>
                <w:p w:rsidR="00357732" w:rsidRDefault="006842CC" w:rsidP="00D414E1">
                  <w:pPr>
                    <w:pStyle w:val="TableBodyText"/>
                    <w:ind w:right="28"/>
                  </w:pPr>
                  <w:r>
                    <w:rPr>
                      <w:rFonts w:cs="Arial"/>
                      <w:color w:val="000000"/>
                      <w:szCs w:val="18"/>
                    </w:rPr>
                    <w:noBreakHyphen/>
                  </w:r>
                  <w:r w:rsidR="00357732">
                    <w:rPr>
                      <w:rFonts w:cs="Arial"/>
                      <w:color w:val="000000"/>
                      <w:szCs w:val="18"/>
                    </w:rPr>
                    <w:t>0.066</w:t>
                  </w:r>
                </w:p>
              </w:tc>
            </w:tr>
            <w:tr w:rsidR="00357732" w:rsidTr="00D414E1">
              <w:tc>
                <w:tcPr>
                  <w:tcW w:w="1250" w:type="pct"/>
                </w:tcPr>
                <w:p w:rsidR="00357732" w:rsidRDefault="00357732" w:rsidP="00D414E1">
                  <w:pPr>
                    <w:pStyle w:val="TableBodyText"/>
                    <w:jc w:val="left"/>
                  </w:pPr>
                  <w:r>
                    <w:t>51</w:t>
                  </w:r>
                </w:p>
              </w:tc>
              <w:tc>
                <w:tcPr>
                  <w:tcW w:w="1251" w:type="pct"/>
                  <w:vAlign w:val="center"/>
                </w:tcPr>
                <w:p w:rsidR="00357732" w:rsidRDefault="00357732" w:rsidP="00D414E1">
                  <w:pPr>
                    <w:pStyle w:val="TableBodyText"/>
                  </w:pPr>
                  <w:r>
                    <w:rPr>
                      <w:rFonts w:cs="Arial"/>
                      <w:color w:val="000000"/>
                      <w:szCs w:val="18"/>
                    </w:rPr>
                    <w:t>3.334</w:t>
                  </w:r>
                </w:p>
              </w:tc>
              <w:tc>
                <w:tcPr>
                  <w:tcW w:w="1250" w:type="pct"/>
                  <w:vAlign w:val="center"/>
                </w:tcPr>
                <w:p w:rsidR="00357732" w:rsidRDefault="00357732" w:rsidP="00D414E1">
                  <w:pPr>
                    <w:pStyle w:val="TableBodyText"/>
                  </w:pPr>
                  <w:r>
                    <w:rPr>
                      <w:rFonts w:cs="Arial"/>
                      <w:color w:val="000000"/>
                      <w:szCs w:val="18"/>
                    </w:rPr>
                    <w:t>3.268</w:t>
                  </w:r>
                </w:p>
              </w:tc>
              <w:tc>
                <w:tcPr>
                  <w:tcW w:w="1249" w:type="pct"/>
                  <w:vAlign w:val="center"/>
                </w:tcPr>
                <w:p w:rsidR="00357732" w:rsidRDefault="006842CC" w:rsidP="00D414E1">
                  <w:pPr>
                    <w:pStyle w:val="TableBodyText"/>
                    <w:ind w:right="28"/>
                  </w:pPr>
                  <w:r>
                    <w:rPr>
                      <w:rFonts w:cs="Arial"/>
                      <w:color w:val="000000"/>
                      <w:szCs w:val="18"/>
                    </w:rPr>
                    <w:noBreakHyphen/>
                  </w:r>
                  <w:r w:rsidR="00357732">
                    <w:rPr>
                      <w:rFonts w:cs="Arial"/>
                      <w:color w:val="000000"/>
                      <w:szCs w:val="18"/>
                    </w:rPr>
                    <w:t>0.066</w:t>
                  </w:r>
                </w:p>
              </w:tc>
            </w:tr>
            <w:tr w:rsidR="00357732" w:rsidTr="00D414E1">
              <w:tc>
                <w:tcPr>
                  <w:tcW w:w="1250" w:type="pct"/>
                </w:tcPr>
                <w:p w:rsidR="00357732" w:rsidRDefault="00357732" w:rsidP="00D414E1">
                  <w:pPr>
                    <w:pStyle w:val="TableBodyText"/>
                    <w:jc w:val="left"/>
                  </w:pPr>
                  <w:r>
                    <w:t>52</w:t>
                  </w:r>
                </w:p>
              </w:tc>
              <w:tc>
                <w:tcPr>
                  <w:tcW w:w="1251" w:type="pct"/>
                  <w:vAlign w:val="center"/>
                </w:tcPr>
                <w:p w:rsidR="00357732" w:rsidRDefault="00357732" w:rsidP="00D414E1">
                  <w:pPr>
                    <w:pStyle w:val="TableBodyText"/>
                  </w:pPr>
                  <w:r>
                    <w:rPr>
                      <w:rFonts w:cs="Arial"/>
                      <w:color w:val="000000"/>
                      <w:szCs w:val="18"/>
                    </w:rPr>
                    <w:t>3.381</w:t>
                  </w:r>
                </w:p>
              </w:tc>
              <w:tc>
                <w:tcPr>
                  <w:tcW w:w="1250" w:type="pct"/>
                  <w:vAlign w:val="center"/>
                </w:tcPr>
                <w:p w:rsidR="00357732" w:rsidRDefault="00357732" w:rsidP="00D414E1">
                  <w:pPr>
                    <w:pStyle w:val="TableBodyText"/>
                  </w:pPr>
                  <w:r>
                    <w:rPr>
                      <w:rFonts w:cs="Arial"/>
                      <w:color w:val="000000"/>
                      <w:szCs w:val="18"/>
                    </w:rPr>
                    <w:t>3.315</w:t>
                  </w:r>
                </w:p>
              </w:tc>
              <w:tc>
                <w:tcPr>
                  <w:tcW w:w="1249" w:type="pct"/>
                  <w:vAlign w:val="center"/>
                </w:tcPr>
                <w:p w:rsidR="00357732" w:rsidRDefault="006842CC" w:rsidP="00D414E1">
                  <w:pPr>
                    <w:pStyle w:val="TableBodyText"/>
                    <w:ind w:right="28"/>
                  </w:pPr>
                  <w:r>
                    <w:rPr>
                      <w:rFonts w:cs="Arial"/>
                      <w:color w:val="000000"/>
                      <w:szCs w:val="18"/>
                    </w:rPr>
                    <w:noBreakHyphen/>
                  </w:r>
                  <w:r w:rsidR="00357732">
                    <w:rPr>
                      <w:rFonts w:cs="Arial"/>
                      <w:color w:val="000000"/>
                      <w:szCs w:val="18"/>
                    </w:rPr>
                    <w:t>0.067</w:t>
                  </w:r>
                </w:p>
              </w:tc>
            </w:tr>
            <w:tr w:rsidR="00357732" w:rsidTr="00D414E1">
              <w:tc>
                <w:tcPr>
                  <w:tcW w:w="1250" w:type="pct"/>
                </w:tcPr>
                <w:p w:rsidR="00357732" w:rsidRDefault="00357732" w:rsidP="00D414E1">
                  <w:pPr>
                    <w:pStyle w:val="TableBodyText"/>
                    <w:jc w:val="left"/>
                  </w:pPr>
                  <w:r>
                    <w:t>53</w:t>
                  </w:r>
                </w:p>
              </w:tc>
              <w:tc>
                <w:tcPr>
                  <w:tcW w:w="1251" w:type="pct"/>
                  <w:vAlign w:val="center"/>
                </w:tcPr>
                <w:p w:rsidR="00357732" w:rsidRDefault="00357732" w:rsidP="00D414E1">
                  <w:pPr>
                    <w:pStyle w:val="TableBodyText"/>
                  </w:pPr>
                  <w:r>
                    <w:rPr>
                      <w:rFonts w:cs="Arial"/>
                      <w:color w:val="000000"/>
                      <w:szCs w:val="18"/>
                    </w:rPr>
                    <w:t>3.427</w:t>
                  </w:r>
                </w:p>
              </w:tc>
              <w:tc>
                <w:tcPr>
                  <w:tcW w:w="1250" w:type="pct"/>
                  <w:vAlign w:val="center"/>
                </w:tcPr>
                <w:p w:rsidR="00357732" w:rsidRDefault="00357732" w:rsidP="00D414E1">
                  <w:pPr>
                    <w:pStyle w:val="TableBodyText"/>
                  </w:pPr>
                  <w:r>
                    <w:rPr>
                      <w:rFonts w:cs="Arial"/>
                      <w:color w:val="000000"/>
                      <w:szCs w:val="18"/>
                    </w:rPr>
                    <w:t>3.359</w:t>
                  </w:r>
                </w:p>
              </w:tc>
              <w:tc>
                <w:tcPr>
                  <w:tcW w:w="1249" w:type="pct"/>
                  <w:vAlign w:val="center"/>
                </w:tcPr>
                <w:p w:rsidR="00357732" w:rsidRDefault="006842CC" w:rsidP="00D414E1">
                  <w:pPr>
                    <w:pStyle w:val="TableBodyText"/>
                    <w:ind w:right="28"/>
                  </w:pPr>
                  <w:r>
                    <w:rPr>
                      <w:rFonts w:cs="Arial"/>
                      <w:color w:val="000000"/>
                      <w:szCs w:val="18"/>
                    </w:rPr>
                    <w:noBreakHyphen/>
                  </w:r>
                  <w:r w:rsidR="00357732">
                    <w:rPr>
                      <w:rFonts w:cs="Arial"/>
                      <w:color w:val="000000"/>
                      <w:szCs w:val="18"/>
                    </w:rPr>
                    <w:t>0.068</w:t>
                  </w:r>
                </w:p>
              </w:tc>
            </w:tr>
            <w:tr w:rsidR="00357732" w:rsidTr="00D414E1">
              <w:tc>
                <w:tcPr>
                  <w:tcW w:w="1250" w:type="pct"/>
                </w:tcPr>
                <w:p w:rsidR="00357732" w:rsidRDefault="00357732" w:rsidP="00D414E1">
                  <w:pPr>
                    <w:pStyle w:val="TableBodyText"/>
                    <w:jc w:val="left"/>
                  </w:pPr>
                  <w:r>
                    <w:t>54</w:t>
                  </w:r>
                </w:p>
              </w:tc>
              <w:tc>
                <w:tcPr>
                  <w:tcW w:w="1251" w:type="pct"/>
                  <w:vAlign w:val="center"/>
                </w:tcPr>
                <w:p w:rsidR="00357732" w:rsidRDefault="00357732" w:rsidP="00D414E1">
                  <w:pPr>
                    <w:pStyle w:val="TableBodyText"/>
                  </w:pPr>
                  <w:r>
                    <w:rPr>
                      <w:rFonts w:cs="Arial"/>
                      <w:color w:val="000000"/>
                      <w:szCs w:val="18"/>
                    </w:rPr>
                    <w:t>3.470</w:t>
                  </w:r>
                </w:p>
              </w:tc>
              <w:tc>
                <w:tcPr>
                  <w:tcW w:w="1250" w:type="pct"/>
                  <w:vAlign w:val="center"/>
                </w:tcPr>
                <w:p w:rsidR="00357732" w:rsidRDefault="00357732" w:rsidP="00D414E1">
                  <w:pPr>
                    <w:pStyle w:val="TableBodyText"/>
                  </w:pPr>
                  <w:r>
                    <w:rPr>
                      <w:rFonts w:cs="Arial"/>
                      <w:color w:val="000000"/>
                      <w:szCs w:val="18"/>
                    </w:rPr>
                    <w:t>3.402</w:t>
                  </w:r>
                </w:p>
              </w:tc>
              <w:tc>
                <w:tcPr>
                  <w:tcW w:w="1249" w:type="pct"/>
                  <w:vAlign w:val="center"/>
                </w:tcPr>
                <w:p w:rsidR="00357732" w:rsidRDefault="006842CC" w:rsidP="00D414E1">
                  <w:pPr>
                    <w:pStyle w:val="TableBodyText"/>
                    <w:ind w:right="28"/>
                  </w:pPr>
                  <w:r>
                    <w:rPr>
                      <w:rFonts w:cs="Arial"/>
                      <w:color w:val="000000"/>
                      <w:szCs w:val="18"/>
                    </w:rPr>
                    <w:noBreakHyphen/>
                  </w:r>
                  <w:r w:rsidR="00357732">
                    <w:rPr>
                      <w:rFonts w:cs="Arial"/>
                      <w:color w:val="000000"/>
                      <w:szCs w:val="18"/>
                    </w:rPr>
                    <w:t>0.068</w:t>
                  </w:r>
                </w:p>
              </w:tc>
            </w:tr>
            <w:tr w:rsidR="00357732" w:rsidTr="00D414E1">
              <w:tc>
                <w:tcPr>
                  <w:tcW w:w="1250" w:type="pct"/>
                </w:tcPr>
                <w:p w:rsidR="00357732" w:rsidRDefault="00357732" w:rsidP="00D414E1">
                  <w:pPr>
                    <w:pStyle w:val="TableBodyText"/>
                    <w:jc w:val="left"/>
                  </w:pPr>
                  <w:r>
                    <w:t>55</w:t>
                  </w:r>
                </w:p>
              </w:tc>
              <w:tc>
                <w:tcPr>
                  <w:tcW w:w="1251" w:type="pct"/>
                  <w:vAlign w:val="center"/>
                </w:tcPr>
                <w:p w:rsidR="00357732" w:rsidRDefault="00357732" w:rsidP="00D414E1">
                  <w:pPr>
                    <w:pStyle w:val="TableBodyText"/>
                  </w:pPr>
                  <w:r>
                    <w:rPr>
                      <w:rFonts w:cs="Arial"/>
                      <w:color w:val="000000"/>
                      <w:szCs w:val="18"/>
                    </w:rPr>
                    <w:t>3.510</w:t>
                  </w:r>
                </w:p>
              </w:tc>
              <w:tc>
                <w:tcPr>
                  <w:tcW w:w="1250" w:type="pct"/>
                  <w:vAlign w:val="center"/>
                </w:tcPr>
                <w:p w:rsidR="00357732" w:rsidRDefault="00357732" w:rsidP="00D414E1">
                  <w:pPr>
                    <w:pStyle w:val="TableBodyText"/>
                  </w:pPr>
                  <w:r>
                    <w:rPr>
                      <w:rFonts w:cs="Arial"/>
                      <w:color w:val="000000"/>
                      <w:szCs w:val="18"/>
                    </w:rPr>
                    <w:t>3.441</w:t>
                  </w:r>
                </w:p>
              </w:tc>
              <w:tc>
                <w:tcPr>
                  <w:tcW w:w="1249" w:type="pct"/>
                  <w:vAlign w:val="center"/>
                </w:tcPr>
                <w:p w:rsidR="00357732" w:rsidRDefault="006842CC" w:rsidP="00D414E1">
                  <w:pPr>
                    <w:pStyle w:val="TableBodyText"/>
                    <w:ind w:right="28"/>
                  </w:pPr>
                  <w:r>
                    <w:rPr>
                      <w:rFonts w:cs="Arial"/>
                      <w:color w:val="000000"/>
                      <w:szCs w:val="18"/>
                    </w:rPr>
                    <w:noBreakHyphen/>
                  </w:r>
                  <w:r w:rsidR="00357732">
                    <w:rPr>
                      <w:rFonts w:cs="Arial"/>
                      <w:color w:val="000000"/>
                      <w:szCs w:val="18"/>
                    </w:rPr>
                    <w:t>0.069</w:t>
                  </w:r>
                </w:p>
              </w:tc>
            </w:tr>
            <w:tr w:rsidR="00357732" w:rsidTr="00D414E1">
              <w:tc>
                <w:tcPr>
                  <w:tcW w:w="1250" w:type="pct"/>
                </w:tcPr>
                <w:p w:rsidR="00357732" w:rsidRDefault="00357732" w:rsidP="00D414E1">
                  <w:pPr>
                    <w:pStyle w:val="TableBodyText"/>
                    <w:jc w:val="left"/>
                  </w:pPr>
                  <w:r>
                    <w:t>56</w:t>
                  </w:r>
                </w:p>
              </w:tc>
              <w:tc>
                <w:tcPr>
                  <w:tcW w:w="1251" w:type="pct"/>
                  <w:vAlign w:val="center"/>
                </w:tcPr>
                <w:p w:rsidR="00357732" w:rsidRDefault="00357732" w:rsidP="00D414E1">
                  <w:pPr>
                    <w:pStyle w:val="TableBodyText"/>
                  </w:pPr>
                  <w:r>
                    <w:rPr>
                      <w:rFonts w:cs="Arial"/>
                      <w:color w:val="000000"/>
                      <w:szCs w:val="18"/>
                    </w:rPr>
                    <w:t>3.549</w:t>
                  </w:r>
                </w:p>
              </w:tc>
              <w:tc>
                <w:tcPr>
                  <w:tcW w:w="1250" w:type="pct"/>
                  <w:vAlign w:val="center"/>
                </w:tcPr>
                <w:p w:rsidR="00357732" w:rsidRDefault="00357732" w:rsidP="00D414E1">
                  <w:pPr>
                    <w:pStyle w:val="TableBodyText"/>
                  </w:pPr>
                  <w:r>
                    <w:rPr>
                      <w:rFonts w:cs="Arial"/>
                      <w:color w:val="000000"/>
                      <w:szCs w:val="18"/>
                    </w:rPr>
                    <w:t>3.479</w:t>
                  </w:r>
                </w:p>
              </w:tc>
              <w:tc>
                <w:tcPr>
                  <w:tcW w:w="1249" w:type="pct"/>
                  <w:vAlign w:val="center"/>
                </w:tcPr>
                <w:p w:rsidR="00357732" w:rsidRDefault="006842CC" w:rsidP="00D414E1">
                  <w:pPr>
                    <w:pStyle w:val="TableBodyText"/>
                    <w:ind w:right="28"/>
                  </w:pPr>
                  <w:r>
                    <w:rPr>
                      <w:rFonts w:cs="Arial"/>
                      <w:color w:val="000000"/>
                      <w:szCs w:val="18"/>
                    </w:rPr>
                    <w:noBreakHyphen/>
                  </w:r>
                  <w:r w:rsidR="00357732">
                    <w:rPr>
                      <w:rFonts w:cs="Arial"/>
                      <w:color w:val="000000"/>
                      <w:szCs w:val="18"/>
                    </w:rPr>
                    <w:t>0.070</w:t>
                  </w:r>
                </w:p>
              </w:tc>
            </w:tr>
            <w:tr w:rsidR="00357732" w:rsidTr="00D414E1">
              <w:tc>
                <w:tcPr>
                  <w:tcW w:w="1250" w:type="pct"/>
                </w:tcPr>
                <w:p w:rsidR="00357732" w:rsidRDefault="00357732" w:rsidP="00D414E1">
                  <w:pPr>
                    <w:pStyle w:val="TableBodyText"/>
                    <w:jc w:val="left"/>
                  </w:pPr>
                  <w:r>
                    <w:t>57</w:t>
                  </w:r>
                </w:p>
              </w:tc>
              <w:tc>
                <w:tcPr>
                  <w:tcW w:w="1251" w:type="pct"/>
                  <w:vAlign w:val="center"/>
                </w:tcPr>
                <w:p w:rsidR="00357732" w:rsidRDefault="00357732" w:rsidP="00D414E1">
                  <w:pPr>
                    <w:pStyle w:val="TableBodyText"/>
                  </w:pPr>
                  <w:r>
                    <w:rPr>
                      <w:rFonts w:cs="Arial"/>
                      <w:color w:val="000000"/>
                      <w:szCs w:val="18"/>
                    </w:rPr>
                    <w:t>3.585</w:t>
                  </w:r>
                </w:p>
              </w:tc>
              <w:tc>
                <w:tcPr>
                  <w:tcW w:w="1250" w:type="pct"/>
                  <w:vAlign w:val="center"/>
                </w:tcPr>
                <w:p w:rsidR="00357732" w:rsidRDefault="00357732" w:rsidP="00D414E1">
                  <w:pPr>
                    <w:pStyle w:val="TableBodyText"/>
                  </w:pPr>
                  <w:r>
                    <w:rPr>
                      <w:rFonts w:cs="Arial"/>
                      <w:color w:val="000000"/>
                      <w:szCs w:val="18"/>
                    </w:rPr>
                    <w:t>3.515</w:t>
                  </w:r>
                </w:p>
              </w:tc>
              <w:tc>
                <w:tcPr>
                  <w:tcW w:w="1249" w:type="pct"/>
                  <w:vAlign w:val="center"/>
                </w:tcPr>
                <w:p w:rsidR="00357732" w:rsidRDefault="006842CC" w:rsidP="00D414E1">
                  <w:pPr>
                    <w:pStyle w:val="TableBodyText"/>
                    <w:ind w:right="28"/>
                  </w:pPr>
                  <w:r>
                    <w:rPr>
                      <w:rFonts w:cs="Arial"/>
                      <w:color w:val="000000"/>
                      <w:szCs w:val="18"/>
                    </w:rPr>
                    <w:noBreakHyphen/>
                  </w:r>
                  <w:r w:rsidR="00357732">
                    <w:rPr>
                      <w:rFonts w:cs="Arial"/>
                      <w:color w:val="000000"/>
                      <w:szCs w:val="18"/>
                    </w:rPr>
                    <w:t>0.070</w:t>
                  </w:r>
                </w:p>
              </w:tc>
            </w:tr>
            <w:tr w:rsidR="00357732" w:rsidTr="00D414E1">
              <w:tc>
                <w:tcPr>
                  <w:tcW w:w="1250" w:type="pct"/>
                </w:tcPr>
                <w:p w:rsidR="00357732" w:rsidRDefault="00357732" w:rsidP="00D414E1">
                  <w:pPr>
                    <w:pStyle w:val="TableBodyText"/>
                    <w:jc w:val="left"/>
                  </w:pPr>
                  <w:r>
                    <w:t>58</w:t>
                  </w:r>
                </w:p>
              </w:tc>
              <w:tc>
                <w:tcPr>
                  <w:tcW w:w="1251" w:type="pct"/>
                  <w:vAlign w:val="center"/>
                </w:tcPr>
                <w:p w:rsidR="00357732" w:rsidRDefault="00357732" w:rsidP="00D414E1">
                  <w:pPr>
                    <w:pStyle w:val="TableBodyText"/>
                  </w:pPr>
                  <w:r>
                    <w:rPr>
                      <w:rFonts w:cs="Arial"/>
                      <w:color w:val="000000"/>
                      <w:szCs w:val="18"/>
                    </w:rPr>
                    <w:t>3.610</w:t>
                  </w:r>
                </w:p>
              </w:tc>
              <w:tc>
                <w:tcPr>
                  <w:tcW w:w="1250" w:type="pct"/>
                  <w:vAlign w:val="center"/>
                </w:tcPr>
                <w:p w:rsidR="00357732" w:rsidRDefault="00357732" w:rsidP="00D414E1">
                  <w:pPr>
                    <w:pStyle w:val="TableBodyText"/>
                  </w:pPr>
                  <w:r>
                    <w:rPr>
                      <w:rFonts w:cs="Arial"/>
                      <w:color w:val="000000"/>
                      <w:szCs w:val="18"/>
                    </w:rPr>
                    <w:t>3.548</w:t>
                  </w:r>
                </w:p>
              </w:tc>
              <w:tc>
                <w:tcPr>
                  <w:tcW w:w="1249" w:type="pct"/>
                  <w:vAlign w:val="center"/>
                </w:tcPr>
                <w:p w:rsidR="00357732" w:rsidRDefault="006842CC" w:rsidP="00D414E1">
                  <w:pPr>
                    <w:pStyle w:val="TableBodyText"/>
                    <w:ind w:right="28"/>
                  </w:pPr>
                  <w:r>
                    <w:rPr>
                      <w:rFonts w:cs="Arial"/>
                      <w:color w:val="000000"/>
                      <w:szCs w:val="18"/>
                    </w:rPr>
                    <w:noBreakHyphen/>
                  </w:r>
                  <w:r w:rsidR="00357732">
                    <w:rPr>
                      <w:rFonts w:cs="Arial"/>
                      <w:color w:val="000000"/>
                      <w:szCs w:val="18"/>
                    </w:rPr>
                    <w:t>0.062</w:t>
                  </w:r>
                </w:p>
              </w:tc>
            </w:tr>
            <w:tr w:rsidR="00357732" w:rsidTr="00D414E1">
              <w:tc>
                <w:tcPr>
                  <w:tcW w:w="1250" w:type="pct"/>
                </w:tcPr>
                <w:p w:rsidR="00357732" w:rsidRDefault="00357732" w:rsidP="00D414E1">
                  <w:pPr>
                    <w:pStyle w:val="TableBodyText"/>
                    <w:jc w:val="left"/>
                  </w:pPr>
                  <w:r>
                    <w:t>59</w:t>
                  </w:r>
                </w:p>
              </w:tc>
              <w:tc>
                <w:tcPr>
                  <w:tcW w:w="1251" w:type="pct"/>
                  <w:vAlign w:val="center"/>
                </w:tcPr>
                <w:p w:rsidR="00357732" w:rsidRDefault="00357732" w:rsidP="00D414E1">
                  <w:pPr>
                    <w:pStyle w:val="TableBodyText"/>
                  </w:pPr>
                  <w:r>
                    <w:rPr>
                      <w:rFonts w:cs="Arial"/>
                      <w:color w:val="000000"/>
                      <w:szCs w:val="18"/>
                    </w:rPr>
                    <w:t>3.627</w:t>
                  </w:r>
                </w:p>
              </w:tc>
              <w:tc>
                <w:tcPr>
                  <w:tcW w:w="1250" w:type="pct"/>
                  <w:vAlign w:val="center"/>
                </w:tcPr>
                <w:p w:rsidR="00357732" w:rsidRDefault="00357732" w:rsidP="00D414E1">
                  <w:pPr>
                    <w:pStyle w:val="TableBodyText"/>
                  </w:pPr>
                  <w:r>
                    <w:rPr>
                      <w:rFonts w:cs="Arial"/>
                      <w:color w:val="000000"/>
                      <w:szCs w:val="18"/>
                    </w:rPr>
                    <w:t>3.580</w:t>
                  </w:r>
                </w:p>
              </w:tc>
              <w:tc>
                <w:tcPr>
                  <w:tcW w:w="1249" w:type="pct"/>
                  <w:vAlign w:val="center"/>
                </w:tcPr>
                <w:p w:rsidR="00357732" w:rsidRDefault="006842CC" w:rsidP="00D414E1">
                  <w:pPr>
                    <w:pStyle w:val="TableBodyText"/>
                    <w:ind w:right="28"/>
                  </w:pPr>
                  <w:r>
                    <w:rPr>
                      <w:rFonts w:cs="Arial"/>
                      <w:color w:val="000000"/>
                      <w:szCs w:val="18"/>
                    </w:rPr>
                    <w:noBreakHyphen/>
                  </w:r>
                  <w:r w:rsidR="00357732">
                    <w:rPr>
                      <w:rFonts w:cs="Arial"/>
                      <w:color w:val="000000"/>
                      <w:szCs w:val="18"/>
                    </w:rPr>
                    <w:t>0.047</w:t>
                  </w:r>
                </w:p>
              </w:tc>
            </w:tr>
            <w:tr w:rsidR="00357732" w:rsidTr="00D414E1">
              <w:tc>
                <w:tcPr>
                  <w:tcW w:w="1250" w:type="pct"/>
                </w:tcPr>
                <w:p w:rsidR="00357732" w:rsidRDefault="00357732" w:rsidP="00D414E1">
                  <w:pPr>
                    <w:pStyle w:val="TableBodyText"/>
                    <w:jc w:val="left"/>
                  </w:pPr>
                  <w:r>
                    <w:t>60</w:t>
                  </w:r>
                </w:p>
              </w:tc>
              <w:tc>
                <w:tcPr>
                  <w:tcW w:w="1251" w:type="pct"/>
                  <w:vAlign w:val="center"/>
                </w:tcPr>
                <w:p w:rsidR="00357732" w:rsidRDefault="00357732" w:rsidP="00D414E1">
                  <w:pPr>
                    <w:pStyle w:val="TableBodyText"/>
                  </w:pPr>
                  <w:r>
                    <w:rPr>
                      <w:rFonts w:cs="Arial"/>
                      <w:color w:val="000000"/>
                      <w:szCs w:val="18"/>
                    </w:rPr>
                    <w:t>3.643</w:t>
                  </w:r>
                </w:p>
              </w:tc>
              <w:tc>
                <w:tcPr>
                  <w:tcW w:w="1250" w:type="pct"/>
                  <w:vAlign w:val="center"/>
                </w:tcPr>
                <w:p w:rsidR="00357732" w:rsidRDefault="00357732" w:rsidP="00D414E1">
                  <w:pPr>
                    <w:pStyle w:val="TableBodyText"/>
                  </w:pPr>
                  <w:r>
                    <w:rPr>
                      <w:rFonts w:cs="Arial"/>
                      <w:color w:val="000000"/>
                      <w:szCs w:val="18"/>
                    </w:rPr>
                    <w:t>3.611</w:t>
                  </w:r>
                </w:p>
              </w:tc>
              <w:tc>
                <w:tcPr>
                  <w:tcW w:w="1249" w:type="pct"/>
                  <w:vAlign w:val="center"/>
                </w:tcPr>
                <w:p w:rsidR="00357732" w:rsidRDefault="006842CC" w:rsidP="00D414E1">
                  <w:pPr>
                    <w:pStyle w:val="TableBodyText"/>
                    <w:ind w:right="28"/>
                  </w:pPr>
                  <w:r>
                    <w:rPr>
                      <w:rFonts w:cs="Arial"/>
                      <w:color w:val="000000"/>
                      <w:szCs w:val="18"/>
                    </w:rPr>
                    <w:noBreakHyphen/>
                  </w:r>
                  <w:r w:rsidR="00357732">
                    <w:rPr>
                      <w:rFonts w:cs="Arial"/>
                      <w:color w:val="000000"/>
                      <w:szCs w:val="18"/>
                    </w:rPr>
                    <w:t>0.033</w:t>
                  </w:r>
                </w:p>
              </w:tc>
            </w:tr>
            <w:tr w:rsidR="00357732" w:rsidTr="00D414E1">
              <w:tc>
                <w:tcPr>
                  <w:tcW w:w="1250" w:type="pct"/>
                </w:tcPr>
                <w:p w:rsidR="00357732" w:rsidRDefault="00357732" w:rsidP="00D414E1">
                  <w:pPr>
                    <w:pStyle w:val="TableBodyText"/>
                    <w:jc w:val="left"/>
                  </w:pPr>
                  <w:r>
                    <w:t>61</w:t>
                  </w:r>
                </w:p>
              </w:tc>
              <w:tc>
                <w:tcPr>
                  <w:tcW w:w="1251" w:type="pct"/>
                  <w:vAlign w:val="center"/>
                </w:tcPr>
                <w:p w:rsidR="00357732" w:rsidRDefault="00357732" w:rsidP="00D414E1">
                  <w:pPr>
                    <w:pStyle w:val="TableBodyText"/>
                  </w:pPr>
                  <w:r>
                    <w:rPr>
                      <w:rFonts w:cs="Arial"/>
                      <w:color w:val="000000"/>
                      <w:szCs w:val="18"/>
                    </w:rPr>
                    <w:t>3.657</w:t>
                  </w:r>
                </w:p>
              </w:tc>
              <w:tc>
                <w:tcPr>
                  <w:tcW w:w="1250" w:type="pct"/>
                  <w:vAlign w:val="center"/>
                </w:tcPr>
                <w:p w:rsidR="00357732" w:rsidRDefault="00357732" w:rsidP="00D414E1">
                  <w:pPr>
                    <w:pStyle w:val="TableBodyText"/>
                  </w:pPr>
                  <w:r>
                    <w:rPr>
                      <w:rFonts w:cs="Arial"/>
                      <w:color w:val="000000"/>
                      <w:szCs w:val="18"/>
                    </w:rPr>
                    <w:t>3.639</w:t>
                  </w:r>
                </w:p>
              </w:tc>
              <w:tc>
                <w:tcPr>
                  <w:tcW w:w="1249" w:type="pct"/>
                  <w:vAlign w:val="center"/>
                </w:tcPr>
                <w:p w:rsidR="00357732" w:rsidRDefault="006842CC" w:rsidP="00D414E1">
                  <w:pPr>
                    <w:pStyle w:val="TableBodyText"/>
                    <w:ind w:right="28"/>
                  </w:pPr>
                  <w:r>
                    <w:rPr>
                      <w:rFonts w:cs="Arial"/>
                      <w:color w:val="000000"/>
                      <w:szCs w:val="18"/>
                    </w:rPr>
                    <w:noBreakHyphen/>
                  </w:r>
                  <w:r w:rsidR="00357732">
                    <w:rPr>
                      <w:rFonts w:cs="Arial"/>
                      <w:color w:val="000000"/>
                      <w:szCs w:val="18"/>
                    </w:rPr>
                    <w:t>0.019</w:t>
                  </w:r>
                </w:p>
              </w:tc>
            </w:tr>
            <w:tr w:rsidR="00357732" w:rsidTr="00D414E1">
              <w:tc>
                <w:tcPr>
                  <w:tcW w:w="1250" w:type="pct"/>
                </w:tcPr>
                <w:p w:rsidR="00357732" w:rsidRDefault="00357732" w:rsidP="00D414E1">
                  <w:pPr>
                    <w:pStyle w:val="TableBodyText"/>
                    <w:jc w:val="left"/>
                  </w:pPr>
                  <w:r>
                    <w:t>62</w:t>
                  </w:r>
                </w:p>
              </w:tc>
              <w:tc>
                <w:tcPr>
                  <w:tcW w:w="1251" w:type="pct"/>
                  <w:vAlign w:val="center"/>
                </w:tcPr>
                <w:p w:rsidR="00357732" w:rsidRDefault="00357732" w:rsidP="00D414E1">
                  <w:pPr>
                    <w:pStyle w:val="TableBodyText"/>
                  </w:pPr>
                  <w:r>
                    <w:rPr>
                      <w:rFonts w:cs="Arial"/>
                      <w:color w:val="000000"/>
                      <w:szCs w:val="18"/>
                    </w:rPr>
                    <w:t>3.669</w:t>
                  </w:r>
                </w:p>
              </w:tc>
              <w:tc>
                <w:tcPr>
                  <w:tcW w:w="1250" w:type="pct"/>
                  <w:vAlign w:val="center"/>
                </w:tcPr>
                <w:p w:rsidR="00357732" w:rsidRDefault="00357732" w:rsidP="00D414E1">
                  <w:pPr>
                    <w:pStyle w:val="TableBodyText"/>
                  </w:pPr>
                  <w:r>
                    <w:rPr>
                      <w:rFonts w:cs="Arial"/>
                      <w:color w:val="000000"/>
                      <w:szCs w:val="18"/>
                    </w:rPr>
                    <w:t>3.665</w:t>
                  </w:r>
                </w:p>
              </w:tc>
              <w:tc>
                <w:tcPr>
                  <w:tcW w:w="1249" w:type="pct"/>
                  <w:vAlign w:val="center"/>
                </w:tcPr>
                <w:p w:rsidR="00357732" w:rsidRDefault="006842CC" w:rsidP="00D414E1">
                  <w:pPr>
                    <w:pStyle w:val="TableBodyText"/>
                    <w:ind w:right="28"/>
                  </w:pPr>
                  <w:r>
                    <w:rPr>
                      <w:rFonts w:cs="Arial"/>
                      <w:color w:val="000000"/>
                      <w:szCs w:val="18"/>
                    </w:rPr>
                    <w:noBreakHyphen/>
                  </w:r>
                  <w:r w:rsidR="00357732">
                    <w:rPr>
                      <w:rFonts w:cs="Arial"/>
                      <w:color w:val="000000"/>
                      <w:szCs w:val="18"/>
                    </w:rPr>
                    <w:t>0.004</w:t>
                  </w:r>
                </w:p>
              </w:tc>
            </w:tr>
            <w:tr w:rsidR="00357732" w:rsidTr="00D414E1">
              <w:tc>
                <w:tcPr>
                  <w:tcW w:w="1250" w:type="pct"/>
                  <w:shd w:val="clear" w:color="auto" w:fill="auto"/>
                </w:tcPr>
                <w:p w:rsidR="00357732" w:rsidRDefault="00357732" w:rsidP="00D414E1">
                  <w:pPr>
                    <w:pStyle w:val="TableBodyText"/>
                    <w:jc w:val="left"/>
                  </w:pPr>
                  <w:r>
                    <w:t>63</w:t>
                  </w:r>
                </w:p>
              </w:tc>
              <w:tc>
                <w:tcPr>
                  <w:tcW w:w="1251" w:type="pct"/>
                  <w:shd w:val="clear" w:color="auto" w:fill="auto"/>
                  <w:vAlign w:val="center"/>
                </w:tcPr>
                <w:p w:rsidR="00357732" w:rsidRDefault="00357732" w:rsidP="00D414E1">
                  <w:pPr>
                    <w:pStyle w:val="TableBodyText"/>
                  </w:pPr>
                  <w:r>
                    <w:rPr>
                      <w:rFonts w:cs="Arial"/>
                      <w:color w:val="000000"/>
                      <w:szCs w:val="18"/>
                    </w:rPr>
                    <w:t>3.679</w:t>
                  </w:r>
                </w:p>
              </w:tc>
              <w:tc>
                <w:tcPr>
                  <w:tcW w:w="1250" w:type="pct"/>
                  <w:vAlign w:val="center"/>
                </w:tcPr>
                <w:p w:rsidR="00357732" w:rsidRDefault="00357732" w:rsidP="00D414E1">
                  <w:pPr>
                    <w:pStyle w:val="TableBodyText"/>
                  </w:pPr>
                  <w:r>
                    <w:rPr>
                      <w:rFonts w:cs="Arial"/>
                      <w:color w:val="000000"/>
                      <w:szCs w:val="18"/>
                    </w:rPr>
                    <w:t>3.678</w:t>
                  </w:r>
                </w:p>
              </w:tc>
              <w:tc>
                <w:tcPr>
                  <w:tcW w:w="1249" w:type="pct"/>
                  <w:shd w:val="clear" w:color="auto" w:fill="auto"/>
                  <w:vAlign w:val="center"/>
                </w:tcPr>
                <w:p w:rsidR="00357732" w:rsidRDefault="006842CC" w:rsidP="00D414E1">
                  <w:pPr>
                    <w:pStyle w:val="TableBodyText"/>
                    <w:ind w:right="28"/>
                  </w:pPr>
                  <w:r>
                    <w:rPr>
                      <w:rFonts w:cs="Arial"/>
                      <w:color w:val="000000"/>
                      <w:szCs w:val="18"/>
                    </w:rPr>
                    <w:noBreakHyphen/>
                  </w:r>
                  <w:r w:rsidR="00357732">
                    <w:rPr>
                      <w:rFonts w:cs="Arial"/>
                      <w:color w:val="000000"/>
                      <w:szCs w:val="18"/>
                    </w:rPr>
                    <w:t>0.001</w:t>
                  </w:r>
                </w:p>
              </w:tc>
            </w:tr>
            <w:tr w:rsidR="00357732" w:rsidTr="00D414E1">
              <w:tc>
                <w:tcPr>
                  <w:tcW w:w="1250" w:type="pct"/>
                  <w:shd w:val="clear" w:color="auto" w:fill="auto"/>
                </w:tcPr>
                <w:p w:rsidR="00357732" w:rsidRDefault="00357732" w:rsidP="00D414E1">
                  <w:pPr>
                    <w:pStyle w:val="TableBodyText"/>
                    <w:jc w:val="left"/>
                  </w:pPr>
                  <w:r>
                    <w:t>64</w:t>
                  </w:r>
                </w:p>
              </w:tc>
              <w:tc>
                <w:tcPr>
                  <w:tcW w:w="1251" w:type="pct"/>
                  <w:shd w:val="clear" w:color="auto" w:fill="auto"/>
                  <w:vAlign w:val="center"/>
                </w:tcPr>
                <w:p w:rsidR="00357732" w:rsidRDefault="00357732" w:rsidP="00D414E1">
                  <w:pPr>
                    <w:pStyle w:val="TableBodyText"/>
                  </w:pPr>
                  <w:r>
                    <w:rPr>
                      <w:rFonts w:cs="Arial"/>
                      <w:color w:val="000000"/>
                      <w:szCs w:val="18"/>
                    </w:rPr>
                    <w:t>3.688</w:t>
                  </w:r>
                </w:p>
              </w:tc>
              <w:tc>
                <w:tcPr>
                  <w:tcW w:w="1250" w:type="pct"/>
                  <w:vAlign w:val="center"/>
                </w:tcPr>
                <w:p w:rsidR="00357732" w:rsidRDefault="00357732" w:rsidP="00D414E1">
                  <w:pPr>
                    <w:pStyle w:val="TableBodyText"/>
                  </w:pPr>
                  <w:r>
                    <w:rPr>
                      <w:rFonts w:cs="Arial"/>
                      <w:color w:val="000000"/>
                      <w:szCs w:val="18"/>
                    </w:rPr>
                    <w:t>3.687</w:t>
                  </w:r>
                </w:p>
              </w:tc>
              <w:tc>
                <w:tcPr>
                  <w:tcW w:w="1249" w:type="pct"/>
                  <w:shd w:val="clear" w:color="auto" w:fill="auto"/>
                  <w:vAlign w:val="center"/>
                </w:tcPr>
                <w:p w:rsidR="00357732" w:rsidRDefault="006842CC" w:rsidP="00D414E1">
                  <w:pPr>
                    <w:pStyle w:val="TableBodyText"/>
                    <w:ind w:right="28"/>
                  </w:pPr>
                  <w:r>
                    <w:rPr>
                      <w:rFonts w:cs="Arial"/>
                      <w:color w:val="000000"/>
                      <w:szCs w:val="18"/>
                    </w:rPr>
                    <w:noBreakHyphen/>
                  </w:r>
                  <w:r w:rsidR="00357732">
                    <w:rPr>
                      <w:rFonts w:cs="Arial"/>
                      <w:color w:val="000000"/>
                      <w:szCs w:val="18"/>
                    </w:rPr>
                    <w:t>0.001</w:t>
                  </w:r>
                </w:p>
              </w:tc>
            </w:tr>
            <w:tr w:rsidR="00357732" w:rsidTr="00D414E1">
              <w:tc>
                <w:tcPr>
                  <w:tcW w:w="1250" w:type="pct"/>
                  <w:shd w:val="clear" w:color="auto" w:fill="auto"/>
                </w:tcPr>
                <w:p w:rsidR="00357732" w:rsidRDefault="00357732" w:rsidP="00D414E1">
                  <w:pPr>
                    <w:pStyle w:val="TableBodyText"/>
                    <w:jc w:val="left"/>
                  </w:pPr>
                  <w:r>
                    <w:t>65</w:t>
                  </w:r>
                </w:p>
              </w:tc>
              <w:tc>
                <w:tcPr>
                  <w:tcW w:w="1251" w:type="pct"/>
                  <w:shd w:val="clear" w:color="auto" w:fill="auto"/>
                  <w:vAlign w:val="center"/>
                </w:tcPr>
                <w:p w:rsidR="00357732" w:rsidRDefault="00357732" w:rsidP="00D414E1">
                  <w:pPr>
                    <w:pStyle w:val="TableBodyText"/>
                  </w:pPr>
                  <w:r>
                    <w:rPr>
                      <w:rFonts w:cs="Arial"/>
                      <w:color w:val="000000"/>
                      <w:szCs w:val="18"/>
                    </w:rPr>
                    <w:t>3.695</w:t>
                  </w:r>
                </w:p>
              </w:tc>
              <w:tc>
                <w:tcPr>
                  <w:tcW w:w="1250" w:type="pct"/>
                  <w:vAlign w:val="center"/>
                </w:tcPr>
                <w:p w:rsidR="00357732" w:rsidRDefault="00357732" w:rsidP="00D414E1">
                  <w:pPr>
                    <w:pStyle w:val="TableBodyText"/>
                  </w:pPr>
                  <w:r>
                    <w:rPr>
                      <w:rFonts w:cs="Arial"/>
                      <w:color w:val="000000"/>
                      <w:szCs w:val="18"/>
                    </w:rPr>
                    <w:t>3.695</w:t>
                  </w:r>
                </w:p>
              </w:tc>
              <w:tc>
                <w:tcPr>
                  <w:tcW w:w="1249" w:type="pct"/>
                  <w:shd w:val="clear" w:color="auto" w:fill="auto"/>
                  <w:vAlign w:val="center"/>
                </w:tcPr>
                <w:p w:rsidR="00357732" w:rsidRDefault="00357732" w:rsidP="00D414E1">
                  <w:pPr>
                    <w:pStyle w:val="TableBodyText"/>
                    <w:ind w:right="28"/>
                  </w:pPr>
                  <w:r>
                    <w:rPr>
                      <w:rFonts w:cs="Arial"/>
                      <w:color w:val="000000"/>
                      <w:szCs w:val="18"/>
                    </w:rPr>
                    <w:t>0.000</w:t>
                  </w:r>
                </w:p>
              </w:tc>
            </w:tr>
            <w:tr w:rsidR="00357732" w:rsidTr="00D414E1">
              <w:tc>
                <w:tcPr>
                  <w:tcW w:w="1250" w:type="pct"/>
                  <w:shd w:val="clear" w:color="auto" w:fill="auto"/>
                </w:tcPr>
                <w:p w:rsidR="00357732" w:rsidRDefault="00357732" w:rsidP="00D414E1">
                  <w:pPr>
                    <w:pStyle w:val="TableBodyText"/>
                    <w:jc w:val="left"/>
                  </w:pPr>
                  <w:r>
                    <w:t>66</w:t>
                  </w:r>
                </w:p>
              </w:tc>
              <w:tc>
                <w:tcPr>
                  <w:tcW w:w="1251" w:type="pct"/>
                  <w:shd w:val="clear" w:color="auto" w:fill="auto"/>
                  <w:vAlign w:val="center"/>
                </w:tcPr>
                <w:p w:rsidR="00357732" w:rsidRDefault="00357732" w:rsidP="00D414E1">
                  <w:pPr>
                    <w:pStyle w:val="TableBodyText"/>
                  </w:pPr>
                  <w:r>
                    <w:rPr>
                      <w:rFonts w:cs="Arial"/>
                      <w:color w:val="000000"/>
                      <w:szCs w:val="18"/>
                    </w:rPr>
                    <w:t>3.700</w:t>
                  </w:r>
                </w:p>
              </w:tc>
              <w:tc>
                <w:tcPr>
                  <w:tcW w:w="1250" w:type="pct"/>
                  <w:vAlign w:val="center"/>
                </w:tcPr>
                <w:p w:rsidR="00357732" w:rsidRDefault="00357732" w:rsidP="00D414E1">
                  <w:pPr>
                    <w:pStyle w:val="TableBodyText"/>
                  </w:pPr>
                  <w:r>
                    <w:rPr>
                      <w:rFonts w:cs="Arial"/>
                      <w:color w:val="000000"/>
                      <w:szCs w:val="18"/>
                    </w:rPr>
                    <w:t>3.700</w:t>
                  </w:r>
                </w:p>
              </w:tc>
              <w:tc>
                <w:tcPr>
                  <w:tcW w:w="1249" w:type="pct"/>
                  <w:shd w:val="clear" w:color="auto" w:fill="auto"/>
                  <w:vAlign w:val="center"/>
                </w:tcPr>
                <w:p w:rsidR="00357732" w:rsidRDefault="00357732" w:rsidP="00D414E1">
                  <w:pPr>
                    <w:pStyle w:val="TableBodyText"/>
                    <w:ind w:right="28"/>
                  </w:pPr>
                  <w:r>
                    <w:rPr>
                      <w:rFonts w:cs="Arial"/>
                      <w:color w:val="000000"/>
                      <w:szCs w:val="18"/>
                    </w:rPr>
                    <w:t>0.000</w:t>
                  </w:r>
                </w:p>
              </w:tc>
            </w:tr>
            <w:tr w:rsidR="00357732" w:rsidTr="000E02BA">
              <w:tc>
                <w:tcPr>
                  <w:tcW w:w="1250" w:type="pct"/>
                  <w:shd w:val="clear" w:color="auto" w:fill="F2F2F2"/>
                </w:tcPr>
                <w:p w:rsidR="00357732" w:rsidRDefault="00357732" w:rsidP="00D414E1">
                  <w:pPr>
                    <w:pStyle w:val="TableBodyText"/>
                    <w:jc w:val="left"/>
                  </w:pPr>
                  <w:r>
                    <w:t>67</w:t>
                  </w:r>
                </w:p>
              </w:tc>
              <w:tc>
                <w:tcPr>
                  <w:tcW w:w="1251" w:type="pct"/>
                  <w:shd w:val="clear" w:color="auto" w:fill="F2F2F2"/>
                  <w:vAlign w:val="center"/>
                </w:tcPr>
                <w:p w:rsidR="00357732" w:rsidRPr="00CB698F" w:rsidRDefault="00357732" w:rsidP="00D414E1">
                  <w:pPr>
                    <w:pStyle w:val="TableBodyText"/>
                    <w:rPr>
                      <w:highlight w:val="lightGray"/>
                    </w:rPr>
                  </w:pPr>
                  <w:r w:rsidRPr="00CB698F">
                    <w:rPr>
                      <w:rFonts w:cs="Arial"/>
                      <w:b/>
                      <w:bCs/>
                      <w:color w:val="000000"/>
                      <w:szCs w:val="18"/>
                      <w:highlight w:val="lightGray"/>
                    </w:rPr>
                    <w:t>3.700</w:t>
                  </w:r>
                </w:p>
              </w:tc>
              <w:tc>
                <w:tcPr>
                  <w:tcW w:w="1250" w:type="pct"/>
                  <w:shd w:val="clear" w:color="auto" w:fill="F2F2F2"/>
                  <w:vAlign w:val="center"/>
                </w:tcPr>
                <w:p w:rsidR="00357732" w:rsidRPr="00CB698F" w:rsidRDefault="00357732" w:rsidP="00D414E1">
                  <w:pPr>
                    <w:pStyle w:val="TableBodyText"/>
                    <w:rPr>
                      <w:highlight w:val="lightGray"/>
                    </w:rPr>
                  </w:pPr>
                  <w:r w:rsidRPr="00CB698F">
                    <w:rPr>
                      <w:rFonts w:cs="Arial"/>
                      <w:b/>
                      <w:bCs/>
                      <w:color w:val="000000"/>
                      <w:szCs w:val="18"/>
                      <w:highlight w:val="lightGray"/>
                    </w:rPr>
                    <w:t>3.700</w:t>
                  </w:r>
                </w:p>
              </w:tc>
              <w:tc>
                <w:tcPr>
                  <w:tcW w:w="1249" w:type="pct"/>
                  <w:shd w:val="clear" w:color="auto" w:fill="F2F2F2"/>
                  <w:vAlign w:val="center"/>
                </w:tcPr>
                <w:p w:rsidR="00357732" w:rsidRDefault="00357732" w:rsidP="00D414E1">
                  <w:pPr>
                    <w:pStyle w:val="TableBodyText"/>
                    <w:ind w:right="28"/>
                  </w:pPr>
                  <w:r>
                    <w:rPr>
                      <w:rFonts w:cs="Arial"/>
                      <w:color w:val="000000"/>
                      <w:szCs w:val="18"/>
                    </w:rPr>
                    <w:t>0.000</w:t>
                  </w:r>
                </w:p>
              </w:tc>
            </w:tr>
            <w:tr w:rsidR="00357732" w:rsidTr="00D414E1">
              <w:tc>
                <w:tcPr>
                  <w:tcW w:w="1250" w:type="pct"/>
                  <w:shd w:val="clear" w:color="auto" w:fill="auto"/>
                </w:tcPr>
                <w:p w:rsidR="00357732" w:rsidRDefault="00357732" w:rsidP="00D414E1">
                  <w:pPr>
                    <w:pStyle w:val="TableBodyText"/>
                    <w:jc w:val="left"/>
                  </w:pPr>
                  <w:r>
                    <w:t>68</w:t>
                  </w:r>
                </w:p>
              </w:tc>
              <w:tc>
                <w:tcPr>
                  <w:tcW w:w="1251" w:type="pct"/>
                  <w:shd w:val="clear" w:color="auto" w:fill="auto"/>
                  <w:vAlign w:val="center"/>
                </w:tcPr>
                <w:p w:rsidR="00357732" w:rsidRDefault="00357732" w:rsidP="00D414E1">
                  <w:pPr>
                    <w:pStyle w:val="TableBodyText"/>
                  </w:pPr>
                  <w:r>
                    <w:rPr>
                      <w:rFonts w:cs="Arial"/>
                      <w:color w:val="000000"/>
                      <w:szCs w:val="18"/>
                    </w:rPr>
                    <w:t>3.697</w:t>
                  </w:r>
                </w:p>
              </w:tc>
              <w:tc>
                <w:tcPr>
                  <w:tcW w:w="1250" w:type="pct"/>
                  <w:vAlign w:val="center"/>
                </w:tcPr>
                <w:p w:rsidR="00357732" w:rsidRDefault="00357732" w:rsidP="00D414E1">
                  <w:pPr>
                    <w:pStyle w:val="TableBodyText"/>
                  </w:pPr>
                  <w:r>
                    <w:rPr>
                      <w:rFonts w:cs="Arial"/>
                      <w:color w:val="000000"/>
                      <w:szCs w:val="18"/>
                    </w:rPr>
                    <w:t>3.697</w:t>
                  </w:r>
                </w:p>
              </w:tc>
              <w:tc>
                <w:tcPr>
                  <w:tcW w:w="1249" w:type="pct"/>
                  <w:shd w:val="clear" w:color="auto" w:fill="auto"/>
                  <w:vAlign w:val="center"/>
                </w:tcPr>
                <w:p w:rsidR="00357732" w:rsidRDefault="00357732" w:rsidP="00D414E1">
                  <w:pPr>
                    <w:pStyle w:val="TableBodyText"/>
                    <w:ind w:right="28"/>
                  </w:pPr>
                  <w:r>
                    <w:rPr>
                      <w:rFonts w:cs="Arial"/>
                      <w:color w:val="000000"/>
                      <w:szCs w:val="18"/>
                    </w:rPr>
                    <w:t>0.000</w:t>
                  </w:r>
                </w:p>
              </w:tc>
            </w:tr>
            <w:tr w:rsidR="00357732" w:rsidTr="00D414E1">
              <w:tc>
                <w:tcPr>
                  <w:tcW w:w="1250" w:type="pct"/>
                  <w:shd w:val="clear" w:color="auto" w:fill="auto"/>
                </w:tcPr>
                <w:p w:rsidR="00357732" w:rsidRDefault="00357732" w:rsidP="00D414E1">
                  <w:pPr>
                    <w:pStyle w:val="TableBodyText"/>
                    <w:jc w:val="left"/>
                  </w:pPr>
                  <w:r>
                    <w:t>69</w:t>
                  </w:r>
                </w:p>
              </w:tc>
              <w:tc>
                <w:tcPr>
                  <w:tcW w:w="1251" w:type="pct"/>
                  <w:shd w:val="clear" w:color="auto" w:fill="auto"/>
                  <w:vAlign w:val="center"/>
                </w:tcPr>
                <w:p w:rsidR="00357732" w:rsidRDefault="00357732" w:rsidP="00D414E1">
                  <w:pPr>
                    <w:pStyle w:val="TableBodyText"/>
                  </w:pPr>
                  <w:r>
                    <w:rPr>
                      <w:rFonts w:cs="Arial"/>
                      <w:color w:val="000000"/>
                      <w:szCs w:val="18"/>
                    </w:rPr>
                    <w:t>3.694</w:t>
                  </w:r>
                </w:p>
              </w:tc>
              <w:tc>
                <w:tcPr>
                  <w:tcW w:w="1250" w:type="pct"/>
                  <w:vAlign w:val="center"/>
                </w:tcPr>
                <w:p w:rsidR="00357732" w:rsidRDefault="00357732" w:rsidP="00D414E1">
                  <w:pPr>
                    <w:pStyle w:val="TableBodyText"/>
                  </w:pPr>
                  <w:r>
                    <w:rPr>
                      <w:rFonts w:cs="Arial"/>
                      <w:color w:val="000000"/>
                      <w:szCs w:val="18"/>
                    </w:rPr>
                    <w:t>3.694</w:t>
                  </w:r>
                </w:p>
              </w:tc>
              <w:tc>
                <w:tcPr>
                  <w:tcW w:w="1249" w:type="pct"/>
                  <w:shd w:val="clear" w:color="auto" w:fill="auto"/>
                  <w:vAlign w:val="center"/>
                </w:tcPr>
                <w:p w:rsidR="00357732" w:rsidRDefault="00357732" w:rsidP="00D414E1">
                  <w:pPr>
                    <w:pStyle w:val="TableBodyText"/>
                    <w:ind w:right="28"/>
                  </w:pPr>
                  <w:r>
                    <w:rPr>
                      <w:rFonts w:cs="Arial"/>
                      <w:color w:val="000000"/>
                      <w:szCs w:val="18"/>
                    </w:rPr>
                    <w:t>0.000</w:t>
                  </w:r>
                </w:p>
              </w:tc>
            </w:tr>
            <w:tr w:rsidR="00357732" w:rsidTr="00D414E1">
              <w:tc>
                <w:tcPr>
                  <w:tcW w:w="1250" w:type="pct"/>
                  <w:tcBorders>
                    <w:bottom w:val="single" w:sz="6" w:space="0" w:color="BFBFBF"/>
                  </w:tcBorders>
                  <w:shd w:val="clear" w:color="auto" w:fill="auto"/>
                </w:tcPr>
                <w:p w:rsidR="00357732" w:rsidRDefault="00357732" w:rsidP="00D414E1">
                  <w:pPr>
                    <w:pStyle w:val="TableBodyText"/>
                    <w:jc w:val="left"/>
                  </w:pPr>
                  <w:r>
                    <w:t>70</w:t>
                  </w:r>
                </w:p>
              </w:tc>
              <w:tc>
                <w:tcPr>
                  <w:tcW w:w="1251" w:type="pct"/>
                  <w:tcBorders>
                    <w:bottom w:val="single" w:sz="6" w:space="0" w:color="BFBFBF"/>
                  </w:tcBorders>
                  <w:shd w:val="clear" w:color="auto" w:fill="auto"/>
                  <w:vAlign w:val="center"/>
                </w:tcPr>
                <w:p w:rsidR="00357732" w:rsidRDefault="00357732" w:rsidP="00D414E1">
                  <w:pPr>
                    <w:pStyle w:val="TableBodyText"/>
                  </w:pPr>
                  <w:r>
                    <w:rPr>
                      <w:rFonts w:cs="Arial"/>
                      <w:color w:val="000000"/>
                      <w:szCs w:val="18"/>
                    </w:rPr>
                    <w:t>3.691</w:t>
                  </w:r>
                </w:p>
              </w:tc>
              <w:tc>
                <w:tcPr>
                  <w:tcW w:w="1250" w:type="pct"/>
                  <w:tcBorders>
                    <w:bottom w:val="single" w:sz="6" w:space="0" w:color="BFBFBF"/>
                  </w:tcBorders>
                  <w:vAlign w:val="center"/>
                </w:tcPr>
                <w:p w:rsidR="00357732" w:rsidRDefault="00357732" w:rsidP="00D414E1">
                  <w:pPr>
                    <w:pStyle w:val="TableBodyText"/>
                  </w:pPr>
                  <w:r>
                    <w:rPr>
                      <w:rFonts w:cs="Arial"/>
                      <w:color w:val="000000"/>
                      <w:szCs w:val="18"/>
                    </w:rPr>
                    <w:t>3.691</w:t>
                  </w:r>
                </w:p>
              </w:tc>
              <w:tc>
                <w:tcPr>
                  <w:tcW w:w="1249" w:type="pct"/>
                  <w:tcBorders>
                    <w:bottom w:val="single" w:sz="6" w:space="0" w:color="BFBFBF"/>
                  </w:tcBorders>
                  <w:shd w:val="clear" w:color="auto" w:fill="auto"/>
                  <w:vAlign w:val="center"/>
                </w:tcPr>
                <w:p w:rsidR="00357732" w:rsidRDefault="00357732" w:rsidP="00D414E1">
                  <w:pPr>
                    <w:pStyle w:val="TableBodyText"/>
                    <w:ind w:right="28"/>
                  </w:pPr>
                  <w:r>
                    <w:rPr>
                      <w:rFonts w:cs="Arial"/>
                      <w:color w:val="000000"/>
                      <w:szCs w:val="18"/>
                    </w:rPr>
                    <w:t>0.000</w:t>
                  </w:r>
                </w:p>
              </w:tc>
            </w:tr>
          </w:tbl>
          <w:p w:rsidR="00357732" w:rsidRDefault="00357732" w:rsidP="00D414E1">
            <w:pPr>
              <w:pStyle w:val="Box"/>
            </w:pPr>
          </w:p>
        </w:tc>
      </w:tr>
      <w:tr w:rsidR="00357732" w:rsidTr="00D414E1">
        <w:trPr>
          <w:cantSplit/>
        </w:trPr>
        <w:tc>
          <w:tcPr>
            <w:tcW w:w="8771" w:type="dxa"/>
            <w:tcBorders>
              <w:top w:val="nil"/>
              <w:left w:val="nil"/>
              <w:bottom w:val="nil"/>
              <w:right w:val="nil"/>
            </w:tcBorders>
            <w:shd w:val="clear" w:color="auto" w:fill="auto"/>
          </w:tcPr>
          <w:p w:rsidR="00357732" w:rsidRDefault="00357732" w:rsidP="00D414E1">
            <w:pPr>
              <w:pStyle w:val="Note"/>
              <w:rPr>
                <w:i/>
              </w:rPr>
            </w:pPr>
            <w:r w:rsidRPr="008E77FE">
              <w:rPr>
                <w:rStyle w:val="NoteLabel"/>
              </w:rPr>
              <w:t>a</w:t>
            </w:r>
            <w:r>
              <w:t xml:space="preserve"> Retirement choices are highlighted and in bold. </w:t>
            </w:r>
          </w:p>
        </w:tc>
      </w:tr>
      <w:tr w:rsidR="00357732" w:rsidTr="00D414E1">
        <w:trPr>
          <w:cantSplit/>
        </w:trPr>
        <w:tc>
          <w:tcPr>
            <w:tcW w:w="8771" w:type="dxa"/>
            <w:tcBorders>
              <w:top w:val="nil"/>
              <w:left w:val="nil"/>
              <w:bottom w:val="single" w:sz="6" w:space="0" w:color="78A22F"/>
              <w:right w:val="nil"/>
            </w:tcBorders>
            <w:shd w:val="clear" w:color="auto" w:fill="auto"/>
          </w:tcPr>
          <w:p w:rsidR="00357732" w:rsidRDefault="00357732" w:rsidP="00D414E1">
            <w:pPr>
              <w:pStyle w:val="Box"/>
              <w:spacing w:before="0" w:line="120" w:lineRule="exact"/>
            </w:pPr>
          </w:p>
        </w:tc>
      </w:tr>
      <w:tr w:rsidR="00357732" w:rsidRPr="000863A5" w:rsidTr="00D414E1">
        <w:tc>
          <w:tcPr>
            <w:tcW w:w="8771" w:type="dxa"/>
            <w:tcBorders>
              <w:top w:val="single" w:sz="6" w:space="0" w:color="78A22F"/>
              <w:left w:val="nil"/>
              <w:bottom w:val="nil"/>
              <w:right w:val="nil"/>
            </w:tcBorders>
          </w:tcPr>
          <w:p w:rsidR="00357732" w:rsidRPr="00626D32" w:rsidRDefault="00357732" w:rsidP="00D414E1">
            <w:pPr>
              <w:pStyle w:val="BoxSpaceBelow"/>
            </w:pPr>
          </w:p>
        </w:tc>
      </w:tr>
    </w:tbl>
    <w:p w:rsidR="00357732" w:rsidRDefault="00357732" w:rsidP="0000030B">
      <w:pPr>
        <w:pStyle w:val="BodyText"/>
        <w:rPr>
          <w:szCs w:val="24"/>
        </w:rPr>
      </w:pPr>
      <w:r>
        <w:rPr>
          <w:szCs w:val="24"/>
        </w:rPr>
        <w:t>The lifetime discounted utility derived for each retirement age for Household B is presented in table </w:t>
      </w:r>
      <w:r w:rsidR="00A72BE2">
        <w:rPr>
          <w:szCs w:val="24"/>
        </w:rPr>
        <w:t>5.2.</w:t>
      </w:r>
      <w:r>
        <w:rPr>
          <w:szCs w:val="24"/>
        </w:rPr>
        <w:t xml:space="preserve"> Household B chooses to retire at the age of 6</w:t>
      </w:r>
      <w:r w:rsidR="00A7253A">
        <w:rPr>
          <w:szCs w:val="24"/>
        </w:rPr>
        <w:t>1</w:t>
      </w:r>
      <w:r>
        <w:rPr>
          <w:szCs w:val="24"/>
        </w:rPr>
        <w:t xml:space="preserve"> under the base case. This is because Household B has a relatively strong preference for </w:t>
      </w:r>
      <w:r>
        <w:t>non</w:t>
      </w:r>
      <w:r w:rsidR="006842CC">
        <w:noBreakHyphen/>
      </w:r>
      <w:r>
        <w:t>work activities</w:t>
      </w:r>
      <w:r>
        <w:rPr>
          <w:szCs w:val="24"/>
        </w:rPr>
        <w:t xml:space="preserve"> and thus retires soon after the preservation age (when they can access their superannuation savings).</w:t>
      </w:r>
    </w:p>
    <w:p w:rsidR="00357732" w:rsidRDefault="00357732" w:rsidP="00357732">
      <w:pPr>
        <w:pStyle w:val="BodyText"/>
        <w:rPr>
          <w:szCs w:val="24"/>
        </w:rPr>
      </w:pPr>
      <w:r>
        <w:rPr>
          <w:szCs w:val="24"/>
        </w:rPr>
        <w:t xml:space="preserve">Under </w:t>
      </w:r>
      <w:r w:rsidR="00A72BE2">
        <w:rPr>
          <w:szCs w:val="24"/>
        </w:rPr>
        <w:t>Policy 1A</w:t>
      </w:r>
      <w:r>
        <w:rPr>
          <w:szCs w:val="24"/>
        </w:rPr>
        <w:t>, Household B delays their retirement until age 65 because that is the earliest age at which they can access their superannuation.</w:t>
      </w:r>
      <w:r w:rsidRPr="00D17E36">
        <w:rPr>
          <w:rStyle w:val="FootnoteReference"/>
        </w:rPr>
        <w:footnoteReference w:id="2"/>
      </w:r>
      <w:r>
        <w:rPr>
          <w:szCs w:val="24"/>
        </w:rPr>
        <w:t xml:space="preserve"> </w:t>
      </w:r>
    </w:p>
    <w:p w:rsidR="00357732" w:rsidRDefault="00357732" w:rsidP="0035773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57732" w:rsidTr="00D414E1">
        <w:tc>
          <w:tcPr>
            <w:tcW w:w="8771" w:type="dxa"/>
            <w:tcBorders>
              <w:top w:val="single" w:sz="6" w:space="0" w:color="78A22F"/>
              <w:left w:val="nil"/>
              <w:bottom w:val="nil"/>
              <w:right w:val="nil"/>
            </w:tcBorders>
            <w:shd w:val="clear" w:color="auto" w:fill="auto"/>
          </w:tcPr>
          <w:p w:rsidR="00357732" w:rsidRPr="00784A05" w:rsidRDefault="00357732" w:rsidP="00D414E1">
            <w:pPr>
              <w:pStyle w:val="TableTitle"/>
            </w:pPr>
            <w:r>
              <w:rPr>
                <w:b w:val="0"/>
              </w:rPr>
              <w:t xml:space="preserve">Table </w:t>
            </w:r>
            <w:bookmarkStart w:id="7" w:name="OLE_LINK23"/>
            <w:r w:rsidR="005F222C">
              <w:rPr>
                <w:b w:val="0"/>
              </w:rPr>
              <w:t>5.</w:t>
            </w:r>
            <w:r w:rsidR="005F222C">
              <w:rPr>
                <w:b w:val="0"/>
                <w:noProof/>
              </w:rPr>
              <w:t>2</w:t>
            </w:r>
            <w:bookmarkEnd w:id="7"/>
            <w:r>
              <w:tab/>
              <w:t>Utility for example Household B</w:t>
            </w:r>
            <w:r w:rsidRPr="00A72BE2">
              <w:rPr>
                <w:rStyle w:val="NoteLabel"/>
                <w:b/>
              </w:rPr>
              <w:t>a</w:t>
            </w:r>
          </w:p>
        </w:tc>
      </w:tr>
      <w:tr w:rsidR="00357732" w:rsidTr="00D414E1">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2"/>
              <w:gridCol w:w="2123"/>
              <w:gridCol w:w="2122"/>
              <w:gridCol w:w="2120"/>
            </w:tblGrid>
            <w:tr w:rsidR="00357732" w:rsidTr="00D414E1">
              <w:tc>
                <w:tcPr>
                  <w:tcW w:w="1250" w:type="pct"/>
                  <w:tcBorders>
                    <w:top w:val="single" w:sz="6" w:space="0" w:color="BFBFBF"/>
                    <w:bottom w:val="single" w:sz="6" w:space="0" w:color="BFBFBF"/>
                  </w:tcBorders>
                  <w:shd w:val="clear" w:color="auto" w:fill="auto"/>
                  <w:tcMar>
                    <w:top w:w="28" w:type="dxa"/>
                  </w:tcMar>
                </w:tcPr>
                <w:p w:rsidR="00357732" w:rsidRDefault="00357732" w:rsidP="00D414E1">
                  <w:pPr>
                    <w:pStyle w:val="TableColumnHeading"/>
                    <w:jc w:val="left"/>
                  </w:pPr>
                  <w:r>
                    <w:t>Retirement age</w:t>
                  </w:r>
                </w:p>
              </w:tc>
              <w:tc>
                <w:tcPr>
                  <w:tcW w:w="1251" w:type="pct"/>
                  <w:tcBorders>
                    <w:top w:val="single" w:sz="6" w:space="0" w:color="BFBFBF"/>
                    <w:bottom w:val="single" w:sz="6" w:space="0" w:color="BFBFBF"/>
                  </w:tcBorders>
                  <w:shd w:val="clear" w:color="auto" w:fill="auto"/>
                  <w:tcMar>
                    <w:top w:w="28" w:type="dxa"/>
                  </w:tcMar>
                </w:tcPr>
                <w:p w:rsidR="00357732" w:rsidRDefault="00357732" w:rsidP="00D414E1">
                  <w:pPr>
                    <w:pStyle w:val="TableColumnHeading"/>
                  </w:pPr>
                  <w:r>
                    <w:t>Utility under base</w:t>
                  </w:r>
                </w:p>
              </w:tc>
              <w:tc>
                <w:tcPr>
                  <w:tcW w:w="1250" w:type="pct"/>
                  <w:tcBorders>
                    <w:top w:val="single" w:sz="6" w:space="0" w:color="BFBFBF"/>
                    <w:bottom w:val="single" w:sz="6" w:space="0" w:color="BFBFBF"/>
                  </w:tcBorders>
                </w:tcPr>
                <w:p w:rsidR="00357732" w:rsidRDefault="00357732" w:rsidP="00D414E1">
                  <w:pPr>
                    <w:pStyle w:val="TableColumnHeading"/>
                    <w:ind w:right="28"/>
                  </w:pPr>
                  <w:r>
                    <w:t>Utility under policy</w:t>
                  </w:r>
                </w:p>
              </w:tc>
              <w:tc>
                <w:tcPr>
                  <w:tcW w:w="1249" w:type="pct"/>
                  <w:tcBorders>
                    <w:top w:val="single" w:sz="6" w:space="0" w:color="BFBFBF"/>
                    <w:bottom w:val="single" w:sz="6" w:space="0" w:color="BFBFBF"/>
                  </w:tcBorders>
                  <w:shd w:val="clear" w:color="auto" w:fill="auto"/>
                  <w:tcMar>
                    <w:top w:w="28" w:type="dxa"/>
                  </w:tcMar>
                </w:tcPr>
                <w:p w:rsidR="00357732" w:rsidRDefault="00357732" w:rsidP="00D414E1">
                  <w:pPr>
                    <w:pStyle w:val="TableColumnHeading"/>
                    <w:ind w:right="28"/>
                  </w:pPr>
                  <w:r>
                    <w:t>Difference</w:t>
                  </w:r>
                </w:p>
              </w:tc>
            </w:tr>
            <w:tr w:rsidR="00357732" w:rsidTr="00D414E1">
              <w:tc>
                <w:tcPr>
                  <w:tcW w:w="1250" w:type="pct"/>
                </w:tcPr>
                <w:p w:rsidR="00357732" w:rsidRDefault="00357732" w:rsidP="00D414E1">
                  <w:pPr>
                    <w:pStyle w:val="TableBodyText"/>
                    <w:jc w:val="left"/>
                  </w:pPr>
                  <w:r>
                    <w:t>50</w:t>
                  </w:r>
                </w:p>
              </w:tc>
              <w:tc>
                <w:tcPr>
                  <w:tcW w:w="1251" w:type="pct"/>
                  <w:vAlign w:val="center"/>
                </w:tcPr>
                <w:p w:rsidR="00357732" w:rsidRPr="00876E64" w:rsidRDefault="00357732" w:rsidP="00D414E1">
                  <w:pPr>
                    <w:pStyle w:val="TableBodyText"/>
                  </w:pPr>
                  <w:r>
                    <w:rPr>
                      <w:rFonts w:cs="Arial"/>
                      <w:color w:val="000000"/>
                      <w:szCs w:val="18"/>
                    </w:rPr>
                    <w:t>3.812</w:t>
                  </w:r>
                </w:p>
              </w:tc>
              <w:tc>
                <w:tcPr>
                  <w:tcW w:w="1250" w:type="pct"/>
                  <w:vAlign w:val="center"/>
                </w:tcPr>
                <w:p w:rsidR="00357732" w:rsidRPr="00876E64" w:rsidRDefault="00357732" w:rsidP="00D414E1">
                  <w:pPr>
                    <w:pStyle w:val="TableBodyText"/>
                  </w:pPr>
                  <w:r>
                    <w:rPr>
                      <w:rFonts w:cs="Arial"/>
                      <w:color w:val="000000"/>
                      <w:szCs w:val="18"/>
                    </w:rPr>
                    <w:t>3.812</w:t>
                  </w:r>
                </w:p>
              </w:tc>
              <w:tc>
                <w:tcPr>
                  <w:tcW w:w="1249" w:type="pct"/>
                  <w:vAlign w:val="center"/>
                </w:tcPr>
                <w:p w:rsidR="00357732" w:rsidRPr="00876E64" w:rsidRDefault="00357732" w:rsidP="00D414E1">
                  <w:pPr>
                    <w:pStyle w:val="TableBodyText"/>
                    <w:ind w:right="28"/>
                  </w:pPr>
                  <w:r>
                    <w:rPr>
                      <w:rFonts w:cs="Arial"/>
                      <w:color w:val="000000"/>
                      <w:szCs w:val="18"/>
                    </w:rPr>
                    <w:t>0.000</w:t>
                  </w:r>
                </w:p>
              </w:tc>
            </w:tr>
            <w:tr w:rsidR="00357732" w:rsidTr="00D414E1">
              <w:tc>
                <w:tcPr>
                  <w:tcW w:w="1250" w:type="pct"/>
                </w:tcPr>
                <w:p w:rsidR="00357732" w:rsidRDefault="00357732" w:rsidP="00D414E1">
                  <w:pPr>
                    <w:pStyle w:val="TableBodyText"/>
                    <w:jc w:val="left"/>
                  </w:pPr>
                  <w:r>
                    <w:t>51</w:t>
                  </w:r>
                </w:p>
              </w:tc>
              <w:tc>
                <w:tcPr>
                  <w:tcW w:w="1251" w:type="pct"/>
                  <w:vAlign w:val="center"/>
                </w:tcPr>
                <w:p w:rsidR="00357732" w:rsidRPr="00876E64" w:rsidRDefault="00357732" w:rsidP="00D414E1">
                  <w:pPr>
                    <w:pStyle w:val="TableBodyText"/>
                  </w:pPr>
                  <w:r>
                    <w:rPr>
                      <w:rFonts w:cs="Arial"/>
                      <w:color w:val="000000"/>
                      <w:szCs w:val="18"/>
                    </w:rPr>
                    <w:t>3.824</w:t>
                  </w:r>
                </w:p>
              </w:tc>
              <w:tc>
                <w:tcPr>
                  <w:tcW w:w="1250" w:type="pct"/>
                  <w:vAlign w:val="center"/>
                </w:tcPr>
                <w:p w:rsidR="00357732" w:rsidRPr="00876E64" w:rsidRDefault="00357732" w:rsidP="00D414E1">
                  <w:pPr>
                    <w:pStyle w:val="TableBodyText"/>
                  </w:pPr>
                  <w:r>
                    <w:rPr>
                      <w:rFonts w:cs="Arial"/>
                      <w:color w:val="000000"/>
                      <w:szCs w:val="18"/>
                    </w:rPr>
                    <w:t>3.823</w:t>
                  </w:r>
                </w:p>
              </w:tc>
              <w:tc>
                <w:tcPr>
                  <w:tcW w:w="1249" w:type="pct"/>
                  <w:vAlign w:val="center"/>
                </w:tcPr>
                <w:p w:rsidR="00357732" w:rsidRPr="00876E64" w:rsidRDefault="006842CC" w:rsidP="00D414E1">
                  <w:pPr>
                    <w:pStyle w:val="TableBodyText"/>
                    <w:ind w:right="28"/>
                  </w:pPr>
                  <w:r>
                    <w:rPr>
                      <w:rFonts w:cs="Arial"/>
                      <w:color w:val="000000"/>
                      <w:szCs w:val="18"/>
                    </w:rPr>
                    <w:noBreakHyphen/>
                  </w:r>
                  <w:r w:rsidR="00357732">
                    <w:rPr>
                      <w:rFonts w:cs="Arial"/>
                      <w:color w:val="000000"/>
                      <w:szCs w:val="18"/>
                    </w:rPr>
                    <w:t>0.001</w:t>
                  </w:r>
                </w:p>
              </w:tc>
            </w:tr>
            <w:tr w:rsidR="00357732" w:rsidTr="00D414E1">
              <w:tc>
                <w:tcPr>
                  <w:tcW w:w="1250" w:type="pct"/>
                </w:tcPr>
                <w:p w:rsidR="00357732" w:rsidRDefault="00357732" w:rsidP="00D414E1">
                  <w:pPr>
                    <w:pStyle w:val="TableBodyText"/>
                    <w:jc w:val="left"/>
                  </w:pPr>
                  <w:r>
                    <w:t>52</w:t>
                  </w:r>
                </w:p>
              </w:tc>
              <w:tc>
                <w:tcPr>
                  <w:tcW w:w="1251" w:type="pct"/>
                  <w:vAlign w:val="center"/>
                </w:tcPr>
                <w:p w:rsidR="00357732" w:rsidRPr="00876E64" w:rsidRDefault="00357732" w:rsidP="00D414E1">
                  <w:pPr>
                    <w:pStyle w:val="TableBodyText"/>
                  </w:pPr>
                  <w:r>
                    <w:rPr>
                      <w:rFonts w:cs="Arial"/>
                      <w:color w:val="000000"/>
                      <w:szCs w:val="18"/>
                    </w:rPr>
                    <w:t>3.835</w:t>
                  </w:r>
                </w:p>
              </w:tc>
              <w:tc>
                <w:tcPr>
                  <w:tcW w:w="1250" w:type="pct"/>
                  <w:vAlign w:val="center"/>
                </w:tcPr>
                <w:p w:rsidR="00357732" w:rsidRPr="00876E64" w:rsidRDefault="00357732" w:rsidP="00D414E1">
                  <w:pPr>
                    <w:pStyle w:val="TableBodyText"/>
                  </w:pPr>
                  <w:r>
                    <w:rPr>
                      <w:rFonts w:cs="Arial"/>
                      <w:color w:val="000000"/>
                      <w:szCs w:val="18"/>
                    </w:rPr>
                    <w:t>3.831</w:t>
                  </w:r>
                </w:p>
              </w:tc>
              <w:tc>
                <w:tcPr>
                  <w:tcW w:w="1249" w:type="pct"/>
                  <w:vAlign w:val="center"/>
                </w:tcPr>
                <w:p w:rsidR="00357732" w:rsidRPr="00876E64" w:rsidRDefault="006842CC" w:rsidP="00D414E1">
                  <w:pPr>
                    <w:pStyle w:val="TableBodyText"/>
                    <w:ind w:right="28"/>
                  </w:pPr>
                  <w:r>
                    <w:rPr>
                      <w:rFonts w:cs="Arial"/>
                      <w:color w:val="000000"/>
                      <w:szCs w:val="18"/>
                    </w:rPr>
                    <w:noBreakHyphen/>
                  </w:r>
                  <w:r w:rsidR="00357732">
                    <w:rPr>
                      <w:rFonts w:cs="Arial"/>
                      <w:color w:val="000000"/>
                      <w:szCs w:val="18"/>
                    </w:rPr>
                    <w:t>0.003</w:t>
                  </w:r>
                </w:p>
              </w:tc>
            </w:tr>
            <w:tr w:rsidR="00357732" w:rsidTr="00D414E1">
              <w:tc>
                <w:tcPr>
                  <w:tcW w:w="1250" w:type="pct"/>
                </w:tcPr>
                <w:p w:rsidR="00357732" w:rsidRDefault="00357732" w:rsidP="00D414E1">
                  <w:pPr>
                    <w:pStyle w:val="TableBodyText"/>
                    <w:jc w:val="left"/>
                  </w:pPr>
                  <w:r>
                    <w:t>53</w:t>
                  </w:r>
                </w:p>
              </w:tc>
              <w:tc>
                <w:tcPr>
                  <w:tcW w:w="1251" w:type="pct"/>
                  <w:vAlign w:val="center"/>
                </w:tcPr>
                <w:p w:rsidR="00357732" w:rsidRPr="00876E64" w:rsidRDefault="00357732" w:rsidP="00D414E1">
                  <w:pPr>
                    <w:pStyle w:val="TableBodyText"/>
                  </w:pPr>
                  <w:r>
                    <w:rPr>
                      <w:rFonts w:cs="Arial"/>
                      <w:color w:val="000000"/>
                      <w:szCs w:val="18"/>
                    </w:rPr>
                    <w:t>3.845</w:t>
                  </w:r>
                </w:p>
              </w:tc>
              <w:tc>
                <w:tcPr>
                  <w:tcW w:w="1250" w:type="pct"/>
                  <w:vAlign w:val="center"/>
                </w:tcPr>
                <w:p w:rsidR="00357732" w:rsidRPr="00876E64" w:rsidRDefault="00357732" w:rsidP="00D414E1">
                  <w:pPr>
                    <w:pStyle w:val="TableBodyText"/>
                  </w:pPr>
                  <w:r>
                    <w:rPr>
                      <w:rFonts w:cs="Arial"/>
                      <w:color w:val="000000"/>
                      <w:szCs w:val="18"/>
                    </w:rPr>
                    <w:t>3.838</w:t>
                  </w:r>
                </w:p>
              </w:tc>
              <w:tc>
                <w:tcPr>
                  <w:tcW w:w="1249" w:type="pct"/>
                  <w:vAlign w:val="center"/>
                </w:tcPr>
                <w:p w:rsidR="00357732" w:rsidRPr="00876E64" w:rsidRDefault="006842CC" w:rsidP="00D414E1">
                  <w:pPr>
                    <w:pStyle w:val="TableBodyText"/>
                    <w:ind w:right="28"/>
                  </w:pPr>
                  <w:r>
                    <w:rPr>
                      <w:rFonts w:cs="Arial"/>
                      <w:color w:val="000000"/>
                      <w:szCs w:val="18"/>
                    </w:rPr>
                    <w:noBreakHyphen/>
                  </w:r>
                  <w:r w:rsidR="00357732">
                    <w:rPr>
                      <w:rFonts w:cs="Arial"/>
                      <w:color w:val="000000"/>
                      <w:szCs w:val="18"/>
                    </w:rPr>
                    <w:t>0.007</w:t>
                  </w:r>
                </w:p>
              </w:tc>
            </w:tr>
            <w:tr w:rsidR="00357732" w:rsidTr="00D414E1">
              <w:tc>
                <w:tcPr>
                  <w:tcW w:w="1250" w:type="pct"/>
                </w:tcPr>
                <w:p w:rsidR="00357732" w:rsidRDefault="00357732" w:rsidP="00D414E1">
                  <w:pPr>
                    <w:pStyle w:val="TableBodyText"/>
                    <w:jc w:val="left"/>
                  </w:pPr>
                  <w:r>
                    <w:t>54</w:t>
                  </w:r>
                </w:p>
              </w:tc>
              <w:tc>
                <w:tcPr>
                  <w:tcW w:w="1251" w:type="pct"/>
                  <w:vAlign w:val="center"/>
                </w:tcPr>
                <w:p w:rsidR="00357732" w:rsidRPr="00876E64" w:rsidRDefault="00357732" w:rsidP="00D414E1">
                  <w:pPr>
                    <w:pStyle w:val="TableBodyText"/>
                  </w:pPr>
                  <w:r>
                    <w:rPr>
                      <w:rFonts w:cs="Arial"/>
                      <w:color w:val="000000"/>
                      <w:szCs w:val="18"/>
                    </w:rPr>
                    <w:t>3.853</w:t>
                  </w:r>
                </w:p>
              </w:tc>
              <w:tc>
                <w:tcPr>
                  <w:tcW w:w="1250" w:type="pct"/>
                  <w:vAlign w:val="center"/>
                </w:tcPr>
                <w:p w:rsidR="00357732" w:rsidRPr="00876E64" w:rsidRDefault="00357732" w:rsidP="00D414E1">
                  <w:pPr>
                    <w:pStyle w:val="TableBodyText"/>
                  </w:pPr>
                  <w:r>
                    <w:rPr>
                      <w:rFonts w:cs="Arial"/>
                      <w:color w:val="000000"/>
                      <w:szCs w:val="18"/>
                    </w:rPr>
                    <w:t>3.845</w:t>
                  </w:r>
                </w:p>
              </w:tc>
              <w:tc>
                <w:tcPr>
                  <w:tcW w:w="1249" w:type="pct"/>
                  <w:vAlign w:val="center"/>
                </w:tcPr>
                <w:p w:rsidR="00357732" w:rsidRPr="00876E64" w:rsidRDefault="006842CC" w:rsidP="00D414E1">
                  <w:pPr>
                    <w:pStyle w:val="TableBodyText"/>
                    <w:ind w:right="28"/>
                  </w:pPr>
                  <w:r>
                    <w:rPr>
                      <w:rFonts w:cs="Arial"/>
                      <w:color w:val="000000"/>
                      <w:szCs w:val="18"/>
                    </w:rPr>
                    <w:noBreakHyphen/>
                  </w:r>
                  <w:r w:rsidR="00357732">
                    <w:rPr>
                      <w:rFonts w:cs="Arial"/>
                      <w:color w:val="000000"/>
                      <w:szCs w:val="18"/>
                    </w:rPr>
                    <w:t>0.008</w:t>
                  </w:r>
                </w:p>
              </w:tc>
            </w:tr>
            <w:tr w:rsidR="00357732" w:rsidTr="00D414E1">
              <w:tc>
                <w:tcPr>
                  <w:tcW w:w="1250" w:type="pct"/>
                </w:tcPr>
                <w:p w:rsidR="00357732" w:rsidRDefault="00357732" w:rsidP="00D414E1">
                  <w:pPr>
                    <w:pStyle w:val="TableBodyText"/>
                    <w:jc w:val="left"/>
                  </w:pPr>
                  <w:r>
                    <w:t>55</w:t>
                  </w:r>
                </w:p>
              </w:tc>
              <w:tc>
                <w:tcPr>
                  <w:tcW w:w="1251" w:type="pct"/>
                  <w:vAlign w:val="center"/>
                </w:tcPr>
                <w:p w:rsidR="00357732" w:rsidRPr="00876E64" w:rsidRDefault="00357732" w:rsidP="00D414E1">
                  <w:pPr>
                    <w:pStyle w:val="TableBodyText"/>
                  </w:pPr>
                  <w:r>
                    <w:rPr>
                      <w:rFonts w:cs="Arial"/>
                      <w:color w:val="000000"/>
                      <w:szCs w:val="18"/>
                    </w:rPr>
                    <w:t>3.862</w:t>
                  </w:r>
                </w:p>
              </w:tc>
              <w:tc>
                <w:tcPr>
                  <w:tcW w:w="1250" w:type="pct"/>
                  <w:vAlign w:val="center"/>
                </w:tcPr>
                <w:p w:rsidR="00357732" w:rsidRPr="00876E64" w:rsidRDefault="00357732" w:rsidP="00D414E1">
                  <w:pPr>
                    <w:pStyle w:val="TableBodyText"/>
                  </w:pPr>
                  <w:r>
                    <w:rPr>
                      <w:rFonts w:cs="Arial"/>
                      <w:color w:val="000000"/>
                      <w:szCs w:val="18"/>
                    </w:rPr>
                    <w:t>3.852</w:t>
                  </w:r>
                </w:p>
              </w:tc>
              <w:tc>
                <w:tcPr>
                  <w:tcW w:w="1249" w:type="pct"/>
                  <w:vAlign w:val="center"/>
                </w:tcPr>
                <w:p w:rsidR="00357732" w:rsidRPr="00876E64" w:rsidRDefault="006842CC" w:rsidP="00D414E1">
                  <w:pPr>
                    <w:pStyle w:val="TableBodyText"/>
                    <w:ind w:right="28"/>
                  </w:pPr>
                  <w:r>
                    <w:rPr>
                      <w:rFonts w:cs="Arial"/>
                      <w:color w:val="000000"/>
                      <w:szCs w:val="18"/>
                    </w:rPr>
                    <w:noBreakHyphen/>
                  </w:r>
                  <w:r w:rsidR="00357732">
                    <w:rPr>
                      <w:rFonts w:cs="Arial"/>
                      <w:color w:val="000000"/>
                      <w:szCs w:val="18"/>
                    </w:rPr>
                    <w:t>0.010</w:t>
                  </w:r>
                </w:p>
              </w:tc>
            </w:tr>
            <w:tr w:rsidR="00357732" w:rsidTr="00D414E1">
              <w:tc>
                <w:tcPr>
                  <w:tcW w:w="1250" w:type="pct"/>
                </w:tcPr>
                <w:p w:rsidR="00357732" w:rsidRDefault="00357732" w:rsidP="00D414E1">
                  <w:pPr>
                    <w:pStyle w:val="TableBodyText"/>
                    <w:jc w:val="left"/>
                  </w:pPr>
                  <w:r>
                    <w:t>56</w:t>
                  </w:r>
                </w:p>
              </w:tc>
              <w:tc>
                <w:tcPr>
                  <w:tcW w:w="1251" w:type="pct"/>
                  <w:vAlign w:val="center"/>
                </w:tcPr>
                <w:p w:rsidR="00357732" w:rsidRPr="00876E64" w:rsidRDefault="00357732" w:rsidP="00D414E1">
                  <w:pPr>
                    <w:pStyle w:val="TableBodyText"/>
                  </w:pPr>
                  <w:r>
                    <w:rPr>
                      <w:rFonts w:cs="Arial"/>
                      <w:color w:val="000000"/>
                      <w:szCs w:val="18"/>
                    </w:rPr>
                    <w:t>3.870</w:t>
                  </w:r>
                </w:p>
              </w:tc>
              <w:tc>
                <w:tcPr>
                  <w:tcW w:w="1250" w:type="pct"/>
                  <w:vAlign w:val="center"/>
                </w:tcPr>
                <w:p w:rsidR="00357732" w:rsidRPr="00876E64" w:rsidRDefault="00357732" w:rsidP="00D414E1">
                  <w:pPr>
                    <w:pStyle w:val="TableBodyText"/>
                  </w:pPr>
                  <w:r>
                    <w:rPr>
                      <w:rFonts w:cs="Arial"/>
                      <w:color w:val="000000"/>
                      <w:szCs w:val="18"/>
                    </w:rPr>
                    <w:t>3.858</w:t>
                  </w:r>
                </w:p>
              </w:tc>
              <w:tc>
                <w:tcPr>
                  <w:tcW w:w="1249" w:type="pct"/>
                  <w:vAlign w:val="center"/>
                </w:tcPr>
                <w:p w:rsidR="00357732" w:rsidRPr="00876E64" w:rsidRDefault="006842CC" w:rsidP="00D414E1">
                  <w:pPr>
                    <w:pStyle w:val="TableBodyText"/>
                    <w:ind w:right="28"/>
                  </w:pPr>
                  <w:r>
                    <w:rPr>
                      <w:rFonts w:cs="Arial"/>
                      <w:color w:val="000000"/>
                      <w:szCs w:val="18"/>
                    </w:rPr>
                    <w:noBreakHyphen/>
                  </w:r>
                  <w:r w:rsidR="00357732">
                    <w:rPr>
                      <w:rFonts w:cs="Arial"/>
                      <w:color w:val="000000"/>
                      <w:szCs w:val="18"/>
                    </w:rPr>
                    <w:t>0.012</w:t>
                  </w:r>
                </w:p>
              </w:tc>
            </w:tr>
            <w:tr w:rsidR="00357732" w:rsidTr="00D414E1">
              <w:tc>
                <w:tcPr>
                  <w:tcW w:w="1250" w:type="pct"/>
                </w:tcPr>
                <w:p w:rsidR="00357732" w:rsidRDefault="00357732" w:rsidP="00D414E1">
                  <w:pPr>
                    <w:pStyle w:val="TableBodyText"/>
                    <w:jc w:val="left"/>
                  </w:pPr>
                  <w:r>
                    <w:t>57</w:t>
                  </w:r>
                </w:p>
              </w:tc>
              <w:tc>
                <w:tcPr>
                  <w:tcW w:w="1251" w:type="pct"/>
                  <w:vAlign w:val="center"/>
                </w:tcPr>
                <w:p w:rsidR="00357732" w:rsidRPr="00876E64" w:rsidRDefault="00357732" w:rsidP="00D414E1">
                  <w:pPr>
                    <w:pStyle w:val="TableBodyText"/>
                  </w:pPr>
                  <w:r>
                    <w:rPr>
                      <w:rFonts w:cs="Arial"/>
                      <w:color w:val="000000"/>
                      <w:szCs w:val="18"/>
                    </w:rPr>
                    <w:t>3.877</w:t>
                  </w:r>
                </w:p>
              </w:tc>
              <w:tc>
                <w:tcPr>
                  <w:tcW w:w="1250" w:type="pct"/>
                  <w:vAlign w:val="center"/>
                </w:tcPr>
                <w:p w:rsidR="00357732" w:rsidRPr="00876E64" w:rsidRDefault="00357732" w:rsidP="00D414E1">
                  <w:pPr>
                    <w:pStyle w:val="TableBodyText"/>
                  </w:pPr>
                  <w:r>
                    <w:rPr>
                      <w:rFonts w:cs="Arial"/>
                      <w:color w:val="000000"/>
                      <w:szCs w:val="18"/>
                    </w:rPr>
                    <w:t>3.863</w:t>
                  </w:r>
                </w:p>
              </w:tc>
              <w:tc>
                <w:tcPr>
                  <w:tcW w:w="1249" w:type="pct"/>
                  <w:vAlign w:val="center"/>
                </w:tcPr>
                <w:p w:rsidR="00357732" w:rsidRPr="00876E64" w:rsidRDefault="006842CC" w:rsidP="00D414E1">
                  <w:pPr>
                    <w:pStyle w:val="TableBodyText"/>
                    <w:ind w:right="28"/>
                  </w:pPr>
                  <w:r>
                    <w:rPr>
                      <w:rFonts w:cs="Arial"/>
                      <w:color w:val="000000"/>
                      <w:szCs w:val="18"/>
                    </w:rPr>
                    <w:noBreakHyphen/>
                  </w:r>
                  <w:r w:rsidR="00357732">
                    <w:rPr>
                      <w:rFonts w:cs="Arial"/>
                      <w:color w:val="000000"/>
                      <w:szCs w:val="18"/>
                    </w:rPr>
                    <w:t>0.014</w:t>
                  </w:r>
                </w:p>
              </w:tc>
            </w:tr>
            <w:tr w:rsidR="00357732" w:rsidTr="00D414E1">
              <w:tc>
                <w:tcPr>
                  <w:tcW w:w="1250" w:type="pct"/>
                </w:tcPr>
                <w:p w:rsidR="00357732" w:rsidRDefault="00357732" w:rsidP="00D414E1">
                  <w:pPr>
                    <w:pStyle w:val="TableBodyText"/>
                    <w:jc w:val="left"/>
                  </w:pPr>
                  <w:r>
                    <w:t>58</w:t>
                  </w:r>
                </w:p>
              </w:tc>
              <w:tc>
                <w:tcPr>
                  <w:tcW w:w="1251" w:type="pct"/>
                  <w:vAlign w:val="center"/>
                </w:tcPr>
                <w:p w:rsidR="00357732" w:rsidRPr="00876E64" w:rsidRDefault="00357732" w:rsidP="00D414E1">
                  <w:pPr>
                    <w:pStyle w:val="TableBodyText"/>
                  </w:pPr>
                  <w:r>
                    <w:rPr>
                      <w:rFonts w:cs="Arial"/>
                      <w:color w:val="000000"/>
                      <w:szCs w:val="18"/>
                    </w:rPr>
                    <w:t>3.884</w:t>
                  </w:r>
                </w:p>
              </w:tc>
              <w:tc>
                <w:tcPr>
                  <w:tcW w:w="1250" w:type="pct"/>
                  <w:vAlign w:val="center"/>
                </w:tcPr>
                <w:p w:rsidR="00357732" w:rsidRPr="00876E64" w:rsidRDefault="00357732" w:rsidP="00D414E1">
                  <w:pPr>
                    <w:pStyle w:val="TableBodyText"/>
                  </w:pPr>
                  <w:r>
                    <w:rPr>
                      <w:rFonts w:cs="Arial"/>
                      <w:color w:val="000000"/>
                      <w:szCs w:val="18"/>
                    </w:rPr>
                    <w:t>3.868</w:t>
                  </w:r>
                </w:p>
              </w:tc>
              <w:tc>
                <w:tcPr>
                  <w:tcW w:w="1249" w:type="pct"/>
                  <w:vAlign w:val="center"/>
                </w:tcPr>
                <w:p w:rsidR="00357732" w:rsidRPr="00876E64" w:rsidRDefault="006842CC" w:rsidP="00D414E1">
                  <w:pPr>
                    <w:pStyle w:val="TableBodyText"/>
                    <w:ind w:right="28"/>
                  </w:pPr>
                  <w:r>
                    <w:rPr>
                      <w:rFonts w:cs="Arial"/>
                      <w:color w:val="000000"/>
                      <w:szCs w:val="18"/>
                    </w:rPr>
                    <w:noBreakHyphen/>
                  </w:r>
                  <w:r w:rsidR="00357732">
                    <w:rPr>
                      <w:rFonts w:cs="Arial"/>
                      <w:color w:val="000000"/>
                      <w:szCs w:val="18"/>
                    </w:rPr>
                    <w:t>0.016</w:t>
                  </w:r>
                </w:p>
              </w:tc>
            </w:tr>
            <w:tr w:rsidR="00357732" w:rsidTr="00D414E1">
              <w:tc>
                <w:tcPr>
                  <w:tcW w:w="1250" w:type="pct"/>
                </w:tcPr>
                <w:p w:rsidR="00357732" w:rsidRDefault="00357732" w:rsidP="00D414E1">
                  <w:pPr>
                    <w:pStyle w:val="TableBodyText"/>
                    <w:jc w:val="left"/>
                  </w:pPr>
                  <w:r>
                    <w:t>59</w:t>
                  </w:r>
                </w:p>
              </w:tc>
              <w:tc>
                <w:tcPr>
                  <w:tcW w:w="1251" w:type="pct"/>
                  <w:vAlign w:val="center"/>
                </w:tcPr>
                <w:p w:rsidR="00357732" w:rsidRPr="00876E64" w:rsidRDefault="00357732" w:rsidP="00D414E1">
                  <w:pPr>
                    <w:pStyle w:val="TableBodyText"/>
                  </w:pPr>
                  <w:r>
                    <w:rPr>
                      <w:rFonts w:cs="Arial"/>
                      <w:color w:val="000000"/>
                      <w:szCs w:val="18"/>
                    </w:rPr>
                    <w:t>3.890</w:t>
                  </w:r>
                </w:p>
              </w:tc>
              <w:tc>
                <w:tcPr>
                  <w:tcW w:w="1250" w:type="pct"/>
                  <w:vAlign w:val="center"/>
                </w:tcPr>
                <w:p w:rsidR="00357732" w:rsidRPr="00876E64" w:rsidRDefault="00357732" w:rsidP="00D414E1">
                  <w:pPr>
                    <w:pStyle w:val="TableBodyText"/>
                  </w:pPr>
                  <w:r>
                    <w:rPr>
                      <w:rFonts w:cs="Arial"/>
                      <w:color w:val="000000"/>
                      <w:szCs w:val="18"/>
                    </w:rPr>
                    <w:t>3.872</w:t>
                  </w:r>
                </w:p>
              </w:tc>
              <w:tc>
                <w:tcPr>
                  <w:tcW w:w="1249" w:type="pct"/>
                  <w:vAlign w:val="center"/>
                </w:tcPr>
                <w:p w:rsidR="00357732" w:rsidRPr="00876E64" w:rsidRDefault="006842CC" w:rsidP="00D414E1">
                  <w:pPr>
                    <w:pStyle w:val="TableBodyText"/>
                    <w:ind w:right="28"/>
                  </w:pPr>
                  <w:r>
                    <w:rPr>
                      <w:rFonts w:cs="Arial"/>
                      <w:color w:val="000000"/>
                      <w:szCs w:val="18"/>
                    </w:rPr>
                    <w:noBreakHyphen/>
                  </w:r>
                  <w:r w:rsidR="00357732">
                    <w:rPr>
                      <w:rFonts w:cs="Arial"/>
                      <w:color w:val="000000"/>
                      <w:szCs w:val="18"/>
                    </w:rPr>
                    <w:t>0.018</w:t>
                  </w:r>
                </w:p>
              </w:tc>
            </w:tr>
            <w:tr w:rsidR="00357732" w:rsidTr="00A7253A">
              <w:tc>
                <w:tcPr>
                  <w:tcW w:w="1250" w:type="pct"/>
                  <w:shd w:val="clear" w:color="auto" w:fill="auto"/>
                </w:tcPr>
                <w:p w:rsidR="00357732" w:rsidRDefault="00357732" w:rsidP="00D414E1">
                  <w:pPr>
                    <w:pStyle w:val="TableBodyText"/>
                    <w:jc w:val="left"/>
                  </w:pPr>
                  <w:r>
                    <w:t>60</w:t>
                  </w:r>
                </w:p>
              </w:tc>
              <w:tc>
                <w:tcPr>
                  <w:tcW w:w="1251" w:type="pct"/>
                  <w:shd w:val="clear" w:color="auto" w:fill="auto"/>
                  <w:vAlign w:val="center"/>
                </w:tcPr>
                <w:p w:rsidR="00357732" w:rsidRPr="008B4F53" w:rsidRDefault="00357732" w:rsidP="00D414E1">
                  <w:pPr>
                    <w:pStyle w:val="TableBodyText"/>
                  </w:pPr>
                  <w:r w:rsidRPr="00A7253A">
                    <w:rPr>
                      <w:rFonts w:cs="Arial"/>
                      <w:bCs/>
                      <w:color w:val="000000"/>
                      <w:szCs w:val="18"/>
                    </w:rPr>
                    <w:t>3.895</w:t>
                  </w:r>
                </w:p>
              </w:tc>
              <w:tc>
                <w:tcPr>
                  <w:tcW w:w="1250" w:type="pct"/>
                  <w:shd w:val="clear" w:color="auto" w:fill="auto"/>
                  <w:vAlign w:val="center"/>
                </w:tcPr>
                <w:p w:rsidR="00357732" w:rsidRPr="00876E64" w:rsidRDefault="00357732" w:rsidP="00D414E1">
                  <w:pPr>
                    <w:pStyle w:val="TableBodyText"/>
                  </w:pPr>
                  <w:r>
                    <w:rPr>
                      <w:rFonts w:cs="Arial"/>
                      <w:color w:val="000000"/>
                      <w:szCs w:val="18"/>
                    </w:rPr>
                    <w:t>3.876</w:t>
                  </w:r>
                </w:p>
              </w:tc>
              <w:tc>
                <w:tcPr>
                  <w:tcW w:w="1249" w:type="pct"/>
                  <w:shd w:val="clear" w:color="auto" w:fill="auto"/>
                  <w:vAlign w:val="center"/>
                </w:tcPr>
                <w:p w:rsidR="00357732" w:rsidRPr="00876E64" w:rsidRDefault="006842CC" w:rsidP="00D414E1">
                  <w:pPr>
                    <w:pStyle w:val="TableBodyText"/>
                    <w:ind w:right="28"/>
                  </w:pPr>
                  <w:r>
                    <w:rPr>
                      <w:rFonts w:cs="Arial"/>
                      <w:color w:val="000000"/>
                      <w:szCs w:val="18"/>
                    </w:rPr>
                    <w:noBreakHyphen/>
                  </w:r>
                  <w:r w:rsidR="00357732">
                    <w:rPr>
                      <w:rFonts w:cs="Arial"/>
                      <w:color w:val="000000"/>
                      <w:szCs w:val="18"/>
                    </w:rPr>
                    <w:t>0.019</w:t>
                  </w:r>
                </w:p>
              </w:tc>
            </w:tr>
            <w:tr w:rsidR="00357732" w:rsidTr="000E02BA">
              <w:tc>
                <w:tcPr>
                  <w:tcW w:w="1250" w:type="pct"/>
                  <w:shd w:val="clear" w:color="auto" w:fill="F2F2F2"/>
                </w:tcPr>
                <w:p w:rsidR="00357732" w:rsidRDefault="00357732" w:rsidP="00D414E1">
                  <w:pPr>
                    <w:pStyle w:val="TableBodyText"/>
                    <w:jc w:val="left"/>
                  </w:pPr>
                  <w:r>
                    <w:t>61</w:t>
                  </w:r>
                </w:p>
              </w:tc>
              <w:tc>
                <w:tcPr>
                  <w:tcW w:w="1251" w:type="pct"/>
                  <w:shd w:val="clear" w:color="auto" w:fill="F2F2F2"/>
                  <w:vAlign w:val="center"/>
                </w:tcPr>
                <w:p w:rsidR="00357732" w:rsidRPr="00A7253A" w:rsidRDefault="00357732" w:rsidP="00D414E1">
                  <w:pPr>
                    <w:pStyle w:val="TableBodyText"/>
                    <w:rPr>
                      <w:b/>
                    </w:rPr>
                  </w:pPr>
                  <w:r w:rsidRPr="00A7253A">
                    <w:rPr>
                      <w:b/>
                    </w:rPr>
                    <w:t>3.896</w:t>
                  </w:r>
                </w:p>
              </w:tc>
              <w:tc>
                <w:tcPr>
                  <w:tcW w:w="1250" w:type="pct"/>
                  <w:shd w:val="clear" w:color="auto" w:fill="F2F2F2"/>
                  <w:vAlign w:val="center"/>
                </w:tcPr>
                <w:p w:rsidR="00357732" w:rsidRPr="00876E64" w:rsidRDefault="00357732" w:rsidP="00D414E1">
                  <w:pPr>
                    <w:pStyle w:val="TableBodyText"/>
                  </w:pPr>
                  <w:r w:rsidRPr="00A7253A">
                    <w:t>3.880</w:t>
                  </w:r>
                </w:p>
              </w:tc>
              <w:tc>
                <w:tcPr>
                  <w:tcW w:w="1249" w:type="pct"/>
                  <w:shd w:val="clear" w:color="auto" w:fill="F2F2F2"/>
                  <w:vAlign w:val="center"/>
                </w:tcPr>
                <w:p w:rsidR="00357732" w:rsidRPr="00876E64" w:rsidRDefault="006842CC" w:rsidP="00D414E1">
                  <w:pPr>
                    <w:pStyle w:val="TableBodyText"/>
                    <w:ind w:right="28"/>
                  </w:pPr>
                  <w:r>
                    <w:noBreakHyphen/>
                  </w:r>
                  <w:r w:rsidR="00357732" w:rsidRPr="00A7253A">
                    <w:t>0.015</w:t>
                  </w:r>
                </w:p>
              </w:tc>
            </w:tr>
            <w:tr w:rsidR="00357732" w:rsidTr="00D414E1">
              <w:tc>
                <w:tcPr>
                  <w:tcW w:w="1250" w:type="pct"/>
                </w:tcPr>
                <w:p w:rsidR="00357732" w:rsidRDefault="00357732" w:rsidP="00D414E1">
                  <w:pPr>
                    <w:pStyle w:val="TableBodyText"/>
                    <w:jc w:val="left"/>
                  </w:pPr>
                  <w:r>
                    <w:t>62</w:t>
                  </w:r>
                </w:p>
              </w:tc>
              <w:tc>
                <w:tcPr>
                  <w:tcW w:w="1251" w:type="pct"/>
                  <w:vAlign w:val="center"/>
                </w:tcPr>
                <w:p w:rsidR="00357732" w:rsidRPr="00876E64" w:rsidRDefault="00357732" w:rsidP="00D414E1">
                  <w:pPr>
                    <w:pStyle w:val="TableBodyText"/>
                  </w:pPr>
                  <w:r>
                    <w:rPr>
                      <w:rFonts w:cs="Arial"/>
                      <w:color w:val="000000"/>
                      <w:szCs w:val="18"/>
                    </w:rPr>
                    <w:t>3.895</w:t>
                  </w:r>
                </w:p>
              </w:tc>
              <w:tc>
                <w:tcPr>
                  <w:tcW w:w="1250" w:type="pct"/>
                  <w:vAlign w:val="center"/>
                </w:tcPr>
                <w:p w:rsidR="00357732" w:rsidRPr="00876E64" w:rsidRDefault="00357732" w:rsidP="00D414E1">
                  <w:pPr>
                    <w:pStyle w:val="TableBodyText"/>
                  </w:pPr>
                  <w:r>
                    <w:rPr>
                      <w:rFonts w:cs="Arial"/>
                      <w:color w:val="000000"/>
                      <w:szCs w:val="18"/>
                    </w:rPr>
                    <w:t>3.884</w:t>
                  </w:r>
                </w:p>
              </w:tc>
              <w:tc>
                <w:tcPr>
                  <w:tcW w:w="1249" w:type="pct"/>
                  <w:vAlign w:val="center"/>
                </w:tcPr>
                <w:p w:rsidR="00357732" w:rsidRPr="00876E64" w:rsidRDefault="006842CC" w:rsidP="00D414E1">
                  <w:pPr>
                    <w:pStyle w:val="TableBodyText"/>
                    <w:ind w:right="28"/>
                  </w:pPr>
                  <w:r>
                    <w:rPr>
                      <w:rFonts w:cs="Arial"/>
                      <w:color w:val="000000"/>
                      <w:szCs w:val="18"/>
                    </w:rPr>
                    <w:noBreakHyphen/>
                  </w:r>
                  <w:r w:rsidR="00357732">
                    <w:rPr>
                      <w:rFonts w:cs="Arial"/>
                      <w:color w:val="000000"/>
                      <w:szCs w:val="18"/>
                    </w:rPr>
                    <w:t>0.011</w:t>
                  </w:r>
                </w:p>
              </w:tc>
            </w:tr>
            <w:tr w:rsidR="00357732" w:rsidTr="00D414E1">
              <w:tc>
                <w:tcPr>
                  <w:tcW w:w="1250" w:type="pct"/>
                  <w:shd w:val="clear" w:color="auto" w:fill="auto"/>
                </w:tcPr>
                <w:p w:rsidR="00357732" w:rsidRDefault="00357732" w:rsidP="00D414E1">
                  <w:pPr>
                    <w:pStyle w:val="TableBodyText"/>
                    <w:jc w:val="left"/>
                  </w:pPr>
                  <w:r>
                    <w:t>63</w:t>
                  </w:r>
                </w:p>
              </w:tc>
              <w:tc>
                <w:tcPr>
                  <w:tcW w:w="1251" w:type="pct"/>
                  <w:shd w:val="clear" w:color="auto" w:fill="auto"/>
                  <w:vAlign w:val="center"/>
                </w:tcPr>
                <w:p w:rsidR="00357732" w:rsidRPr="00876E64" w:rsidRDefault="00357732" w:rsidP="00D414E1">
                  <w:pPr>
                    <w:pStyle w:val="TableBodyText"/>
                  </w:pPr>
                  <w:r>
                    <w:rPr>
                      <w:rFonts w:cs="Arial"/>
                      <w:color w:val="000000"/>
                      <w:szCs w:val="18"/>
                    </w:rPr>
                    <w:t>3.895</w:t>
                  </w:r>
                </w:p>
              </w:tc>
              <w:tc>
                <w:tcPr>
                  <w:tcW w:w="1250" w:type="pct"/>
                  <w:vAlign w:val="center"/>
                </w:tcPr>
                <w:p w:rsidR="00357732" w:rsidRPr="00876E64" w:rsidRDefault="00357732" w:rsidP="00D414E1">
                  <w:pPr>
                    <w:pStyle w:val="TableBodyText"/>
                  </w:pPr>
                  <w:r>
                    <w:rPr>
                      <w:rFonts w:cs="Arial"/>
                      <w:color w:val="000000"/>
                      <w:szCs w:val="18"/>
                    </w:rPr>
                    <w:t>3.887</w:t>
                  </w:r>
                </w:p>
              </w:tc>
              <w:tc>
                <w:tcPr>
                  <w:tcW w:w="1249" w:type="pct"/>
                  <w:shd w:val="clear" w:color="auto" w:fill="auto"/>
                  <w:vAlign w:val="center"/>
                </w:tcPr>
                <w:p w:rsidR="00357732" w:rsidRPr="00876E64" w:rsidRDefault="006842CC" w:rsidP="00D414E1">
                  <w:pPr>
                    <w:pStyle w:val="TableBodyText"/>
                    <w:ind w:right="28"/>
                  </w:pPr>
                  <w:r>
                    <w:rPr>
                      <w:rFonts w:cs="Arial"/>
                      <w:color w:val="000000"/>
                      <w:szCs w:val="18"/>
                    </w:rPr>
                    <w:noBreakHyphen/>
                  </w:r>
                  <w:r w:rsidR="00357732">
                    <w:rPr>
                      <w:rFonts w:cs="Arial"/>
                      <w:color w:val="000000"/>
                      <w:szCs w:val="18"/>
                    </w:rPr>
                    <w:t>0.008</w:t>
                  </w:r>
                </w:p>
              </w:tc>
            </w:tr>
            <w:tr w:rsidR="00357732" w:rsidTr="00D414E1">
              <w:tc>
                <w:tcPr>
                  <w:tcW w:w="1250" w:type="pct"/>
                  <w:shd w:val="clear" w:color="auto" w:fill="auto"/>
                </w:tcPr>
                <w:p w:rsidR="00357732" w:rsidRDefault="00357732" w:rsidP="00D414E1">
                  <w:pPr>
                    <w:pStyle w:val="TableBodyText"/>
                    <w:jc w:val="left"/>
                  </w:pPr>
                  <w:r>
                    <w:t>64</w:t>
                  </w:r>
                </w:p>
              </w:tc>
              <w:tc>
                <w:tcPr>
                  <w:tcW w:w="1251" w:type="pct"/>
                  <w:shd w:val="clear" w:color="auto" w:fill="auto"/>
                  <w:vAlign w:val="center"/>
                </w:tcPr>
                <w:p w:rsidR="00357732" w:rsidRPr="00876E64" w:rsidRDefault="00357732" w:rsidP="00D414E1">
                  <w:pPr>
                    <w:pStyle w:val="TableBodyText"/>
                  </w:pPr>
                  <w:r>
                    <w:rPr>
                      <w:rFonts w:cs="Arial"/>
                      <w:color w:val="000000"/>
                      <w:szCs w:val="18"/>
                    </w:rPr>
                    <w:t>3.894</w:t>
                  </w:r>
                </w:p>
              </w:tc>
              <w:tc>
                <w:tcPr>
                  <w:tcW w:w="1250" w:type="pct"/>
                  <w:vAlign w:val="center"/>
                </w:tcPr>
                <w:p w:rsidR="00357732" w:rsidRPr="00876E64" w:rsidRDefault="00357732" w:rsidP="00D414E1">
                  <w:pPr>
                    <w:pStyle w:val="TableBodyText"/>
                  </w:pPr>
                  <w:r>
                    <w:rPr>
                      <w:rFonts w:cs="Arial"/>
                      <w:color w:val="000000"/>
                      <w:szCs w:val="18"/>
                    </w:rPr>
                    <w:t>3.890</w:t>
                  </w:r>
                </w:p>
              </w:tc>
              <w:tc>
                <w:tcPr>
                  <w:tcW w:w="1249" w:type="pct"/>
                  <w:shd w:val="clear" w:color="auto" w:fill="auto"/>
                  <w:vAlign w:val="center"/>
                </w:tcPr>
                <w:p w:rsidR="00357732" w:rsidRPr="00876E64" w:rsidRDefault="006842CC" w:rsidP="00D414E1">
                  <w:pPr>
                    <w:pStyle w:val="TableBodyText"/>
                    <w:ind w:right="28"/>
                  </w:pPr>
                  <w:r>
                    <w:rPr>
                      <w:rFonts w:cs="Arial"/>
                      <w:color w:val="000000"/>
                      <w:szCs w:val="18"/>
                    </w:rPr>
                    <w:noBreakHyphen/>
                  </w:r>
                  <w:r w:rsidR="00357732">
                    <w:rPr>
                      <w:rFonts w:cs="Arial"/>
                      <w:color w:val="000000"/>
                      <w:szCs w:val="18"/>
                    </w:rPr>
                    <w:t>0.004</w:t>
                  </w:r>
                </w:p>
              </w:tc>
            </w:tr>
            <w:tr w:rsidR="00357732" w:rsidTr="000E02BA">
              <w:tc>
                <w:tcPr>
                  <w:tcW w:w="1250" w:type="pct"/>
                  <w:shd w:val="clear" w:color="auto" w:fill="F2F2F2"/>
                </w:tcPr>
                <w:p w:rsidR="00357732" w:rsidRDefault="00357732" w:rsidP="00D414E1">
                  <w:pPr>
                    <w:pStyle w:val="TableBodyText"/>
                    <w:jc w:val="left"/>
                  </w:pPr>
                  <w:r>
                    <w:t>65</w:t>
                  </w:r>
                </w:p>
              </w:tc>
              <w:tc>
                <w:tcPr>
                  <w:tcW w:w="1251" w:type="pct"/>
                  <w:shd w:val="clear" w:color="auto" w:fill="F2F2F2"/>
                  <w:vAlign w:val="center"/>
                </w:tcPr>
                <w:p w:rsidR="00357732" w:rsidRPr="00876E64" w:rsidRDefault="00357732" w:rsidP="00D414E1">
                  <w:pPr>
                    <w:pStyle w:val="TableBodyText"/>
                  </w:pPr>
                  <w:r>
                    <w:rPr>
                      <w:rFonts w:cs="Arial"/>
                      <w:color w:val="000000"/>
                      <w:szCs w:val="18"/>
                    </w:rPr>
                    <w:t>3.893</w:t>
                  </w:r>
                </w:p>
              </w:tc>
              <w:tc>
                <w:tcPr>
                  <w:tcW w:w="1250" w:type="pct"/>
                  <w:shd w:val="clear" w:color="auto" w:fill="F2F2F2"/>
                  <w:vAlign w:val="center"/>
                </w:tcPr>
                <w:p w:rsidR="00357732" w:rsidRPr="00876E64" w:rsidRDefault="00357732" w:rsidP="00D414E1">
                  <w:pPr>
                    <w:pStyle w:val="TableBodyText"/>
                  </w:pPr>
                  <w:r w:rsidRPr="00D414E1">
                    <w:rPr>
                      <w:rFonts w:cs="Arial"/>
                      <w:b/>
                      <w:bCs/>
                      <w:color w:val="000000"/>
                      <w:szCs w:val="18"/>
                      <w:highlight w:val="lightGray"/>
                    </w:rPr>
                    <w:t>3.893</w:t>
                  </w:r>
                </w:p>
              </w:tc>
              <w:tc>
                <w:tcPr>
                  <w:tcW w:w="1249" w:type="pct"/>
                  <w:shd w:val="clear" w:color="auto" w:fill="F2F2F2"/>
                  <w:vAlign w:val="center"/>
                </w:tcPr>
                <w:p w:rsidR="00357732" w:rsidRPr="00876E64" w:rsidRDefault="006842CC" w:rsidP="00D414E1">
                  <w:pPr>
                    <w:pStyle w:val="TableBodyText"/>
                    <w:ind w:right="28"/>
                  </w:pPr>
                  <w:r>
                    <w:rPr>
                      <w:rFonts w:cs="Arial"/>
                      <w:color w:val="000000"/>
                      <w:szCs w:val="18"/>
                    </w:rPr>
                    <w:noBreakHyphen/>
                  </w:r>
                  <w:r w:rsidR="00357732">
                    <w:rPr>
                      <w:rFonts w:cs="Arial"/>
                      <w:color w:val="000000"/>
                      <w:szCs w:val="18"/>
                    </w:rPr>
                    <w:t>0.001</w:t>
                  </w:r>
                </w:p>
              </w:tc>
            </w:tr>
            <w:tr w:rsidR="00357732" w:rsidTr="00D414E1">
              <w:tc>
                <w:tcPr>
                  <w:tcW w:w="1250" w:type="pct"/>
                  <w:shd w:val="clear" w:color="auto" w:fill="auto"/>
                </w:tcPr>
                <w:p w:rsidR="00357732" w:rsidRDefault="00357732" w:rsidP="00D414E1">
                  <w:pPr>
                    <w:pStyle w:val="TableBodyText"/>
                    <w:jc w:val="left"/>
                  </w:pPr>
                  <w:r>
                    <w:t>66</w:t>
                  </w:r>
                </w:p>
              </w:tc>
              <w:tc>
                <w:tcPr>
                  <w:tcW w:w="1251" w:type="pct"/>
                  <w:shd w:val="clear" w:color="auto" w:fill="auto"/>
                  <w:vAlign w:val="center"/>
                </w:tcPr>
                <w:p w:rsidR="00357732" w:rsidRPr="00876E64" w:rsidRDefault="00357732" w:rsidP="00D414E1">
                  <w:pPr>
                    <w:pStyle w:val="TableBodyText"/>
                  </w:pPr>
                  <w:r>
                    <w:rPr>
                      <w:rFonts w:cs="Arial"/>
                      <w:color w:val="000000"/>
                      <w:szCs w:val="18"/>
                    </w:rPr>
                    <w:t>3.892</w:t>
                  </w:r>
                </w:p>
              </w:tc>
              <w:tc>
                <w:tcPr>
                  <w:tcW w:w="1250" w:type="pct"/>
                  <w:vAlign w:val="center"/>
                </w:tcPr>
                <w:p w:rsidR="00357732" w:rsidRPr="00876E64" w:rsidRDefault="00357732" w:rsidP="00D414E1">
                  <w:pPr>
                    <w:pStyle w:val="TableBodyText"/>
                  </w:pPr>
                  <w:r>
                    <w:rPr>
                      <w:rFonts w:cs="Arial"/>
                      <w:color w:val="000000"/>
                      <w:szCs w:val="18"/>
                    </w:rPr>
                    <w:t>3.892</w:t>
                  </w:r>
                </w:p>
              </w:tc>
              <w:tc>
                <w:tcPr>
                  <w:tcW w:w="1249" w:type="pct"/>
                  <w:shd w:val="clear" w:color="auto" w:fill="auto"/>
                  <w:vAlign w:val="center"/>
                </w:tcPr>
                <w:p w:rsidR="00357732" w:rsidRPr="00876E64" w:rsidRDefault="006842CC" w:rsidP="00D414E1">
                  <w:pPr>
                    <w:pStyle w:val="TableBodyText"/>
                    <w:ind w:right="28"/>
                  </w:pPr>
                  <w:r>
                    <w:rPr>
                      <w:rFonts w:cs="Arial"/>
                      <w:color w:val="000000"/>
                      <w:szCs w:val="18"/>
                    </w:rPr>
                    <w:noBreakHyphen/>
                  </w:r>
                  <w:r w:rsidR="00357732">
                    <w:rPr>
                      <w:rFonts w:cs="Arial"/>
                      <w:color w:val="000000"/>
                      <w:szCs w:val="18"/>
                    </w:rPr>
                    <w:t>0.001</w:t>
                  </w:r>
                </w:p>
              </w:tc>
            </w:tr>
            <w:tr w:rsidR="00357732" w:rsidTr="00D414E1">
              <w:tc>
                <w:tcPr>
                  <w:tcW w:w="1250" w:type="pct"/>
                  <w:shd w:val="clear" w:color="auto" w:fill="auto"/>
                </w:tcPr>
                <w:p w:rsidR="00357732" w:rsidRDefault="00357732" w:rsidP="00D414E1">
                  <w:pPr>
                    <w:pStyle w:val="TableBodyText"/>
                    <w:jc w:val="left"/>
                  </w:pPr>
                  <w:r>
                    <w:t>67</w:t>
                  </w:r>
                </w:p>
              </w:tc>
              <w:tc>
                <w:tcPr>
                  <w:tcW w:w="1251" w:type="pct"/>
                  <w:shd w:val="clear" w:color="auto" w:fill="auto"/>
                  <w:vAlign w:val="center"/>
                </w:tcPr>
                <w:p w:rsidR="00357732" w:rsidRPr="00876E64" w:rsidRDefault="00357732" w:rsidP="00D414E1">
                  <w:pPr>
                    <w:pStyle w:val="TableBodyText"/>
                  </w:pPr>
                  <w:r>
                    <w:rPr>
                      <w:rFonts w:cs="Arial"/>
                      <w:color w:val="000000"/>
                      <w:szCs w:val="18"/>
                    </w:rPr>
                    <w:t>3.891</w:t>
                  </w:r>
                </w:p>
              </w:tc>
              <w:tc>
                <w:tcPr>
                  <w:tcW w:w="1250" w:type="pct"/>
                  <w:vAlign w:val="center"/>
                </w:tcPr>
                <w:p w:rsidR="00357732" w:rsidRPr="00876E64" w:rsidRDefault="00357732" w:rsidP="00D414E1">
                  <w:pPr>
                    <w:pStyle w:val="TableBodyText"/>
                  </w:pPr>
                  <w:r>
                    <w:rPr>
                      <w:rFonts w:cs="Arial"/>
                      <w:color w:val="000000"/>
                      <w:szCs w:val="18"/>
                    </w:rPr>
                    <w:t>3.890</w:t>
                  </w:r>
                </w:p>
              </w:tc>
              <w:tc>
                <w:tcPr>
                  <w:tcW w:w="1249" w:type="pct"/>
                  <w:shd w:val="clear" w:color="auto" w:fill="auto"/>
                  <w:vAlign w:val="center"/>
                </w:tcPr>
                <w:p w:rsidR="00357732" w:rsidRPr="00876E64" w:rsidRDefault="006842CC" w:rsidP="00D414E1">
                  <w:pPr>
                    <w:pStyle w:val="TableBodyText"/>
                    <w:ind w:right="28"/>
                  </w:pPr>
                  <w:r>
                    <w:rPr>
                      <w:rFonts w:cs="Arial"/>
                      <w:color w:val="000000"/>
                      <w:szCs w:val="18"/>
                    </w:rPr>
                    <w:noBreakHyphen/>
                  </w:r>
                  <w:r w:rsidR="00357732">
                    <w:rPr>
                      <w:rFonts w:cs="Arial"/>
                      <w:color w:val="000000"/>
                      <w:szCs w:val="18"/>
                    </w:rPr>
                    <w:t>0.001</w:t>
                  </w:r>
                </w:p>
              </w:tc>
            </w:tr>
            <w:tr w:rsidR="00357732" w:rsidTr="00D414E1">
              <w:tc>
                <w:tcPr>
                  <w:tcW w:w="1250" w:type="pct"/>
                  <w:shd w:val="clear" w:color="auto" w:fill="auto"/>
                </w:tcPr>
                <w:p w:rsidR="00357732" w:rsidRDefault="00357732" w:rsidP="00D414E1">
                  <w:pPr>
                    <w:pStyle w:val="TableBodyText"/>
                    <w:jc w:val="left"/>
                  </w:pPr>
                  <w:r>
                    <w:t>68</w:t>
                  </w:r>
                </w:p>
              </w:tc>
              <w:tc>
                <w:tcPr>
                  <w:tcW w:w="1251" w:type="pct"/>
                  <w:shd w:val="clear" w:color="auto" w:fill="auto"/>
                  <w:vAlign w:val="center"/>
                </w:tcPr>
                <w:p w:rsidR="00357732" w:rsidRPr="00876E64" w:rsidRDefault="00357732" w:rsidP="00D414E1">
                  <w:pPr>
                    <w:pStyle w:val="TableBodyText"/>
                  </w:pPr>
                  <w:r>
                    <w:rPr>
                      <w:rFonts w:cs="Arial"/>
                      <w:color w:val="000000"/>
                      <w:szCs w:val="18"/>
                    </w:rPr>
                    <w:t>3.889</w:t>
                  </w:r>
                </w:p>
              </w:tc>
              <w:tc>
                <w:tcPr>
                  <w:tcW w:w="1250" w:type="pct"/>
                  <w:vAlign w:val="center"/>
                </w:tcPr>
                <w:p w:rsidR="00357732" w:rsidRPr="00876E64" w:rsidRDefault="00357732" w:rsidP="00D414E1">
                  <w:pPr>
                    <w:pStyle w:val="TableBodyText"/>
                  </w:pPr>
                  <w:r>
                    <w:rPr>
                      <w:rFonts w:cs="Arial"/>
                      <w:color w:val="000000"/>
                      <w:szCs w:val="18"/>
                    </w:rPr>
                    <w:t>3.889</w:t>
                  </w:r>
                </w:p>
              </w:tc>
              <w:tc>
                <w:tcPr>
                  <w:tcW w:w="1249" w:type="pct"/>
                  <w:shd w:val="clear" w:color="auto" w:fill="auto"/>
                  <w:vAlign w:val="center"/>
                </w:tcPr>
                <w:p w:rsidR="00357732" w:rsidRPr="00876E64" w:rsidRDefault="006842CC" w:rsidP="00D414E1">
                  <w:pPr>
                    <w:pStyle w:val="TableBodyText"/>
                    <w:ind w:right="28"/>
                  </w:pPr>
                  <w:r>
                    <w:rPr>
                      <w:rFonts w:cs="Arial"/>
                      <w:color w:val="000000"/>
                      <w:szCs w:val="18"/>
                    </w:rPr>
                    <w:noBreakHyphen/>
                  </w:r>
                  <w:r w:rsidR="00357732">
                    <w:rPr>
                      <w:rFonts w:cs="Arial"/>
                      <w:color w:val="000000"/>
                      <w:szCs w:val="18"/>
                    </w:rPr>
                    <w:t>0.001</w:t>
                  </w:r>
                </w:p>
              </w:tc>
            </w:tr>
            <w:tr w:rsidR="00357732" w:rsidTr="00D414E1">
              <w:tc>
                <w:tcPr>
                  <w:tcW w:w="1250" w:type="pct"/>
                  <w:shd w:val="clear" w:color="auto" w:fill="auto"/>
                </w:tcPr>
                <w:p w:rsidR="00357732" w:rsidRDefault="00357732" w:rsidP="00D414E1">
                  <w:pPr>
                    <w:pStyle w:val="TableBodyText"/>
                    <w:jc w:val="left"/>
                  </w:pPr>
                  <w:r>
                    <w:t>69</w:t>
                  </w:r>
                </w:p>
              </w:tc>
              <w:tc>
                <w:tcPr>
                  <w:tcW w:w="1251" w:type="pct"/>
                  <w:shd w:val="clear" w:color="auto" w:fill="auto"/>
                  <w:vAlign w:val="center"/>
                </w:tcPr>
                <w:p w:rsidR="00357732" w:rsidRPr="00876E64" w:rsidRDefault="00357732" w:rsidP="00D414E1">
                  <w:pPr>
                    <w:pStyle w:val="TableBodyText"/>
                  </w:pPr>
                  <w:r>
                    <w:rPr>
                      <w:rFonts w:cs="Arial"/>
                      <w:color w:val="000000"/>
                      <w:szCs w:val="18"/>
                    </w:rPr>
                    <w:t>3.887</w:t>
                  </w:r>
                </w:p>
              </w:tc>
              <w:tc>
                <w:tcPr>
                  <w:tcW w:w="1250" w:type="pct"/>
                  <w:vAlign w:val="center"/>
                </w:tcPr>
                <w:p w:rsidR="00357732" w:rsidRPr="00876E64" w:rsidRDefault="00357732" w:rsidP="00D414E1">
                  <w:pPr>
                    <w:pStyle w:val="TableBodyText"/>
                  </w:pPr>
                  <w:r>
                    <w:rPr>
                      <w:rFonts w:cs="Arial"/>
                      <w:color w:val="000000"/>
                      <w:szCs w:val="18"/>
                    </w:rPr>
                    <w:t>3.886</w:t>
                  </w:r>
                </w:p>
              </w:tc>
              <w:tc>
                <w:tcPr>
                  <w:tcW w:w="1249" w:type="pct"/>
                  <w:shd w:val="clear" w:color="auto" w:fill="auto"/>
                  <w:vAlign w:val="center"/>
                </w:tcPr>
                <w:p w:rsidR="00357732" w:rsidRPr="00876E64" w:rsidRDefault="006842CC" w:rsidP="00D414E1">
                  <w:pPr>
                    <w:pStyle w:val="TableBodyText"/>
                    <w:ind w:right="28"/>
                  </w:pPr>
                  <w:r>
                    <w:rPr>
                      <w:rFonts w:cs="Arial"/>
                      <w:color w:val="000000"/>
                      <w:szCs w:val="18"/>
                    </w:rPr>
                    <w:noBreakHyphen/>
                  </w:r>
                  <w:r w:rsidR="00357732">
                    <w:rPr>
                      <w:rFonts w:cs="Arial"/>
                      <w:color w:val="000000"/>
                      <w:szCs w:val="18"/>
                    </w:rPr>
                    <w:t>0.001</w:t>
                  </w:r>
                </w:p>
              </w:tc>
            </w:tr>
            <w:tr w:rsidR="00357732" w:rsidTr="00D414E1">
              <w:tc>
                <w:tcPr>
                  <w:tcW w:w="1250" w:type="pct"/>
                  <w:tcBorders>
                    <w:bottom w:val="single" w:sz="6" w:space="0" w:color="BFBFBF"/>
                  </w:tcBorders>
                  <w:shd w:val="clear" w:color="auto" w:fill="auto"/>
                </w:tcPr>
                <w:p w:rsidR="00357732" w:rsidRDefault="00357732" w:rsidP="00D414E1">
                  <w:pPr>
                    <w:pStyle w:val="TableBodyText"/>
                    <w:jc w:val="left"/>
                  </w:pPr>
                  <w:r>
                    <w:t>70</w:t>
                  </w:r>
                </w:p>
              </w:tc>
              <w:tc>
                <w:tcPr>
                  <w:tcW w:w="1251" w:type="pct"/>
                  <w:tcBorders>
                    <w:bottom w:val="single" w:sz="6" w:space="0" w:color="BFBFBF"/>
                  </w:tcBorders>
                  <w:shd w:val="clear" w:color="auto" w:fill="auto"/>
                  <w:vAlign w:val="center"/>
                </w:tcPr>
                <w:p w:rsidR="00357732" w:rsidRPr="00876E64" w:rsidRDefault="00357732" w:rsidP="00D414E1">
                  <w:pPr>
                    <w:pStyle w:val="TableBodyText"/>
                  </w:pPr>
                  <w:r>
                    <w:rPr>
                      <w:rFonts w:cs="Arial"/>
                      <w:color w:val="000000"/>
                      <w:szCs w:val="18"/>
                    </w:rPr>
                    <w:t>3.884</w:t>
                  </w:r>
                </w:p>
              </w:tc>
              <w:tc>
                <w:tcPr>
                  <w:tcW w:w="1250" w:type="pct"/>
                  <w:tcBorders>
                    <w:bottom w:val="single" w:sz="6" w:space="0" w:color="BFBFBF"/>
                  </w:tcBorders>
                  <w:vAlign w:val="center"/>
                </w:tcPr>
                <w:p w:rsidR="00357732" w:rsidRPr="00876E64" w:rsidRDefault="00357732" w:rsidP="00D414E1">
                  <w:pPr>
                    <w:pStyle w:val="TableBodyText"/>
                  </w:pPr>
                  <w:r>
                    <w:rPr>
                      <w:rFonts w:cs="Arial"/>
                      <w:color w:val="000000"/>
                      <w:szCs w:val="18"/>
                    </w:rPr>
                    <w:t>3.884</w:t>
                  </w:r>
                </w:p>
              </w:tc>
              <w:tc>
                <w:tcPr>
                  <w:tcW w:w="1249" w:type="pct"/>
                  <w:tcBorders>
                    <w:bottom w:val="single" w:sz="6" w:space="0" w:color="BFBFBF"/>
                  </w:tcBorders>
                  <w:shd w:val="clear" w:color="auto" w:fill="auto"/>
                  <w:vAlign w:val="center"/>
                </w:tcPr>
                <w:p w:rsidR="00357732" w:rsidRPr="00876E64" w:rsidRDefault="006842CC" w:rsidP="00D414E1">
                  <w:pPr>
                    <w:pStyle w:val="TableBodyText"/>
                    <w:ind w:right="28"/>
                  </w:pPr>
                  <w:r>
                    <w:rPr>
                      <w:rFonts w:cs="Arial"/>
                      <w:color w:val="000000"/>
                      <w:szCs w:val="18"/>
                    </w:rPr>
                    <w:noBreakHyphen/>
                  </w:r>
                  <w:r w:rsidR="00357732">
                    <w:rPr>
                      <w:rFonts w:cs="Arial"/>
                      <w:color w:val="000000"/>
                      <w:szCs w:val="18"/>
                    </w:rPr>
                    <w:t>0.001</w:t>
                  </w:r>
                </w:p>
              </w:tc>
            </w:tr>
          </w:tbl>
          <w:p w:rsidR="00357732" w:rsidRDefault="00357732" w:rsidP="00D414E1">
            <w:pPr>
              <w:pStyle w:val="Box"/>
            </w:pPr>
          </w:p>
        </w:tc>
      </w:tr>
      <w:tr w:rsidR="00357732" w:rsidTr="00D414E1">
        <w:trPr>
          <w:cantSplit/>
        </w:trPr>
        <w:tc>
          <w:tcPr>
            <w:tcW w:w="8771" w:type="dxa"/>
            <w:tcBorders>
              <w:top w:val="nil"/>
              <w:left w:val="nil"/>
              <w:bottom w:val="nil"/>
              <w:right w:val="nil"/>
            </w:tcBorders>
            <w:shd w:val="clear" w:color="auto" w:fill="auto"/>
          </w:tcPr>
          <w:p w:rsidR="00357732" w:rsidRDefault="00357732" w:rsidP="00D414E1">
            <w:pPr>
              <w:pStyle w:val="Note"/>
              <w:rPr>
                <w:i/>
              </w:rPr>
            </w:pPr>
            <w:r w:rsidRPr="008E77FE">
              <w:rPr>
                <w:rStyle w:val="NoteLabel"/>
              </w:rPr>
              <w:t>a</w:t>
            </w:r>
            <w:r>
              <w:t xml:space="preserve"> Retirement choices are </w:t>
            </w:r>
            <w:r w:rsidR="00254738">
              <w:t xml:space="preserve">in </w:t>
            </w:r>
            <w:r>
              <w:t xml:space="preserve">bold. </w:t>
            </w:r>
          </w:p>
        </w:tc>
      </w:tr>
      <w:tr w:rsidR="00357732" w:rsidTr="00D414E1">
        <w:trPr>
          <w:cantSplit/>
        </w:trPr>
        <w:tc>
          <w:tcPr>
            <w:tcW w:w="8771" w:type="dxa"/>
            <w:tcBorders>
              <w:top w:val="nil"/>
              <w:left w:val="nil"/>
              <w:bottom w:val="single" w:sz="6" w:space="0" w:color="78A22F"/>
              <w:right w:val="nil"/>
            </w:tcBorders>
            <w:shd w:val="clear" w:color="auto" w:fill="auto"/>
          </w:tcPr>
          <w:p w:rsidR="00357732" w:rsidRDefault="00357732" w:rsidP="00D414E1">
            <w:pPr>
              <w:pStyle w:val="Box"/>
              <w:spacing w:before="0" w:line="120" w:lineRule="exact"/>
            </w:pPr>
          </w:p>
        </w:tc>
      </w:tr>
      <w:tr w:rsidR="00357732" w:rsidRPr="000863A5" w:rsidTr="00D414E1">
        <w:tc>
          <w:tcPr>
            <w:tcW w:w="8771" w:type="dxa"/>
            <w:tcBorders>
              <w:top w:val="single" w:sz="6" w:space="0" w:color="78A22F"/>
              <w:left w:val="nil"/>
              <w:bottom w:val="nil"/>
              <w:right w:val="nil"/>
            </w:tcBorders>
          </w:tcPr>
          <w:p w:rsidR="00357732" w:rsidRPr="00626D32" w:rsidRDefault="00357732" w:rsidP="00D414E1">
            <w:pPr>
              <w:pStyle w:val="BoxSpaceBelow"/>
            </w:pPr>
          </w:p>
        </w:tc>
      </w:tr>
    </w:tbl>
    <w:p w:rsidR="00D434A0" w:rsidRDefault="00D434A0" w:rsidP="00120072">
      <w:pPr>
        <w:pStyle w:val="BodyText"/>
      </w:pPr>
    </w:p>
    <w:sectPr w:rsidR="00D434A0" w:rsidSect="00606E78">
      <w:headerReference w:type="even" r:id="rId13"/>
      <w:headerReference w:type="default" r:id="rId14"/>
      <w:footerReference w:type="even" r:id="rId15"/>
      <w:footerReference w:type="default" r:id="rId16"/>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F10" w:rsidRDefault="00E97F10">
      <w:r>
        <w:separator/>
      </w:r>
    </w:p>
  </w:endnote>
  <w:endnote w:type="continuationSeparator" w:id="0">
    <w:p w:rsidR="00E97F10" w:rsidRDefault="00E9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82670">
            <w:rPr>
              <w:rStyle w:val="PageNumber"/>
              <w:caps w:val="0"/>
              <w:noProof/>
            </w:rPr>
            <w:t>2</w:t>
          </w:r>
          <w:r w:rsidRPr="00A24443">
            <w:rPr>
              <w:rStyle w:val="PageNumber"/>
              <w:caps w:val="0"/>
            </w:rPr>
            <w:fldChar w:fldCharType="end"/>
          </w:r>
        </w:p>
      </w:tc>
      <w:tc>
        <w:tcPr>
          <w:tcW w:w="7767" w:type="dxa"/>
        </w:tcPr>
        <w:p w:rsidR="00772909" w:rsidRPr="0013739A" w:rsidRDefault="005F222C" w:rsidP="0013739A">
          <w:pPr>
            <w:pStyle w:val="Footer"/>
            <w:rPr>
              <w:rFonts w:cs="Arial"/>
            </w:rPr>
          </w:pPr>
          <w:r>
            <w:rPr>
              <w:rFonts w:cs="Arial"/>
            </w:rPr>
            <w:t>Superannuation Policy for Post-Retirement: Modelling supplement</w:t>
          </w:r>
          <w:bookmarkStart w:id="8" w:name="DraftReportEven"/>
          <w:bookmarkEnd w:id="8"/>
        </w:p>
      </w:tc>
      <w:tc>
        <w:tcPr>
          <w:tcW w:w="510" w:type="dxa"/>
        </w:tcPr>
        <w:p w:rsidR="00772909" w:rsidRDefault="00772909" w:rsidP="0019293B">
          <w:pPr>
            <w:pStyle w:val="Footer"/>
          </w:pPr>
        </w:p>
      </w:tc>
    </w:tr>
  </w:tbl>
  <w:p w:rsidR="00772909" w:rsidRDefault="00772909"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Default="00772909">
          <w:pPr>
            <w:pStyle w:val="Footer"/>
            <w:ind w:right="360" w:firstLine="360"/>
          </w:pPr>
        </w:p>
      </w:tc>
      <w:tc>
        <w:tcPr>
          <w:tcW w:w="7767" w:type="dxa"/>
        </w:tcPr>
        <w:p w:rsidR="00772909" w:rsidRPr="00BA5B14" w:rsidRDefault="005F222C" w:rsidP="0013739A">
          <w:pPr>
            <w:pStyle w:val="Footer"/>
            <w:jc w:val="right"/>
            <w:rPr>
              <w:rFonts w:cs="Arial"/>
            </w:rPr>
          </w:pPr>
          <w:r>
            <w:rPr>
              <w:rFonts w:cs="Arial"/>
            </w:rPr>
            <w:t>An illustration of model results</w:t>
          </w:r>
          <w:bookmarkStart w:id="9" w:name="DraftReportOdd"/>
          <w:bookmarkEnd w:id="9"/>
        </w:p>
      </w:tc>
      <w:tc>
        <w:tcPr>
          <w:tcW w:w="510" w:type="dxa"/>
        </w:tcPr>
        <w:p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82670">
            <w:rPr>
              <w:rStyle w:val="PageNumber"/>
              <w:caps w:val="0"/>
              <w:noProof/>
            </w:rPr>
            <w:t>1</w:t>
          </w:r>
          <w:r w:rsidRPr="00A24443">
            <w:rPr>
              <w:rStyle w:val="PageNumber"/>
              <w:caps w:val="0"/>
            </w:rPr>
            <w:fldChar w:fldCharType="end"/>
          </w:r>
        </w:p>
      </w:tc>
    </w:tr>
  </w:tbl>
  <w:p w:rsidR="00772909" w:rsidRDefault="00772909">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F10" w:rsidRDefault="00E97F10">
      <w:r>
        <w:separator/>
      </w:r>
    </w:p>
  </w:footnote>
  <w:footnote w:type="continuationSeparator" w:id="0">
    <w:p w:rsidR="00E97F10" w:rsidRDefault="00E97F10">
      <w:r>
        <w:continuationSeparator/>
      </w:r>
    </w:p>
  </w:footnote>
  <w:footnote w:id="1">
    <w:p w:rsidR="00357732" w:rsidRDefault="00357732" w:rsidP="00357732">
      <w:pPr>
        <w:pStyle w:val="FootnoteText"/>
      </w:pPr>
      <w:r w:rsidRPr="00D17E36">
        <w:rPr>
          <w:rStyle w:val="FootnoteReference"/>
        </w:rPr>
        <w:footnoteRef/>
      </w:r>
      <w:r>
        <w:tab/>
        <w:t>The savings drawdown variable becomes flat when individuals reach the minimum withdrawal amount (set at 1.5 times the Age Pension).</w:t>
      </w:r>
    </w:p>
  </w:footnote>
  <w:footnote w:id="2">
    <w:p w:rsidR="00357732" w:rsidRDefault="00357732" w:rsidP="00357732">
      <w:pPr>
        <w:pStyle w:val="FootnoteText"/>
      </w:pPr>
      <w:r w:rsidRPr="00D17E36">
        <w:rPr>
          <w:rStyle w:val="FootnoteReference"/>
        </w:rPr>
        <w:footnoteRef/>
      </w:r>
      <w:r>
        <w:tab/>
        <w:t xml:space="preserve">The utility associated with retirement at ages 65 and above are slightly lower under the </w:t>
      </w:r>
      <w:r w:rsidR="00A72BE2">
        <w:t>P</w:t>
      </w:r>
      <w:r>
        <w:t>olicy scenario</w:t>
      </w:r>
      <w:r w:rsidR="00A72BE2">
        <w:t xml:space="preserve"> 1A</w:t>
      </w:r>
      <w:r>
        <w:t xml:space="preserve"> for Household B. Th</w:t>
      </w:r>
      <w:r w:rsidR="0000030B">
        <w:t>is is because Household B uses t</w:t>
      </w:r>
      <w:r>
        <w:t xml:space="preserve">ransition to retirement pensions to minimise their tax liabilities, and an increase in the </w:t>
      </w:r>
      <w:r w:rsidR="0000030B">
        <w:t>p</w:t>
      </w:r>
      <w:r>
        <w:t xml:space="preserve">reservation age limits their ability to use this tax-minimisation strategy.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tc>
        <w:tcPr>
          <w:tcW w:w="2155" w:type="dxa"/>
          <w:tcBorders>
            <w:top w:val="single" w:sz="24" w:space="0" w:color="auto"/>
          </w:tcBorders>
        </w:tcPr>
        <w:p w:rsidR="00772909" w:rsidRDefault="00772909" w:rsidP="0019293B">
          <w:pPr>
            <w:pStyle w:val="HeaderEven"/>
          </w:pPr>
        </w:p>
      </w:tc>
      <w:tc>
        <w:tcPr>
          <w:tcW w:w="6634" w:type="dxa"/>
          <w:tcBorders>
            <w:top w:val="single" w:sz="6" w:space="0" w:color="auto"/>
          </w:tcBorders>
        </w:tcPr>
        <w:p w:rsidR="00772909" w:rsidRDefault="00772909" w:rsidP="0019293B">
          <w:pPr>
            <w:pStyle w:val="HeaderEven"/>
          </w:pPr>
        </w:p>
      </w:tc>
    </w:tr>
  </w:tbl>
  <w:p w:rsidR="00772909" w:rsidRDefault="00772909"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tc>
        <w:tcPr>
          <w:tcW w:w="6634" w:type="dxa"/>
          <w:tcBorders>
            <w:top w:val="single" w:sz="6" w:space="0" w:color="auto"/>
          </w:tcBorders>
        </w:tcPr>
        <w:p w:rsidR="00772909" w:rsidRDefault="00772909" w:rsidP="00E669E2">
          <w:pPr>
            <w:pStyle w:val="HeaderOdd"/>
          </w:pPr>
        </w:p>
      </w:tc>
      <w:tc>
        <w:tcPr>
          <w:tcW w:w="2155" w:type="dxa"/>
          <w:tcBorders>
            <w:top w:val="single" w:sz="24" w:space="0" w:color="auto"/>
          </w:tcBorders>
        </w:tcPr>
        <w:p w:rsidR="00772909" w:rsidRDefault="00772909" w:rsidP="00E669E2">
          <w:pPr>
            <w:pStyle w:val="HeaderOdd"/>
          </w:pPr>
        </w:p>
      </w:tc>
    </w:tr>
  </w:tbl>
  <w:p w:rsidR="00772909" w:rsidRDefault="00772909"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An illustration of model results"/>
    <w:docVar w:name="ShortReportTitle" w:val="Superannuation Policy for Post-Retirement: Modelling supplement"/>
  </w:docVars>
  <w:rsids>
    <w:rsidRoot w:val="00357732"/>
    <w:rsid w:val="0000030B"/>
    <w:rsid w:val="000227D5"/>
    <w:rsid w:val="000245AA"/>
    <w:rsid w:val="0003664B"/>
    <w:rsid w:val="0004111F"/>
    <w:rsid w:val="00055077"/>
    <w:rsid w:val="000565B3"/>
    <w:rsid w:val="000576CF"/>
    <w:rsid w:val="0007150B"/>
    <w:rsid w:val="000938F5"/>
    <w:rsid w:val="00095663"/>
    <w:rsid w:val="00096E55"/>
    <w:rsid w:val="0009783E"/>
    <w:rsid w:val="000B1022"/>
    <w:rsid w:val="000B601B"/>
    <w:rsid w:val="000C207E"/>
    <w:rsid w:val="000D41E9"/>
    <w:rsid w:val="000E02BA"/>
    <w:rsid w:val="000F0035"/>
    <w:rsid w:val="000F04E7"/>
    <w:rsid w:val="000F060A"/>
    <w:rsid w:val="000F420B"/>
    <w:rsid w:val="00110116"/>
    <w:rsid w:val="00120072"/>
    <w:rsid w:val="00126EB8"/>
    <w:rsid w:val="001274D4"/>
    <w:rsid w:val="001363AA"/>
    <w:rsid w:val="0013739A"/>
    <w:rsid w:val="00142165"/>
    <w:rsid w:val="00162434"/>
    <w:rsid w:val="00183E82"/>
    <w:rsid w:val="001878BB"/>
    <w:rsid w:val="00191AE0"/>
    <w:rsid w:val="0019293B"/>
    <w:rsid w:val="0019426B"/>
    <w:rsid w:val="001A6A4B"/>
    <w:rsid w:val="001C0865"/>
    <w:rsid w:val="001C0AED"/>
    <w:rsid w:val="001C3ABA"/>
    <w:rsid w:val="001C5111"/>
    <w:rsid w:val="001E7BE8"/>
    <w:rsid w:val="001F0248"/>
    <w:rsid w:val="001F3EB3"/>
    <w:rsid w:val="001F4F86"/>
    <w:rsid w:val="00202C2C"/>
    <w:rsid w:val="00203050"/>
    <w:rsid w:val="002135AB"/>
    <w:rsid w:val="002144BE"/>
    <w:rsid w:val="00242279"/>
    <w:rsid w:val="00243997"/>
    <w:rsid w:val="0024516C"/>
    <w:rsid w:val="00245C82"/>
    <w:rsid w:val="00254738"/>
    <w:rsid w:val="002724BA"/>
    <w:rsid w:val="00291B40"/>
    <w:rsid w:val="002B4008"/>
    <w:rsid w:val="002C439F"/>
    <w:rsid w:val="002D0C42"/>
    <w:rsid w:val="002D0E8E"/>
    <w:rsid w:val="00301189"/>
    <w:rsid w:val="00301E4A"/>
    <w:rsid w:val="003168B8"/>
    <w:rsid w:val="00322D64"/>
    <w:rsid w:val="00323E09"/>
    <w:rsid w:val="00333932"/>
    <w:rsid w:val="003518AA"/>
    <w:rsid w:val="00352165"/>
    <w:rsid w:val="00353182"/>
    <w:rsid w:val="003565D9"/>
    <w:rsid w:val="00357732"/>
    <w:rsid w:val="003602E1"/>
    <w:rsid w:val="00364F32"/>
    <w:rsid w:val="0037026F"/>
    <w:rsid w:val="00371240"/>
    <w:rsid w:val="00374731"/>
    <w:rsid w:val="00376E59"/>
    <w:rsid w:val="00377EC1"/>
    <w:rsid w:val="00380340"/>
    <w:rsid w:val="00387430"/>
    <w:rsid w:val="003919F9"/>
    <w:rsid w:val="003920CF"/>
    <w:rsid w:val="003B23C2"/>
    <w:rsid w:val="003C38B5"/>
    <w:rsid w:val="003C5D99"/>
    <w:rsid w:val="003D1087"/>
    <w:rsid w:val="003E2F59"/>
    <w:rsid w:val="003E746B"/>
    <w:rsid w:val="003F0789"/>
    <w:rsid w:val="00401882"/>
    <w:rsid w:val="004100C8"/>
    <w:rsid w:val="00411DBD"/>
    <w:rsid w:val="00412ACE"/>
    <w:rsid w:val="004145D2"/>
    <w:rsid w:val="00426CB4"/>
    <w:rsid w:val="00431249"/>
    <w:rsid w:val="00434C19"/>
    <w:rsid w:val="00450810"/>
    <w:rsid w:val="00462C59"/>
    <w:rsid w:val="00470737"/>
    <w:rsid w:val="00477144"/>
    <w:rsid w:val="00491380"/>
    <w:rsid w:val="0049459F"/>
    <w:rsid w:val="004A38DD"/>
    <w:rsid w:val="004B329F"/>
    <w:rsid w:val="004B43AE"/>
    <w:rsid w:val="004C30ED"/>
    <w:rsid w:val="004D5675"/>
    <w:rsid w:val="005076F5"/>
    <w:rsid w:val="005149FF"/>
    <w:rsid w:val="00517795"/>
    <w:rsid w:val="00523639"/>
    <w:rsid w:val="00531FE5"/>
    <w:rsid w:val="005402FA"/>
    <w:rsid w:val="0056109F"/>
    <w:rsid w:val="005729BD"/>
    <w:rsid w:val="00580154"/>
    <w:rsid w:val="00583C39"/>
    <w:rsid w:val="00586A90"/>
    <w:rsid w:val="00587F28"/>
    <w:rsid w:val="005909CF"/>
    <w:rsid w:val="00591E71"/>
    <w:rsid w:val="005A0D41"/>
    <w:rsid w:val="005D329F"/>
    <w:rsid w:val="005F222C"/>
    <w:rsid w:val="005F48ED"/>
    <w:rsid w:val="00606E78"/>
    <w:rsid w:val="00607BF1"/>
    <w:rsid w:val="00624CD4"/>
    <w:rsid w:val="00630D4D"/>
    <w:rsid w:val="00632A74"/>
    <w:rsid w:val="00654D42"/>
    <w:rsid w:val="00666E02"/>
    <w:rsid w:val="00682670"/>
    <w:rsid w:val="006842CC"/>
    <w:rsid w:val="006A4655"/>
    <w:rsid w:val="006B2B3C"/>
    <w:rsid w:val="006C1D81"/>
    <w:rsid w:val="006C7038"/>
    <w:rsid w:val="006E73EF"/>
    <w:rsid w:val="007079C9"/>
    <w:rsid w:val="00714D4D"/>
    <w:rsid w:val="007266D3"/>
    <w:rsid w:val="00732029"/>
    <w:rsid w:val="007604BB"/>
    <w:rsid w:val="00772909"/>
    <w:rsid w:val="00785232"/>
    <w:rsid w:val="0079701E"/>
    <w:rsid w:val="007A21EB"/>
    <w:rsid w:val="007B1A93"/>
    <w:rsid w:val="007C36C9"/>
    <w:rsid w:val="007D6401"/>
    <w:rsid w:val="007E01E4"/>
    <w:rsid w:val="007E7A12"/>
    <w:rsid w:val="007F7107"/>
    <w:rsid w:val="00800D4C"/>
    <w:rsid w:val="0081030F"/>
    <w:rsid w:val="00812F4A"/>
    <w:rsid w:val="0082087D"/>
    <w:rsid w:val="00835771"/>
    <w:rsid w:val="00842933"/>
    <w:rsid w:val="0086082C"/>
    <w:rsid w:val="00864ADC"/>
    <w:rsid w:val="00880153"/>
    <w:rsid w:val="00880F97"/>
    <w:rsid w:val="0088133A"/>
    <w:rsid w:val="0089285E"/>
    <w:rsid w:val="0089436C"/>
    <w:rsid w:val="008B23D8"/>
    <w:rsid w:val="008B4F53"/>
    <w:rsid w:val="008D365C"/>
    <w:rsid w:val="008D7622"/>
    <w:rsid w:val="009021A6"/>
    <w:rsid w:val="009030BF"/>
    <w:rsid w:val="00903B52"/>
    <w:rsid w:val="0091032F"/>
    <w:rsid w:val="00914368"/>
    <w:rsid w:val="00931076"/>
    <w:rsid w:val="009345D9"/>
    <w:rsid w:val="00934B15"/>
    <w:rsid w:val="00940C87"/>
    <w:rsid w:val="00942B62"/>
    <w:rsid w:val="0095323B"/>
    <w:rsid w:val="00956A0C"/>
    <w:rsid w:val="00956BD9"/>
    <w:rsid w:val="00962489"/>
    <w:rsid w:val="00967CD3"/>
    <w:rsid w:val="00990C2C"/>
    <w:rsid w:val="009A5171"/>
    <w:rsid w:val="009D2AE6"/>
    <w:rsid w:val="009E1844"/>
    <w:rsid w:val="009F0D1B"/>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37B91"/>
    <w:rsid w:val="00A451DC"/>
    <w:rsid w:val="00A554AB"/>
    <w:rsid w:val="00A57062"/>
    <w:rsid w:val="00A67781"/>
    <w:rsid w:val="00A7253A"/>
    <w:rsid w:val="00A72BE2"/>
    <w:rsid w:val="00A761F9"/>
    <w:rsid w:val="00A92B53"/>
    <w:rsid w:val="00A94FA6"/>
    <w:rsid w:val="00AA49A0"/>
    <w:rsid w:val="00AA6710"/>
    <w:rsid w:val="00AB0681"/>
    <w:rsid w:val="00AB1064"/>
    <w:rsid w:val="00AC3A15"/>
    <w:rsid w:val="00AD520B"/>
    <w:rsid w:val="00AE3BCC"/>
    <w:rsid w:val="00B425C3"/>
    <w:rsid w:val="00B440AD"/>
    <w:rsid w:val="00B479BB"/>
    <w:rsid w:val="00B53E7E"/>
    <w:rsid w:val="00B6342E"/>
    <w:rsid w:val="00B7113F"/>
    <w:rsid w:val="00B755AD"/>
    <w:rsid w:val="00BA2BCF"/>
    <w:rsid w:val="00BA5B14"/>
    <w:rsid w:val="00BA73B6"/>
    <w:rsid w:val="00BA7E27"/>
    <w:rsid w:val="00BB2603"/>
    <w:rsid w:val="00BB4FCD"/>
    <w:rsid w:val="00BC04E9"/>
    <w:rsid w:val="00BD13EA"/>
    <w:rsid w:val="00BE3808"/>
    <w:rsid w:val="00BF1FCE"/>
    <w:rsid w:val="00C0169D"/>
    <w:rsid w:val="00C03B88"/>
    <w:rsid w:val="00C062E9"/>
    <w:rsid w:val="00C07B64"/>
    <w:rsid w:val="00C13721"/>
    <w:rsid w:val="00C14FE4"/>
    <w:rsid w:val="00C3066D"/>
    <w:rsid w:val="00C52416"/>
    <w:rsid w:val="00C543F4"/>
    <w:rsid w:val="00C6291C"/>
    <w:rsid w:val="00C633CB"/>
    <w:rsid w:val="00C664CD"/>
    <w:rsid w:val="00C736B7"/>
    <w:rsid w:val="00C81D4A"/>
    <w:rsid w:val="00C8762C"/>
    <w:rsid w:val="00CA00F9"/>
    <w:rsid w:val="00CA2961"/>
    <w:rsid w:val="00CB50D7"/>
    <w:rsid w:val="00CB7177"/>
    <w:rsid w:val="00CB7CED"/>
    <w:rsid w:val="00CC070F"/>
    <w:rsid w:val="00CC1998"/>
    <w:rsid w:val="00CC4946"/>
    <w:rsid w:val="00CC64A1"/>
    <w:rsid w:val="00CD3C44"/>
    <w:rsid w:val="00CF3B11"/>
    <w:rsid w:val="00D270A4"/>
    <w:rsid w:val="00D31FE9"/>
    <w:rsid w:val="00D34E1B"/>
    <w:rsid w:val="00D376BA"/>
    <w:rsid w:val="00D434A0"/>
    <w:rsid w:val="00D45634"/>
    <w:rsid w:val="00D5568A"/>
    <w:rsid w:val="00D63D73"/>
    <w:rsid w:val="00D64452"/>
    <w:rsid w:val="00D66E1E"/>
    <w:rsid w:val="00D70696"/>
    <w:rsid w:val="00D75722"/>
    <w:rsid w:val="00D80CF5"/>
    <w:rsid w:val="00DA5BBA"/>
    <w:rsid w:val="00DB26D2"/>
    <w:rsid w:val="00DB67C9"/>
    <w:rsid w:val="00DC0C95"/>
    <w:rsid w:val="00DC4F0B"/>
    <w:rsid w:val="00DD6580"/>
    <w:rsid w:val="00E01D7F"/>
    <w:rsid w:val="00E05C03"/>
    <w:rsid w:val="00E16570"/>
    <w:rsid w:val="00E17577"/>
    <w:rsid w:val="00E17C72"/>
    <w:rsid w:val="00E21FC6"/>
    <w:rsid w:val="00E316A0"/>
    <w:rsid w:val="00E431A9"/>
    <w:rsid w:val="00E669E2"/>
    <w:rsid w:val="00E76135"/>
    <w:rsid w:val="00E82F4F"/>
    <w:rsid w:val="00E864DF"/>
    <w:rsid w:val="00E97F10"/>
    <w:rsid w:val="00EB2CC3"/>
    <w:rsid w:val="00EC2844"/>
    <w:rsid w:val="00EC5500"/>
    <w:rsid w:val="00ED18F8"/>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73727"/>
    <w:rsid w:val="00F766A7"/>
    <w:rsid w:val="00F81006"/>
    <w:rsid w:val="00F85325"/>
    <w:rsid w:val="00FC1FD0"/>
    <w:rsid w:val="00FD22B1"/>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annotation text" w:uiPriority="99"/>
    <w:lsdException w:name="annotation reference" w:uiPriority="99"/>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357732"/>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FootnoteTextChar">
    <w:name w:val="Footnote Text Char"/>
    <w:basedOn w:val="DefaultParagraphFont"/>
    <w:link w:val="FootnoteText"/>
    <w:rsid w:val="00357732"/>
  </w:style>
  <w:style w:type="character" w:customStyle="1" w:styleId="CommentTextChar">
    <w:name w:val="Comment Text Char"/>
    <w:basedOn w:val="DefaultParagraphFont"/>
    <w:link w:val="CommentText"/>
    <w:uiPriority w:val="99"/>
    <w:semiHidden/>
    <w:rsid w:val="00357732"/>
    <w:rPr>
      <w:szCs w:val="24"/>
    </w:rPr>
  </w:style>
  <w:style w:type="paragraph" w:styleId="CommentSubject">
    <w:name w:val="annotation subject"/>
    <w:basedOn w:val="CommentText"/>
    <w:next w:val="CommentText"/>
    <w:link w:val="CommentSubjectChar"/>
    <w:rsid w:val="0000030B"/>
    <w:pPr>
      <w:spacing w:before="0" w:line="240" w:lineRule="auto"/>
      <w:ind w:left="0" w:firstLine="0"/>
    </w:pPr>
    <w:rPr>
      <w:b/>
      <w:bCs/>
      <w:szCs w:val="20"/>
    </w:rPr>
  </w:style>
  <w:style w:type="character" w:customStyle="1" w:styleId="CommentSubjectChar">
    <w:name w:val="Comment Subject Char"/>
    <w:basedOn w:val="CommentTextChar"/>
    <w:link w:val="CommentSubject"/>
    <w:rsid w:val="0000030B"/>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annotation text" w:uiPriority="99"/>
    <w:lsdException w:name="annotation reference" w:uiPriority="99"/>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357732"/>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FootnoteTextChar">
    <w:name w:val="Footnote Text Char"/>
    <w:basedOn w:val="DefaultParagraphFont"/>
    <w:link w:val="FootnoteText"/>
    <w:rsid w:val="00357732"/>
  </w:style>
  <w:style w:type="character" w:customStyle="1" w:styleId="CommentTextChar">
    <w:name w:val="Comment Text Char"/>
    <w:basedOn w:val="DefaultParagraphFont"/>
    <w:link w:val="CommentText"/>
    <w:uiPriority w:val="99"/>
    <w:semiHidden/>
    <w:rsid w:val="00357732"/>
    <w:rPr>
      <w:szCs w:val="24"/>
    </w:rPr>
  </w:style>
  <w:style w:type="paragraph" w:styleId="CommentSubject">
    <w:name w:val="annotation subject"/>
    <w:basedOn w:val="CommentText"/>
    <w:next w:val="CommentText"/>
    <w:link w:val="CommentSubjectChar"/>
    <w:rsid w:val="0000030B"/>
    <w:pPr>
      <w:spacing w:before="0" w:line="240" w:lineRule="auto"/>
      <w:ind w:left="0" w:firstLine="0"/>
    </w:pPr>
    <w:rPr>
      <w:b/>
      <w:bCs/>
      <w:szCs w:val="20"/>
    </w:rPr>
  </w:style>
  <w:style w:type="character" w:customStyle="1" w:styleId="CommentSubjectChar">
    <w:name w:val="Comment Subject Char"/>
    <w:basedOn w:val="CommentTextChar"/>
    <w:link w:val="CommentSubject"/>
    <w:rsid w:val="0000030B"/>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18490-981B-40CC-84FD-E39F45AA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TotalTime>
  <Pages>5</Pages>
  <Words>952</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An illustration of model results</vt:lpstr>
    </vt:vector>
  </TitlesOfParts>
  <Company>Productivity Commission</Company>
  <LinksUpToDate>false</LinksUpToDate>
  <CharactersWithSpaces>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illustration of model results</dc:title>
  <dc:subject>Superannuation Policy for Post-Retirement: Modelling supplement</dc:subject>
  <dc:creator>Productivity Commission</dc:creator>
  <dc:description>5.</dc:description>
  <cp:lastModifiedBy>Productivity Commission</cp:lastModifiedBy>
  <cp:revision>2</cp:revision>
  <cp:lastPrinted>2014-07-13T11:30:00Z</cp:lastPrinted>
  <dcterms:created xsi:type="dcterms:W3CDTF">2015-07-02T04:27:00Z</dcterms:created>
  <dcterms:modified xsi:type="dcterms:W3CDTF">2015-07-02T04:27:00Z</dcterms:modified>
</cp:coreProperties>
</file>