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EA9FEB7" w14:textId="17B74126" w:rsidR="00A33DFF" w:rsidRDefault="00D85DB3" w:rsidP="00D85DB3">
      <w:pPr>
        <w:pStyle w:val="Heading1"/>
      </w:pPr>
      <w:bookmarkStart w:id="0" w:name="ChapterNumber"/>
      <w:r>
        <w:t>6</w:t>
      </w:r>
      <w:bookmarkEnd w:id="0"/>
      <w:r>
        <w:tab/>
      </w:r>
      <w:bookmarkStart w:id="1" w:name="ChapterTitle"/>
      <w:r>
        <w:t>Sensitivity analyses</w:t>
      </w:r>
      <w:bookmarkEnd w:id="1"/>
    </w:p>
    <w:p w14:paraId="4A9D6E20" w14:textId="6823BD88" w:rsidR="00C02682" w:rsidRPr="00C02682" w:rsidRDefault="00C02682" w:rsidP="00C02682">
      <w:pPr>
        <w:pStyle w:val="BodyText"/>
      </w:pPr>
      <w:bookmarkStart w:id="2" w:name="begin"/>
      <w:bookmarkEnd w:id="2"/>
      <w:r w:rsidRPr="00C02682">
        <w:t>As part of its research on Superannuation Policy for Post</w:t>
      </w:r>
      <w:r w:rsidR="00B86FE0">
        <w:noBreakHyphen/>
      </w:r>
      <w:r w:rsidRPr="00C02682">
        <w:t>Retirement the Commission has developed a model — referred to as the Productivity Commission Retirement Model (</w:t>
      </w:r>
      <w:proofErr w:type="spellStart"/>
      <w:r w:rsidRPr="00C02682">
        <w:t>PCRM</w:t>
      </w:r>
      <w:proofErr w:type="spellEnd"/>
      <w:r w:rsidRPr="00C02682">
        <w:t xml:space="preserve">) — to assess the effects of increasing the preservation age. The </w:t>
      </w:r>
      <w:proofErr w:type="spellStart"/>
      <w:r w:rsidRPr="00C02682">
        <w:t>PCRM</w:t>
      </w:r>
      <w:proofErr w:type="spellEnd"/>
      <w:r w:rsidRPr="00C02682">
        <w:t xml:space="preserve"> can be described as a ‘behavioural </w:t>
      </w:r>
      <w:proofErr w:type="spellStart"/>
      <w:r w:rsidRPr="00C02682">
        <w:t>microsimulation</w:t>
      </w:r>
      <w:proofErr w:type="spellEnd"/>
      <w:r w:rsidRPr="00C02682">
        <w:t xml:space="preserve">’ model. Behavioural </w:t>
      </w:r>
      <w:proofErr w:type="spellStart"/>
      <w:r w:rsidRPr="00C02682">
        <w:t>microsimulation</w:t>
      </w:r>
      <w:proofErr w:type="spellEnd"/>
      <w:r w:rsidRPr="00C02682">
        <w:t xml:space="preserve"> models seek to simulate individual or household level decisions, and are commonly used within an economic framework to assess the impact of policy changes (such as changes in tax and benefits) on governments’ fiscal positions and on labour supply. They are particularly useful where there is a wide variety of decision makers</w:t>
      </w:r>
      <w:r w:rsidR="00127FE7">
        <w:t>,</w:t>
      </w:r>
      <w:r w:rsidRPr="00C02682">
        <w:t xml:space="preserve"> and</w:t>
      </w:r>
      <w:r w:rsidR="00127FE7">
        <w:t xml:space="preserve"> where</w:t>
      </w:r>
      <w:r w:rsidRPr="00C02682">
        <w:t xml:space="preserve"> complex policy changes are likely to impact these different decision makers in different ways.</w:t>
      </w:r>
    </w:p>
    <w:p w14:paraId="14968B95" w14:textId="37361735" w:rsidR="00C02682" w:rsidRPr="00C02682" w:rsidRDefault="00C02682" w:rsidP="00C02682">
      <w:pPr>
        <w:pStyle w:val="BodyText"/>
      </w:pPr>
      <w:r w:rsidRPr="00C02682">
        <w:t>The model</w:t>
      </w:r>
      <w:r>
        <w:t>’s</w:t>
      </w:r>
      <w:r w:rsidRPr="00C02682">
        <w:t xml:space="preserve"> results are highly sensitive to a number of key assumptions. The role of this paper is to detail how results under Policy </w:t>
      </w:r>
      <w:proofErr w:type="spellStart"/>
      <w:r w:rsidRPr="00C02682">
        <w:t>1A</w:t>
      </w:r>
      <w:proofErr w:type="spellEnd"/>
      <w:r w:rsidRPr="00C02682">
        <w:t xml:space="preserve"> (a delayed, phased increase in the preservation age) change when some</w:t>
      </w:r>
      <w:r>
        <w:t xml:space="preserve"> of the assumptions are varied</w:t>
      </w:r>
      <w:r w:rsidRPr="00C02682">
        <w:t>. The importance of a range of key assumptions cannot be readily tested and have been excluded from sensitivity analysis.</w:t>
      </w:r>
    </w:p>
    <w:p w14:paraId="6E759151" w14:textId="77777777" w:rsidR="00C02682" w:rsidRPr="00C02682" w:rsidRDefault="00C02682" w:rsidP="00C02682">
      <w:pPr>
        <w:pStyle w:val="BodyText"/>
      </w:pPr>
      <w:r w:rsidRPr="00C02682">
        <w:t xml:space="preserve">Analysing the effects of changing key assumptions involves two simulations — a base case simulation and a policy simulation (both of which employ the alternate assumptions). The difference in outcome variables between the alternate base case and the alternate policy simulation, and the original base case and the original policy simulation, can be attributed to changes in the assumptions. </w:t>
      </w:r>
    </w:p>
    <w:p w14:paraId="2F54C77D" w14:textId="77777777" w:rsidR="00B40022" w:rsidRDefault="00B40022" w:rsidP="00B40022">
      <w:pPr>
        <w:pStyle w:val="Heading3"/>
      </w:pPr>
      <w:proofErr w:type="spellStart"/>
      <w:r w:rsidRPr="00962C7F">
        <w:t>SA1</w:t>
      </w:r>
      <w:proofErr w:type="spellEnd"/>
      <w:r w:rsidRPr="00962C7F">
        <w:t xml:space="preserve">: </w:t>
      </w:r>
      <w:r w:rsidRPr="00A35F19">
        <w:t>Different returns to savings</w:t>
      </w:r>
    </w:p>
    <w:p w14:paraId="6275D203" w14:textId="138EFA10" w:rsidR="00B40022" w:rsidRPr="00FA543D" w:rsidRDefault="00B40022" w:rsidP="00B40022">
      <w:pPr>
        <w:pStyle w:val="BodyText"/>
      </w:pPr>
      <w:r>
        <w:t>S</w:t>
      </w:r>
      <w:r w:rsidR="00C02682">
        <w:t xml:space="preserve">ensitivity </w:t>
      </w:r>
      <w:r>
        <w:t>A</w:t>
      </w:r>
      <w:r w:rsidR="00C02682">
        <w:t xml:space="preserve">nalysis (SA) </w:t>
      </w:r>
      <w:r>
        <w:t>1 involves varying the returns to savings by one percentage point (table </w:t>
      </w:r>
      <w:r w:rsidR="00D85DB3">
        <w:t>6.1</w:t>
      </w:r>
      <w:r w:rsidR="00C02682">
        <w:t>).</w:t>
      </w:r>
      <w:r w:rsidR="00890A7A">
        <w:t xml:space="preserve"> </w:t>
      </w:r>
      <w:r>
        <w:t>This sensitivity analysis involves recalibrating the model.</w:t>
      </w:r>
      <w:r w:rsidRPr="008D4F67">
        <w:rPr>
          <w:rStyle w:val="FootnoteReference"/>
        </w:rPr>
        <w:footnoteReference w:id="1"/>
      </w:r>
      <w:r>
        <w:t xml:space="preserve"> </w:t>
      </w:r>
    </w:p>
    <w:p w14:paraId="5D06A17E" w14:textId="7B8B67BC" w:rsidR="00B40022" w:rsidRDefault="00B40022" w:rsidP="00B40022">
      <w:pPr>
        <w:pStyle w:val="BoxSpaceAbove"/>
      </w:pPr>
    </w:p>
    <w:tbl>
      <w:tblPr>
        <w:tblW w:w="0" w:type="auto"/>
        <w:tblInd w:w="164" w:type="dxa"/>
        <w:tblBorders>
          <w:top w:val="single" w:sz="6" w:space="0" w:color="auto"/>
          <w:left w:val="single" w:sz="6" w:space="0" w:color="auto"/>
          <w:bottom w:val="single" w:sz="6" w:space="0" w:color="auto"/>
          <w:right w:val="single" w:sz="6" w:space="0" w:color="auto"/>
        </w:tblBorders>
        <w:tblCellMar>
          <w:left w:w="142" w:type="dxa"/>
          <w:right w:w="142" w:type="dxa"/>
        </w:tblCellMar>
        <w:tblLook w:val="0000" w:firstRow="0" w:lastRow="0" w:firstColumn="0" w:lastColumn="0" w:noHBand="0" w:noVBand="0"/>
      </w:tblPr>
      <w:tblGrid>
        <w:gridCol w:w="8771"/>
      </w:tblGrid>
      <w:tr w:rsidR="00B40022" w14:paraId="2C6A4AD7" w14:textId="77777777" w:rsidTr="00B40022">
        <w:tc>
          <w:tcPr>
            <w:tcW w:w="8771" w:type="dxa"/>
            <w:tcBorders>
              <w:top w:val="single" w:sz="6" w:space="0" w:color="78A22F"/>
              <w:left w:val="nil"/>
              <w:bottom w:val="nil"/>
              <w:right w:val="nil"/>
            </w:tcBorders>
            <w:shd w:val="clear" w:color="auto" w:fill="auto"/>
          </w:tcPr>
          <w:p w14:paraId="626E47E5" w14:textId="00D15160" w:rsidR="00B40022" w:rsidRDefault="00B40022" w:rsidP="00B40022">
            <w:pPr>
              <w:pStyle w:val="TableTitle"/>
            </w:pPr>
            <w:bookmarkStart w:id="3" w:name="_GoBack" w:colFirst="1" w:colLast="1"/>
            <w:r>
              <w:rPr>
                <w:b w:val="0"/>
              </w:rPr>
              <w:t xml:space="preserve">Table </w:t>
            </w:r>
            <w:bookmarkStart w:id="4" w:name="OLE_LINK34"/>
            <w:r w:rsidR="00D85DB3">
              <w:rPr>
                <w:b w:val="0"/>
              </w:rPr>
              <w:t>6.</w:t>
            </w:r>
            <w:r w:rsidR="00D85DB3">
              <w:rPr>
                <w:b w:val="0"/>
                <w:noProof/>
              </w:rPr>
              <w:t>1</w:t>
            </w:r>
            <w:bookmarkEnd w:id="4"/>
            <w:r>
              <w:tab/>
            </w:r>
            <w:proofErr w:type="spellStart"/>
            <w:r>
              <w:t>SA1</w:t>
            </w:r>
            <w:proofErr w:type="spellEnd"/>
            <w:r>
              <w:t xml:space="preserve"> assumptions</w:t>
            </w:r>
          </w:p>
          <w:p w14:paraId="3BC91653" w14:textId="77777777" w:rsidR="001B00D8" w:rsidRPr="001B00D8" w:rsidRDefault="001B00D8" w:rsidP="001B00D8">
            <w:pPr>
              <w:pStyle w:val="Subtitle"/>
            </w:pPr>
            <w:r>
              <w:t>Per cent</w:t>
            </w:r>
          </w:p>
        </w:tc>
      </w:tr>
      <w:tr w:rsidR="00B40022" w14:paraId="44852C3A" w14:textId="77777777" w:rsidTr="00B40022">
        <w:trPr>
          <w:cantSplit/>
        </w:trPr>
        <w:tc>
          <w:tcPr>
            <w:tcW w:w="8771" w:type="dxa"/>
            <w:tcBorders>
              <w:top w:val="nil"/>
              <w:left w:val="nil"/>
              <w:bottom w:val="nil"/>
              <w:right w:val="nil"/>
            </w:tcBorders>
            <w:shd w:val="clear" w:color="auto" w:fill="auto"/>
          </w:tcPr>
          <w:tbl>
            <w:tblPr>
              <w:tblW w:w="5000" w:type="pct"/>
              <w:tblCellMar>
                <w:top w:w="28" w:type="dxa"/>
                <w:left w:w="0" w:type="dxa"/>
                <w:right w:w="0" w:type="dxa"/>
              </w:tblCellMar>
              <w:tblLook w:val="0000" w:firstRow="0" w:lastRow="0" w:firstColumn="0" w:lastColumn="0" w:noHBand="0" w:noVBand="0"/>
            </w:tblPr>
            <w:tblGrid>
              <w:gridCol w:w="3127"/>
              <w:gridCol w:w="1787"/>
              <w:gridCol w:w="1787"/>
              <w:gridCol w:w="1786"/>
            </w:tblGrid>
            <w:tr w:rsidR="00B40022" w14:paraId="347111AC" w14:textId="77777777" w:rsidTr="00B40022">
              <w:tc>
                <w:tcPr>
                  <w:tcW w:w="1842" w:type="pct"/>
                  <w:tcBorders>
                    <w:top w:val="single" w:sz="6" w:space="0" w:color="BFBFBF"/>
                    <w:bottom w:val="single" w:sz="6" w:space="0" w:color="BFBFBF"/>
                  </w:tcBorders>
                  <w:shd w:val="clear" w:color="auto" w:fill="auto"/>
                  <w:tcMar>
                    <w:top w:w="28" w:type="dxa"/>
                  </w:tcMar>
                </w:tcPr>
                <w:p w14:paraId="04C5E809" w14:textId="77777777" w:rsidR="00B40022" w:rsidRDefault="00B40022" w:rsidP="00B40022">
                  <w:pPr>
                    <w:pStyle w:val="TableColumnHeading"/>
                    <w:jc w:val="left"/>
                  </w:pPr>
                </w:p>
              </w:tc>
              <w:tc>
                <w:tcPr>
                  <w:tcW w:w="1053" w:type="pct"/>
                  <w:tcBorders>
                    <w:top w:val="single" w:sz="6" w:space="0" w:color="BFBFBF"/>
                    <w:bottom w:val="single" w:sz="6" w:space="0" w:color="BFBFBF"/>
                  </w:tcBorders>
                </w:tcPr>
                <w:p w14:paraId="37635126" w14:textId="77777777" w:rsidR="00B40022" w:rsidRDefault="00B40022" w:rsidP="00B40022">
                  <w:pPr>
                    <w:pStyle w:val="TableColumnHeading"/>
                  </w:pPr>
                  <w:r>
                    <w:t>Lower returns</w:t>
                  </w:r>
                </w:p>
              </w:tc>
              <w:tc>
                <w:tcPr>
                  <w:tcW w:w="1053" w:type="pct"/>
                  <w:tcBorders>
                    <w:top w:val="single" w:sz="6" w:space="0" w:color="BFBFBF"/>
                    <w:bottom w:val="single" w:sz="6" w:space="0" w:color="BFBFBF"/>
                  </w:tcBorders>
                  <w:shd w:val="clear" w:color="auto" w:fill="auto"/>
                  <w:tcMar>
                    <w:top w:w="28" w:type="dxa"/>
                  </w:tcMar>
                </w:tcPr>
                <w:p w14:paraId="782CFB43" w14:textId="77777777" w:rsidR="00B40022" w:rsidRDefault="00B40022" w:rsidP="00B40022">
                  <w:pPr>
                    <w:pStyle w:val="TableColumnHeading"/>
                  </w:pPr>
                  <w:r>
                    <w:t>Original</w:t>
                  </w:r>
                </w:p>
              </w:tc>
              <w:tc>
                <w:tcPr>
                  <w:tcW w:w="1052" w:type="pct"/>
                  <w:tcBorders>
                    <w:top w:val="single" w:sz="6" w:space="0" w:color="BFBFBF"/>
                    <w:bottom w:val="single" w:sz="6" w:space="0" w:color="BFBFBF"/>
                  </w:tcBorders>
                  <w:shd w:val="clear" w:color="auto" w:fill="auto"/>
                  <w:tcMar>
                    <w:top w:w="28" w:type="dxa"/>
                  </w:tcMar>
                </w:tcPr>
                <w:p w14:paraId="70B03F16" w14:textId="77777777" w:rsidR="00B40022" w:rsidRDefault="00B40022" w:rsidP="00B40022">
                  <w:pPr>
                    <w:pStyle w:val="TableColumnHeading"/>
                    <w:ind w:right="28"/>
                  </w:pPr>
                  <w:r>
                    <w:t>Higher returns</w:t>
                  </w:r>
                </w:p>
              </w:tc>
            </w:tr>
            <w:tr w:rsidR="00B40022" w14:paraId="68073C86" w14:textId="77777777" w:rsidTr="00B40022">
              <w:tc>
                <w:tcPr>
                  <w:tcW w:w="1842" w:type="pct"/>
                </w:tcPr>
                <w:p w14:paraId="70BFD5DD" w14:textId="77777777" w:rsidR="00B40022" w:rsidRDefault="00B40022" w:rsidP="00B40022">
                  <w:pPr>
                    <w:pStyle w:val="TableBodyText"/>
                    <w:jc w:val="left"/>
                  </w:pPr>
                  <w:r>
                    <w:t>Returns to superannuation in the accumulation phase</w:t>
                  </w:r>
                </w:p>
              </w:tc>
              <w:tc>
                <w:tcPr>
                  <w:tcW w:w="1053" w:type="pct"/>
                </w:tcPr>
                <w:p w14:paraId="0A7C6C16" w14:textId="03E3FC7F" w:rsidR="00B40022" w:rsidRDefault="00FA3135" w:rsidP="00476752">
                  <w:pPr>
                    <w:pStyle w:val="TableBodyText"/>
                  </w:pPr>
                  <w:r>
                    <w:t>5.5</w:t>
                  </w:r>
                  <w:r w:rsidR="00476752">
                    <w:t> </w:t>
                  </w:r>
                </w:p>
              </w:tc>
              <w:tc>
                <w:tcPr>
                  <w:tcW w:w="1053" w:type="pct"/>
                </w:tcPr>
                <w:p w14:paraId="624B3193" w14:textId="445BBA88" w:rsidR="00B40022" w:rsidRDefault="00B40022" w:rsidP="001B00D8">
                  <w:pPr>
                    <w:pStyle w:val="TableBodyText"/>
                  </w:pPr>
                  <w:r>
                    <w:t>6.5</w:t>
                  </w:r>
                  <w:r w:rsidR="00B86FE0">
                    <w:t xml:space="preserve"> </w:t>
                  </w:r>
                </w:p>
              </w:tc>
              <w:tc>
                <w:tcPr>
                  <w:tcW w:w="1052" w:type="pct"/>
                </w:tcPr>
                <w:p w14:paraId="79B9CD55" w14:textId="77777777" w:rsidR="00B40022" w:rsidRDefault="00B40022" w:rsidP="001B00D8">
                  <w:pPr>
                    <w:pStyle w:val="TableBodyText"/>
                    <w:ind w:right="28"/>
                  </w:pPr>
                  <w:r>
                    <w:t>7.5 </w:t>
                  </w:r>
                </w:p>
              </w:tc>
            </w:tr>
            <w:tr w:rsidR="00B40022" w14:paraId="6801C3C4" w14:textId="77777777" w:rsidTr="00B40022">
              <w:tc>
                <w:tcPr>
                  <w:tcW w:w="1842" w:type="pct"/>
                </w:tcPr>
                <w:p w14:paraId="78A9CA40" w14:textId="77777777" w:rsidR="00B40022" w:rsidRDefault="00B40022" w:rsidP="00B40022">
                  <w:pPr>
                    <w:pStyle w:val="TableBodyText"/>
                    <w:jc w:val="left"/>
                  </w:pPr>
                  <w:r>
                    <w:t>Returns to superannuation in the retirement phase</w:t>
                  </w:r>
                </w:p>
              </w:tc>
              <w:tc>
                <w:tcPr>
                  <w:tcW w:w="1053" w:type="pct"/>
                </w:tcPr>
                <w:p w14:paraId="24C0F6D5" w14:textId="77777777" w:rsidR="00B40022" w:rsidRDefault="00B40022" w:rsidP="001B00D8">
                  <w:pPr>
                    <w:pStyle w:val="TableBodyText"/>
                  </w:pPr>
                  <w:r>
                    <w:t>4</w:t>
                  </w:r>
                  <w:r w:rsidR="001B00D8">
                    <w:t>.0</w:t>
                  </w:r>
                  <w:r>
                    <w:t> </w:t>
                  </w:r>
                </w:p>
              </w:tc>
              <w:tc>
                <w:tcPr>
                  <w:tcW w:w="1053" w:type="pct"/>
                </w:tcPr>
                <w:p w14:paraId="19CA0D57" w14:textId="77777777" w:rsidR="00B40022" w:rsidRDefault="00B40022" w:rsidP="001B00D8">
                  <w:pPr>
                    <w:pStyle w:val="TableBodyText"/>
                  </w:pPr>
                  <w:r>
                    <w:t>5</w:t>
                  </w:r>
                  <w:r w:rsidR="001B00D8">
                    <w:t>.0</w:t>
                  </w:r>
                  <w:r>
                    <w:t> </w:t>
                  </w:r>
                </w:p>
              </w:tc>
              <w:tc>
                <w:tcPr>
                  <w:tcW w:w="1052" w:type="pct"/>
                </w:tcPr>
                <w:p w14:paraId="776E92C7" w14:textId="77777777" w:rsidR="00B40022" w:rsidRDefault="00B40022" w:rsidP="001B00D8">
                  <w:pPr>
                    <w:pStyle w:val="TableBodyText"/>
                    <w:ind w:right="28"/>
                  </w:pPr>
                  <w:r>
                    <w:t>6</w:t>
                  </w:r>
                  <w:r w:rsidR="001B00D8">
                    <w:t>.0</w:t>
                  </w:r>
                  <w:r>
                    <w:t> </w:t>
                  </w:r>
                </w:p>
              </w:tc>
            </w:tr>
            <w:tr w:rsidR="00B40022" w14:paraId="5522F2D2" w14:textId="77777777" w:rsidTr="00B40022">
              <w:tc>
                <w:tcPr>
                  <w:tcW w:w="1842" w:type="pct"/>
                  <w:tcBorders>
                    <w:bottom w:val="single" w:sz="6" w:space="0" w:color="BFBFBF"/>
                  </w:tcBorders>
                  <w:shd w:val="clear" w:color="auto" w:fill="auto"/>
                </w:tcPr>
                <w:p w14:paraId="26C03090" w14:textId="0F382E6A" w:rsidR="00B40022" w:rsidRDefault="00B40022" w:rsidP="00B40022">
                  <w:pPr>
                    <w:pStyle w:val="TableBodyText"/>
                    <w:jc w:val="left"/>
                  </w:pPr>
                  <w:r>
                    <w:t>Returns to non</w:t>
                  </w:r>
                  <w:r w:rsidR="00B86FE0">
                    <w:noBreakHyphen/>
                  </w:r>
                  <w:r>
                    <w:t>super savings</w:t>
                  </w:r>
                </w:p>
              </w:tc>
              <w:tc>
                <w:tcPr>
                  <w:tcW w:w="1053" w:type="pct"/>
                  <w:tcBorders>
                    <w:bottom w:val="single" w:sz="6" w:space="0" w:color="BFBFBF"/>
                  </w:tcBorders>
                </w:tcPr>
                <w:p w14:paraId="3613CF8B" w14:textId="77777777" w:rsidR="00B40022" w:rsidRDefault="00B40022" w:rsidP="001B00D8">
                  <w:pPr>
                    <w:pStyle w:val="TableBodyText"/>
                  </w:pPr>
                  <w:r>
                    <w:t>5</w:t>
                  </w:r>
                  <w:r w:rsidR="001B00D8">
                    <w:t>.0</w:t>
                  </w:r>
                  <w:r>
                    <w:t> </w:t>
                  </w:r>
                </w:p>
              </w:tc>
              <w:tc>
                <w:tcPr>
                  <w:tcW w:w="1053" w:type="pct"/>
                  <w:tcBorders>
                    <w:bottom w:val="single" w:sz="6" w:space="0" w:color="BFBFBF"/>
                  </w:tcBorders>
                  <w:shd w:val="clear" w:color="auto" w:fill="auto"/>
                </w:tcPr>
                <w:p w14:paraId="310DC90F" w14:textId="77777777" w:rsidR="00B40022" w:rsidRDefault="00B40022" w:rsidP="001B00D8">
                  <w:pPr>
                    <w:pStyle w:val="TableBodyText"/>
                  </w:pPr>
                  <w:r>
                    <w:t>6</w:t>
                  </w:r>
                  <w:r w:rsidR="001B00D8">
                    <w:t>.0</w:t>
                  </w:r>
                  <w:r>
                    <w:t> </w:t>
                  </w:r>
                </w:p>
              </w:tc>
              <w:tc>
                <w:tcPr>
                  <w:tcW w:w="1052" w:type="pct"/>
                  <w:tcBorders>
                    <w:bottom w:val="single" w:sz="6" w:space="0" w:color="BFBFBF"/>
                  </w:tcBorders>
                  <w:shd w:val="clear" w:color="auto" w:fill="auto"/>
                </w:tcPr>
                <w:p w14:paraId="78E71BD0" w14:textId="77777777" w:rsidR="00B40022" w:rsidRDefault="00B40022" w:rsidP="001B00D8">
                  <w:pPr>
                    <w:pStyle w:val="TableBodyText"/>
                    <w:ind w:right="28"/>
                  </w:pPr>
                  <w:r>
                    <w:t>7</w:t>
                  </w:r>
                  <w:r w:rsidR="001B00D8">
                    <w:t>.0</w:t>
                  </w:r>
                  <w:r>
                    <w:t> </w:t>
                  </w:r>
                </w:p>
              </w:tc>
            </w:tr>
          </w:tbl>
          <w:p w14:paraId="38CA50A9" w14:textId="77777777" w:rsidR="00B40022" w:rsidRDefault="00B40022" w:rsidP="00B40022">
            <w:pPr>
              <w:pStyle w:val="Box"/>
            </w:pPr>
          </w:p>
        </w:tc>
      </w:tr>
      <w:tr w:rsidR="00B40022" w14:paraId="319F77EC" w14:textId="77777777" w:rsidTr="00B40022">
        <w:trPr>
          <w:cantSplit/>
        </w:trPr>
        <w:tc>
          <w:tcPr>
            <w:tcW w:w="8771" w:type="dxa"/>
            <w:tcBorders>
              <w:top w:val="nil"/>
              <w:left w:val="nil"/>
              <w:bottom w:val="single" w:sz="6" w:space="0" w:color="78A22F"/>
              <w:right w:val="nil"/>
            </w:tcBorders>
            <w:shd w:val="clear" w:color="auto" w:fill="auto"/>
          </w:tcPr>
          <w:p w14:paraId="20672FBF" w14:textId="77777777" w:rsidR="00B40022" w:rsidRDefault="00B40022" w:rsidP="00B40022">
            <w:pPr>
              <w:pStyle w:val="Box"/>
              <w:spacing w:before="0" w:line="120" w:lineRule="exact"/>
            </w:pPr>
          </w:p>
        </w:tc>
      </w:tr>
      <w:tr w:rsidR="00B40022" w:rsidRPr="000863A5" w14:paraId="1B5C600C" w14:textId="77777777" w:rsidTr="00B40022">
        <w:tc>
          <w:tcPr>
            <w:tcW w:w="8771" w:type="dxa"/>
            <w:tcBorders>
              <w:top w:val="single" w:sz="6" w:space="0" w:color="78A22F"/>
              <w:left w:val="nil"/>
              <w:bottom w:val="nil"/>
              <w:right w:val="nil"/>
            </w:tcBorders>
          </w:tcPr>
          <w:p w14:paraId="4DC861CA" w14:textId="24C59CB8" w:rsidR="00B40022" w:rsidRPr="00626D32" w:rsidRDefault="00B40022" w:rsidP="00B40022">
            <w:pPr>
              <w:pStyle w:val="BoxSpaceBelow"/>
            </w:pPr>
          </w:p>
        </w:tc>
      </w:tr>
    </w:tbl>
    <w:bookmarkEnd w:id="3"/>
    <w:p w14:paraId="41DD61C9" w14:textId="08E267D4" w:rsidR="00B40022" w:rsidRPr="007D0AAD" w:rsidRDefault="00B40022" w:rsidP="00B40022">
      <w:pPr>
        <w:pStyle w:val="BodyText"/>
      </w:pPr>
      <w:r>
        <w:t>Increasing the returns to savings produces a larger increase in the participation rate of 50</w:t>
      </w:r>
      <w:r>
        <w:noBreakHyphen/>
        <w:t>64 year olds and a larger increase in the net government fiscal position (table </w:t>
      </w:r>
      <w:r w:rsidR="00D85DB3">
        <w:t>6.2</w:t>
      </w:r>
      <w:r>
        <w:t>). This is because under the revised base case, the savings balances of low</w:t>
      </w:r>
      <w:r w:rsidR="00B86FE0">
        <w:noBreakHyphen/>
      </w:r>
      <w:r>
        <w:t xml:space="preserve"> and middle</w:t>
      </w:r>
      <w:r w:rsidR="00B86FE0">
        <w:noBreakHyphen/>
      </w:r>
      <w:r>
        <w:t xml:space="preserve">wealth households are significantly higher. This enables some of them to retire earlier (before 65) and hence increases the number of households who are affected by a </w:t>
      </w:r>
      <w:r w:rsidR="00265F10">
        <w:t>preservation</w:t>
      </w:r>
      <w:r w:rsidR="009E3E77">
        <w:t xml:space="preserve"> age</w:t>
      </w:r>
      <w:r>
        <w:t xml:space="preserve"> change. </w:t>
      </w:r>
      <w:r w:rsidRPr="003A2AC3">
        <w:t xml:space="preserve">Increases in taxation receipts are </w:t>
      </w:r>
      <w:r>
        <w:t xml:space="preserve">also </w:t>
      </w:r>
      <w:r w:rsidRPr="003A2AC3">
        <w:t xml:space="preserve">larger because </w:t>
      </w:r>
      <w:r>
        <w:t xml:space="preserve">more households are affected by a </w:t>
      </w:r>
      <w:r w:rsidR="00265F10">
        <w:t>preservation</w:t>
      </w:r>
      <w:r w:rsidR="009E3E77">
        <w:t xml:space="preserve"> age</w:t>
      </w:r>
      <w:r>
        <w:t xml:space="preserve"> change and </w:t>
      </w:r>
      <w:r w:rsidRPr="003A2AC3">
        <w:t>the returns to superannuation are higher.</w:t>
      </w:r>
    </w:p>
    <w:p w14:paraId="64FD230D" w14:textId="50D29FD2" w:rsidR="00B40022" w:rsidRDefault="00B40022" w:rsidP="00B40022">
      <w:pPr>
        <w:pStyle w:val="BodyText"/>
      </w:pPr>
      <w:r>
        <w:t xml:space="preserve">While the reverse is true for the low returns scenario, the effect is more muted. This is because under the revised base case </w:t>
      </w:r>
      <w:r w:rsidRPr="00FA543D">
        <w:t>high</w:t>
      </w:r>
      <w:r w:rsidR="00B86FE0">
        <w:noBreakHyphen/>
      </w:r>
      <w:r w:rsidRPr="00FA543D">
        <w:t>wealth households have sufficient wealth, such that changes to superannuation returns alone do not appear to affect their behaviour</w:t>
      </w:r>
      <w:r>
        <w:t xml:space="preserve">. </w:t>
      </w:r>
    </w:p>
    <w:p w14:paraId="5E368B0E" w14:textId="4C1A17C9" w:rsidR="00B40022" w:rsidRDefault="00B40022" w:rsidP="00B40022">
      <w:pPr>
        <w:pStyle w:val="BoxSpaceAbove"/>
      </w:pPr>
    </w:p>
    <w:tbl>
      <w:tblPr>
        <w:tblW w:w="0" w:type="auto"/>
        <w:tblInd w:w="164" w:type="dxa"/>
        <w:tblBorders>
          <w:top w:val="single" w:sz="6" w:space="0" w:color="auto"/>
          <w:left w:val="single" w:sz="6" w:space="0" w:color="auto"/>
          <w:bottom w:val="single" w:sz="6" w:space="0" w:color="auto"/>
          <w:right w:val="single" w:sz="6" w:space="0" w:color="auto"/>
        </w:tblBorders>
        <w:tblCellMar>
          <w:left w:w="142" w:type="dxa"/>
          <w:right w:w="142" w:type="dxa"/>
        </w:tblCellMar>
        <w:tblLook w:val="0000" w:firstRow="0" w:lastRow="0" w:firstColumn="0" w:lastColumn="0" w:noHBand="0" w:noVBand="0"/>
      </w:tblPr>
      <w:tblGrid>
        <w:gridCol w:w="8771"/>
      </w:tblGrid>
      <w:tr w:rsidR="00B40022" w14:paraId="19B48601" w14:textId="77777777" w:rsidTr="00B40022">
        <w:tc>
          <w:tcPr>
            <w:tcW w:w="8771" w:type="dxa"/>
            <w:tcBorders>
              <w:top w:val="single" w:sz="6" w:space="0" w:color="78A22F"/>
              <w:left w:val="nil"/>
              <w:bottom w:val="nil"/>
              <w:right w:val="nil"/>
            </w:tcBorders>
            <w:shd w:val="clear" w:color="auto" w:fill="auto"/>
          </w:tcPr>
          <w:p w14:paraId="6D81700D" w14:textId="14D9C4D7" w:rsidR="00B40022" w:rsidRPr="00FA543D" w:rsidRDefault="00B40022" w:rsidP="00B40022">
            <w:pPr>
              <w:pStyle w:val="TableTitle"/>
            </w:pPr>
            <w:r>
              <w:rPr>
                <w:b w:val="0"/>
              </w:rPr>
              <w:t xml:space="preserve">Table </w:t>
            </w:r>
            <w:bookmarkStart w:id="5" w:name="OLE_LINK3"/>
            <w:r w:rsidR="00D85DB3">
              <w:rPr>
                <w:b w:val="0"/>
              </w:rPr>
              <w:t>6.</w:t>
            </w:r>
            <w:r w:rsidR="00D85DB3">
              <w:rPr>
                <w:b w:val="0"/>
                <w:noProof/>
              </w:rPr>
              <w:t>2</w:t>
            </w:r>
            <w:bookmarkEnd w:id="5"/>
            <w:r>
              <w:tab/>
            </w:r>
            <w:proofErr w:type="spellStart"/>
            <w:r>
              <w:t>SA1</w:t>
            </w:r>
            <w:proofErr w:type="spellEnd"/>
            <w:r>
              <w:t xml:space="preserve"> results in 2055</w:t>
            </w:r>
          </w:p>
        </w:tc>
      </w:tr>
      <w:tr w:rsidR="00B40022" w14:paraId="3B579D8D" w14:textId="77777777" w:rsidTr="00B40022">
        <w:trPr>
          <w:cantSplit/>
        </w:trPr>
        <w:tc>
          <w:tcPr>
            <w:tcW w:w="8771" w:type="dxa"/>
            <w:tcBorders>
              <w:top w:val="nil"/>
              <w:left w:val="nil"/>
              <w:bottom w:val="nil"/>
              <w:right w:val="nil"/>
            </w:tcBorders>
            <w:shd w:val="clear" w:color="auto" w:fill="auto"/>
          </w:tcPr>
          <w:tbl>
            <w:tblPr>
              <w:tblW w:w="5000" w:type="pct"/>
              <w:tblCellMar>
                <w:top w:w="28" w:type="dxa"/>
                <w:left w:w="0" w:type="dxa"/>
                <w:right w:w="0" w:type="dxa"/>
              </w:tblCellMar>
              <w:tblLook w:val="0000" w:firstRow="0" w:lastRow="0" w:firstColumn="0" w:lastColumn="0" w:noHBand="0" w:noVBand="0"/>
            </w:tblPr>
            <w:tblGrid>
              <w:gridCol w:w="2611"/>
              <w:gridCol w:w="1645"/>
              <w:gridCol w:w="1409"/>
              <w:gridCol w:w="1411"/>
              <w:gridCol w:w="1411"/>
            </w:tblGrid>
            <w:tr w:rsidR="00B40022" w14:paraId="271508AE" w14:textId="77777777" w:rsidTr="00B40022">
              <w:tc>
                <w:tcPr>
                  <w:tcW w:w="1538" w:type="pct"/>
                  <w:tcBorders>
                    <w:top w:val="single" w:sz="6" w:space="0" w:color="BFBFBF"/>
                    <w:bottom w:val="single" w:sz="6" w:space="0" w:color="BFBFBF"/>
                  </w:tcBorders>
                  <w:shd w:val="clear" w:color="auto" w:fill="auto"/>
                  <w:tcMar>
                    <w:top w:w="28" w:type="dxa"/>
                  </w:tcMar>
                </w:tcPr>
                <w:p w14:paraId="3D85A1C4" w14:textId="77777777" w:rsidR="00B40022" w:rsidRDefault="00B40022" w:rsidP="00B40022">
                  <w:pPr>
                    <w:pStyle w:val="TableColumnHeading"/>
                    <w:jc w:val="left"/>
                  </w:pPr>
                </w:p>
              </w:tc>
              <w:tc>
                <w:tcPr>
                  <w:tcW w:w="969" w:type="pct"/>
                  <w:tcBorders>
                    <w:top w:val="single" w:sz="6" w:space="0" w:color="BFBFBF"/>
                    <w:bottom w:val="single" w:sz="6" w:space="0" w:color="BFBFBF"/>
                  </w:tcBorders>
                  <w:shd w:val="clear" w:color="auto" w:fill="auto"/>
                  <w:tcMar>
                    <w:top w:w="28" w:type="dxa"/>
                  </w:tcMar>
                </w:tcPr>
                <w:p w14:paraId="4A9BA808" w14:textId="77777777" w:rsidR="00B40022" w:rsidRDefault="00B40022" w:rsidP="00B40022">
                  <w:pPr>
                    <w:pStyle w:val="TableColumnHeading"/>
                  </w:pPr>
                  <w:r>
                    <w:t>Units</w:t>
                  </w:r>
                </w:p>
              </w:tc>
              <w:tc>
                <w:tcPr>
                  <w:tcW w:w="830" w:type="pct"/>
                  <w:tcBorders>
                    <w:top w:val="single" w:sz="6" w:space="0" w:color="BFBFBF"/>
                    <w:bottom w:val="single" w:sz="6" w:space="0" w:color="BFBFBF"/>
                  </w:tcBorders>
                </w:tcPr>
                <w:p w14:paraId="508A0DDA" w14:textId="77777777" w:rsidR="00B40022" w:rsidRDefault="00B40022" w:rsidP="00B40022">
                  <w:pPr>
                    <w:pStyle w:val="TableColumnHeading"/>
                    <w:ind w:right="28"/>
                  </w:pPr>
                  <w:r>
                    <w:t>Lower returns</w:t>
                  </w:r>
                </w:p>
              </w:tc>
              <w:tc>
                <w:tcPr>
                  <w:tcW w:w="831" w:type="pct"/>
                  <w:tcBorders>
                    <w:top w:val="single" w:sz="6" w:space="0" w:color="BFBFBF"/>
                    <w:bottom w:val="single" w:sz="6" w:space="0" w:color="BFBFBF"/>
                  </w:tcBorders>
                </w:tcPr>
                <w:p w14:paraId="5B4240F5" w14:textId="77777777" w:rsidR="00B40022" w:rsidRDefault="00B40022" w:rsidP="00B40022">
                  <w:pPr>
                    <w:pStyle w:val="TableColumnHeading"/>
                    <w:ind w:right="28"/>
                  </w:pPr>
                  <w:r>
                    <w:t>Original</w:t>
                  </w:r>
                </w:p>
              </w:tc>
              <w:tc>
                <w:tcPr>
                  <w:tcW w:w="831" w:type="pct"/>
                  <w:tcBorders>
                    <w:top w:val="single" w:sz="6" w:space="0" w:color="BFBFBF"/>
                    <w:bottom w:val="single" w:sz="6" w:space="0" w:color="BFBFBF"/>
                  </w:tcBorders>
                  <w:shd w:val="clear" w:color="auto" w:fill="auto"/>
                  <w:tcMar>
                    <w:top w:w="28" w:type="dxa"/>
                  </w:tcMar>
                </w:tcPr>
                <w:p w14:paraId="17C2CBE7" w14:textId="77777777" w:rsidR="00B40022" w:rsidRDefault="00B40022" w:rsidP="00B40022">
                  <w:pPr>
                    <w:pStyle w:val="TableColumnHeading"/>
                    <w:ind w:right="28"/>
                  </w:pPr>
                  <w:r>
                    <w:t>Higher returns</w:t>
                  </w:r>
                </w:p>
              </w:tc>
            </w:tr>
            <w:tr w:rsidR="00803039" w14:paraId="15536234" w14:textId="77777777" w:rsidTr="00B40022">
              <w:tc>
                <w:tcPr>
                  <w:tcW w:w="1538" w:type="pct"/>
                </w:tcPr>
                <w:p w14:paraId="6CFAB1AE" w14:textId="27A89BAA" w:rsidR="00803039" w:rsidRDefault="00803039" w:rsidP="00B40022">
                  <w:pPr>
                    <w:pStyle w:val="TableBodyText"/>
                    <w:jc w:val="left"/>
                  </w:pPr>
                  <w:r w:rsidRPr="006E4466">
                    <w:t>Change in participa</w:t>
                  </w:r>
                  <w:r>
                    <w:t>tion rate of 50</w:t>
                  </w:r>
                  <w:r w:rsidR="00B86FE0">
                    <w:noBreakHyphen/>
                  </w:r>
                  <w:r>
                    <w:t xml:space="preserve">64 year olds </w:t>
                  </w:r>
                </w:p>
              </w:tc>
              <w:tc>
                <w:tcPr>
                  <w:tcW w:w="969" w:type="pct"/>
                </w:tcPr>
                <w:p w14:paraId="687F626F" w14:textId="77777777" w:rsidR="00803039" w:rsidRDefault="00803039" w:rsidP="00B40022">
                  <w:pPr>
                    <w:pStyle w:val="TableBodyText"/>
                  </w:pPr>
                  <w:r>
                    <w:t>Percentage point</w:t>
                  </w:r>
                </w:p>
              </w:tc>
              <w:tc>
                <w:tcPr>
                  <w:tcW w:w="830" w:type="pct"/>
                  <w:vAlign w:val="center"/>
                </w:tcPr>
                <w:p w14:paraId="79F030AF" w14:textId="77777777" w:rsidR="00803039" w:rsidRDefault="00803039" w:rsidP="00B40022">
                  <w:pPr>
                    <w:pStyle w:val="TableBodyText"/>
                  </w:pPr>
                  <w:r>
                    <w:rPr>
                      <w:rFonts w:cs="Arial"/>
                      <w:color w:val="000000"/>
                      <w:szCs w:val="18"/>
                    </w:rPr>
                    <w:t>1.7</w:t>
                  </w:r>
                </w:p>
              </w:tc>
              <w:tc>
                <w:tcPr>
                  <w:tcW w:w="831" w:type="pct"/>
                  <w:vAlign w:val="center"/>
                </w:tcPr>
                <w:p w14:paraId="0E88AD27" w14:textId="77777777" w:rsidR="00803039" w:rsidRDefault="00803039" w:rsidP="00B40022">
                  <w:pPr>
                    <w:pStyle w:val="TableBodyText"/>
                  </w:pPr>
                  <w:r>
                    <w:rPr>
                      <w:rFonts w:cs="Arial"/>
                      <w:color w:val="000000"/>
                      <w:szCs w:val="18"/>
                    </w:rPr>
                    <w:t>2.0</w:t>
                  </w:r>
                </w:p>
              </w:tc>
              <w:tc>
                <w:tcPr>
                  <w:tcW w:w="831" w:type="pct"/>
                  <w:vAlign w:val="center"/>
                </w:tcPr>
                <w:p w14:paraId="2C676326" w14:textId="77777777" w:rsidR="00803039" w:rsidRDefault="00803039" w:rsidP="00B40022">
                  <w:pPr>
                    <w:pStyle w:val="TableBodyText"/>
                  </w:pPr>
                  <w:r>
                    <w:rPr>
                      <w:rFonts w:cs="Arial"/>
                      <w:color w:val="000000"/>
                      <w:szCs w:val="18"/>
                    </w:rPr>
                    <w:t>2.8</w:t>
                  </w:r>
                </w:p>
              </w:tc>
            </w:tr>
            <w:tr w:rsidR="00803039" w14:paraId="48C0D77B" w14:textId="77777777" w:rsidTr="00B40022">
              <w:tc>
                <w:tcPr>
                  <w:tcW w:w="1538" w:type="pct"/>
                </w:tcPr>
                <w:p w14:paraId="3AEB1D9D" w14:textId="77777777" w:rsidR="00803039" w:rsidRDefault="00803039" w:rsidP="00B40022">
                  <w:pPr>
                    <w:pStyle w:val="TableBodyText"/>
                    <w:jc w:val="left"/>
                  </w:pPr>
                  <w:r>
                    <w:t>Government expenses</w:t>
                  </w:r>
                </w:p>
              </w:tc>
              <w:tc>
                <w:tcPr>
                  <w:tcW w:w="969" w:type="pct"/>
                </w:tcPr>
                <w:p w14:paraId="68DBD6C4" w14:textId="40DCDB9A" w:rsidR="00803039" w:rsidRDefault="00803039" w:rsidP="00B40022">
                  <w:pPr>
                    <w:pStyle w:val="TableBodyText"/>
                  </w:pPr>
                  <w:r>
                    <w:t>$b in 2015 prices</w:t>
                  </w:r>
                </w:p>
              </w:tc>
              <w:tc>
                <w:tcPr>
                  <w:tcW w:w="830" w:type="pct"/>
                  <w:vAlign w:val="center"/>
                </w:tcPr>
                <w:p w14:paraId="54CB0906" w14:textId="6AD3BD85" w:rsidR="00803039" w:rsidRDefault="00B86FE0" w:rsidP="00B40022">
                  <w:pPr>
                    <w:pStyle w:val="TableBodyText"/>
                  </w:pPr>
                  <w:r>
                    <w:rPr>
                      <w:rFonts w:cs="Arial"/>
                      <w:color w:val="000000"/>
                      <w:szCs w:val="18"/>
                    </w:rPr>
                    <w:noBreakHyphen/>
                  </w:r>
                  <w:r w:rsidR="00803039">
                    <w:rPr>
                      <w:rFonts w:cs="Arial"/>
                      <w:color w:val="000000"/>
                      <w:szCs w:val="18"/>
                    </w:rPr>
                    <w:t>1.4</w:t>
                  </w:r>
                </w:p>
              </w:tc>
              <w:tc>
                <w:tcPr>
                  <w:tcW w:w="831" w:type="pct"/>
                  <w:vAlign w:val="center"/>
                </w:tcPr>
                <w:p w14:paraId="0C2613A2" w14:textId="0C8499E7" w:rsidR="00803039" w:rsidRDefault="00B86FE0" w:rsidP="00B40022">
                  <w:pPr>
                    <w:pStyle w:val="TableBodyText"/>
                  </w:pPr>
                  <w:r>
                    <w:rPr>
                      <w:rFonts w:cs="Arial"/>
                      <w:color w:val="000000"/>
                      <w:szCs w:val="18"/>
                    </w:rPr>
                    <w:noBreakHyphen/>
                  </w:r>
                  <w:r w:rsidR="00803039">
                    <w:rPr>
                      <w:rFonts w:cs="Arial"/>
                      <w:color w:val="000000"/>
                      <w:szCs w:val="18"/>
                    </w:rPr>
                    <w:t>2.0</w:t>
                  </w:r>
                </w:p>
              </w:tc>
              <w:tc>
                <w:tcPr>
                  <w:tcW w:w="831" w:type="pct"/>
                  <w:vAlign w:val="center"/>
                </w:tcPr>
                <w:p w14:paraId="2BCBE945" w14:textId="5F7238BC" w:rsidR="00803039" w:rsidRDefault="00B86FE0" w:rsidP="00B40022">
                  <w:pPr>
                    <w:pStyle w:val="TableBodyText"/>
                  </w:pPr>
                  <w:r>
                    <w:rPr>
                      <w:rFonts w:cs="Arial"/>
                      <w:color w:val="000000"/>
                      <w:szCs w:val="18"/>
                    </w:rPr>
                    <w:noBreakHyphen/>
                  </w:r>
                  <w:r w:rsidR="00803039">
                    <w:rPr>
                      <w:rFonts w:cs="Arial"/>
                      <w:color w:val="000000"/>
                      <w:szCs w:val="18"/>
                    </w:rPr>
                    <w:t>3.0</w:t>
                  </w:r>
                </w:p>
              </w:tc>
            </w:tr>
            <w:tr w:rsidR="00803039" w14:paraId="7CF69908" w14:textId="77777777" w:rsidTr="00B40022">
              <w:tc>
                <w:tcPr>
                  <w:tcW w:w="1538" w:type="pct"/>
                  <w:shd w:val="clear" w:color="auto" w:fill="auto"/>
                </w:tcPr>
                <w:p w14:paraId="2917543D" w14:textId="77777777" w:rsidR="00803039" w:rsidRDefault="00803039" w:rsidP="00B40022">
                  <w:pPr>
                    <w:pStyle w:val="TableBodyText"/>
                    <w:jc w:val="left"/>
                  </w:pPr>
                  <w:r>
                    <w:t>Government tax receipts</w:t>
                  </w:r>
                </w:p>
              </w:tc>
              <w:tc>
                <w:tcPr>
                  <w:tcW w:w="969" w:type="pct"/>
                  <w:shd w:val="clear" w:color="auto" w:fill="auto"/>
                </w:tcPr>
                <w:p w14:paraId="7F0777BB" w14:textId="73E17A29" w:rsidR="00803039" w:rsidRDefault="00803039" w:rsidP="00B40022">
                  <w:pPr>
                    <w:pStyle w:val="TableBodyText"/>
                  </w:pPr>
                  <w:r>
                    <w:t>$b in 2015 prices</w:t>
                  </w:r>
                </w:p>
              </w:tc>
              <w:tc>
                <w:tcPr>
                  <w:tcW w:w="830" w:type="pct"/>
                  <w:vAlign w:val="center"/>
                </w:tcPr>
                <w:p w14:paraId="5C893D63" w14:textId="77777777" w:rsidR="00803039" w:rsidRDefault="00803039" w:rsidP="00B40022">
                  <w:pPr>
                    <w:pStyle w:val="TableBodyText"/>
                  </w:pPr>
                  <w:r>
                    <w:rPr>
                      <w:rFonts w:cs="Arial"/>
                      <w:color w:val="000000"/>
                      <w:szCs w:val="18"/>
                    </w:rPr>
                    <w:t>3.9</w:t>
                  </w:r>
                </w:p>
              </w:tc>
              <w:tc>
                <w:tcPr>
                  <w:tcW w:w="831" w:type="pct"/>
                  <w:vAlign w:val="center"/>
                </w:tcPr>
                <w:p w14:paraId="1804F3EE" w14:textId="77777777" w:rsidR="00803039" w:rsidRDefault="00803039" w:rsidP="00B40022">
                  <w:pPr>
                    <w:pStyle w:val="TableBodyText"/>
                  </w:pPr>
                  <w:r>
                    <w:rPr>
                      <w:rFonts w:cs="Arial"/>
                      <w:color w:val="000000"/>
                      <w:szCs w:val="18"/>
                    </w:rPr>
                    <w:t>5.2</w:t>
                  </w:r>
                </w:p>
              </w:tc>
              <w:tc>
                <w:tcPr>
                  <w:tcW w:w="831" w:type="pct"/>
                  <w:shd w:val="clear" w:color="auto" w:fill="auto"/>
                  <w:vAlign w:val="center"/>
                </w:tcPr>
                <w:p w14:paraId="110EB9B2" w14:textId="77777777" w:rsidR="00803039" w:rsidRDefault="00803039" w:rsidP="00B40022">
                  <w:pPr>
                    <w:pStyle w:val="TableBodyText"/>
                  </w:pPr>
                  <w:r>
                    <w:rPr>
                      <w:rFonts w:cs="Arial"/>
                      <w:color w:val="000000"/>
                      <w:szCs w:val="18"/>
                    </w:rPr>
                    <w:t>6.8</w:t>
                  </w:r>
                </w:p>
              </w:tc>
            </w:tr>
            <w:tr w:rsidR="00803039" w14:paraId="64FFE0CB" w14:textId="77777777" w:rsidTr="00B40022">
              <w:tc>
                <w:tcPr>
                  <w:tcW w:w="1538" w:type="pct"/>
                  <w:tcBorders>
                    <w:bottom w:val="single" w:sz="6" w:space="0" w:color="BFBFBF"/>
                  </w:tcBorders>
                  <w:shd w:val="clear" w:color="auto" w:fill="auto"/>
                </w:tcPr>
                <w:p w14:paraId="1B59D107" w14:textId="77777777" w:rsidR="00803039" w:rsidRDefault="00803039" w:rsidP="00B40022">
                  <w:pPr>
                    <w:pStyle w:val="TableBodyText"/>
                    <w:jc w:val="left"/>
                  </w:pPr>
                  <w:r>
                    <w:t>Net government fiscal position</w:t>
                  </w:r>
                </w:p>
              </w:tc>
              <w:tc>
                <w:tcPr>
                  <w:tcW w:w="969" w:type="pct"/>
                  <w:tcBorders>
                    <w:bottom w:val="single" w:sz="6" w:space="0" w:color="BFBFBF"/>
                  </w:tcBorders>
                  <w:shd w:val="clear" w:color="auto" w:fill="auto"/>
                </w:tcPr>
                <w:p w14:paraId="5FB4BC74" w14:textId="2C186138" w:rsidR="00803039" w:rsidRDefault="00803039" w:rsidP="00B40022">
                  <w:pPr>
                    <w:pStyle w:val="TableBodyText"/>
                  </w:pPr>
                  <w:r>
                    <w:t>$b in 2015 prices</w:t>
                  </w:r>
                </w:p>
              </w:tc>
              <w:tc>
                <w:tcPr>
                  <w:tcW w:w="830" w:type="pct"/>
                  <w:tcBorders>
                    <w:bottom w:val="single" w:sz="6" w:space="0" w:color="BFBFBF"/>
                  </w:tcBorders>
                  <w:vAlign w:val="center"/>
                </w:tcPr>
                <w:p w14:paraId="33AE8FD9" w14:textId="77777777" w:rsidR="00803039" w:rsidRDefault="00803039" w:rsidP="00B40022">
                  <w:pPr>
                    <w:pStyle w:val="TableBodyText"/>
                  </w:pPr>
                  <w:r>
                    <w:rPr>
                      <w:rFonts w:cs="Arial"/>
                      <w:color w:val="000000"/>
                      <w:szCs w:val="18"/>
                    </w:rPr>
                    <w:t>5.4</w:t>
                  </w:r>
                </w:p>
              </w:tc>
              <w:tc>
                <w:tcPr>
                  <w:tcW w:w="831" w:type="pct"/>
                  <w:tcBorders>
                    <w:bottom w:val="single" w:sz="6" w:space="0" w:color="BFBFBF"/>
                  </w:tcBorders>
                  <w:vAlign w:val="center"/>
                </w:tcPr>
                <w:p w14:paraId="4AD14C47" w14:textId="77777777" w:rsidR="00803039" w:rsidRDefault="00803039" w:rsidP="00B40022">
                  <w:pPr>
                    <w:pStyle w:val="TableBodyText"/>
                  </w:pPr>
                  <w:r>
                    <w:rPr>
                      <w:rFonts w:cs="Arial"/>
                      <w:color w:val="000000"/>
                      <w:szCs w:val="18"/>
                    </w:rPr>
                    <w:t>7.2</w:t>
                  </w:r>
                </w:p>
              </w:tc>
              <w:tc>
                <w:tcPr>
                  <w:tcW w:w="831" w:type="pct"/>
                  <w:tcBorders>
                    <w:bottom w:val="single" w:sz="6" w:space="0" w:color="BFBFBF"/>
                  </w:tcBorders>
                  <w:shd w:val="clear" w:color="auto" w:fill="auto"/>
                  <w:vAlign w:val="center"/>
                </w:tcPr>
                <w:p w14:paraId="5A680E77" w14:textId="77777777" w:rsidR="00803039" w:rsidRDefault="00803039" w:rsidP="00B40022">
                  <w:pPr>
                    <w:pStyle w:val="TableBodyText"/>
                  </w:pPr>
                  <w:r>
                    <w:rPr>
                      <w:rFonts w:cs="Arial"/>
                      <w:color w:val="000000"/>
                      <w:szCs w:val="18"/>
                    </w:rPr>
                    <w:t>9.8</w:t>
                  </w:r>
                </w:p>
              </w:tc>
            </w:tr>
          </w:tbl>
          <w:p w14:paraId="475FA55C" w14:textId="77777777" w:rsidR="00B40022" w:rsidRDefault="00B40022" w:rsidP="00B40022">
            <w:pPr>
              <w:pStyle w:val="Box"/>
            </w:pPr>
          </w:p>
        </w:tc>
      </w:tr>
      <w:tr w:rsidR="00B40022" w14:paraId="6D25B6EB" w14:textId="77777777" w:rsidTr="00B40022">
        <w:trPr>
          <w:cantSplit/>
        </w:trPr>
        <w:tc>
          <w:tcPr>
            <w:tcW w:w="8771" w:type="dxa"/>
            <w:tcBorders>
              <w:top w:val="nil"/>
              <w:left w:val="nil"/>
              <w:bottom w:val="nil"/>
              <w:right w:val="nil"/>
            </w:tcBorders>
            <w:shd w:val="clear" w:color="auto" w:fill="auto"/>
          </w:tcPr>
          <w:p w14:paraId="2B440FFA" w14:textId="11630537" w:rsidR="00B40022" w:rsidRDefault="0061143E" w:rsidP="00B40022">
            <w:pPr>
              <w:pStyle w:val="Source"/>
            </w:pPr>
            <w:r>
              <w:rPr>
                <w:i/>
              </w:rPr>
              <w:t>Source</w:t>
            </w:r>
            <w:r w:rsidRPr="00167F06">
              <w:t xml:space="preserve">: </w:t>
            </w:r>
            <w:r>
              <w:t>Commission estimates</w:t>
            </w:r>
            <w:r w:rsidR="00C74CDD">
              <w:t>.</w:t>
            </w:r>
          </w:p>
        </w:tc>
      </w:tr>
      <w:tr w:rsidR="00B40022" w14:paraId="7743A026" w14:textId="77777777" w:rsidTr="00B40022">
        <w:trPr>
          <w:cantSplit/>
        </w:trPr>
        <w:tc>
          <w:tcPr>
            <w:tcW w:w="8771" w:type="dxa"/>
            <w:tcBorders>
              <w:top w:val="nil"/>
              <w:left w:val="nil"/>
              <w:bottom w:val="single" w:sz="6" w:space="0" w:color="78A22F"/>
              <w:right w:val="nil"/>
            </w:tcBorders>
            <w:shd w:val="clear" w:color="auto" w:fill="auto"/>
          </w:tcPr>
          <w:p w14:paraId="5AE7520D" w14:textId="77777777" w:rsidR="00B40022" w:rsidRDefault="00B40022" w:rsidP="00B40022">
            <w:pPr>
              <w:pStyle w:val="Box"/>
              <w:spacing w:before="0" w:line="120" w:lineRule="exact"/>
            </w:pPr>
          </w:p>
        </w:tc>
      </w:tr>
      <w:tr w:rsidR="00B40022" w:rsidRPr="000863A5" w14:paraId="28B305F1" w14:textId="77777777" w:rsidTr="00B40022">
        <w:tc>
          <w:tcPr>
            <w:tcW w:w="8771" w:type="dxa"/>
            <w:tcBorders>
              <w:top w:val="single" w:sz="6" w:space="0" w:color="78A22F"/>
              <w:left w:val="nil"/>
              <w:bottom w:val="nil"/>
              <w:right w:val="nil"/>
            </w:tcBorders>
          </w:tcPr>
          <w:p w14:paraId="7863D36D" w14:textId="1AA1AC96" w:rsidR="00B40022" w:rsidRPr="00626D32" w:rsidRDefault="00B40022" w:rsidP="00B40022">
            <w:pPr>
              <w:pStyle w:val="BoxSpaceBelow"/>
            </w:pPr>
          </w:p>
        </w:tc>
      </w:tr>
    </w:tbl>
    <w:p w14:paraId="76F7C670" w14:textId="77777777" w:rsidR="00B40022" w:rsidRDefault="00B40022" w:rsidP="00B40022">
      <w:pPr>
        <w:pStyle w:val="Heading3"/>
      </w:pPr>
      <w:proofErr w:type="spellStart"/>
      <w:r w:rsidRPr="00962C7F">
        <w:t>S</w:t>
      </w:r>
      <w:r>
        <w:t>A2</w:t>
      </w:r>
      <w:proofErr w:type="spellEnd"/>
      <w:r w:rsidRPr="00962C7F">
        <w:t xml:space="preserve">: </w:t>
      </w:r>
      <w:r w:rsidRPr="00A35F19">
        <w:t>Alternative parameter values</w:t>
      </w:r>
    </w:p>
    <w:p w14:paraId="1A84B95D" w14:textId="0A34897A" w:rsidR="00B40022" w:rsidRPr="00FA543D" w:rsidRDefault="00B40022" w:rsidP="00B40022">
      <w:pPr>
        <w:pStyle w:val="BodyText"/>
      </w:pPr>
      <w:proofErr w:type="spellStart"/>
      <w:r>
        <w:t>SA2</w:t>
      </w:r>
      <w:proofErr w:type="spellEnd"/>
      <w:r>
        <w:t xml:space="preserve"> </w:t>
      </w:r>
      <w:r w:rsidR="00583ABD">
        <w:t>tests the sensitivity of the model to</w:t>
      </w:r>
      <w:r>
        <w:t xml:space="preserve"> alternative sets of parameter values (table </w:t>
      </w:r>
      <w:r w:rsidR="00D85DB3">
        <w:t>6.3</w:t>
      </w:r>
      <w:r>
        <w:t xml:space="preserve">). Specifically, </w:t>
      </w:r>
      <w:proofErr w:type="spellStart"/>
      <w:r>
        <w:t>SA2</w:t>
      </w:r>
      <w:proofErr w:type="spellEnd"/>
      <w:r>
        <w:t xml:space="preserve"> uses a higher (lower) preference for </w:t>
      </w:r>
      <w:r w:rsidR="00127FE7">
        <w:t>non</w:t>
      </w:r>
      <w:r w:rsidR="00B86FE0">
        <w:noBreakHyphen/>
      </w:r>
      <w:r w:rsidR="00127FE7">
        <w:t>work activities</w:t>
      </w:r>
      <w:r>
        <w:t xml:space="preserve">, </w:t>
      </w:r>
      <w:r w:rsidR="00583ABD">
        <w:t xml:space="preserve">a </w:t>
      </w:r>
      <w:r w:rsidR="00B8689B">
        <w:t xml:space="preserve">lower </w:t>
      </w:r>
      <w:r w:rsidR="00583ABD">
        <w:t>(</w:t>
      </w:r>
      <w:r w:rsidR="00B8689B">
        <w:t>higher</w:t>
      </w:r>
      <w:r w:rsidR="00583ABD">
        <w:t xml:space="preserve">) preference for </w:t>
      </w:r>
      <w:r w:rsidR="00127FE7">
        <w:t>bequests</w:t>
      </w:r>
      <w:r w:rsidR="00583ABD">
        <w:t>, and</w:t>
      </w:r>
      <w:r>
        <w:t xml:space="preserve"> an associated </w:t>
      </w:r>
      <w:r w:rsidR="00127FE7">
        <w:t>decrease</w:t>
      </w:r>
      <w:r w:rsidR="00583ABD">
        <w:t xml:space="preserve"> (</w:t>
      </w:r>
      <w:r w:rsidR="00127FE7">
        <w:t>increase</w:t>
      </w:r>
      <w:r w:rsidR="00583ABD">
        <w:t>)</w:t>
      </w:r>
      <w:r>
        <w:t xml:space="preserve"> in the rate of time preference.</w:t>
      </w:r>
    </w:p>
    <w:p w14:paraId="70C7F63B" w14:textId="4766C624" w:rsidR="00B40022" w:rsidRDefault="00B40022" w:rsidP="00B40022">
      <w:pPr>
        <w:pStyle w:val="BoxSpaceAbove"/>
      </w:pPr>
    </w:p>
    <w:tbl>
      <w:tblPr>
        <w:tblW w:w="0" w:type="auto"/>
        <w:tblInd w:w="164" w:type="dxa"/>
        <w:tblBorders>
          <w:top w:val="single" w:sz="6" w:space="0" w:color="auto"/>
          <w:left w:val="single" w:sz="6" w:space="0" w:color="auto"/>
          <w:bottom w:val="single" w:sz="6" w:space="0" w:color="auto"/>
          <w:right w:val="single" w:sz="6" w:space="0" w:color="auto"/>
        </w:tblBorders>
        <w:tblCellMar>
          <w:left w:w="142" w:type="dxa"/>
          <w:right w:w="142" w:type="dxa"/>
        </w:tblCellMar>
        <w:tblLook w:val="0000" w:firstRow="0" w:lastRow="0" w:firstColumn="0" w:lastColumn="0" w:noHBand="0" w:noVBand="0"/>
      </w:tblPr>
      <w:tblGrid>
        <w:gridCol w:w="8771"/>
      </w:tblGrid>
      <w:tr w:rsidR="00B40022" w14:paraId="646944BE" w14:textId="77777777" w:rsidTr="00B40022">
        <w:tc>
          <w:tcPr>
            <w:tcW w:w="8771" w:type="dxa"/>
            <w:tcBorders>
              <w:top w:val="single" w:sz="6" w:space="0" w:color="78A22F"/>
              <w:left w:val="nil"/>
              <w:bottom w:val="nil"/>
              <w:right w:val="nil"/>
            </w:tcBorders>
            <w:shd w:val="clear" w:color="auto" w:fill="auto"/>
          </w:tcPr>
          <w:p w14:paraId="423E2048" w14:textId="0C6FCD6E" w:rsidR="00B40022" w:rsidRPr="00784A05" w:rsidRDefault="00B40022" w:rsidP="00B40022">
            <w:pPr>
              <w:pStyle w:val="TableTitle"/>
            </w:pPr>
            <w:r>
              <w:rPr>
                <w:b w:val="0"/>
              </w:rPr>
              <w:t xml:space="preserve">Table </w:t>
            </w:r>
            <w:bookmarkStart w:id="6" w:name="OLE_LINK2"/>
            <w:r w:rsidR="00D85DB3">
              <w:rPr>
                <w:b w:val="0"/>
              </w:rPr>
              <w:t>6.</w:t>
            </w:r>
            <w:r w:rsidR="00D85DB3">
              <w:rPr>
                <w:b w:val="0"/>
                <w:noProof/>
              </w:rPr>
              <w:t>3</w:t>
            </w:r>
            <w:bookmarkEnd w:id="6"/>
            <w:r>
              <w:tab/>
            </w:r>
            <w:proofErr w:type="spellStart"/>
            <w:r>
              <w:t>SA2</w:t>
            </w:r>
            <w:proofErr w:type="spellEnd"/>
            <w:r>
              <w:t xml:space="preserve"> assumptions</w:t>
            </w:r>
          </w:p>
        </w:tc>
      </w:tr>
      <w:tr w:rsidR="00B40022" w14:paraId="331B589E" w14:textId="77777777" w:rsidTr="00B40022">
        <w:trPr>
          <w:cantSplit/>
        </w:trPr>
        <w:tc>
          <w:tcPr>
            <w:tcW w:w="8771" w:type="dxa"/>
            <w:tcBorders>
              <w:top w:val="nil"/>
              <w:left w:val="nil"/>
              <w:bottom w:val="nil"/>
              <w:right w:val="nil"/>
            </w:tcBorders>
            <w:shd w:val="clear" w:color="auto" w:fill="auto"/>
          </w:tcPr>
          <w:tbl>
            <w:tblPr>
              <w:tblW w:w="5000" w:type="pct"/>
              <w:tblCellMar>
                <w:top w:w="28" w:type="dxa"/>
                <w:left w:w="0" w:type="dxa"/>
                <w:right w:w="0" w:type="dxa"/>
              </w:tblCellMar>
              <w:tblLook w:val="0000" w:firstRow="0" w:lastRow="0" w:firstColumn="0" w:lastColumn="0" w:noHBand="0" w:noVBand="0"/>
            </w:tblPr>
            <w:tblGrid>
              <w:gridCol w:w="3127"/>
              <w:gridCol w:w="1787"/>
              <w:gridCol w:w="1787"/>
              <w:gridCol w:w="1786"/>
            </w:tblGrid>
            <w:tr w:rsidR="00B40022" w14:paraId="6B0FC924" w14:textId="77777777" w:rsidTr="00B40022">
              <w:tc>
                <w:tcPr>
                  <w:tcW w:w="1842" w:type="pct"/>
                  <w:tcBorders>
                    <w:top w:val="single" w:sz="6" w:space="0" w:color="BFBFBF"/>
                    <w:bottom w:val="single" w:sz="6" w:space="0" w:color="BFBFBF"/>
                  </w:tcBorders>
                  <w:shd w:val="clear" w:color="auto" w:fill="auto"/>
                  <w:tcMar>
                    <w:top w:w="28" w:type="dxa"/>
                  </w:tcMar>
                </w:tcPr>
                <w:p w14:paraId="357F1E04" w14:textId="77777777" w:rsidR="00B40022" w:rsidRDefault="00B40022" w:rsidP="00B40022">
                  <w:pPr>
                    <w:pStyle w:val="TableColumnHeading"/>
                    <w:jc w:val="left"/>
                  </w:pPr>
                </w:p>
              </w:tc>
              <w:tc>
                <w:tcPr>
                  <w:tcW w:w="1053" w:type="pct"/>
                  <w:tcBorders>
                    <w:top w:val="single" w:sz="6" w:space="0" w:color="BFBFBF"/>
                    <w:bottom w:val="single" w:sz="6" w:space="0" w:color="BFBFBF"/>
                  </w:tcBorders>
                </w:tcPr>
                <w:p w14:paraId="68AF55FE" w14:textId="22229B8C" w:rsidR="00B40022" w:rsidRDefault="00F72EE1" w:rsidP="00F72EE1">
                  <w:pPr>
                    <w:pStyle w:val="TableColumnHeading"/>
                  </w:pPr>
                  <w:r>
                    <w:t>Alternative parameter set 1</w:t>
                  </w:r>
                </w:p>
              </w:tc>
              <w:tc>
                <w:tcPr>
                  <w:tcW w:w="1053" w:type="pct"/>
                  <w:tcBorders>
                    <w:top w:val="single" w:sz="6" w:space="0" w:color="BFBFBF"/>
                    <w:bottom w:val="single" w:sz="6" w:space="0" w:color="BFBFBF"/>
                  </w:tcBorders>
                  <w:shd w:val="clear" w:color="auto" w:fill="auto"/>
                  <w:tcMar>
                    <w:top w:w="28" w:type="dxa"/>
                  </w:tcMar>
                </w:tcPr>
                <w:p w14:paraId="2982E99C" w14:textId="77777777" w:rsidR="00B40022" w:rsidRDefault="00B40022" w:rsidP="00B40022">
                  <w:pPr>
                    <w:pStyle w:val="TableColumnHeading"/>
                  </w:pPr>
                  <w:r>
                    <w:t>Original</w:t>
                  </w:r>
                </w:p>
              </w:tc>
              <w:tc>
                <w:tcPr>
                  <w:tcW w:w="1052" w:type="pct"/>
                  <w:tcBorders>
                    <w:top w:val="single" w:sz="6" w:space="0" w:color="BFBFBF"/>
                    <w:bottom w:val="single" w:sz="6" w:space="0" w:color="BFBFBF"/>
                  </w:tcBorders>
                  <w:shd w:val="clear" w:color="auto" w:fill="auto"/>
                  <w:tcMar>
                    <w:top w:w="28" w:type="dxa"/>
                  </w:tcMar>
                </w:tcPr>
                <w:p w14:paraId="1E48D493" w14:textId="0DC64CA2" w:rsidR="00B40022" w:rsidRDefault="00F72EE1" w:rsidP="00F72EE1">
                  <w:pPr>
                    <w:pStyle w:val="TableColumnHeading"/>
                    <w:ind w:right="28"/>
                  </w:pPr>
                  <w:r>
                    <w:t>Alternative</w:t>
                  </w:r>
                  <w:r w:rsidR="00B86FE0">
                    <w:t xml:space="preserve"> </w:t>
                  </w:r>
                  <w:r w:rsidR="00AF76D8">
                    <w:t>parameter</w:t>
                  </w:r>
                  <w:r>
                    <w:t xml:space="preserve"> set 2</w:t>
                  </w:r>
                </w:p>
              </w:tc>
            </w:tr>
            <w:tr w:rsidR="00B40022" w14:paraId="2B1105B1" w14:textId="77777777" w:rsidTr="00B40022">
              <w:tc>
                <w:tcPr>
                  <w:tcW w:w="1842" w:type="pct"/>
                </w:tcPr>
                <w:p w14:paraId="57A45DB1" w14:textId="44BE35B2" w:rsidR="00B40022" w:rsidRDefault="00B40022" w:rsidP="00B40022">
                  <w:pPr>
                    <w:pStyle w:val="TableBodyText"/>
                    <w:jc w:val="left"/>
                  </w:pPr>
                  <w:r>
                    <w:t>Share parameter representing preference for non</w:t>
                  </w:r>
                  <w:r w:rsidR="00B86FE0">
                    <w:noBreakHyphen/>
                  </w:r>
                  <w:r>
                    <w:t xml:space="preserve">work activities </w:t>
                  </w:r>
                </w:p>
              </w:tc>
              <w:tc>
                <w:tcPr>
                  <w:tcW w:w="1053" w:type="pct"/>
                </w:tcPr>
                <w:p w14:paraId="57AB33A1" w14:textId="0736CBD7" w:rsidR="00B40022" w:rsidRDefault="00B40022" w:rsidP="006A729E">
                  <w:pPr>
                    <w:pStyle w:val="TableBodyText"/>
                  </w:pPr>
                  <w:r>
                    <w:t>0.</w:t>
                  </w:r>
                  <w:r w:rsidR="006A729E">
                    <w:t>40</w:t>
                  </w:r>
                </w:p>
              </w:tc>
              <w:tc>
                <w:tcPr>
                  <w:tcW w:w="1053" w:type="pct"/>
                </w:tcPr>
                <w:p w14:paraId="5DE889A5" w14:textId="77777777" w:rsidR="00B40022" w:rsidRDefault="00B40022" w:rsidP="00B40022">
                  <w:pPr>
                    <w:pStyle w:val="TableBodyText"/>
                  </w:pPr>
                  <w:r>
                    <w:t>0.385</w:t>
                  </w:r>
                </w:p>
              </w:tc>
              <w:tc>
                <w:tcPr>
                  <w:tcW w:w="1052" w:type="pct"/>
                </w:tcPr>
                <w:p w14:paraId="3CF556D5" w14:textId="5C36AAE1" w:rsidR="00B40022" w:rsidRDefault="00B40022" w:rsidP="006A729E">
                  <w:pPr>
                    <w:pStyle w:val="TableBodyText"/>
                    <w:ind w:right="28"/>
                  </w:pPr>
                  <w:r>
                    <w:t>0.3</w:t>
                  </w:r>
                  <w:r w:rsidR="006A729E">
                    <w:t>7</w:t>
                  </w:r>
                </w:p>
              </w:tc>
            </w:tr>
            <w:tr w:rsidR="00B40022" w14:paraId="77BA8FA1" w14:textId="77777777" w:rsidTr="00B40022">
              <w:tc>
                <w:tcPr>
                  <w:tcW w:w="1842" w:type="pct"/>
                </w:tcPr>
                <w:p w14:paraId="471428BF" w14:textId="77777777" w:rsidR="00B40022" w:rsidRDefault="00B40022" w:rsidP="00B40022">
                  <w:pPr>
                    <w:pStyle w:val="TableBodyText"/>
                    <w:jc w:val="left"/>
                  </w:pPr>
                  <w:r>
                    <w:t>Share parameter representing preference for bequests</w:t>
                  </w:r>
                </w:p>
              </w:tc>
              <w:tc>
                <w:tcPr>
                  <w:tcW w:w="1053" w:type="pct"/>
                </w:tcPr>
                <w:p w14:paraId="6B6C123B" w14:textId="38466749" w:rsidR="00B40022" w:rsidRDefault="00B40022" w:rsidP="006A729E">
                  <w:pPr>
                    <w:pStyle w:val="TableBodyText"/>
                  </w:pPr>
                  <w:r>
                    <w:t>0.5</w:t>
                  </w:r>
                  <w:r w:rsidR="006A729E">
                    <w:t>7</w:t>
                  </w:r>
                </w:p>
              </w:tc>
              <w:tc>
                <w:tcPr>
                  <w:tcW w:w="1053" w:type="pct"/>
                </w:tcPr>
                <w:p w14:paraId="2C046263" w14:textId="77777777" w:rsidR="00B40022" w:rsidRDefault="00B40022" w:rsidP="00B40022">
                  <w:pPr>
                    <w:pStyle w:val="TableBodyText"/>
                  </w:pPr>
                  <w:r>
                    <w:t>0.65</w:t>
                  </w:r>
                </w:p>
              </w:tc>
              <w:tc>
                <w:tcPr>
                  <w:tcW w:w="1052" w:type="pct"/>
                </w:tcPr>
                <w:p w14:paraId="3F3F3AAB" w14:textId="77777777" w:rsidR="00B40022" w:rsidRDefault="00B40022" w:rsidP="00B40022">
                  <w:pPr>
                    <w:pStyle w:val="TableBodyText"/>
                    <w:ind w:right="28"/>
                  </w:pPr>
                  <w:r>
                    <w:t>0.72</w:t>
                  </w:r>
                </w:p>
              </w:tc>
            </w:tr>
            <w:tr w:rsidR="00B40022" w14:paraId="29EB4E71" w14:textId="77777777" w:rsidTr="00B40022">
              <w:tc>
                <w:tcPr>
                  <w:tcW w:w="1842" w:type="pct"/>
                  <w:tcBorders>
                    <w:bottom w:val="single" w:sz="6" w:space="0" w:color="BFBFBF"/>
                  </w:tcBorders>
                  <w:shd w:val="clear" w:color="auto" w:fill="auto"/>
                </w:tcPr>
                <w:p w14:paraId="4B2507B4" w14:textId="77777777" w:rsidR="00B40022" w:rsidRDefault="00B40022" w:rsidP="00B40022">
                  <w:pPr>
                    <w:pStyle w:val="TableBodyText"/>
                    <w:jc w:val="left"/>
                  </w:pPr>
                  <w:r>
                    <w:t>Rate of time preference</w:t>
                  </w:r>
                </w:p>
              </w:tc>
              <w:tc>
                <w:tcPr>
                  <w:tcW w:w="1053" w:type="pct"/>
                  <w:tcBorders>
                    <w:bottom w:val="single" w:sz="6" w:space="0" w:color="BFBFBF"/>
                  </w:tcBorders>
                </w:tcPr>
                <w:p w14:paraId="66A553BD" w14:textId="77777777" w:rsidR="00B40022" w:rsidRDefault="00B40022" w:rsidP="00B40022">
                  <w:pPr>
                    <w:pStyle w:val="TableBodyText"/>
                  </w:pPr>
                  <w:r>
                    <w:t>0.03</w:t>
                  </w:r>
                </w:p>
              </w:tc>
              <w:tc>
                <w:tcPr>
                  <w:tcW w:w="1053" w:type="pct"/>
                  <w:tcBorders>
                    <w:bottom w:val="single" w:sz="6" w:space="0" w:color="BFBFBF"/>
                  </w:tcBorders>
                  <w:shd w:val="clear" w:color="auto" w:fill="auto"/>
                </w:tcPr>
                <w:p w14:paraId="6F8A6135" w14:textId="77777777" w:rsidR="00B40022" w:rsidRDefault="00B40022" w:rsidP="00B40022">
                  <w:pPr>
                    <w:pStyle w:val="TableBodyText"/>
                  </w:pPr>
                  <w:r>
                    <w:t>0.04</w:t>
                  </w:r>
                </w:p>
              </w:tc>
              <w:tc>
                <w:tcPr>
                  <w:tcW w:w="1052" w:type="pct"/>
                  <w:tcBorders>
                    <w:bottom w:val="single" w:sz="6" w:space="0" w:color="BFBFBF"/>
                  </w:tcBorders>
                  <w:shd w:val="clear" w:color="auto" w:fill="auto"/>
                </w:tcPr>
                <w:p w14:paraId="2AC02F82" w14:textId="77777777" w:rsidR="00B40022" w:rsidRDefault="00B40022" w:rsidP="00B40022">
                  <w:pPr>
                    <w:pStyle w:val="TableBodyText"/>
                    <w:ind w:right="28"/>
                  </w:pPr>
                  <w:r>
                    <w:t>0.05</w:t>
                  </w:r>
                </w:p>
              </w:tc>
            </w:tr>
          </w:tbl>
          <w:p w14:paraId="432D1214" w14:textId="77777777" w:rsidR="00B40022" w:rsidRDefault="00B40022" w:rsidP="00B40022">
            <w:pPr>
              <w:pStyle w:val="Box"/>
            </w:pPr>
          </w:p>
        </w:tc>
      </w:tr>
      <w:tr w:rsidR="00B40022" w14:paraId="1BB39043" w14:textId="77777777" w:rsidTr="00B40022">
        <w:trPr>
          <w:cantSplit/>
        </w:trPr>
        <w:tc>
          <w:tcPr>
            <w:tcW w:w="8771" w:type="dxa"/>
            <w:tcBorders>
              <w:top w:val="nil"/>
              <w:left w:val="nil"/>
              <w:bottom w:val="single" w:sz="6" w:space="0" w:color="78A22F"/>
              <w:right w:val="nil"/>
            </w:tcBorders>
            <w:shd w:val="clear" w:color="auto" w:fill="auto"/>
          </w:tcPr>
          <w:p w14:paraId="69EBF219" w14:textId="77777777" w:rsidR="00B40022" w:rsidRDefault="00B40022" w:rsidP="00B40022">
            <w:pPr>
              <w:pStyle w:val="Box"/>
              <w:spacing w:before="0" w:line="120" w:lineRule="exact"/>
            </w:pPr>
          </w:p>
        </w:tc>
      </w:tr>
      <w:tr w:rsidR="00B40022" w:rsidRPr="000863A5" w14:paraId="147834B6" w14:textId="77777777" w:rsidTr="00B40022">
        <w:tc>
          <w:tcPr>
            <w:tcW w:w="8771" w:type="dxa"/>
            <w:tcBorders>
              <w:top w:val="single" w:sz="6" w:space="0" w:color="78A22F"/>
              <w:left w:val="nil"/>
              <w:bottom w:val="nil"/>
              <w:right w:val="nil"/>
            </w:tcBorders>
          </w:tcPr>
          <w:p w14:paraId="52B21263" w14:textId="4CCC3023" w:rsidR="00B40022" w:rsidRPr="00626D32" w:rsidRDefault="00B40022" w:rsidP="00B40022">
            <w:pPr>
              <w:pStyle w:val="BoxSpaceBelow"/>
            </w:pPr>
          </w:p>
        </w:tc>
      </w:tr>
    </w:tbl>
    <w:p w14:paraId="628AEE4D" w14:textId="7A5053EF" w:rsidR="00B40022" w:rsidRDefault="00583ABD" w:rsidP="00B40022">
      <w:pPr>
        <w:pStyle w:val="BodyText"/>
      </w:pPr>
      <w:r>
        <w:t>C</w:t>
      </w:r>
      <w:r w:rsidR="00B40022">
        <w:t>hanges in the</w:t>
      </w:r>
      <w:r w:rsidR="00E10548">
        <w:t>se</w:t>
      </w:r>
      <w:r w:rsidR="00B40022">
        <w:t xml:space="preserve"> parameter values ha</w:t>
      </w:r>
      <w:r>
        <w:t>ve a material impact on the model results</w:t>
      </w:r>
      <w:r w:rsidR="00B40022">
        <w:t>.</w:t>
      </w:r>
      <w:r w:rsidR="00B40022" w:rsidRPr="003A78AB">
        <w:t xml:space="preserve"> </w:t>
      </w:r>
      <w:r w:rsidR="00B40022" w:rsidRPr="00C02682">
        <w:t xml:space="preserve">Under the revised base case </w:t>
      </w:r>
      <w:r w:rsidR="00E10548" w:rsidRPr="00C02682">
        <w:t xml:space="preserve">using </w:t>
      </w:r>
      <w:r w:rsidR="00F72EE1">
        <w:t>alternative</w:t>
      </w:r>
      <w:r w:rsidR="00E10548" w:rsidRPr="00C02682">
        <w:t xml:space="preserve"> parameter</w:t>
      </w:r>
      <w:r w:rsidR="00F72EE1">
        <w:t xml:space="preserve"> </w:t>
      </w:r>
      <w:r w:rsidR="00E10548" w:rsidRPr="00C02682">
        <w:t>s</w:t>
      </w:r>
      <w:r w:rsidR="00F72EE1">
        <w:t>et 1</w:t>
      </w:r>
      <w:r w:rsidR="00B40022" w:rsidRPr="00C02682">
        <w:t xml:space="preserve">, households are more likely to retire </w:t>
      </w:r>
      <w:r w:rsidR="00C02682" w:rsidRPr="00C02682">
        <w:t>later</w:t>
      </w:r>
      <w:r w:rsidR="00B40022" w:rsidRPr="00C656F2">
        <w:t xml:space="preserve">. </w:t>
      </w:r>
      <w:r w:rsidR="00B40022">
        <w:t xml:space="preserve">This </w:t>
      </w:r>
      <w:r w:rsidR="00E10548">
        <w:t xml:space="preserve">decreases </w:t>
      </w:r>
      <w:r w:rsidR="00B40022">
        <w:t xml:space="preserve">the pool of households who are affected by a </w:t>
      </w:r>
      <w:r w:rsidR="00E10548">
        <w:t xml:space="preserve">preservation </w:t>
      </w:r>
      <w:r w:rsidR="009E3E77">
        <w:t>age</w:t>
      </w:r>
      <w:r w:rsidR="00B40022">
        <w:t xml:space="preserve"> change, leading to </w:t>
      </w:r>
      <w:r w:rsidR="00126026">
        <w:t xml:space="preserve">a </w:t>
      </w:r>
      <w:r w:rsidR="00E10548">
        <w:t>smaller change</w:t>
      </w:r>
      <w:r w:rsidR="00B40022">
        <w:t xml:space="preserve"> in the participation rate for older workers</w:t>
      </w:r>
      <w:r w:rsidR="00E10548">
        <w:t>,</w:t>
      </w:r>
      <w:r w:rsidR="00B40022">
        <w:t xml:space="preserve"> and a </w:t>
      </w:r>
      <w:r w:rsidR="00A43D4B">
        <w:t xml:space="preserve">smaller increase </w:t>
      </w:r>
      <w:r w:rsidR="00B40022">
        <w:t>in the government’s net fiscal position (table </w:t>
      </w:r>
      <w:r w:rsidR="00D85DB3">
        <w:t>6.4</w:t>
      </w:r>
      <w:r w:rsidR="00B40022">
        <w:t>).</w:t>
      </w:r>
      <w:r w:rsidR="00E10548" w:rsidRPr="008D4F67">
        <w:rPr>
          <w:rStyle w:val="FootnoteReference"/>
        </w:rPr>
        <w:footnoteReference w:id="2"/>
      </w:r>
    </w:p>
    <w:p w14:paraId="06E4E50E" w14:textId="20794E0E" w:rsidR="00E10548" w:rsidRDefault="00B40022" w:rsidP="00B40022">
      <w:pPr>
        <w:pStyle w:val="BodyText"/>
      </w:pPr>
      <w:r>
        <w:t xml:space="preserve">Conversely, under the revised base case </w:t>
      </w:r>
      <w:r w:rsidR="00E10548">
        <w:t xml:space="preserve">using </w:t>
      </w:r>
      <w:r w:rsidR="00F72EE1">
        <w:t xml:space="preserve">alternative </w:t>
      </w:r>
      <w:r w:rsidR="00E10548">
        <w:t>parameter</w:t>
      </w:r>
      <w:r w:rsidR="00F72EE1">
        <w:t xml:space="preserve"> </w:t>
      </w:r>
      <w:r w:rsidR="00E10548">
        <w:t>s</w:t>
      </w:r>
      <w:r w:rsidR="00F72EE1">
        <w:t>et 2</w:t>
      </w:r>
      <w:r>
        <w:t>,</w:t>
      </w:r>
      <w:r w:rsidR="00E10548">
        <w:t xml:space="preserve"> a larger pool of </w:t>
      </w:r>
      <w:r>
        <w:t>households retire earlier</w:t>
      </w:r>
      <w:r w:rsidR="00C02682">
        <w:t xml:space="preserve"> (before 65)</w:t>
      </w:r>
      <w:r w:rsidR="00E10548">
        <w:t xml:space="preserve">, and hence the preservation age change leads to a </w:t>
      </w:r>
      <w:r w:rsidR="00A43D4B">
        <w:t xml:space="preserve">larger </w:t>
      </w:r>
      <w:r w:rsidR="00E10548">
        <w:t>increase in the participation rate and the government’s net fiscal position.</w:t>
      </w:r>
    </w:p>
    <w:p w14:paraId="1633FED7" w14:textId="505F9F7B" w:rsidR="00B40022" w:rsidRDefault="00B40022" w:rsidP="00C02682">
      <w:pPr>
        <w:pStyle w:val="BodyText"/>
      </w:pPr>
    </w:p>
    <w:tbl>
      <w:tblPr>
        <w:tblW w:w="0" w:type="auto"/>
        <w:tblInd w:w="164" w:type="dxa"/>
        <w:tblBorders>
          <w:top w:val="single" w:sz="6" w:space="0" w:color="auto"/>
          <w:left w:val="single" w:sz="6" w:space="0" w:color="auto"/>
          <w:bottom w:val="single" w:sz="6" w:space="0" w:color="auto"/>
          <w:right w:val="single" w:sz="6" w:space="0" w:color="auto"/>
        </w:tblBorders>
        <w:tblCellMar>
          <w:left w:w="142" w:type="dxa"/>
          <w:right w:w="142" w:type="dxa"/>
        </w:tblCellMar>
        <w:tblLook w:val="0000" w:firstRow="0" w:lastRow="0" w:firstColumn="0" w:lastColumn="0" w:noHBand="0" w:noVBand="0"/>
      </w:tblPr>
      <w:tblGrid>
        <w:gridCol w:w="8771"/>
      </w:tblGrid>
      <w:tr w:rsidR="00B40022" w14:paraId="77F6FB13" w14:textId="77777777" w:rsidTr="00B40022">
        <w:tc>
          <w:tcPr>
            <w:tcW w:w="8771" w:type="dxa"/>
            <w:tcBorders>
              <w:top w:val="single" w:sz="6" w:space="0" w:color="78A22F"/>
              <w:left w:val="nil"/>
              <w:bottom w:val="nil"/>
              <w:right w:val="nil"/>
            </w:tcBorders>
            <w:shd w:val="clear" w:color="auto" w:fill="auto"/>
          </w:tcPr>
          <w:p w14:paraId="63C42CC9" w14:textId="68EB13B3" w:rsidR="00B40022" w:rsidRPr="00FA543D" w:rsidRDefault="00B40022" w:rsidP="00B40022">
            <w:pPr>
              <w:pStyle w:val="TableTitle"/>
            </w:pPr>
            <w:r>
              <w:rPr>
                <w:b w:val="0"/>
              </w:rPr>
              <w:t xml:space="preserve">Table </w:t>
            </w:r>
            <w:bookmarkStart w:id="7" w:name="OLE_LINK4"/>
            <w:r w:rsidR="00D85DB3">
              <w:rPr>
                <w:b w:val="0"/>
              </w:rPr>
              <w:t>6.</w:t>
            </w:r>
            <w:r w:rsidR="00D85DB3">
              <w:rPr>
                <w:b w:val="0"/>
                <w:noProof/>
              </w:rPr>
              <w:t>4</w:t>
            </w:r>
            <w:bookmarkEnd w:id="7"/>
            <w:r>
              <w:tab/>
            </w:r>
            <w:proofErr w:type="spellStart"/>
            <w:r>
              <w:t>SA2</w:t>
            </w:r>
            <w:proofErr w:type="spellEnd"/>
            <w:r>
              <w:t xml:space="preserve"> results in 2055</w:t>
            </w:r>
          </w:p>
        </w:tc>
      </w:tr>
      <w:tr w:rsidR="00B40022" w14:paraId="6AD1B0D1" w14:textId="77777777" w:rsidTr="00B40022">
        <w:trPr>
          <w:cantSplit/>
        </w:trPr>
        <w:tc>
          <w:tcPr>
            <w:tcW w:w="8771" w:type="dxa"/>
            <w:tcBorders>
              <w:top w:val="nil"/>
              <w:left w:val="nil"/>
              <w:bottom w:val="nil"/>
              <w:right w:val="nil"/>
            </w:tcBorders>
            <w:shd w:val="clear" w:color="auto" w:fill="auto"/>
          </w:tcPr>
          <w:tbl>
            <w:tblPr>
              <w:tblW w:w="5000" w:type="pct"/>
              <w:tblCellMar>
                <w:top w:w="28" w:type="dxa"/>
                <w:left w:w="0" w:type="dxa"/>
                <w:right w:w="0" w:type="dxa"/>
              </w:tblCellMar>
              <w:tblLook w:val="0000" w:firstRow="0" w:lastRow="0" w:firstColumn="0" w:lastColumn="0" w:noHBand="0" w:noVBand="0"/>
            </w:tblPr>
            <w:tblGrid>
              <w:gridCol w:w="2611"/>
              <w:gridCol w:w="1645"/>
              <w:gridCol w:w="1409"/>
              <w:gridCol w:w="1411"/>
              <w:gridCol w:w="1411"/>
            </w:tblGrid>
            <w:tr w:rsidR="00B40022" w14:paraId="7E8AD5EA" w14:textId="77777777" w:rsidTr="00B40022">
              <w:tc>
                <w:tcPr>
                  <w:tcW w:w="1538" w:type="pct"/>
                  <w:tcBorders>
                    <w:top w:val="single" w:sz="6" w:space="0" w:color="BFBFBF"/>
                    <w:bottom w:val="single" w:sz="6" w:space="0" w:color="BFBFBF"/>
                  </w:tcBorders>
                  <w:shd w:val="clear" w:color="auto" w:fill="auto"/>
                  <w:tcMar>
                    <w:top w:w="28" w:type="dxa"/>
                  </w:tcMar>
                </w:tcPr>
                <w:p w14:paraId="590B02DC" w14:textId="77777777" w:rsidR="00B40022" w:rsidRDefault="00B40022" w:rsidP="00B40022">
                  <w:pPr>
                    <w:pStyle w:val="TableColumnHeading"/>
                    <w:jc w:val="left"/>
                  </w:pPr>
                </w:p>
              </w:tc>
              <w:tc>
                <w:tcPr>
                  <w:tcW w:w="969" w:type="pct"/>
                  <w:tcBorders>
                    <w:top w:val="single" w:sz="6" w:space="0" w:color="BFBFBF"/>
                    <w:bottom w:val="single" w:sz="6" w:space="0" w:color="BFBFBF"/>
                  </w:tcBorders>
                  <w:shd w:val="clear" w:color="auto" w:fill="auto"/>
                  <w:tcMar>
                    <w:top w:w="28" w:type="dxa"/>
                  </w:tcMar>
                </w:tcPr>
                <w:p w14:paraId="16798E9C" w14:textId="77777777" w:rsidR="00B40022" w:rsidRDefault="00B40022" w:rsidP="00B40022">
                  <w:pPr>
                    <w:pStyle w:val="TableColumnHeading"/>
                  </w:pPr>
                  <w:r>
                    <w:t>Units</w:t>
                  </w:r>
                </w:p>
              </w:tc>
              <w:tc>
                <w:tcPr>
                  <w:tcW w:w="830" w:type="pct"/>
                  <w:tcBorders>
                    <w:top w:val="single" w:sz="6" w:space="0" w:color="BFBFBF"/>
                    <w:bottom w:val="single" w:sz="6" w:space="0" w:color="BFBFBF"/>
                  </w:tcBorders>
                </w:tcPr>
                <w:p w14:paraId="5060C499" w14:textId="0C908A85" w:rsidR="00B40022" w:rsidRDefault="00F72EE1" w:rsidP="00B40022">
                  <w:pPr>
                    <w:pStyle w:val="TableColumnHeading"/>
                    <w:ind w:right="28"/>
                  </w:pPr>
                  <w:r>
                    <w:t>Alternative parameter set 1</w:t>
                  </w:r>
                </w:p>
              </w:tc>
              <w:tc>
                <w:tcPr>
                  <w:tcW w:w="831" w:type="pct"/>
                  <w:tcBorders>
                    <w:top w:val="single" w:sz="6" w:space="0" w:color="BFBFBF"/>
                    <w:bottom w:val="single" w:sz="6" w:space="0" w:color="BFBFBF"/>
                  </w:tcBorders>
                </w:tcPr>
                <w:p w14:paraId="2B62F7D3" w14:textId="77777777" w:rsidR="00B40022" w:rsidRDefault="00B40022" w:rsidP="00B40022">
                  <w:pPr>
                    <w:pStyle w:val="TableColumnHeading"/>
                    <w:ind w:right="28"/>
                  </w:pPr>
                  <w:r>
                    <w:t>Original</w:t>
                  </w:r>
                </w:p>
              </w:tc>
              <w:tc>
                <w:tcPr>
                  <w:tcW w:w="831" w:type="pct"/>
                  <w:tcBorders>
                    <w:top w:val="single" w:sz="6" w:space="0" w:color="BFBFBF"/>
                    <w:bottom w:val="single" w:sz="6" w:space="0" w:color="BFBFBF"/>
                  </w:tcBorders>
                  <w:shd w:val="clear" w:color="auto" w:fill="auto"/>
                  <w:tcMar>
                    <w:top w:w="28" w:type="dxa"/>
                  </w:tcMar>
                </w:tcPr>
                <w:p w14:paraId="0ECA361E" w14:textId="64AF180C" w:rsidR="00B40022" w:rsidRDefault="00F72EE1" w:rsidP="00B40022">
                  <w:pPr>
                    <w:pStyle w:val="TableColumnHeading"/>
                    <w:ind w:right="28"/>
                  </w:pPr>
                  <w:r>
                    <w:t>Alternative  parameter set 2</w:t>
                  </w:r>
                </w:p>
              </w:tc>
            </w:tr>
            <w:tr w:rsidR="00803039" w14:paraId="2691CCFF" w14:textId="77777777" w:rsidTr="00B40022">
              <w:tc>
                <w:tcPr>
                  <w:tcW w:w="1538" w:type="pct"/>
                </w:tcPr>
                <w:p w14:paraId="2F3D7AFA" w14:textId="465462FE" w:rsidR="00803039" w:rsidRDefault="00803039" w:rsidP="00B40022">
                  <w:pPr>
                    <w:pStyle w:val="TableBodyText"/>
                    <w:jc w:val="left"/>
                  </w:pPr>
                  <w:r w:rsidRPr="006E4466">
                    <w:t>Change in participa</w:t>
                  </w:r>
                  <w:r>
                    <w:t>tion rate of 50</w:t>
                  </w:r>
                  <w:r w:rsidR="00B86FE0">
                    <w:noBreakHyphen/>
                  </w:r>
                  <w:r>
                    <w:t xml:space="preserve">64 year olds </w:t>
                  </w:r>
                </w:p>
              </w:tc>
              <w:tc>
                <w:tcPr>
                  <w:tcW w:w="969" w:type="pct"/>
                </w:tcPr>
                <w:p w14:paraId="64A3A428" w14:textId="77777777" w:rsidR="00803039" w:rsidRDefault="00803039" w:rsidP="00B40022">
                  <w:pPr>
                    <w:pStyle w:val="TableBodyText"/>
                  </w:pPr>
                  <w:r>
                    <w:t>Percentage point</w:t>
                  </w:r>
                </w:p>
              </w:tc>
              <w:tc>
                <w:tcPr>
                  <w:tcW w:w="830" w:type="pct"/>
                  <w:vAlign w:val="center"/>
                </w:tcPr>
                <w:p w14:paraId="74DD7C7A" w14:textId="77777777" w:rsidR="00803039" w:rsidRDefault="00803039" w:rsidP="00B40022">
                  <w:pPr>
                    <w:pStyle w:val="TableBodyText"/>
                  </w:pPr>
                  <w:r>
                    <w:rPr>
                      <w:rFonts w:cs="Arial"/>
                      <w:color w:val="000000"/>
                      <w:szCs w:val="18"/>
                    </w:rPr>
                    <w:t>0.8</w:t>
                  </w:r>
                </w:p>
              </w:tc>
              <w:tc>
                <w:tcPr>
                  <w:tcW w:w="831" w:type="pct"/>
                  <w:vAlign w:val="center"/>
                </w:tcPr>
                <w:p w14:paraId="6FFD4E60" w14:textId="77777777" w:rsidR="00803039" w:rsidRDefault="00803039" w:rsidP="00B40022">
                  <w:pPr>
                    <w:pStyle w:val="TableBodyText"/>
                  </w:pPr>
                  <w:r>
                    <w:rPr>
                      <w:rFonts w:cs="Arial"/>
                      <w:color w:val="000000"/>
                      <w:szCs w:val="18"/>
                    </w:rPr>
                    <w:t>2.0</w:t>
                  </w:r>
                </w:p>
              </w:tc>
              <w:tc>
                <w:tcPr>
                  <w:tcW w:w="831" w:type="pct"/>
                  <w:vAlign w:val="center"/>
                </w:tcPr>
                <w:p w14:paraId="63B4B508" w14:textId="77777777" w:rsidR="00803039" w:rsidRDefault="00803039" w:rsidP="00B40022">
                  <w:pPr>
                    <w:pStyle w:val="TableBodyText"/>
                  </w:pPr>
                  <w:r>
                    <w:rPr>
                      <w:rFonts w:cs="Arial"/>
                      <w:color w:val="000000"/>
                      <w:szCs w:val="18"/>
                    </w:rPr>
                    <w:t>3.7</w:t>
                  </w:r>
                </w:p>
              </w:tc>
            </w:tr>
            <w:tr w:rsidR="00803039" w14:paraId="30A6CE5B" w14:textId="77777777" w:rsidTr="00B40022">
              <w:tc>
                <w:tcPr>
                  <w:tcW w:w="1538" w:type="pct"/>
                </w:tcPr>
                <w:p w14:paraId="42722B5A" w14:textId="77777777" w:rsidR="00803039" w:rsidRDefault="00803039" w:rsidP="00B40022">
                  <w:pPr>
                    <w:pStyle w:val="TableBodyText"/>
                    <w:jc w:val="left"/>
                  </w:pPr>
                  <w:r>
                    <w:t>Government expenses</w:t>
                  </w:r>
                </w:p>
              </w:tc>
              <w:tc>
                <w:tcPr>
                  <w:tcW w:w="969" w:type="pct"/>
                </w:tcPr>
                <w:p w14:paraId="30F5F7EF" w14:textId="657319D6" w:rsidR="00803039" w:rsidRDefault="00803039" w:rsidP="00B40022">
                  <w:pPr>
                    <w:pStyle w:val="TableBodyText"/>
                  </w:pPr>
                  <w:r>
                    <w:t>$b in 2015 prices</w:t>
                  </w:r>
                </w:p>
              </w:tc>
              <w:tc>
                <w:tcPr>
                  <w:tcW w:w="830" w:type="pct"/>
                  <w:vAlign w:val="center"/>
                </w:tcPr>
                <w:p w14:paraId="6735564D" w14:textId="30B89DBF" w:rsidR="00803039" w:rsidRDefault="00B86FE0" w:rsidP="00B40022">
                  <w:pPr>
                    <w:pStyle w:val="TableBodyText"/>
                  </w:pPr>
                  <w:r>
                    <w:rPr>
                      <w:rFonts w:cs="Arial"/>
                      <w:color w:val="000000"/>
                      <w:szCs w:val="18"/>
                    </w:rPr>
                    <w:noBreakHyphen/>
                  </w:r>
                  <w:r w:rsidR="00803039">
                    <w:rPr>
                      <w:rFonts w:cs="Arial"/>
                      <w:color w:val="000000"/>
                      <w:szCs w:val="18"/>
                    </w:rPr>
                    <w:t>1.2</w:t>
                  </w:r>
                </w:p>
              </w:tc>
              <w:tc>
                <w:tcPr>
                  <w:tcW w:w="831" w:type="pct"/>
                  <w:vAlign w:val="center"/>
                </w:tcPr>
                <w:p w14:paraId="043CB6F2" w14:textId="511E1B0F" w:rsidR="00803039" w:rsidRDefault="00B86FE0" w:rsidP="00B40022">
                  <w:pPr>
                    <w:pStyle w:val="TableBodyText"/>
                  </w:pPr>
                  <w:r>
                    <w:rPr>
                      <w:rFonts w:cs="Arial"/>
                      <w:color w:val="000000"/>
                      <w:szCs w:val="18"/>
                    </w:rPr>
                    <w:noBreakHyphen/>
                  </w:r>
                  <w:r w:rsidR="00803039">
                    <w:rPr>
                      <w:rFonts w:cs="Arial"/>
                      <w:color w:val="000000"/>
                      <w:szCs w:val="18"/>
                    </w:rPr>
                    <w:t>2.0</w:t>
                  </w:r>
                </w:p>
              </w:tc>
              <w:tc>
                <w:tcPr>
                  <w:tcW w:w="831" w:type="pct"/>
                  <w:vAlign w:val="center"/>
                </w:tcPr>
                <w:p w14:paraId="284315C4" w14:textId="4043295F" w:rsidR="00803039" w:rsidRDefault="00B86FE0" w:rsidP="00B40022">
                  <w:pPr>
                    <w:pStyle w:val="TableBodyText"/>
                  </w:pPr>
                  <w:r>
                    <w:rPr>
                      <w:rFonts w:cs="Arial"/>
                      <w:color w:val="000000"/>
                      <w:szCs w:val="18"/>
                    </w:rPr>
                    <w:noBreakHyphen/>
                  </w:r>
                  <w:r w:rsidR="00803039">
                    <w:rPr>
                      <w:rFonts w:cs="Arial"/>
                      <w:color w:val="000000"/>
                      <w:szCs w:val="18"/>
                    </w:rPr>
                    <w:t>2.5</w:t>
                  </w:r>
                </w:p>
              </w:tc>
            </w:tr>
            <w:tr w:rsidR="00803039" w14:paraId="08592B3A" w14:textId="77777777" w:rsidTr="00B40022">
              <w:tc>
                <w:tcPr>
                  <w:tcW w:w="1538" w:type="pct"/>
                  <w:shd w:val="clear" w:color="auto" w:fill="auto"/>
                </w:tcPr>
                <w:p w14:paraId="0A473DD9" w14:textId="77777777" w:rsidR="00803039" w:rsidRDefault="00803039" w:rsidP="00B40022">
                  <w:pPr>
                    <w:pStyle w:val="TableBodyText"/>
                    <w:jc w:val="left"/>
                  </w:pPr>
                  <w:r>
                    <w:t>Government tax receipts</w:t>
                  </w:r>
                </w:p>
              </w:tc>
              <w:tc>
                <w:tcPr>
                  <w:tcW w:w="969" w:type="pct"/>
                  <w:shd w:val="clear" w:color="auto" w:fill="auto"/>
                </w:tcPr>
                <w:p w14:paraId="6A1C5791" w14:textId="0BB30F7F" w:rsidR="00803039" w:rsidRDefault="00803039" w:rsidP="00B40022">
                  <w:pPr>
                    <w:pStyle w:val="TableBodyText"/>
                  </w:pPr>
                  <w:r>
                    <w:t>$b in 2015 prices</w:t>
                  </w:r>
                </w:p>
              </w:tc>
              <w:tc>
                <w:tcPr>
                  <w:tcW w:w="830" w:type="pct"/>
                  <w:vAlign w:val="center"/>
                </w:tcPr>
                <w:p w14:paraId="5C58362F" w14:textId="77777777" w:rsidR="00803039" w:rsidRDefault="00803039" w:rsidP="00B40022">
                  <w:pPr>
                    <w:pStyle w:val="TableBodyText"/>
                  </w:pPr>
                  <w:r>
                    <w:rPr>
                      <w:rFonts w:cs="Arial"/>
                      <w:color w:val="000000"/>
                      <w:szCs w:val="18"/>
                    </w:rPr>
                    <w:t>3.3</w:t>
                  </w:r>
                </w:p>
              </w:tc>
              <w:tc>
                <w:tcPr>
                  <w:tcW w:w="831" w:type="pct"/>
                  <w:vAlign w:val="center"/>
                </w:tcPr>
                <w:p w14:paraId="3F23811E" w14:textId="77777777" w:rsidR="00803039" w:rsidRDefault="00803039" w:rsidP="00B40022">
                  <w:pPr>
                    <w:pStyle w:val="TableBodyText"/>
                  </w:pPr>
                  <w:r>
                    <w:rPr>
                      <w:rFonts w:cs="Arial"/>
                      <w:color w:val="000000"/>
                      <w:szCs w:val="18"/>
                    </w:rPr>
                    <w:t>5.2</w:t>
                  </w:r>
                </w:p>
              </w:tc>
              <w:tc>
                <w:tcPr>
                  <w:tcW w:w="831" w:type="pct"/>
                  <w:shd w:val="clear" w:color="auto" w:fill="auto"/>
                  <w:vAlign w:val="center"/>
                </w:tcPr>
                <w:p w14:paraId="501D1FC8" w14:textId="77777777" w:rsidR="00803039" w:rsidRDefault="00803039" w:rsidP="00B40022">
                  <w:pPr>
                    <w:pStyle w:val="TableBodyText"/>
                  </w:pPr>
                  <w:r>
                    <w:rPr>
                      <w:rFonts w:cs="Arial"/>
                      <w:color w:val="000000"/>
                      <w:szCs w:val="18"/>
                    </w:rPr>
                    <w:t>7.9</w:t>
                  </w:r>
                </w:p>
              </w:tc>
            </w:tr>
            <w:tr w:rsidR="00803039" w14:paraId="2A7A09F2" w14:textId="77777777" w:rsidTr="00B40022">
              <w:tc>
                <w:tcPr>
                  <w:tcW w:w="1538" w:type="pct"/>
                  <w:tcBorders>
                    <w:bottom w:val="single" w:sz="6" w:space="0" w:color="BFBFBF"/>
                  </w:tcBorders>
                  <w:shd w:val="clear" w:color="auto" w:fill="auto"/>
                </w:tcPr>
                <w:p w14:paraId="5FDC154D" w14:textId="77777777" w:rsidR="00803039" w:rsidRDefault="00803039" w:rsidP="00B40022">
                  <w:pPr>
                    <w:pStyle w:val="TableBodyText"/>
                    <w:jc w:val="left"/>
                  </w:pPr>
                  <w:r>
                    <w:t>Net government fiscal position</w:t>
                  </w:r>
                </w:p>
              </w:tc>
              <w:tc>
                <w:tcPr>
                  <w:tcW w:w="969" w:type="pct"/>
                  <w:tcBorders>
                    <w:bottom w:val="single" w:sz="6" w:space="0" w:color="BFBFBF"/>
                  </w:tcBorders>
                  <w:shd w:val="clear" w:color="auto" w:fill="auto"/>
                </w:tcPr>
                <w:p w14:paraId="192A24E2" w14:textId="6F662C10" w:rsidR="00803039" w:rsidRDefault="00803039" w:rsidP="00B40022">
                  <w:pPr>
                    <w:pStyle w:val="TableBodyText"/>
                  </w:pPr>
                  <w:r>
                    <w:t>$b in 2015 prices</w:t>
                  </w:r>
                </w:p>
              </w:tc>
              <w:tc>
                <w:tcPr>
                  <w:tcW w:w="830" w:type="pct"/>
                  <w:tcBorders>
                    <w:bottom w:val="single" w:sz="6" w:space="0" w:color="BFBFBF"/>
                  </w:tcBorders>
                  <w:vAlign w:val="center"/>
                </w:tcPr>
                <w:p w14:paraId="00D5B9E3" w14:textId="77777777" w:rsidR="00803039" w:rsidRDefault="00803039" w:rsidP="00B40022">
                  <w:pPr>
                    <w:pStyle w:val="TableBodyText"/>
                  </w:pPr>
                  <w:r>
                    <w:rPr>
                      <w:rFonts w:cs="Arial"/>
                      <w:color w:val="000000"/>
                      <w:szCs w:val="18"/>
                    </w:rPr>
                    <w:t>4.5</w:t>
                  </w:r>
                </w:p>
              </w:tc>
              <w:tc>
                <w:tcPr>
                  <w:tcW w:w="831" w:type="pct"/>
                  <w:tcBorders>
                    <w:bottom w:val="single" w:sz="6" w:space="0" w:color="BFBFBF"/>
                  </w:tcBorders>
                  <w:vAlign w:val="center"/>
                </w:tcPr>
                <w:p w14:paraId="2248ED64" w14:textId="77777777" w:rsidR="00803039" w:rsidRDefault="00803039" w:rsidP="00B40022">
                  <w:pPr>
                    <w:pStyle w:val="TableBodyText"/>
                  </w:pPr>
                  <w:r>
                    <w:rPr>
                      <w:rFonts w:cs="Arial"/>
                      <w:color w:val="000000"/>
                      <w:szCs w:val="18"/>
                    </w:rPr>
                    <w:t>7.2</w:t>
                  </w:r>
                </w:p>
              </w:tc>
              <w:tc>
                <w:tcPr>
                  <w:tcW w:w="831" w:type="pct"/>
                  <w:tcBorders>
                    <w:bottom w:val="single" w:sz="6" w:space="0" w:color="BFBFBF"/>
                  </w:tcBorders>
                  <w:shd w:val="clear" w:color="auto" w:fill="auto"/>
                  <w:vAlign w:val="center"/>
                </w:tcPr>
                <w:p w14:paraId="62C7EA72" w14:textId="77777777" w:rsidR="00803039" w:rsidRDefault="00803039" w:rsidP="00B40022">
                  <w:pPr>
                    <w:pStyle w:val="TableBodyText"/>
                  </w:pPr>
                  <w:r>
                    <w:rPr>
                      <w:rFonts w:cs="Arial"/>
                      <w:color w:val="000000"/>
                      <w:szCs w:val="18"/>
                    </w:rPr>
                    <w:t>10.4</w:t>
                  </w:r>
                </w:p>
              </w:tc>
            </w:tr>
          </w:tbl>
          <w:p w14:paraId="26DC41B6" w14:textId="77777777" w:rsidR="00B40022" w:rsidRDefault="00B40022" w:rsidP="00B40022">
            <w:pPr>
              <w:pStyle w:val="Box"/>
            </w:pPr>
          </w:p>
        </w:tc>
      </w:tr>
      <w:tr w:rsidR="00B40022" w14:paraId="17EDDBF1" w14:textId="77777777" w:rsidTr="00B40022">
        <w:trPr>
          <w:cantSplit/>
        </w:trPr>
        <w:tc>
          <w:tcPr>
            <w:tcW w:w="8771" w:type="dxa"/>
            <w:tcBorders>
              <w:top w:val="nil"/>
              <w:left w:val="nil"/>
              <w:bottom w:val="nil"/>
              <w:right w:val="nil"/>
            </w:tcBorders>
            <w:shd w:val="clear" w:color="auto" w:fill="auto"/>
          </w:tcPr>
          <w:p w14:paraId="6B899389" w14:textId="1ECBDA10" w:rsidR="00B40022" w:rsidRDefault="0061143E" w:rsidP="00B40022">
            <w:pPr>
              <w:pStyle w:val="Source"/>
            </w:pPr>
            <w:r>
              <w:rPr>
                <w:i/>
              </w:rPr>
              <w:t>Source</w:t>
            </w:r>
            <w:r w:rsidRPr="00167F06">
              <w:t xml:space="preserve">: </w:t>
            </w:r>
            <w:r>
              <w:t>Commission estimates</w:t>
            </w:r>
            <w:r w:rsidR="00C74CDD">
              <w:t>.</w:t>
            </w:r>
          </w:p>
        </w:tc>
      </w:tr>
      <w:tr w:rsidR="00B40022" w14:paraId="07FFD306" w14:textId="77777777" w:rsidTr="00B40022">
        <w:trPr>
          <w:cantSplit/>
        </w:trPr>
        <w:tc>
          <w:tcPr>
            <w:tcW w:w="8771" w:type="dxa"/>
            <w:tcBorders>
              <w:top w:val="nil"/>
              <w:left w:val="nil"/>
              <w:bottom w:val="single" w:sz="6" w:space="0" w:color="78A22F"/>
              <w:right w:val="nil"/>
            </w:tcBorders>
            <w:shd w:val="clear" w:color="auto" w:fill="auto"/>
          </w:tcPr>
          <w:p w14:paraId="1B1B790E" w14:textId="77777777" w:rsidR="00B40022" w:rsidRDefault="00B40022" w:rsidP="00B40022">
            <w:pPr>
              <w:pStyle w:val="Box"/>
              <w:spacing w:before="0" w:line="120" w:lineRule="exact"/>
            </w:pPr>
          </w:p>
        </w:tc>
      </w:tr>
      <w:tr w:rsidR="00B40022" w:rsidRPr="000863A5" w14:paraId="08113777" w14:textId="77777777" w:rsidTr="00B40022">
        <w:tc>
          <w:tcPr>
            <w:tcW w:w="8771" w:type="dxa"/>
            <w:tcBorders>
              <w:top w:val="single" w:sz="6" w:space="0" w:color="78A22F"/>
              <w:left w:val="nil"/>
              <w:bottom w:val="nil"/>
              <w:right w:val="nil"/>
            </w:tcBorders>
          </w:tcPr>
          <w:p w14:paraId="7C4F44D9" w14:textId="7F7619AE" w:rsidR="00B40022" w:rsidRPr="00626D32" w:rsidRDefault="00B40022" w:rsidP="00B40022">
            <w:pPr>
              <w:pStyle w:val="BoxSpaceBelow"/>
            </w:pPr>
          </w:p>
        </w:tc>
      </w:tr>
    </w:tbl>
    <w:p w14:paraId="178982A9" w14:textId="77777777" w:rsidR="00B40022" w:rsidRDefault="00BE03D5" w:rsidP="00B40022">
      <w:pPr>
        <w:pStyle w:val="Heading3"/>
      </w:pPr>
      <w:proofErr w:type="spellStart"/>
      <w:r w:rsidRPr="00962C7F">
        <w:t>S</w:t>
      </w:r>
      <w:r>
        <w:t>A3</w:t>
      </w:r>
      <w:proofErr w:type="spellEnd"/>
      <w:r w:rsidR="00B40022" w:rsidRPr="00962C7F">
        <w:t xml:space="preserve">: </w:t>
      </w:r>
      <w:r w:rsidR="00B40022" w:rsidRPr="00A35F19">
        <w:t>Savings response to policy</w:t>
      </w:r>
    </w:p>
    <w:p w14:paraId="11664A3D" w14:textId="77777777" w:rsidR="00B40022" w:rsidRDefault="00B40022" w:rsidP="00B40022">
      <w:pPr>
        <w:pStyle w:val="BodyText"/>
      </w:pPr>
      <w:r>
        <w:t xml:space="preserve">Under the original scenario, it is assumed that households do not alter their savings rates in response to a change in the </w:t>
      </w:r>
      <w:r w:rsidR="00265F10">
        <w:t>preservation</w:t>
      </w:r>
      <w:r w:rsidR="009E3E77">
        <w:t xml:space="preserve"> age</w:t>
      </w:r>
      <w:r>
        <w:t xml:space="preserve">. However, to the extent that increasing the </w:t>
      </w:r>
      <w:r w:rsidR="00265F10">
        <w:t>preservation</w:t>
      </w:r>
      <w:r w:rsidR="009E3E77">
        <w:t xml:space="preserve"> age</w:t>
      </w:r>
      <w:r>
        <w:t xml:space="preserve"> makes investing in superannuation less desirable, we would expect some individuals to substitute (at least part) of their savings away from superannuation into other savings vehicles. </w:t>
      </w:r>
    </w:p>
    <w:p w14:paraId="1C3ACC85" w14:textId="594CED1E" w:rsidR="00B40022" w:rsidRDefault="00B40022" w:rsidP="00B40022">
      <w:pPr>
        <w:pStyle w:val="BodyText"/>
      </w:pPr>
      <w:r>
        <w:lastRenderedPageBreak/>
        <w:t xml:space="preserve">This sensitivity analysis attempts to analyse (albeit simply) the effect of this substitution by assuming that households respond to an increase in the </w:t>
      </w:r>
      <w:r w:rsidR="00265F10">
        <w:t>preservation</w:t>
      </w:r>
      <w:r w:rsidR="009E3E77">
        <w:t xml:space="preserve"> age</w:t>
      </w:r>
      <w:r>
        <w:t xml:space="preserve"> by switching 30 per cent of their voluntary concessional contributions to non</w:t>
      </w:r>
      <w:r w:rsidR="00B86FE0">
        <w:noBreakHyphen/>
      </w:r>
      <w:r>
        <w:t>super</w:t>
      </w:r>
      <w:r w:rsidR="00126026">
        <w:t>annuation</w:t>
      </w:r>
      <w:r>
        <w:t xml:space="preserve"> savings if they are past the age of 50. This leads to a smaller increase in the participation rate of older workers (because </w:t>
      </w:r>
      <w:r w:rsidR="00126026">
        <w:t xml:space="preserve">the </w:t>
      </w:r>
      <w:r>
        <w:t xml:space="preserve">amount of savings that is affected by a </w:t>
      </w:r>
      <w:r w:rsidR="00265F10">
        <w:t>preservation</w:t>
      </w:r>
      <w:r w:rsidR="009E3E77">
        <w:t xml:space="preserve"> age</w:t>
      </w:r>
      <w:r>
        <w:t xml:space="preserve"> change</w:t>
      </w:r>
      <w:r w:rsidR="00126026" w:rsidRPr="00126026">
        <w:t xml:space="preserve"> </w:t>
      </w:r>
      <w:r w:rsidR="00126026">
        <w:t>is smaller</w:t>
      </w:r>
      <w:r>
        <w:t>) and a</w:t>
      </w:r>
      <w:r w:rsidR="004368B9">
        <w:t>n</w:t>
      </w:r>
      <w:r>
        <w:t xml:space="preserve"> </w:t>
      </w:r>
      <w:r w:rsidR="004368B9">
        <w:t>increase in</w:t>
      </w:r>
      <w:r>
        <w:t xml:space="preserve"> the government’s net fiscal position (because non</w:t>
      </w:r>
      <w:r w:rsidR="00E65127">
        <w:noBreakHyphen/>
      </w:r>
      <w:r>
        <w:t>super</w:t>
      </w:r>
      <w:r w:rsidR="00126026">
        <w:t>annuation</w:t>
      </w:r>
      <w:r>
        <w:t xml:space="preserve"> assets are taxed at a greater rate than super</w:t>
      </w:r>
      <w:r w:rsidR="00126026">
        <w:t>annuation</w:t>
      </w:r>
      <w:r>
        <w:t xml:space="preserve"> assets for households that make large concessional contributions) (table </w:t>
      </w:r>
      <w:r w:rsidR="00D85DB3">
        <w:t>6.5</w:t>
      </w:r>
      <w:r>
        <w:t>).</w:t>
      </w:r>
    </w:p>
    <w:p w14:paraId="16C4D34D" w14:textId="70C42CE8" w:rsidR="00B40022" w:rsidRDefault="00B40022" w:rsidP="00B40022">
      <w:pPr>
        <w:pStyle w:val="BoxSpaceAbove"/>
      </w:pPr>
    </w:p>
    <w:tbl>
      <w:tblPr>
        <w:tblW w:w="0" w:type="auto"/>
        <w:tblInd w:w="164" w:type="dxa"/>
        <w:tblBorders>
          <w:top w:val="single" w:sz="6" w:space="0" w:color="auto"/>
          <w:left w:val="single" w:sz="6" w:space="0" w:color="auto"/>
          <w:bottom w:val="single" w:sz="6" w:space="0" w:color="auto"/>
          <w:right w:val="single" w:sz="6" w:space="0" w:color="auto"/>
        </w:tblBorders>
        <w:tblCellMar>
          <w:left w:w="142" w:type="dxa"/>
          <w:right w:w="142" w:type="dxa"/>
        </w:tblCellMar>
        <w:tblLook w:val="0000" w:firstRow="0" w:lastRow="0" w:firstColumn="0" w:lastColumn="0" w:noHBand="0" w:noVBand="0"/>
      </w:tblPr>
      <w:tblGrid>
        <w:gridCol w:w="8771"/>
      </w:tblGrid>
      <w:tr w:rsidR="00B40022" w14:paraId="28D226E2" w14:textId="77777777" w:rsidTr="00B40022">
        <w:tc>
          <w:tcPr>
            <w:tcW w:w="8771" w:type="dxa"/>
            <w:tcBorders>
              <w:top w:val="single" w:sz="6" w:space="0" w:color="78A22F"/>
              <w:left w:val="nil"/>
              <w:bottom w:val="nil"/>
              <w:right w:val="nil"/>
            </w:tcBorders>
            <w:shd w:val="clear" w:color="auto" w:fill="auto"/>
          </w:tcPr>
          <w:p w14:paraId="17EAE14E" w14:textId="6D060CF4" w:rsidR="00B40022" w:rsidRPr="00FA543D" w:rsidRDefault="00B40022" w:rsidP="005F2E7A">
            <w:pPr>
              <w:pStyle w:val="TableTitle"/>
            </w:pPr>
            <w:r>
              <w:rPr>
                <w:b w:val="0"/>
              </w:rPr>
              <w:t xml:space="preserve">Table </w:t>
            </w:r>
            <w:bookmarkStart w:id="8" w:name="OLE_LINK6"/>
            <w:r w:rsidR="00D85DB3">
              <w:rPr>
                <w:b w:val="0"/>
              </w:rPr>
              <w:t>6.</w:t>
            </w:r>
            <w:r w:rsidR="00D85DB3">
              <w:rPr>
                <w:b w:val="0"/>
                <w:noProof/>
              </w:rPr>
              <w:t>5</w:t>
            </w:r>
            <w:bookmarkEnd w:id="8"/>
            <w:r>
              <w:tab/>
            </w:r>
            <w:proofErr w:type="spellStart"/>
            <w:r w:rsidR="005F2E7A">
              <w:t>SA3</w:t>
            </w:r>
            <w:proofErr w:type="spellEnd"/>
            <w:r w:rsidR="005F2E7A">
              <w:t xml:space="preserve"> </w:t>
            </w:r>
            <w:r>
              <w:t>results in 2055</w:t>
            </w:r>
          </w:p>
        </w:tc>
      </w:tr>
      <w:tr w:rsidR="00B40022" w14:paraId="3BF574C0" w14:textId="77777777" w:rsidTr="00B40022">
        <w:trPr>
          <w:cantSplit/>
        </w:trPr>
        <w:tc>
          <w:tcPr>
            <w:tcW w:w="8771" w:type="dxa"/>
            <w:tcBorders>
              <w:top w:val="nil"/>
              <w:left w:val="nil"/>
              <w:bottom w:val="nil"/>
              <w:right w:val="nil"/>
            </w:tcBorders>
            <w:shd w:val="clear" w:color="auto" w:fill="auto"/>
          </w:tcPr>
          <w:tbl>
            <w:tblPr>
              <w:tblW w:w="5000" w:type="pct"/>
              <w:tblCellMar>
                <w:top w:w="28" w:type="dxa"/>
                <w:left w:w="0" w:type="dxa"/>
                <w:right w:w="0" w:type="dxa"/>
              </w:tblCellMar>
              <w:tblLook w:val="0000" w:firstRow="0" w:lastRow="0" w:firstColumn="0" w:lastColumn="0" w:noHBand="0" w:noVBand="0"/>
            </w:tblPr>
            <w:tblGrid>
              <w:gridCol w:w="3132"/>
              <w:gridCol w:w="1972"/>
              <w:gridCol w:w="1395"/>
              <w:gridCol w:w="1988"/>
            </w:tblGrid>
            <w:tr w:rsidR="00B40022" w14:paraId="7DBB20DB" w14:textId="77777777" w:rsidTr="00C74CDD">
              <w:tc>
                <w:tcPr>
                  <w:tcW w:w="1845" w:type="pct"/>
                  <w:tcBorders>
                    <w:top w:val="single" w:sz="6" w:space="0" w:color="BFBFBF"/>
                    <w:bottom w:val="single" w:sz="6" w:space="0" w:color="BFBFBF"/>
                  </w:tcBorders>
                  <w:shd w:val="clear" w:color="auto" w:fill="auto"/>
                  <w:tcMar>
                    <w:top w:w="28" w:type="dxa"/>
                  </w:tcMar>
                </w:tcPr>
                <w:p w14:paraId="212A72C3" w14:textId="77777777" w:rsidR="00B40022" w:rsidRDefault="00B40022" w:rsidP="00B40022">
                  <w:pPr>
                    <w:pStyle w:val="TableColumnHeading"/>
                    <w:jc w:val="left"/>
                  </w:pPr>
                </w:p>
              </w:tc>
              <w:tc>
                <w:tcPr>
                  <w:tcW w:w="1162" w:type="pct"/>
                  <w:tcBorders>
                    <w:top w:val="single" w:sz="6" w:space="0" w:color="BFBFBF"/>
                    <w:bottom w:val="single" w:sz="6" w:space="0" w:color="BFBFBF"/>
                  </w:tcBorders>
                  <w:shd w:val="clear" w:color="auto" w:fill="auto"/>
                  <w:tcMar>
                    <w:top w:w="28" w:type="dxa"/>
                  </w:tcMar>
                </w:tcPr>
                <w:p w14:paraId="74816154" w14:textId="77777777" w:rsidR="00B40022" w:rsidRDefault="00B40022" w:rsidP="00B40022">
                  <w:pPr>
                    <w:pStyle w:val="TableColumnHeading"/>
                  </w:pPr>
                  <w:r>
                    <w:t>Units</w:t>
                  </w:r>
                </w:p>
              </w:tc>
              <w:tc>
                <w:tcPr>
                  <w:tcW w:w="822" w:type="pct"/>
                  <w:tcBorders>
                    <w:top w:val="single" w:sz="6" w:space="0" w:color="BFBFBF"/>
                    <w:bottom w:val="single" w:sz="6" w:space="0" w:color="BFBFBF"/>
                  </w:tcBorders>
                </w:tcPr>
                <w:p w14:paraId="227FC017" w14:textId="77777777" w:rsidR="00B40022" w:rsidRDefault="00B40022" w:rsidP="00B40022">
                  <w:pPr>
                    <w:pStyle w:val="TableColumnHeading"/>
                    <w:ind w:right="28"/>
                  </w:pPr>
                  <w:r>
                    <w:t>Original</w:t>
                  </w:r>
                </w:p>
              </w:tc>
              <w:tc>
                <w:tcPr>
                  <w:tcW w:w="1171" w:type="pct"/>
                  <w:tcBorders>
                    <w:top w:val="single" w:sz="6" w:space="0" w:color="BFBFBF"/>
                    <w:bottom w:val="single" w:sz="6" w:space="0" w:color="BFBFBF"/>
                  </w:tcBorders>
                  <w:shd w:val="clear" w:color="auto" w:fill="auto"/>
                  <w:tcMar>
                    <w:top w:w="28" w:type="dxa"/>
                  </w:tcMar>
                </w:tcPr>
                <w:p w14:paraId="19F8ED7A" w14:textId="77777777" w:rsidR="00B40022" w:rsidRDefault="00B40022" w:rsidP="00B40022">
                  <w:pPr>
                    <w:pStyle w:val="TableColumnHeading"/>
                    <w:ind w:right="28"/>
                  </w:pPr>
                  <w:r>
                    <w:t>Savings response to policy</w:t>
                  </w:r>
                </w:p>
              </w:tc>
            </w:tr>
            <w:tr w:rsidR="00803039" w14:paraId="21186A02" w14:textId="77777777" w:rsidTr="00C74CDD">
              <w:tc>
                <w:tcPr>
                  <w:tcW w:w="1845" w:type="pct"/>
                </w:tcPr>
                <w:p w14:paraId="0EE872F7" w14:textId="15216A0A" w:rsidR="00803039" w:rsidRDefault="00803039" w:rsidP="00B40022">
                  <w:pPr>
                    <w:pStyle w:val="TableBodyText"/>
                    <w:jc w:val="left"/>
                  </w:pPr>
                  <w:r w:rsidRPr="006E4466">
                    <w:t>Change in participa</w:t>
                  </w:r>
                  <w:r>
                    <w:t>tion rate of 50</w:t>
                  </w:r>
                  <w:r w:rsidR="00B86FE0">
                    <w:noBreakHyphen/>
                  </w:r>
                  <w:r>
                    <w:t xml:space="preserve">64 year olds </w:t>
                  </w:r>
                </w:p>
              </w:tc>
              <w:tc>
                <w:tcPr>
                  <w:tcW w:w="1162" w:type="pct"/>
                </w:tcPr>
                <w:p w14:paraId="068F1585" w14:textId="77777777" w:rsidR="00803039" w:rsidRDefault="00803039" w:rsidP="00B40022">
                  <w:pPr>
                    <w:pStyle w:val="TableBodyText"/>
                  </w:pPr>
                  <w:r>
                    <w:t>Percentage point</w:t>
                  </w:r>
                </w:p>
              </w:tc>
              <w:tc>
                <w:tcPr>
                  <w:tcW w:w="822" w:type="pct"/>
                  <w:vAlign w:val="center"/>
                </w:tcPr>
                <w:p w14:paraId="3A39541A" w14:textId="77777777" w:rsidR="00803039" w:rsidRDefault="00803039" w:rsidP="00B40022">
                  <w:pPr>
                    <w:pStyle w:val="TableBodyText"/>
                  </w:pPr>
                  <w:r>
                    <w:rPr>
                      <w:rFonts w:cs="Arial"/>
                      <w:color w:val="000000"/>
                      <w:szCs w:val="18"/>
                    </w:rPr>
                    <w:t>2.0</w:t>
                  </w:r>
                </w:p>
              </w:tc>
              <w:tc>
                <w:tcPr>
                  <w:tcW w:w="1171" w:type="pct"/>
                  <w:vAlign w:val="center"/>
                </w:tcPr>
                <w:p w14:paraId="445C398B" w14:textId="77777777" w:rsidR="00803039" w:rsidRDefault="00803039" w:rsidP="00B40022">
                  <w:pPr>
                    <w:pStyle w:val="TableBodyText"/>
                  </w:pPr>
                  <w:r>
                    <w:rPr>
                      <w:rFonts w:cs="Arial"/>
                      <w:color w:val="000000"/>
                      <w:szCs w:val="18"/>
                    </w:rPr>
                    <w:t>1.9</w:t>
                  </w:r>
                </w:p>
              </w:tc>
            </w:tr>
            <w:tr w:rsidR="00803039" w14:paraId="6FE7362A" w14:textId="77777777" w:rsidTr="00C74CDD">
              <w:tc>
                <w:tcPr>
                  <w:tcW w:w="1845" w:type="pct"/>
                </w:tcPr>
                <w:p w14:paraId="40A78068" w14:textId="77777777" w:rsidR="00803039" w:rsidRDefault="00803039" w:rsidP="00B40022">
                  <w:pPr>
                    <w:pStyle w:val="TableBodyText"/>
                    <w:jc w:val="left"/>
                  </w:pPr>
                  <w:r>
                    <w:t>Government expenses</w:t>
                  </w:r>
                </w:p>
              </w:tc>
              <w:tc>
                <w:tcPr>
                  <w:tcW w:w="1162" w:type="pct"/>
                </w:tcPr>
                <w:p w14:paraId="74F5D9AA" w14:textId="3DB5531B" w:rsidR="00803039" w:rsidRDefault="00803039" w:rsidP="00B40022">
                  <w:pPr>
                    <w:pStyle w:val="TableBodyText"/>
                  </w:pPr>
                  <w:r>
                    <w:t>$b in 2015 prices</w:t>
                  </w:r>
                </w:p>
              </w:tc>
              <w:tc>
                <w:tcPr>
                  <w:tcW w:w="822" w:type="pct"/>
                  <w:vAlign w:val="center"/>
                </w:tcPr>
                <w:p w14:paraId="16AC3E54" w14:textId="628C0D61" w:rsidR="00803039" w:rsidRDefault="00B86FE0" w:rsidP="00B40022">
                  <w:pPr>
                    <w:pStyle w:val="TableBodyText"/>
                  </w:pPr>
                  <w:r>
                    <w:rPr>
                      <w:rFonts w:cs="Arial"/>
                      <w:color w:val="000000"/>
                      <w:szCs w:val="18"/>
                    </w:rPr>
                    <w:noBreakHyphen/>
                  </w:r>
                  <w:r w:rsidR="00803039">
                    <w:rPr>
                      <w:rFonts w:cs="Arial"/>
                      <w:color w:val="000000"/>
                      <w:szCs w:val="18"/>
                    </w:rPr>
                    <w:t>2.0</w:t>
                  </w:r>
                </w:p>
              </w:tc>
              <w:tc>
                <w:tcPr>
                  <w:tcW w:w="1171" w:type="pct"/>
                  <w:vAlign w:val="center"/>
                </w:tcPr>
                <w:p w14:paraId="68DFE1D2" w14:textId="7DB6F7C3" w:rsidR="00803039" w:rsidRDefault="00B86FE0" w:rsidP="00B40022">
                  <w:pPr>
                    <w:pStyle w:val="TableBodyText"/>
                  </w:pPr>
                  <w:r>
                    <w:rPr>
                      <w:rFonts w:cs="Arial"/>
                      <w:color w:val="000000"/>
                      <w:szCs w:val="18"/>
                    </w:rPr>
                    <w:noBreakHyphen/>
                  </w:r>
                  <w:r w:rsidR="00803039">
                    <w:rPr>
                      <w:rFonts w:cs="Arial"/>
                      <w:color w:val="000000"/>
                      <w:szCs w:val="18"/>
                    </w:rPr>
                    <w:t>1.5</w:t>
                  </w:r>
                </w:p>
              </w:tc>
            </w:tr>
            <w:tr w:rsidR="00803039" w14:paraId="2A39AD04" w14:textId="77777777" w:rsidTr="00C74CDD">
              <w:tc>
                <w:tcPr>
                  <w:tcW w:w="1845" w:type="pct"/>
                  <w:shd w:val="clear" w:color="auto" w:fill="auto"/>
                </w:tcPr>
                <w:p w14:paraId="1415D349" w14:textId="77777777" w:rsidR="00803039" w:rsidRDefault="00803039" w:rsidP="00B40022">
                  <w:pPr>
                    <w:pStyle w:val="TableBodyText"/>
                    <w:jc w:val="left"/>
                  </w:pPr>
                  <w:r>
                    <w:t>Government tax receipts</w:t>
                  </w:r>
                </w:p>
              </w:tc>
              <w:tc>
                <w:tcPr>
                  <w:tcW w:w="1162" w:type="pct"/>
                  <w:shd w:val="clear" w:color="auto" w:fill="auto"/>
                </w:tcPr>
                <w:p w14:paraId="24574BE5" w14:textId="7041FEDC" w:rsidR="00803039" w:rsidRDefault="00803039" w:rsidP="00B40022">
                  <w:pPr>
                    <w:pStyle w:val="TableBodyText"/>
                  </w:pPr>
                  <w:r>
                    <w:t>$b in 2015 prices</w:t>
                  </w:r>
                </w:p>
              </w:tc>
              <w:tc>
                <w:tcPr>
                  <w:tcW w:w="822" w:type="pct"/>
                  <w:vAlign w:val="center"/>
                </w:tcPr>
                <w:p w14:paraId="440768C2" w14:textId="77777777" w:rsidR="00803039" w:rsidRDefault="00803039" w:rsidP="00B40022">
                  <w:pPr>
                    <w:pStyle w:val="TableBodyText"/>
                  </w:pPr>
                  <w:r>
                    <w:rPr>
                      <w:rFonts w:cs="Arial"/>
                      <w:color w:val="000000"/>
                      <w:szCs w:val="18"/>
                    </w:rPr>
                    <w:t>5.2</w:t>
                  </w:r>
                </w:p>
              </w:tc>
              <w:tc>
                <w:tcPr>
                  <w:tcW w:w="1171" w:type="pct"/>
                  <w:shd w:val="clear" w:color="auto" w:fill="auto"/>
                  <w:vAlign w:val="center"/>
                </w:tcPr>
                <w:p w14:paraId="6B4AA8C6" w14:textId="77777777" w:rsidR="00803039" w:rsidRDefault="00803039" w:rsidP="00B40022">
                  <w:pPr>
                    <w:pStyle w:val="TableBodyText"/>
                  </w:pPr>
                  <w:r>
                    <w:rPr>
                      <w:rFonts w:cs="Arial"/>
                      <w:color w:val="000000"/>
                      <w:szCs w:val="18"/>
                    </w:rPr>
                    <w:t>6.5</w:t>
                  </w:r>
                </w:p>
              </w:tc>
            </w:tr>
            <w:tr w:rsidR="00803039" w14:paraId="0BAC54AB" w14:textId="77777777" w:rsidTr="00C74CDD">
              <w:tc>
                <w:tcPr>
                  <w:tcW w:w="1845" w:type="pct"/>
                  <w:tcBorders>
                    <w:bottom w:val="single" w:sz="6" w:space="0" w:color="BFBFBF"/>
                  </w:tcBorders>
                  <w:shd w:val="clear" w:color="auto" w:fill="auto"/>
                </w:tcPr>
                <w:p w14:paraId="01AF3A50" w14:textId="77777777" w:rsidR="00803039" w:rsidRDefault="00803039" w:rsidP="00B40022">
                  <w:pPr>
                    <w:pStyle w:val="TableBodyText"/>
                    <w:jc w:val="left"/>
                  </w:pPr>
                  <w:r>
                    <w:t>Net government fiscal position</w:t>
                  </w:r>
                </w:p>
              </w:tc>
              <w:tc>
                <w:tcPr>
                  <w:tcW w:w="1162" w:type="pct"/>
                  <w:tcBorders>
                    <w:bottom w:val="single" w:sz="6" w:space="0" w:color="BFBFBF"/>
                  </w:tcBorders>
                  <w:shd w:val="clear" w:color="auto" w:fill="auto"/>
                </w:tcPr>
                <w:p w14:paraId="3A5CC9F5" w14:textId="2EDB25C6" w:rsidR="00803039" w:rsidRDefault="00803039" w:rsidP="00B40022">
                  <w:pPr>
                    <w:pStyle w:val="TableBodyText"/>
                  </w:pPr>
                  <w:r>
                    <w:t>$b in 2015 prices</w:t>
                  </w:r>
                </w:p>
              </w:tc>
              <w:tc>
                <w:tcPr>
                  <w:tcW w:w="822" w:type="pct"/>
                  <w:tcBorders>
                    <w:bottom w:val="single" w:sz="6" w:space="0" w:color="BFBFBF"/>
                  </w:tcBorders>
                  <w:vAlign w:val="center"/>
                </w:tcPr>
                <w:p w14:paraId="14BC8D02" w14:textId="77777777" w:rsidR="00803039" w:rsidRDefault="00803039" w:rsidP="00B40022">
                  <w:pPr>
                    <w:pStyle w:val="TableBodyText"/>
                  </w:pPr>
                  <w:r>
                    <w:rPr>
                      <w:rFonts w:cs="Arial"/>
                      <w:color w:val="000000"/>
                      <w:szCs w:val="18"/>
                    </w:rPr>
                    <w:t>7.2</w:t>
                  </w:r>
                </w:p>
              </w:tc>
              <w:tc>
                <w:tcPr>
                  <w:tcW w:w="1171" w:type="pct"/>
                  <w:tcBorders>
                    <w:bottom w:val="single" w:sz="6" w:space="0" w:color="BFBFBF"/>
                  </w:tcBorders>
                  <w:shd w:val="clear" w:color="auto" w:fill="auto"/>
                  <w:vAlign w:val="center"/>
                </w:tcPr>
                <w:p w14:paraId="207A3768" w14:textId="77777777" w:rsidR="00803039" w:rsidRDefault="00803039" w:rsidP="00B40022">
                  <w:pPr>
                    <w:pStyle w:val="TableBodyText"/>
                  </w:pPr>
                  <w:r>
                    <w:rPr>
                      <w:rFonts w:cs="Arial"/>
                      <w:color w:val="000000"/>
                      <w:szCs w:val="18"/>
                    </w:rPr>
                    <w:t>8.1</w:t>
                  </w:r>
                </w:p>
              </w:tc>
            </w:tr>
          </w:tbl>
          <w:p w14:paraId="6D38ED53" w14:textId="77777777" w:rsidR="00B40022" w:rsidRDefault="00B40022" w:rsidP="00B40022">
            <w:pPr>
              <w:pStyle w:val="Box"/>
            </w:pPr>
          </w:p>
        </w:tc>
      </w:tr>
      <w:tr w:rsidR="00B40022" w14:paraId="2025B498" w14:textId="77777777" w:rsidTr="00B40022">
        <w:trPr>
          <w:cantSplit/>
        </w:trPr>
        <w:tc>
          <w:tcPr>
            <w:tcW w:w="8771" w:type="dxa"/>
            <w:tcBorders>
              <w:top w:val="nil"/>
              <w:left w:val="nil"/>
              <w:bottom w:val="nil"/>
              <w:right w:val="nil"/>
            </w:tcBorders>
            <w:shd w:val="clear" w:color="auto" w:fill="auto"/>
          </w:tcPr>
          <w:p w14:paraId="444EDA9E" w14:textId="0D794B71" w:rsidR="00B40022" w:rsidRDefault="0061143E" w:rsidP="00B40022">
            <w:pPr>
              <w:pStyle w:val="Source"/>
            </w:pPr>
            <w:r>
              <w:rPr>
                <w:i/>
              </w:rPr>
              <w:t>Source</w:t>
            </w:r>
            <w:r w:rsidRPr="00167F06">
              <w:t xml:space="preserve">: </w:t>
            </w:r>
            <w:r>
              <w:t>Commission estimates</w:t>
            </w:r>
            <w:r w:rsidR="00C74CDD">
              <w:t>.</w:t>
            </w:r>
          </w:p>
        </w:tc>
      </w:tr>
      <w:tr w:rsidR="00B40022" w14:paraId="1DAA618D" w14:textId="77777777" w:rsidTr="00B40022">
        <w:trPr>
          <w:cantSplit/>
        </w:trPr>
        <w:tc>
          <w:tcPr>
            <w:tcW w:w="8771" w:type="dxa"/>
            <w:tcBorders>
              <w:top w:val="nil"/>
              <w:left w:val="nil"/>
              <w:bottom w:val="single" w:sz="6" w:space="0" w:color="78A22F"/>
              <w:right w:val="nil"/>
            </w:tcBorders>
            <w:shd w:val="clear" w:color="auto" w:fill="auto"/>
          </w:tcPr>
          <w:p w14:paraId="618DF2D9" w14:textId="77777777" w:rsidR="00B40022" w:rsidRDefault="00B40022" w:rsidP="00B40022">
            <w:pPr>
              <w:pStyle w:val="Box"/>
              <w:spacing w:before="0" w:line="120" w:lineRule="exact"/>
            </w:pPr>
          </w:p>
        </w:tc>
      </w:tr>
      <w:tr w:rsidR="00B40022" w:rsidRPr="000863A5" w14:paraId="6FD3EB9E" w14:textId="77777777" w:rsidTr="00B40022">
        <w:tc>
          <w:tcPr>
            <w:tcW w:w="8771" w:type="dxa"/>
            <w:tcBorders>
              <w:top w:val="single" w:sz="6" w:space="0" w:color="78A22F"/>
              <w:left w:val="nil"/>
              <w:bottom w:val="nil"/>
              <w:right w:val="nil"/>
            </w:tcBorders>
          </w:tcPr>
          <w:p w14:paraId="2C6D1539" w14:textId="30FBB47F" w:rsidR="00B40022" w:rsidRPr="00626D32" w:rsidRDefault="00B40022" w:rsidP="00B40022">
            <w:pPr>
              <w:pStyle w:val="BoxSpaceBelow"/>
            </w:pPr>
          </w:p>
        </w:tc>
      </w:tr>
    </w:tbl>
    <w:p w14:paraId="30030A47" w14:textId="77777777" w:rsidR="00E45CFD" w:rsidRDefault="00AF76D8" w:rsidP="00E45CFD">
      <w:pPr>
        <w:pStyle w:val="Heading3"/>
      </w:pPr>
      <w:proofErr w:type="spellStart"/>
      <w:r w:rsidRPr="00962C7F">
        <w:t>S</w:t>
      </w:r>
      <w:r>
        <w:t>A4</w:t>
      </w:r>
      <w:proofErr w:type="spellEnd"/>
      <w:r w:rsidR="00E45CFD" w:rsidRPr="00962C7F">
        <w:t xml:space="preserve">: </w:t>
      </w:r>
      <w:r w:rsidR="00E45CFD" w:rsidRPr="00A35F19">
        <w:t xml:space="preserve">Alternative </w:t>
      </w:r>
      <w:proofErr w:type="spellStart"/>
      <w:r w:rsidR="00E45CFD" w:rsidRPr="00A35F19">
        <w:t>TTR</w:t>
      </w:r>
      <w:proofErr w:type="spellEnd"/>
      <w:r w:rsidR="00E45CFD" w:rsidRPr="00A35F19">
        <w:t xml:space="preserve"> behaviour</w:t>
      </w:r>
    </w:p>
    <w:p w14:paraId="7FAE259F" w14:textId="4E17F02D" w:rsidR="00E45CFD" w:rsidRDefault="00E45CFD" w:rsidP="00E45CFD">
      <w:pPr>
        <w:pStyle w:val="BodyText"/>
      </w:pPr>
      <w:r>
        <w:t>Under the original scenario, wealthy households use Transition to Retirement (</w:t>
      </w:r>
      <w:proofErr w:type="spellStart"/>
      <w:r>
        <w:t>TTR</w:t>
      </w:r>
      <w:proofErr w:type="spellEnd"/>
      <w:r>
        <w:t>) arrangements to reduce their tax liabilities (</w:t>
      </w:r>
      <w:r w:rsidR="004A10CA">
        <w:t>modelling supplement</w:t>
      </w:r>
      <w:r w:rsidR="00C02682">
        <w:t> </w:t>
      </w:r>
      <w:r w:rsidR="004A10CA">
        <w:t>2</w:t>
      </w:r>
      <w:r>
        <w:t xml:space="preserve">) but only to the extent that it is currently observed in the data. Under this sensitivity analysis scenario, wealthy households use this strategy to its fullest extent by contributing up to the concessional cap and withdrawing an equivalent amount from their </w:t>
      </w:r>
      <w:r w:rsidR="00C02682">
        <w:t>account</w:t>
      </w:r>
      <w:r w:rsidR="00B86FE0">
        <w:noBreakHyphen/>
      </w:r>
      <w:r w:rsidR="00C02682">
        <w:t>based</w:t>
      </w:r>
      <w:r>
        <w:t xml:space="preserve"> pension.</w:t>
      </w:r>
    </w:p>
    <w:p w14:paraId="56E6512D" w14:textId="3CDAD888" w:rsidR="00E45CFD" w:rsidRDefault="00E45CFD" w:rsidP="00E45CFD">
      <w:pPr>
        <w:pStyle w:val="BodyText"/>
      </w:pPr>
      <w:r>
        <w:t xml:space="preserve">Assuming alternative </w:t>
      </w:r>
      <w:proofErr w:type="spellStart"/>
      <w:r>
        <w:t>TTR</w:t>
      </w:r>
      <w:proofErr w:type="spellEnd"/>
      <w:r>
        <w:t xml:space="preserve"> behaviour results in a smaller increase in the participation rate and a larger increase in the government’s net fiscal position (table </w:t>
      </w:r>
      <w:r w:rsidR="00D85DB3">
        <w:t>6.6</w:t>
      </w:r>
      <w:r>
        <w:t xml:space="preserve">): </w:t>
      </w:r>
    </w:p>
    <w:p w14:paraId="5CC51452" w14:textId="6792618A" w:rsidR="00E45CFD" w:rsidRDefault="00E45CFD" w:rsidP="00E45CFD">
      <w:pPr>
        <w:pStyle w:val="ListBullet"/>
      </w:pPr>
      <w:r>
        <w:t>Under the revised base case, the incentive to retire is reduced because households have higher after</w:t>
      </w:r>
      <w:r w:rsidR="00B86FE0">
        <w:noBreakHyphen/>
      </w:r>
      <w:r>
        <w:t>tax incomes while working. This leads to a smaller increase in the participation rate.</w:t>
      </w:r>
    </w:p>
    <w:p w14:paraId="0FA979FD" w14:textId="77777777" w:rsidR="00E45CFD" w:rsidRDefault="00E45CFD" w:rsidP="00E45CFD">
      <w:pPr>
        <w:pStyle w:val="ListBullet"/>
      </w:pPr>
      <w:r>
        <w:t>I</w:t>
      </w:r>
      <w:r w:rsidRPr="00BC1D2A">
        <w:t>ndividuals are minimising their tax more aggressiv</w:t>
      </w:r>
      <w:r>
        <w:t>ely under the revised base case</w:t>
      </w:r>
      <w:r w:rsidRPr="00BC1D2A">
        <w:t xml:space="preserve"> and increasing the </w:t>
      </w:r>
      <w:r w:rsidR="00265F10">
        <w:t>preservation</w:t>
      </w:r>
      <w:r w:rsidR="009E3E77">
        <w:t xml:space="preserve"> age</w:t>
      </w:r>
      <w:r w:rsidRPr="00BC1D2A">
        <w:t xml:space="preserve"> limits this form of tax minimisation</w:t>
      </w:r>
      <w:r>
        <w:t>. This leads to larger increases in the government’s net fiscal position.</w:t>
      </w:r>
    </w:p>
    <w:p w14:paraId="73B99D79" w14:textId="43483B7C" w:rsidR="00E45CFD" w:rsidRDefault="00E45CFD" w:rsidP="00E45CFD">
      <w:pPr>
        <w:pStyle w:val="BoxSpaceAbove"/>
      </w:pPr>
    </w:p>
    <w:tbl>
      <w:tblPr>
        <w:tblW w:w="0" w:type="auto"/>
        <w:tblInd w:w="164" w:type="dxa"/>
        <w:tblBorders>
          <w:top w:val="single" w:sz="6" w:space="0" w:color="auto"/>
          <w:left w:val="single" w:sz="6" w:space="0" w:color="auto"/>
          <w:bottom w:val="single" w:sz="6" w:space="0" w:color="auto"/>
          <w:right w:val="single" w:sz="6" w:space="0" w:color="auto"/>
        </w:tblBorders>
        <w:tblCellMar>
          <w:left w:w="142" w:type="dxa"/>
          <w:right w:w="142" w:type="dxa"/>
        </w:tblCellMar>
        <w:tblLook w:val="0000" w:firstRow="0" w:lastRow="0" w:firstColumn="0" w:lastColumn="0" w:noHBand="0" w:noVBand="0"/>
      </w:tblPr>
      <w:tblGrid>
        <w:gridCol w:w="8771"/>
      </w:tblGrid>
      <w:tr w:rsidR="00E45CFD" w14:paraId="1B2DCB6D" w14:textId="77777777" w:rsidTr="001411CF">
        <w:tc>
          <w:tcPr>
            <w:tcW w:w="8771" w:type="dxa"/>
            <w:tcBorders>
              <w:top w:val="single" w:sz="6" w:space="0" w:color="78A22F"/>
              <w:left w:val="nil"/>
              <w:bottom w:val="nil"/>
              <w:right w:val="nil"/>
            </w:tcBorders>
            <w:shd w:val="clear" w:color="auto" w:fill="auto"/>
          </w:tcPr>
          <w:p w14:paraId="32DB1E7F" w14:textId="548F26C7" w:rsidR="00E45CFD" w:rsidRPr="00FA543D" w:rsidRDefault="00E45CFD" w:rsidP="005F2E7A">
            <w:pPr>
              <w:pStyle w:val="TableTitle"/>
            </w:pPr>
            <w:r>
              <w:rPr>
                <w:b w:val="0"/>
              </w:rPr>
              <w:t xml:space="preserve">Table </w:t>
            </w:r>
            <w:bookmarkStart w:id="9" w:name="OLE_LINK38"/>
            <w:r w:rsidR="00D85DB3">
              <w:rPr>
                <w:b w:val="0"/>
              </w:rPr>
              <w:t>6.</w:t>
            </w:r>
            <w:r w:rsidR="00D85DB3">
              <w:rPr>
                <w:b w:val="0"/>
                <w:noProof/>
              </w:rPr>
              <w:t>6</w:t>
            </w:r>
            <w:bookmarkEnd w:id="9"/>
            <w:r>
              <w:tab/>
            </w:r>
            <w:proofErr w:type="spellStart"/>
            <w:r w:rsidR="005F2E7A">
              <w:t>SA4</w:t>
            </w:r>
            <w:proofErr w:type="spellEnd"/>
            <w:r w:rsidR="005F2E7A">
              <w:t xml:space="preserve"> </w:t>
            </w:r>
            <w:r>
              <w:t>results in 2055</w:t>
            </w:r>
          </w:p>
        </w:tc>
      </w:tr>
      <w:tr w:rsidR="00E45CFD" w14:paraId="24F92BC5" w14:textId="77777777" w:rsidTr="001411CF">
        <w:trPr>
          <w:cantSplit/>
        </w:trPr>
        <w:tc>
          <w:tcPr>
            <w:tcW w:w="8771" w:type="dxa"/>
            <w:tcBorders>
              <w:top w:val="nil"/>
              <w:left w:val="nil"/>
              <w:bottom w:val="nil"/>
              <w:right w:val="nil"/>
            </w:tcBorders>
            <w:shd w:val="clear" w:color="auto" w:fill="auto"/>
          </w:tcPr>
          <w:tbl>
            <w:tblPr>
              <w:tblW w:w="5000" w:type="pct"/>
              <w:tblCellMar>
                <w:top w:w="28" w:type="dxa"/>
                <w:left w:w="0" w:type="dxa"/>
                <w:right w:w="0" w:type="dxa"/>
              </w:tblCellMar>
              <w:tblLook w:val="0000" w:firstRow="0" w:lastRow="0" w:firstColumn="0" w:lastColumn="0" w:noHBand="0" w:noVBand="0"/>
            </w:tblPr>
            <w:tblGrid>
              <w:gridCol w:w="3132"/>
              <w:gridCol w:w="1972"/>
              <w:gridCol w:w="1692"/>
              <w:gridCol w:w="1691"/>
            </w:tblGrid>
            <w:tr w:rsidR="00E45CFD" w14:paraId="0DE5B526" w14:textId="77777777" w:rsidTr="001F1214">
              <w:tc>
                <w:tcPr>
                  <w:tcW w:w="1845" w:type="pct"/>
                  <w:tcBorders>
                    <w:top w:val="single" w:sz="6" w:space="0" w:color="BFBFBF"/>
                    <w:bottom w:val="single" w:sz="6" w:space="0" w:color="BFBFBF"/>
                  </w:tcBorders>
                  <w:shd w:val="clear" w:color="auto" w:fill="auto"/>
                  <w:tcMar>
                    <w:top w:w="28" w:type="dxa"/>
                  </w:tcMar>
                </w:tcPr>
                <w:p w14:paraId="46E1CD8B" w14:textId="77777777" w:rsidR="00E45CFD" w:rsidRDefault="00E45CFD" w:rsidP="001411CF">
                  <w:pPr>
                    <w:pStyle w:val="TableColumnHeading"/>
                    <w:jc w:val="left"/>
                  </w:pPr>
                </w:p>
              </w:tc>
              <w:tc>
                <w:tcPr>
                  <w:tcW w:w="1162" w:type="pct"/>
                  <w:tcBorders>
                    <w:top w:val="single" w:sz="6" w:space="0" w:color="BFBFBF"/>
                    <w:bottom w:val="single" w:sz="6" w:space="0" w:color="BFBFBF"/>
                  </w:tcBorders>
                  <w:shd w:val="clear" w:color="auto" w:fill="auto"/>
                  <w:tcMar>
                    <w:top w:w="28" w:type="dxa"/>
                  </w:tcMar>
                </w:tcPr>
                <w:p w14:paraId="5F972922" w14:textId="77777777" w:rsidR="00E45CFD" w:rsidRDefault="00E45CFD" w:rsidP="001411CF">
                  <w:pPr>
                    <w:pStyle w:val="TableColumnHeading"/>
                  </w:pPr>
                  <w:r>
                    <w:t>Units</w:t>
                  </w:r>
                </w:p>
              </w:tc>
              <w:tc>
                <w:tcPr>
                  <w:tcW w:w="997" w:type="pct"/>
                  <w:tcBorders>
                    <w:top w:val="single" w:sz="6" w:space="0" w:color="BFBFBF"/>
                    <w:bottom w:val="single" w:sz="6" w:space="0" w:color="BFBFBF"/>
                  </w:tcBorders>
                </w:tcPr>
                <w:p w14:paraId="4511DCCF" w14:textId="77777777" w:rsidR="00E45CFD" w:rsidRDefault="00E45CFD" w:rsidP="001411CF">
                  <w:pPr>
                    <w:pStyle w:val="TableColumnHeading"/>
                    <w:ind w:right="28"/>
                  </w:pPr>
                  <w:r>
                    <w:t>Original</w:t>
                  </w:r>
                </w:p>
              </w:tc>
              <w:tc>
                <w:tcPr>
                  <w:tcW w:w="996" w:type="pct"/>
                  <w:tcBorders>
                    <w:top w:val="single" w:sz="6" w:space="0" w:color="BFBFBF"/>
                    <w:bottom w:val="single" w:sz="6" w:space="0" w:color="BFBFBF"/>
                  </w:tcBorders>
                  <w:shd w:val="clear" w:color="auto" w:fill="auto"/>
                  <w:tcMar>
                    <w:top w:w="28" w:type="dxa"/>
                  </w:tcMar>
                </w:tcPr>
                <w:p w14:paraId="5950DAC6" w14:textId="77777777" w:rsidR="00E45CFD" w:rsidRDefault="00E45CFD" w:rsidP="001411CF">
                  <w:pPr>
                    <w:pStyle w:val="TableColumnHeading"/>
                    <w:ind w:right="28"/>
                  </w:pPr>
                  <w:r w:rsidRPr="00A35F19">
                    <w:t xml:space="preserve">Alternative </w:t>
                  </w:r>
                  <w:proofErr w:type="spellStart"/>
                  <w:r w:rsidRPr="00A35F19">
                    <w:t>TTR</w:t>
                  </w:r>
                  <w:proofErr w:type="spellEnd"/>
                  <w:r w:rsidRPr="00A35F19">
                    <w:t xml:space="preserve"> behaviour</w:t>
                  </w:r>
                </w:p>
              </w:tc>
            </w:tr>
            <w:tr w:rsidR="00803039" w14:paraId="74E69CA8" w14:textId="77777777" w:rsidTr="001F1214">
              <w:tc>
                <w:tcPr>
                  <w:tcW w:w="1845" w:type="pct"/>
                </w:tcPr>
                <w:p w14:paraId="406336C4" w14:textId="332ED38B" w:rsidR="00803039" w:rsidRDefault="00803039" w:rsidP="001411CF">
                  <w:pPr>
                    <w:pStyle w:val="TableBodyText"/>
                    <w:jc w:val="left"/>
                  </w:pPr>
                  <w:r w:rsidRPr="006E4466">
                    <w:t>Change in participa</w:t>
                  </w:r>
                  <w:r>
                    <w:t>tion rate of 50</w:t>
                  </w:r>
                  <w:r w:rsidR="00B86FE0">
                    <w:noBreakHyphen/>
                  </w:r>
                  <w:r>
                    <w:t xml:space="preserve">64 year olds </w:t>
                  </w:r>
                </w:p>
              </w:tc>
              <w:tc>
                <w:tcPr>
                  <w:tcW w:w="1162" w:type="pct"/>
                </w:tcPr>
                <w:p w14:paraId="3938CD61" w14:textId="77777777" w:rsidR="00803039" w:rsidRDefault="00803039" w:rsidP="001411CF">
                  <w:pPr>
                    <w:pStyle w:val="TableBodyText"/>
                  </w:pPr>
                  <w:r>
                    <w:t>Percentage point</w:t>
                  </w:r>
                </w:p>
              </w:tc>
              <w:tc>
                <w:tcPr>
                  <w:tcW w:w="997" w:type="pct"/>
                  <w:vAlign w:val="center"/>
                </w:tcPr>
                <w:p w14:paraId="532BC35A" w14:textId="77777777" w:rsidR="00803039" w:rsidRDefault="00803039" w:rsidP="001411CF">
                  <w:pPr>
                    <w:pStyle w:val="TableBodyText"/>
                  </w:pPr>
                  <w:r>
                    <w:rPr>
                      <w:rFonts w:cs="Arial"/>
                      <w:color w:val="000000"/>
                      <w:szCs w:val="18"/>
                    </w:rPr>
                    <w:t>2.0</w:t>
                  </w:r>
                </w:p>
              </w:tc>
              <w:tc>
                <w:tcPr>
                  <w:tcW w:w="996" w:type="pct"/>
                  <w:vAlign w:val="center"/>
                </w:tcPr>
                <w:p w14:paraId="50F2279D" w14:textId="77777777" w:rsidR="00803039" w:rsidRDefault="00803039" w:rsidP="001411CF">
                  <w:pPr>
                    <w:pStyle w:val="TableBodyText"/>
                  </w:pPr>
                  <w:r>
                    <w:rPr>
                      <w:rFonts w:cs="Arial"/>
                      <w:color w:val="000000"/>
                      <w:szCs w:val="18"/>
                    </w:rPr>
                    <w:t>1.9</w:t>
                  </w:r>
                </w:p>
              </w:tc>
            </w:tr>
            <w:tr w:rsidR="00803039" w14:paraId="313E7E6C" w14:textId="77777777" w:rsidTr="001F1214">
              <w:tc>
                <w:tcPr>
                  <w:tcW w:w="1845" w:type="pct"/>
                </w:tcPr>
                <w:p w14:paraId="4E14C514" w14:textId="77777777" w:rsidR="00803039" w:rsidRDefault="00803039" w:rsidP="001411CF">
                  <w:pPr>
                    <w:pStyle w:val="TableBodyText"/>
                    <w:jc w:val="left"/>
                  </w:pPr>
                  <w:r>
                    <w:t>Government expenses</w:t>
                  </w:r>
                </w:p>
              </w:tc>
              <w:tc>
                <w:tcPr>
                  <w:tcW w:w="1162" w:type="pct"/>
                </w:tcPr>
                <w:p w14:paraId="0DD96743" w14:textId="2844ED54" w:rsidR="00803039" w:rsidRDefault="00803039" w:rsidP="001411CF">
                  <w:pPr>
                    <w:pStyle w:val="TableBodyText"/>
                  </w:pPr>
                  <w:r>
                    <w:t>$b in 2015 prices</w:t>
                  </w:r>
                </w:p>
              </w:tc>
              <w:tc>
                <w:tcPr>
                  <w:tcW w:w="997" w:type="pct"/>
                  <w:vAlign w:val="center"/>
                </w:tcPr>
                <w:p w14:paraId="685B2465" w14:textId="23C8E085" w:rsidR="00803039" w:rsidRDefault="00B86FE0" w:rsidP="001411CF">
                  <w:pPr>
                    <w:pStyle w:val="TableBodyText"/>
                  </w:pPr>
                  <w:r>
                    <w:rPr>
                      <w:rFonts w:cs="Arial"/>
                      <w:color w:val="000000"/>
                      <w:szCs w:val="18"/>
                    </w:rPr>
                    <w:noBreakHyphen/>
                  </w:r>
                  <w:r w:rsidR="00803039">
                    <w:rPr>
                      <w:rFonts w:cs="Arial"/>
                      <w:color w:val="000000"/>
                      <w:szCs w:val="18"/>
                    </w:rPr>
                    <w:t>2.0</w:t>
                  </w:r>
                </w:p>
              </w:tc>
              <w:tc>
                <w:tcPr>
                  <w:tcW w:w="996" w:type="pct"/>
                  <w:vAlign w:val="center"/>
                </w:tcPr>
                <w:p w14:paraId="0B90133B" w14:textId="589865A7" w:rsidR="00803039" w:rsidRDefault="00B86FE0" w:rsidP="001411CF">
                  <w:pPr>
                    <w:pStyle w:val="TableBodyText"/>
                  </w:pPr>
                  <w:r>
                    <w:rPr>
                      <w:rFonts w:cs="Arial"/>
                      <w:color w:val="000000"/>
                      <w:szCs w:val="18"/>
                    </w:rPr>
                    <w:noBreakHyphen/>
                  </w:r>
                  <w:r w:rsidR="00803039">
                    <w:rPr>
                      <w:rFonts w:cs="Arial"/>
                      <w:color w:val="000000"/>
                      <w:szCs w:val="18"/>
                    </w:rPr>
                    <w:t>1.3</w:t>
                  </w:r>
                </w:p>
              </w:tc>
            </w:tr>
            <w:tr w:rsidR="00803039" w14:paraId="1FE62B17" w14:textId="77777777" w:rsidTr="001F1214">
              <w:tc>
                <w:tcPr>
                  <w:tcW w:w="1845" w:type="pct"/>
                  <w:shd w:val="clear" w:color="auto" w:fill="auto"/>
                </w:tcPr>
                <w:p w14:paraId="4584D3B8" w14:textId="77777777" w:rsidR="00803039" w:rsidRDefault="00803039" w:rsidP="001411CF">
                  <w:pPr>
                    <w:pStyle w:val="TableBodyText"/>
                    <w:jc w:val="left"/>
                  </w:pPr>
                  <w:r>
                    <w:t>Government tax receipts</w:t>
                  </w:r>
                </w:p>
              </w:tc>
              <w:tc>
                <w:tcPr>
                  <w:tcW w:w="1162" w:type="pct"/>
                  <w:shd w:val="clear" w:color="auto" w:fill="auto"/>
                </w:tcPr>
                <w:p w14:paraId="13BB158F" w14:textId="77518588" w:rsidR="00803039" w:rsidRDefault="00803039" w:rsidP="001411CF">
                  <w:pPr>
                    <w:pStyle w:val="TableBodyText"/>
                  </w:pPr>
                  <w:r>
                    <w:t>$b in 2015 prices</w:t>
                  </w:r>
                </w:p>
              </w:tc>
              <w:tc>
                <w:tcPr>
                  <w:tcW w:w="997" w:type="pct"/>
                  <w:vAlign w:val="center"/>
                </w:tcPr>
                <w:p w14:paraId="0B36CF04" w14:textId="77777777" w:rsidR="00803039" w:rsidRDefault="00803039" w:rsidP="001411CF">
                  <w:pPr>
                    <w:pStyle w:val="TableBodyText"/>
                  </w:pPr>
                  <w:r>
                    <w:rPr>
                      <w:rFonts w:cs="Arial"/>
                      <w:color w:val="000000"/>
                      <w:szCs w:val="18"/>
                    </w:rPr>
                    <w:t>5.2</w:t>
                  </w:r>
                </w:p>
              </w:tc>
              <w:tc>
                <w:tcPr>
                  <w:tcW w:w="996" w:type="pct"/>
                  <w:shd w:val="clear" w:color="auto" w:fill="auto"/>
                  <w:vAlign w:val="center"/>
                </w:tcPr>
                <w:p w14:paraId="50B08B8B" w14:textId="77777777" w:rsidR="00803039" w:rsidRDefault="00803039" w:rsidP="001411CF">
                  <w:pPr>
                    <w:pStyle w:val="TableBodyText"/>
                  </w:pPr>
                  <w:r>
                    <w:rPr>
                      <w:rFonts w:cs="Arial"/>
                      <w:color w:val="000000"/>
                      <w:szCs w:val="18"/>
                    </w:rPr>
                    <w:t>8.3</w:t>
                  </w:r>
                </w:p>
              </w:tc>
            </w:tr>
            <w:tr w:rsidR="00803039" w14:paraId="19373E6E" w14:textId="77777777" w:rsidTr="001F1214">
              <w:tc>
                <w:tcPr>
                  <w:tcW w:w="1845" w:type="pct"/>
                  <w:tcBorders>
                    <w:bottom w:val="single" w:sz="6" w:space="0" w:color="BFBFBF"/>
                  </w:tcBorders>
                  <w:shd w:val="clear" w:color="auto" w:fill="auto"/>
                </w:tcPr>
                <w:p w14:paraId="5C0FD1CB" w14:textId="77777777" w:rsidR="00803039" w:rsidRDefault="00803039" w:rsidP="001411CF">
                  <w:pPr>
                    <w:pStyle w:val="TableBodyText"/>
                    <w:jc w:val="left"/>
                  </w:pPr>
                  <w:r>
                    <w:t>Net government fiscal position</w:t>
                  </w:r>
                </w:p>
              </w:tc>
              <w:tc>
                <w:tcPr>
                  <w:tcW w:w="1162" w:type="pct"/>
                  <w:tcBorders>
                    <w:bottom w:val="single" w:sz="6" w:space="0" w:color="BFBFBF"/>
                  </w:tcBorders>
                  <w:shd w:val="clear" w:color="auto" w:fill="auto"/>
                </w:tcPr>
                <w:p w14:paraId="65F03AAD" w14:textId="0D7CA054" w:rsidR="00803039" w:rsidRDefault="00803039" w:rsidP="001411CF">
                  <w:pPr>
                    <w:pStyle w:val="TableBodyText"/>
                  </w:pPr>
                  <w:r>
                    <w:t>$b in 2015 prices</w:t>
                  </w:r>
                </w:p>
              </w:tc>
              <w:tc>
                <w:tcPr>
                  <w:tcW w:w="997" w:type="pct"/>
                  <w:tcBorders>
                    <w:bottom w:val="single" w:sz="6" w:space="0" w:color="BFBFBF"/>
                  </w:tcBorders>
                  <w:vAlign w:val="center"/>
                </w:tcPr>
                <w:p w14:paraId="4C07E832" w14:textId="77777777" w:rsidR="00803039" w:rsidRDefault="00803039" w:rsidP="001411CF">
                  <w:pPr>
                    <w:pStyle w:val="TableBodyText"/>
                  </w:pPr>
                  <w:r>
                    <w:rPr>
                      <w:rFonts w:cs="Arial"/>
                      <w:color w:val="000000"/>
                      <w:szCs w:val="18"/>
                    </w:rPr>
                    <w:t>7.2</w:t>
                  </w:r>
                </w:p>
              </w:tc>
              <w:tc>
                <w:tcPr>
                  <w:tcW w:w="996" w:type="pct"/>
                  <w:tcBorders>
                    <w:bottom w:val="single" w:sz="6" w:space="0" w:color="BFBFBF"/>
                  </w:tcBorders>
                  <w:shd w:val="clear" w:color="auto" w:fill="auto"/>
                  <w:vAlign w:val="center"/>
                </w:tcPr>
                <w:p w14:paraId="6663AED6" w14:textId="77777777" w:rsidR="00803039" w:rsidRDefault="00803039" w:rsidP="001411CF">
                  <w:pPr>
                    <w:pStyle w:val="TableBodyText"/>
                  </w:pPr>
                  <w:r>
                    <w:rPr>
                      <w:rFonts w:cs="Arial"/>
                      <w:color w:val="000000"/>
                      <w:szCs w:val="18"/>
                    </w:rPr>
                    <w:t>9.6</w:t>
                  </w:r>
                </w:p>
              </w:tc>
            </w:tr>
          </w:tbl>
          <w:p w14:paraId="7762D102" w14:textId="77777777" w:rsidR="00E45CFD" w:rsidRDefault="00E45CFD" w:rsidP="001411CF">
            <w:pPr>
              <w:pStyle w:val="Box"/>
            </w:pPr>
          </w:p>
        </w:tc>
      </w:tr>
      <w:tr w:rsidR="00E45CFD" w14:paraId="361C5B43" w14:textId="77777777" w:rsidTr="001411CF">
        <w:trPr>
          <w:cantSplit/>
        </w:trPr>
        <w:tc>
          <w:tcPr>
            <w:tcW w:w="8771" w:type="dxa"/>
            <w:tcBorders>
              <w:top w:val="nil"/>
              <w:left w:val="nil"/>
              <w:bottom w:val="nil"/>
              <w:right w:val="nil"/>
            </w:tcBorders>
            <w:shd w:val="clear" w:color="auto" w:fill="auto"/>
          </w:tcPr>
          <w:p w14:paraId="3C2016ED" w14:textId="72C43268" w:rsidR="00E45CFD" w:rsidRDefault="0061143E" w:rsidP="001411CF">
            <w:pPr>
              <w:pStyle w:val="Source"/>
            </w:pPr>
            <w:r>
              <w:rPr>
                <w:i/>
              </w:rPr>
              <w:t>Source</w:t>
            </w:r>
            <w:r w:rsidRPr="00167F06">
              <w:t xml:space="preserve">: </w:t>
            </w:r>
            <w:r>
              <w:t>Commission estimates</w:t>
            </w:r>
            <w:r w:rsidR="00F37926">
              <w:t>.</w:t>
            </w:r>
          </w:p>
        </w:tc>
      </w:tr>
      <w:tr w:rsidR="00E45CFD" w14:paraId="298F334C" w14:textId="77777777" w:rsidTr="001411CF">
        <w:trPr>
          <w:cantSplit/>
        </w:trPr>
        <w:tc>
          <w:tcPr>
            <w:tcW w:w="8771" w:type="dxa"/>
            <w:tcBorders>
              <w:top w:val="nil"/>
              <w:left w:val="nil"/>
              <w:bottom w:val="single" w:sz="6" w:space="0" w:color="78A22F"/>
              <w:right w:val="nil"/>
            </w:tcBorders>
            <w:shd w:val="clear" w:color="auto" w:fill="auto"/>
          </w:tcPr>
          <w:p w14:paraId="78E5F905" w14:textId="77777777" w:rsidR="00E45CFD" w:rsidRDefault="00E45CFD" w:rsidP="001411CF">
            <w:pPr>
              <w:pStyle w:val="Box"/>
              <w:spacing w:before="0" w:line="120" w:lineRule="exact"/>
            </w:pPr>
          </w:p>
        </w:tc>
      </w:tr>
      <w:tr w:rsidR="00E45CFD" w:rsidRPr="000863A5" w14:paraId="70D15B50" w14:textId="77777777" w:rsidTr="001411CF">
        <w:tc>
          <w:tcPr>
            <w:tcW w:w="8771" w:type="dxa"/>
            <w:tcBorders>
              <w:top w:val="single" w:sz="6" w:space="0" w:color="78A22F"/>
              <w:left w:val="nil"/>
              <w:bottom w:val="nil"/>
              <w:right w:val="nil"/>
            </w:tcBorders>
          </w:tcPr>
          <w:p w14:paraId="75AFB576" w14:textId="451EEB99" w:rsidR="00E45CFD" w:rsidRPr="00626D32" w:rsidRDefault="00E45CFD" w:rsidP="001411CF">
            <w:pPr>
              <w:pStyle w:val="BoxSpaceBelow"/>
            </w:pPr>
          </w:p>
        </w:tc>
      </w:tr>
    </w:tbl>
    <w:p w14:paraId="2AA8F809" w14:textId="77777777" w:rsidR="00B40022" w:rsidRPr="00962C7F" w:rsidRDefault="00AF76D8" w:rsidP="00B40022">
      <w:pPr>
        <w:pStyle w:val="Heading3"/>
      </w:pPr>
      <w:proofErr w:type="spellStart"/>
      <w:r w:rsidRPr="00962C7F">
        <w:t>S</w:t>
      </w:r>
      <w:r>
        <w:t>A5</w:t>
      </w:r>
      <w:proofErr w:type="spellEnd"/>
      <w:r w:rsidR="00B40022" w:rsidRPr="00962C7F">
        <w:t xml:space="preserve">: </w:t>
      </w:r>
      <w:r w:rsidR="00B40022" w:rsidRPr="00A35F19">
        <w:t>Alternative population projections</w:t>
      </w:r>
    </w:p>
    <w:p w14:paraId="2F40415F" w14:textId="711F1E82" w:rsidR="00B40022" w:rsidRDefault="00B40022" w:rsidP="00B40022">
      <w:pPr>
        <w:pStyle w:val="BodyText"/>
      </w:pPr>
      <w:r>
        <w:t>Under the original scenario, the base population projections from the 2013 ‘</w:t>
      </w:r>
      <w:r w:rsidRPr="00DA6129">
        <w:rPr>
          <w:i/>
        </w:rPr>
        <w:t>An Ageing Australia: Preparing for the Future</w:t>
      </w:r>
      <w:r>
        <w:t>’ (</w:t>
      </w:r>
      <w:r w:rsidR="004A10CA">
        <w:t>modelling supplement 3</w:t>
      </w:r>
      <w:r>
        <w:t>) were employed. This sensitivity analysis scenario employs the ‘high life expectancy’ scenario presented in that research paper (table </w:t>
      </w:r>
      <w:r w:rsidR="00D85DB3">
        <w:t>6.7</w:t>
      </w:r>
      <w:r>
        <w:t>).</w:t>
      </w:r>
    </w:p>
    <w:p w14:paraId="4F1893A8" w14:textId="4E412778" w:rsidR="00B40022" w:rsidRDefault="00B40022" w:rsidP="00B40022">
      <w:pPr>
        <w:pStyle w:val="BoxSpaceAbove"/>
      </w:pPr>
    </w:p>
    <w:tbl>
      <w:tblPr>
        <w:tblW w:w="0" w:type="auto"/>
        <w:tblInd w:w="164" w:type="dxa"/>
        <w:tblBorders>
          <w:top w:val="single" w:sz="6" w:space="0" w:color="auto"/>
          <w:left w:val="single" w:sz="6" w:space="0" w:color="auto"/>
          <w:bottom w:val="single" w:sz="6" w:space="0" w:color="auto"/>
          <w:right w:val="single" w:sz="6" w:space="0" w:color="auto"/>
        </w:tblBorders>
        <w:tblCellMar>
          <w:left w:w="142" w:type="dxa"/>
          <w:right w:w="142" w:type="dxa"/>
        </w:tblCellMar>
        <w:tblLook w:val="0000" w:firstRow="0" w:lastRow="0" w:firstColumn="0" w:lastColumn="0" w:noHBand="0" w:noVBand="0"/>
      </w:tblPr>
      <w:tblGrid>
        <w:gridCol w:w="8771"/>
      </w:tblGrid>
      <w:tr w:rsidR="00B40022" w14:paraId="45DC8696" w14:textId="77777777" w:rsidTr="00B40022">
        <w:tc>
          <w:tcPr>
            <w:tcW w:w="8771" w:type="dxa"/>
            <w:tcBorders>
              <w:top w:val="single" w:sz="6" w:space="0" w:color="78A22F"/>
              <w:left w:val="nil"/>
              <w:bottom w:val="nil"/>
              <w:right w:val="nil"/>
            </w:tcBorders>
            <w:shd w:val="clear" w:color="auto" w:fill="auto"/>
          </w:tcPr>
          <w:p w14:paraId="7CE56C12" w14:textId="7039E353" w:rsidR="00B40022" w:rsidRDefault="00B40022" w:rsidP="00B40022">
            <w:pPr>
              <w:pStyle w:val="TableTitle"/>
            </w:pPr>
            <w:r>
              <w:rPr>
                <w:b w:val="0"/>
              </w:rPr>
              <w:t xml:space="preserve">Table </w:t>
            </w:r>
            <w:bookmarkStart w:id="10" w:name="OLE_LINK26"/>
            <w:r w:rsidR="00D85DB3">
              <w:rPr>
                <w:b w:val="0"/>
              </w:rPr>
              <w:t>6.</w:t>
            </w:r>
            <w:r w:rsidR="00D85DB3">
              <w:rPr>
                <w:b w:val="0"/>
                <w:noProof/>
              </w:rPr>
              <w:t>7</w:t>
            </w:r>
            <w:bookmarkEnd w:id="10"/>
            <w:r>
              <w:tab/>
            </w:r>
            <w:proofErr w:type="spellStart"/>
            <w:r w:rsidR="005F2E7A">
              <w:t>SA5</w:t>
            </w:r>
            <w:proofErr w:type="spellEnd"/>
            <w:r w:rsidR="005F2E7A">
              <w:t xml:space="preserve"> </w:t>
            </w:r>
            <w:r>
              <w:t>assumptions</w:t>
            </w:r>
          </w:p>
          <w:p w14:paraId="086FD8CB" w14:textId="77777777" w:rsidR="004368B9" w:rsidRPr="004368B9" w:rsidRDefault="004368B9" w:rsidP="00031ACF">
            <w:pPr>
              <w:pStyle w:val="Subtitle"/>
            </w:pPr>
            <w:r>
              <w:t>Age in years</w:t>
            </w:r>
          </w:p>
        </w:tc>
      </w:tr>
      <w:tr w:rsidR="00B40022" w14:paraId="472F2FB1" w14:textId="77777777" w:rsidTr="00B40022">
        <w:trPr>
          <w:cantSplit/>
        </w:trPr>
        <w:tc>
          <w:tcPr>
            <w:tcW w:w="8771" w:type="dxa"/>
            <w:tcBorders>
              <w:top w:val="nil"/>
              <w:left w:val="nil"/>
              <w:bottom w:val="nil"/>
              <w:right w:val="nil"/>
            </w:tcBorders>
            <w:shd w:val="clear" w:color="auto" w:fill="auto"/>
          </w:tcPr>
          <w:tbl>
            <w:tblPr>
              <w:tblW w:w="5000" w:type="pct"/>
              <w:tblCellMar>
                <w:top w:w="28" w:type="dxa"/>
                <w:left w:w="0" w:type="dxa"/>
                <w:right w:w="0" w:type="dxa"/>
              </w:tblCellMar>
              <w:tblLook w:val="0000" w:firstRow="0" w:lastRow="0" w:firstColumn="0" w:lastColumn="0" w:noHBand="0" w:noVBand="0"/>
            </w:tblPr>
            <w:tblGrid>
              <w:gridCol w:w="3962"/>
              <w:gridCol w:w="2264"/>
              <w:gridCol w:w="2261"/>
            </w:tblGrid>
            <w:tr w:rsidR="00B40022" w14:paraId="0668EF52" w14:textId="77777777" w:rsidTr="00B40022">
              <w:tc>
                <w:tcPr>
                  <w:tcW w:w="2334" w:type="pct"/>
                  <w:tcBorders>
                    <w:top w:val="single" w:sz="6" w:space="0" w:color="BFBFBF"/>
                    <w:bottom w:val="single" w:sz="6" w:space="0" w:color="BFBFBF"/>
                  </w:tcBorders>
                  <w:shd w:val="clear" w:color="auto" w:fill="auto"/>
                  <w:tcMar>
                    <w:top w:w="28" w:type="dxa"/>
                  </w:tcMar>
                </w:tcPr>
                <w:p w14:paraId="38241417" w14:textId="77777777" w:rsidR="00B40022" w:rsidRDefault="00B40022" w:rsidP="00B40022">
                  <w:pPr>
                    <w:pStyle w:val="TableColumnHeading"/>
                    <w:jc w:val="left"/>
                  </w:pPr>
                </w:p>
              </w:tc>
              <w:tc>
                <w:tcPr>
                  <w:tcW w:w="1334" w:type="pct"/>
                  <w:tcBorders>
                    <w:top w:val="single" w:sz="6" w:space="0" w:color="BFBFBF"/>
                    <w:bottom w:val="single" w:sz="6" w:space="0" w:color="BFBFBF"/>
                  </w:tcBorders>
                  <w:shd w:val="clear" w:color="auto" w:fill="auto"/>
                  <w:tcMar>
                    <w:top w:w="28" w:type="dxa"/>
                  </w:tcMar>
                </w:tcPr>
                <w:p w14:paraId="5B2389E6" w14:textId="77777777" w:rsidR="00B40022" w:rsidRDefault="00B40022" w:rsidP="00B40022">
                  <w:pPr>
                    <w:pStyle w:val="TableColumnHeading"/>
                  </w:pPr>
                  <w:r>
                    <w:t>Original</w:t>
                  </w:r>
                </w:p>
              </w:tc>
              <w:tc>
                <w:tcPr>
                  <w:tcW w:w="1332" w:type="pct"/>
                  <w:tcBorders>
                    <w:top w:val="single" w:sz="6" w:space="0" w:color="BFBFBF"/>
                    <w:bottom w:val="single" w:sz="6" w:space="0" w:color="BFBFBF"/>
                  </w:tcBorders>
                  <w:shd w:val="clear" w:color="auto" w:fill="auto"/>
                  <w:tcMar>
                    <w:top w:w="28" w:type="dxa"/>
                  </w:tcMar>
                </w:tcPr>
                <w:p w14:paraId="7D6E2AB2" w14:textId="77777777" w:rsidR="00B40022" w:rsidRDefault="00B40022" w:rsidP="00B40022">
                  <w:pPr>
                    <w:pStyle w:val="TableColumnHeading"/>
                    <w:ind w:right="28"/>
                  </w:pPr>
                  <w:r>
                    <w:t>High life expectancy scenario</w:t>
                  </w:r>
                </w:p>
              </w:tc>
            </w:tr>
            <w:tr w:rsidR="00B40022" w14:paraId="59EC175C" w14:textId="77777777" w:rsidTr="00B40022">
              <w:tc>
                <w:tcPr>
                  <w:tcW w:w="2334" w:type="pct"/>
                </w:tcPr>
                <w:p w14:paraId="02B1CBA0" w14:textId="75E22DCF" w:rsidR="00B40022" w:rsidRDefault="00B40022" w:rsidP="00B40022">
                  <w:pPr>
                    <w:pStyle w:val="TableBodyText"/>
                    <w:jc w:val="left"/>
                  </w:pPr>
                  <w:r>
                    <w:t>Male life expectancy in 2060</w:t>
                  </w:r>
                </w:p>
              </w:tc>
              <w:tc>
                <w:tcPr>
                  <w:tcW w:w="1334" w:type="pct"/>
                </w:tcPr>
                <w:p w14:paraId="79DD5A64" w14:textId="77777777" w:rsidR="00B40022" w:rsidRDefault="00B40022" w:rsidP="00B40022">
                  <w:pPr>
                    <w:pStyle w:val="TableBodyText"/>
                  </w:pPr>
                  <w:r>
                    <w:t>89.1</w:t>
                  </w:r>
                </w:p>
              </w:tc>
              <w:tc>
                <w:tcPr>
                  <w:tcW w:w="1332" w:type="pct"/>
                </w:tcPr>
                <w:p w14:paraId="3BE1A10C" w14:textId="77777777" w:rsidR="00B40022" w:rsidRDefault="00B40022" w:rsidP="00B40022">
                  <w:pPr>
                    <w:pStyle w:val="TableBodyText"/>
                    <w:ind w:right="28"/>
                  </w:pPr>
                  <w:r>
                    <w:t>92.6</w:t>
                  </w:r>
                </w:p>
              </w:tc>
            </w:tr>
            <w:tr w:rsidR="00B40022" w14:paraId="3CE1A409" w14:textId="77777777" w:rsidTr="00B40022">
              <w:tc>
                <w:tcPr>
                  <w:tcW w:w="2334" w:type="pct"/>
                  <w:tcBorders>
                    <w:bottom w:val="single" w:sz="6" w:space="0" w:color="BFBFBF"/>
                  </w:tcBorders>
                  <w:shd w:val="clear" w:color="auto" w:fill="auto"/>
                </w:tcPr>
                <w:p w14:paraId="514901A2" w14:textId="010444DB" w:rsidR="00B40022" w:rsidRDefault="00B40022" w:rsidP="00B40022">
                  <w:pPr>
                    <w:pStyle w:val="TableBodyText"/>
                    <w:jc w:val="left"/>
                  </w:pPr>
                  <w:r>
                    <w:t>Female life expectancy in 2060</w:t>
                  </w:r>
                </w:p>
              </w:tc>
              <w:tc>
                <w:tcPr>
                  <w:tcW w:w="1334" w:type="pct"/>
                  <w:tcBorders>
                    <w:bottom w:val="single" w:sz="6" w:space="0" w:color="BFBFBF"/>
                  </w:tcBorders>
                  <w:shd w:val="clear" w:color="auto" w:fill="auto"/>
                </w:tcPr>
                <w:p w14:paraId="78D07C30" w14:textId="77777777" w:rsidR="00B40022" w:rsidRDefault="00B40022" w:rsidP="00B40022">
                  <w:pPr>
                    <w:pStyle w:val="TableBodyText"/>
                  </w:pPr>
                  <w:r>
                    <w:t>91.4</w:t>
                  </w:r>
                </w:p>
              </w:tc>
              <w:tc>
                <w:tcPr>
                  <w:tcW w:w="1332" w:type="pct"/>
                  <w:tcBorders>
                    <w:bottom w:val="single" w:sz="6" w:space="0" w:color="BFBFBF"/>
                  </w:tcBorders>
                  <w:shd w:val="clear" w:color="auto" w:fill="auto"/>
                </w:tcPr>
                <w:p w14:paraId="7139438E" w14:textId="29DB26B5" w:rsidR="00B40022" w:rsidRDefault="00B40022" w:rsidP="00B40022">
                  <w:pPr>
                    <w:pStyle w:val="TableBodyText"/>
                    <w:ind w:right="28"/>
                  </w:pPr>
                  <w:r>
                    <w:t>95</w:t>
                  </w:r>
                  <w:r w:rsidR="001873BE">
                    <w:t>.0</w:t>
                  </w:r>
                </w:p>
              </w:tc>
            </w:tr>
          </w:tbl>
          <w:p w14:paraId="375EB414" w14:textId="77777777" w:rsidR="00B40022" w:rsidRDefault="00B40022" w:rsidP="00B40022">
            <w:pPr>
              <w:pStyle w:val="Box"/>
            </w:pPr>
          </w:p>
        </w:tc>
      </w:tr>
      <w:tr w:rsidR="00B40022" w14:paraId="349A943C" w14:textId="77777777" w:rsidTr="00B40022">
        <w:trPr>
          <w:cantSplit/>
        </w:trPr>
        <w:tc>
          <w:tcPr>
            <w:tcW w:w="8771" w:type="dxa"/>
            <w:tcBorders>
              <w:top w:val="nil"/>
              <w:left w:val="nil"/>
              <w:bottom w:val="single" w:sz="6" w:space="0" w:color="78A22F"/>
              <w:right w:val="nil"/>
            </w:tcBorders>
            <w:shd w:val="clear" w:color="auto" w:fill="auto"/>
          </w:tcPr>
          <w:p w14:paraId="38D092C0" w14:textId="77777777" w:rsidR="00B40022" w:rsidRDefault="00B40022" w:rsidP="00B40022">
            <w:pPr>
              <w:pStyle w:val="Box"/>
              <w:spacing w:before="0" w:line="120" w:lineRule="exact"/>
            </w:pPr>
          </w:p>
        </w:tc>
      </w:tr>
      <w:tr w:rsidR="00B40022" w:rsidRPr="000863A5" w14:paraId="08BD4C99" w14:textId="77777777" w:rsidTr="00B40022">
        <w:tc>
          <w:tcPr>
            <w:tcW w:w="8771" w:type="dxa"/>
            <w:tcBorders>
              <w:top w:val="single" w:sz="6" w:space="0" w:color="78A22F"/>
              <w:left w:val="nil"/>
              <w:bottom w:val="nil"/>
              <w:right w:val="nil"/>
            </w:tcBorders>
          </w:tcPr>
          <w:p w14:paraId="29359C63" w14:textId="34940D19" w:rsidR="00B40022" w:rsidRPr="00626D32" w:rsidRDefault="00B40022" w:rsidP="00B40022">
            <w:pPr>
              <w:pStyle w:val="BoxSpaceBelow"/>
            </w:pPr>
          </w:p>
        </w:tc>
      </w:tr>
    </w:tbl>
    <w:p w14:paraId="1224BFD1" w14:textId="616FB05A" w:rsidR="00B40022" w:rsidRDefault="00B40022" w:rsidP="0043427D">
      <w:pPr>
        <w:pStyle w:val="BodyText"/>
      </w:pPr>
      <w:r>
        <w:t xml:space="preserve">Assuming a higher life expectancy leads to a slightly larger increase in the government’s net financial position because there are more individuals alive at older ages and hence more </w:t>
      </w:r>
      <w:r w:rsidRPr="009E7CB5">
        <w:t>individuals who are affected by policy changes</w:t>
      </w:r>
      <w:r>
        <w:t xml:space="preserve"> (table </w:t>
      </w:r>
      <w:r w:rsidR="00D85DB3">
        <w:t>6.8</w:t>
      </w:r>
      <w:r>
        <w:t>)</w:t>
      </w:r>
      <w:r w:rsidRPr="007D0AAD">
        <w:t xml:space="preserve">. </w:t>
      </w:r>
      <w:r w:rsidRPr="009E7CB5">
        <w:t xml:space="preserve">The slightly larger increase in the participation rate is due to their being relatively more individuals </w:t>
      </w:r>
      <w:r>
        <w:t>in</w:t>
      </w:r>
      <w:r w:rsidRPr="009E7CB5">
        <w:t xml:space="preserve"> the 60</w:t>
      </w:r>
      <w:r>
        <w:noBreakHyphen/>
      </w:r>
      <w:r w:rsidRPr="009E7CB5">
        <w:t xml:space="preserve">64 </w:t>
      </w:r>
      <w:r>
        <w:t xml:space="preserve">year old cohort (who tend to be more responsive to changes in the </w:t>
      </w:r>
      <w:r w:rsidR="00265F10">
        <w:t>preservation</w:t>
      </w:r>
      <w:r w:rsidR="009E3E77">
        <w:t xml:space="preserve"> age</w:t>
      </w:r>
      <w:r w:rsidRPr="009E7CB5">
        <w:t>).</w:t>
      </w:r>
    </w:p>
    <w:tbl>
      <w:tblPr>
        <w:tblW w:w="0" w:type="auto"/>
        <w:tblInd w:w="164" w:type="dxa"/>
        <w:tblBorders>
          <w:top w:val="single" w:sz="6" w:space="0" w:color="auto"/>
          <w:left w:val="single" w:sz="6" w:space="0" w:color="auto"/>
          <w:bottom w:val="single" w:sz="6" w:space="0" w:color="auto"/>
          <w:right w:val="single" w:sz="6" w:space="0" w:color="auto"/>
        </w:tblBorders>
        <w:tblCellMar>
          <w:left w:w="142" w:type="dxa"/>
          <w:right w:w="142" w:type="dxa"/>
        </w:tblCellMar>
        <w:tblLook w:val="0000" w:firstRow="0" w:lastRow="0" w:firstColumn="0" w:lastColumn="0" w:noHBand="0" w:noVBand="0"/>
      </w:tblPr>
      <w:tblGrid>
        <w:gridCol w:w="8771"/>
      </w:tblGrid>
      <w:tr w:rsidR="00B40022" w14:paraId="62115BF8" w14:textId="77777777" w:rsidTr="00B40022">
        <w:tc>
          <w:tcPr>
            <w:tcW w:w="8771" w:type="dxa"/>
            <w:tcBorders>
              <w:top w:val="single" w:sz="6" w:space="0" w:color="78A22F"/>
              <w:left w:val="nil"/>
              <w:bottom w:val="nil"/>
              <w:right w:val="nil"/>
            </w:tcBorders>
            <w:shd w:val="clear" w:color="auto" w:fill="auto"/>
          </w:tcPr>
          <w:p w14:paraId="26DF5D77" w14:textId="2E644844" w:rsidR="00B40022" w:rsidRPr="00FA543D" w:rsidRDefault="00B40022" w:rsidP="00E24113">
            <w:pPr>
              <w:pStyle w:val="TableTitle"/>
            </w:pPr>
            <w:r>
              <w:rPr>
                <w:b w:val="0"/>
              </w:rPr>
              <w:lastRenderedPageBreak/>
              <w:t xml:space="preserve">Table </w:t>
            </w:r>
            <w:bookmarkStart w:id="11" w:name="OLE_LINK39"/>
            <w:r w:rsidR="00D85DB3">
              <w:rPr>
                <w:b w:val="0"/>
              </w:rPr>
              <w:t>6.</w:t>
            </w:r>
            <w:r w:rsidR="00D85DB3">
              <w:rPr>
                <w:b w:val="0"/>
                <w:noProof/>
              </w:rPr>
              <w:t>8</w:t>
            </w:r>
            <w:bookmarkEnd w:id="11"/>
            <w:r>
              <w:tab/>
            </w:r>
            <w:proofErr w:type="spellStart"/>
            <w:r w:rsidR="005F2E7A">
              <w:t>SA5</w:t>
            </w:r>
            <w:proofErr w:type="spellEnd"/>
            <w:r w:rsidR="005F2E7A">
              <w:t xml:space="preserve"> </w:t>
            </w:r>
            <w:r>
              <w:t>results in 2055</w:t>
            </w:r>
          </w:p>
        </w:tc>
      </w:tr>
      <w:tr w:rsidR="00B40022" w14:paraId="1D6990D5" w14:textId="77777777" w:rsidTr="00B40022">
        <w:trPr>
          <w:cantSplit/>
        </w:trPr>
        <w:tc>
          <w:tcPr>
            <w:tcW w:w="8771" w:type="dxa"/>
            <w:tcBorders>
              <w:top w:val="nil"/>
              <w:left w:val="nil"/>
              <w:bottom w:val="nil"/>
              <w:right w:val="nil"/>
            </w:tcBorders>
            <w:shd w:val="clear" w:color="auto" w:fill="auto"/>
          </w:tcPr>
          <w:tbl>
            <w:tblPr>
              <w:tblW w:w="5000" w:type="pct"/>
              <w:tblCellMar>
                <w:top w:w="28" w:type="dxa"/>
                <w:left w:w="0" w:type="dxa"/>
                <w:right w:w="0" w:type="dxa"/>
              </w:tblCellMar>
              <w:tblLook w:val="0000" w:firstRow="0" w:lastRow="0" w:firstColumn="0" w:lastColumn="0" w:noHBand="0" w:noVBand="0"/>
            </w:tblPr>
            <w:tblGrid>
              <w:gridCol w:w="3133"/>
              <w:gridCol w:w="1972"/>
              <w:gridCol w:w="1422"/>
              <w:gridCol w:w="1960"/>
            </w:tblGrid>
            <w:tr w:rsidR="00B40022" w14:paraId="1C2553C2" w14:textId="77777777" w:rsidTr="00127FE7">
              <w:tc>
                <w:tcPr>
                  <w:tcW w:w="1845" w:type="pct"/>
                  <w:tcBorders>
                    <w:top w:val="single" w:sz="6" w:space="0" w:color="BFBFBF"/>
                    <w:bottom w:val="single" w:sz="6" w:space="0" w:color="BFBFBF"/>
                  </w:tcBorders>
                  <w:shd w:val="clear" w:color="auto" w:fill="auto"/>
                  <w:tcMar>
                    <w:top w:w="28" w:type="dxa"/>
                  </w:tcMar>
                </w:tcPr>
                <w:p w14:paraId="4F022CB5" w14:textId="77777777" w:rsidR="00B40022" w:rsidRDefault="00B40022" w:rsidP="00E24113">
                  <w:pPr>
                    <w:pStyle w:val="TableColumnHeading"/>
                    <w:jc w:val="left"/>
                  </w:pPr>
                </w:p>
              </w:tc>
              <w:tc>
                <w:tcPr>
                  <w:tcW w:w="1162" w:type="pct"/>
                  <w:tcBorders>
                    <w:top w:val="single" w:sz="6" w:space="0" w:color="BFBFBF"/>
                    <w:bottom w:val="single" w:sz="6" w:space="0" w:color="BFBFBF"/>
                  </w:tcBorders>
                  <w:shd w:val="clear" w:color="auto" w:fill="auto"/>
                  <w:tcMar>
                    <w:top w:w="28" w:type="dxa"/>
                  </w:tcMar>
                </w:tcPr>
                <w:p w14:paraId="217A0003" w14:textId="77777777" w:rsidR="00B40022" w:rsidRDefault="00B40022" w:rsidP="00E24113">
                  <w:pPr>
                    <w:pStyle w:val="TableColumnHeading"/>
                  </w:pPr>
                  <w:r>
                    <w:t>Units</w:t>
                  </w:r>
                </w:p>
              </w:tc>
              <w:tc>
                <w:tcPr>
                  <w:tcW w:w="838" w:type="pct"/>
                  <w:tcBorders>
                    <w:top w:val="single" w:sz="6" w:space="0" w:color="BFBFBF"/>
                    <w:bottom w:val="single" w:sz="6" w:space="0" w:color="BFBFBF"/>
                  </w:tcBorders>
                </w:tcPr>
                <w:p w14:paraId="605F27EA" w14:textId="77777777" w:rsidR="00B40022" w:rsidRDefault="00B40022" w:rsidP="00E24113">
                  <w:pPr>
                    <w:pStyle w:val="TableColumnHeading"/>
                    <w:ind w:right="28"/>
                  </w:pPr>
                  <w:r>
                    <w:t>Original</w:t>
                  </w:r>
                </w:p>
              </w:tc>
              <w:tc>
                <w:tcPr>
                  <w:tcW w:w="1155" w:type="pct"/>
                  <w:tcBorders>
                    <w:top w:val="single" w:sz="6" w:space="0" w:color="BFBFBF"/>
                    <w:bottom w:val="single" w:sz="6" w:space="0" w:color="BFBFBF"/>
                  </w:tcBorders>
                  <w:shd w:val="clear" w:color="auto" w:fill="auto"/>
                  <w:tcMar>
                    <w:top w:w="28" w:type="dxa"/>
                  </w:tcMar>
                </w:tcPr>
                <w:p w14:paraId="3D8B1805" w14:textId="77777777" w:rsidR="00B40022" w:rsidRDefault="00B40022" w:rsidP="00E24113">
                  <w:pPr>
                    <w:pStyle w:val="TableColumnHeading"/>
                    <w:ind w:right="28"/>
                  </w:pPr>
                  <w:r>
                    <w:t>High life expectancy scenario</w:t>
                  </w:r>
                </w:p>
              </w:tc>
            </w:tr>
            <w:tr w:rsidR="00803039" w14:paraId="673F3EEA" w14:textId="77777777" w:rsidTr="00127FE7">
              <w:tc>
                <w:tcPr>
                  <w:tcW w:w="1845" w:type="pct"/>
                </w:tcPr>
                <w:p w14:paraId="5F0AE815" w14:textId="0546AF4C" w:rsidR="00803039" w:rsidRDefault="00803039" w:rsidP="00E24113">
                  <w:pPr>
                    <w:pStyle w:val="TableBodyText"/>
                    <w:jc w:val="left"/>
                  </w:pPr>
                  <w:r w:rsidRPr="006E4466">
                    <w:t>Change in participa</w:t>
                  </w:r>
                  <w:r>
                    <w:t>tion rate of 50</w:t>
                  </w:r>
                  <w:r w:rsidR="00B86FE0">
                    <w:noBreakHyphen/>
                  </w:r>
                  <w:r>
                    <w:t xml:space="preserve">64 year olds </w:t>
                  </w:r>
                </w:p>
              </w:tc>
              <w:tc>
                <w:tcPr>
                  <w:tcW w:w="1162" w:type="pct"/>
                </w:tcPr>
                <w:p w14:paraId="407646B8" w14:textId="77777777" w:rsidR="00803039" w:rsidRDefault="00803039" w:rsidP="00E24113">
                  <w:pPr>
                    <w:pStyle w:val="TableBodyText"/>
                  </w:pPr>
                  <w:r>
                    <w:t>Percentage point</w:t>
                  </w:r>
                </w:p>
              </w:tc>
              <w:tc>
                <w:tcPr>
                  <w:tcW w:w="838" w:type="pct"/>
                  <w:vAlign w:val="center"/>
                </w:tcPr>
                <w:p w14:paraId="1483D990" w14:textId="77777777" w:rsidR="00803039" w:rsidRDefault="00803039" w:rsidP="00E24113">
                  <w:pPr>
                    <w:pStyle w:val="TableBodyText"/>
                  </w:pPr>
                  <w:r>
                    <w:rPr>
                      <w:rFonts w:cs="Arial"/>
                      <w:color w:val="000000"/>
                      <w:szCs w:val="18"/>
                    </w:rPr>
                    <w:t>2.0</w:t>
                  </w:r>
                </w:p>
              </w:tc>
              <w:tc>
                <w:tcPr>
                  <w:tcW w:w="1155" w:type="pct"/>
                  <w:vAlign w:val="center"/>
                </w:tcPr>
                <w:p w14:paraId="213E1F30" w14:textId="77777777" w:rsidR="00803039" w:rsidRDefault="00803039" w:rsidP="00E24113">
                  <w:pPr>
                    <w:pStyle w:val="TableBodyText"/>
                  </w:pPr>
                  <w:r>
                    <w:rPr>
                      <w:rFonts w:cs="Arial"/>
                      <w:color w:val="000000"/>
                      <w:szCs w:val="18"/>
                    </w:rPr>
                    <w:t>2.0</w:t>
                  </w:r>
                </w:p>
              </w:tc>
            </w:tr>
            <w:tr w:rsidR="00803039" w14:paraId="33F9E416" w14:textId="77777777" w:rsidTr="00127FE7">
              <w:tc>
                <w:tcPr>
                  <w:tcW w:w="1845" w:type="pct"/>
                </w:tcPr>
                <w:p w14:paraId="005D85FB" w14:textId="77777777" w:rsidR="00803039" w:rsidRDefault="00803039" w:rsidP="00E24113">
                  <w:pPr>
                    <w:pStyle w:val="TableBodyText"/>
                    <w:jc w:val="left"/>
                  </w:pPr>
                  <w:r>
                    <w:t>Government expenses</w:t>
                  </w:r>
                </w:p>
              </w:tc>
              <w:tc>
                <w:tcPr>
                  <w:tcW w:w="1162" w:type="pct"/>
                </w:tcPr>
                <w:p w14:paraId="1EE9A209" w14:textId="1BD23331" w:rsidR="00803039" w:rsidRDefault="00803039" w:rsidP="00E24113">
                  <w:pPr>
                    <w:pStyle w:val="TableBodyText"/>
                  </w:pPr>
                  <w:r>
                    <w:t>$b in 2015 prices</w:t>
                  </w:r>
                </w:p>
              </w:tc>
              <w:tc>
                <w:tcPr>
                  <w:tcW w:w="838" w:type="pct"/>
                  <w:vAlign w:val="center"/>
                </w:tcPr>
                <w:p w14:paraId="03FA016D" w14:textId="6BF553C4" w:rsidR="00803039" w:rsidRDefault="00B86FE0" w:rsidP="00E24113">
                  <w:pPr>
                    <w:pStyle w:val="TableBodyText"/>
                  </w:pPr>
                  <w:r>
                    <w:rPr>
                      <w:rFonts w:cs="Arial"/>
                      <w:color w:val="000000"/>
                      <w:szCs w:val="18"/>
                    </w:rPr>
                    <w:noBreakHyphen/>
                  </w:r>
                  <w:r w:rsidR="00803039">
                    <w:rPr>
                      <w:rFonts w:cs="Arial"/>
                      <w:color w:val="000000"/>
                      <w:szCs w:val="18"/>
                    </w:rPr>
                    <w:t>2.0</w:t>
                  </w:r>
                </w:p>
              </w:tc>
              <w:tc>
                <w:tcPr>
                  <w:tcW w:w="1155" w:type="pct"/>
                  <w:vAlign w:val="center"/>
                </w:tcPr>
                <w:p w14:paraId="29155F68" w14:textId="0D5B90C3" w:rsidR="00803039" w:rsidRDefault="00B86FE0" w:rsidP="00E24113">
                  <w:pPr>
                    <w:pStyle w:val="TableBodyText"/>
                  </w:pPr>
                  <w:r>
                    <w:rPr>
                      <w:rFonts w:cs="Arial"/>
                      <w:color w:val="000000"/>
                      <w:szCs w:val="18"/>
                    </w:rPr>
                    <w:noBreakHyphen/>
                  </w:r>
                  <w:r w:rsidR="00803039">
                    <w:rPr>
                      <w:rFonts w:cs="Arial"/>
                      <w:color w:val="000000"/>
                      <w:szCs w:val="18"/>
                    </w:rPr>
                    <w:t>2.1</w:t>
                  </w:r>
                </w:p>
              </w:tc>
            </w:tr>
            <w:tr w:rsidR="00803039" w14:paraId="7381A25A" w14:textId="77777777" w:rsidTr="00127FE7">
              <w:tc>
                <w:tcPr>
                  <w:tcW w:w="1845" w:type="pct"/>
                  <w:shd w:val="clear" w:color="auto" w:fill="auto"/>
                </w:tcPr>
                <w:p w14:paraId="14AFE887" w14:textId="77777777" w:rsidR="00803039" w:rsidRDefault="00803039" w:rsidP="00E24113">
                  <w:pPr>
                    <w:pStyle w:val="TableBodyText"/>
                    <w:jc w:val="left"/>
                  </w:pPr>
                  <w:r>
                    <w:t>Government tax receipts</w:t>
                  </w:r>
                </w:p>
              </w:tc>
              <w:tc>
                <w:tcPr>
                  <w:tcW w:w="1162" w:type="pct"/>
                  <w:shd w:val="clear" w:color="auto" w:fill="auto"/>
                </w:tcPr>
                <w:p w14:paraId="3B782FED" w14:textId="6A02AA07" w:rsidR="00803039" w:rsidRDefault="00803039" w:rsidP="00E24113">
                  <w:pPr>
                    <w:pStyle w:val="TableBodyText"/>
                  </w:pPr>
                  <w:r>
                    <w:t>$b in 2015 prices</w:t>
                  </w:r>
                </w:p>
              </w:tc>
              <w:tc>
                <w:tcPr>
                  <w:tcW w:w="838" w:type="pct"/>
                  <w:vAlign w:val="center"/>
                </w:tcPr>
                <w:p w14:paraId="0CD3695F" w14:textId="77777777" w:rsidR="00803039" w:rsidRDefault="00803039" w:rsidP="00E24113">
                  <w:pPr>
                    <w:pStyle w:val="TableBodyText"/>
                  </w:pPr>
                  <w:r>
                    <w:rPr>
                      <w:rFonts w:cs="Arial"/>
                      <w:color w:val="000000"/>
                      <w:szCs w:val="18"/>
                    </w:rPr>
                    <w:t>5.2</w:t>
                  </w:r>
                </w:p>
              </w:tc>
              <w:tc>
                <w:tcPr>
                  <w:tcW w:w="1155" w:type="pct"/>
                  <w:shd w:val="clear" w:color="auto" w:fill="auto"/>
                  <w:vAlign w:val="center"/>
                </w:tcPr>
                <w:p w14:paraId="257E25EC" w14:textId="77777777" w:rsidR="00803039" w:rsidRDefault="00803039" w:rsidP="00E24113">
                  <w:pPr>
                    <w:pStyle w:val="TableBodyText"/>
                  </w:pPr>
                  <w:r>
                    <w:rPr>
                      <w:rFonts w:cs="Arial"/>
                      <w:color w:val="000000"/>
                      <w:szCs w:val="18"/>
                    </w:rPr>
                    <w:t>5.3</w:t>
                  </w:r>
                </w:p>
              </w:tc>
            </w:tr>
            <w:tr w:rsidR="00803039" w14:paraId="753F980F" w14:textId="77777777" w:rsidTr="00127FE7">
              <w:tc>
                <w:tcPr>
                  <w:tcW w:w="1845" w:type="pct"/>
                  <w:tcBorders>
                    <w:bottom w:val="single" w:sz="6" w:space="0" w:color="BFBFBF"/>
                  </w:tcBorders>
                  <w:shd w:val="clear" w:color="auto" w:fill="auto"/>
                </w:tcPr>
                <w:p w14:paraId="4F3E4BCF" w14:textId="77777777" w:rsidR="00803039" w:rsidRDefault="00803039" w:rsidP="00E24113">
                  <w:pPr>
                    <w:pStyle w:val="TableBodyText"/>
                    <w:jc w:val="left"/>
                  </w:pPr>
                  <w:r>
                    <w:t>Net government fiscal position</w:t>
                  </w:r>
                </w:p>
              </w:tc>
              <w:tc>
                <w:tcPr>
                  <w:tcW w:w="1162" w:type="pct"/>
                  <w:tcBorders>
                    <w:bottom w:val="single" w:sz="6" w:space="0" w:color="BFBFBF"/>
                  </w:tcBorders>
                  <w:shd w:val="clear" w:color="auto" w:fill="auto"/>
                </w:tcPr>
                <w:p w14:paraId="23EF1A72" w14:textId="0341C1F9" w:rsidR="00803039" w:rsidRDefault="00803039" w:rsidP="00E24113">
                  <w:pPr>
                    <w:pStyle w:val="TableBodyText"/>
                  </w:pPr>
                  <w:r>
                    <w:t>$b in 2015 prices</w:t>
                  </w:r>
                </w:p>
              </w:tc>
              <w:tc>
                <w:tcPr>
                  <w:tcW w:w="838" w:type="pct"/>
                  <w:tcBorders>
                    <w:bottom w:val="single" w:sz="6" w:space="0" w:color="BFBFBF"/>
                  </w:tcBorders>
                  <w:vAlign w:val="center"/>
                </w:tcPr>
                <w:p w14:paraId="26D63D84" w14:textId="77777777" w:rsidR="00803039" w:rsidRDefault="00803039" w:rsidP="00E24113">
                  <w:pPr>
                    <w:pStyle w:val="TableBodyText"/>
                  </w:pPr>
                  <w:r>
                    <w:rPr>
                      <w:rFonts w:cs="Arial"/>
                      <w:color w:val="000000"/>
                      <w:szCs w:val="18"/>
                    </w:rPr>
                    <w:t>7.2</w:t>
                  </w:r>
                </w:p>
              </w:tc>
              <w:tc>
                <w:tcPr>
                  <w:tcW w:w="1155" w:type="pct"/>
                  <w:tcBorders>
                    <w:bottom w:val="single" w:sz="6" w:space="0" w:color="BFBFBF"/>
                  </w:tcBorders>
                  <w:shd w:val="clear" w:color="auto" w:fill="auto"/>
                  <w:vAlign w:val="center"/>
                </w:tcPr>
                <w:p w14:paraId="0402A9FA" w14:textId="77777777" w:rsidR="00803039" w:rsidRDefault="00803039" w:rsidP="00E24113">
                  <w:pPr>
                    <w:pStyle w:val="TableBodyText"/>
                  </w:pPr>
                  <w:r>
                    <w:rPr>
                      <w:rFonts w:cs="Arial"/>
                      <w:color w:val="000000"/>
                      <w:szCs w:val="18"/>
                    </w:rPr>
                    <w:t>7.4</w:t>
                  </w:r>
                </w:p>
              </w:tc>
            </w:tr>
          </w:tbl>
          <w:p w14:paraId="23B97927" w14:textId="77777777" w:rsidR="00B40022" w:rsidRDefault="00B40022" w:rsidP="00E24113">
            <w:pPr>
              <w:pStyle w:val="Box"/>
              <w:keepLines/>
            </w:pPr>
          </w:p>
        </w:tc>
      </w:tr>
      <w:tr w:rsidR="00B40022" w14:paraId="0D114FFB" w14:textId="77777777" w:rsidTr="00B40022">
        <w:trPr>
          <w:cantSplit/>
        </w:trPr>
        <w:tc>
          <w:tcPr>
            <w:tcW w:w="8771" w:type="dxa"/>
            <w:tcBorders>
              <w:top w:val="nil"/>
              <w:left w:val="nil"/>
              <w:bottom w:val="nil"/>
              <w:right w:val="nil"/>
            </w:tcBorders>
            <w:shd w:val="clear" w:color="auto" w:fill="auto"/>
          </w:tcPr>
          <w:p w14:paraId="622052B2" w14:textId="6BCEB5F1" w:rsidR="00B40022" w:rsidRDefault="0061143E" w:rsidP="00E24113">
            <w:pPr>
              <w:pStyle w:val="Source"/>
              <w:keepNext/>
            </w:pPr>
            <w:r>
              <w:rPr>
                <w:i/>
              </w:rPr>
              <w:t>Source</w:t>
            </w:r>
            <w:r w:rsidRPr="00167F06">
              <w:t xml:space="preserve">: </w:t>
            </w:r>
            <w:r>
              <w:t>Commission estimates</w:t>
            </w:r>
            <w:r w:rsidR="00F37926">
              <w:t>.</w:t>
            </w:r>
          </w:p>
        </w:tc>
      </w:tr>
      <w:tr w:rsidR="00B40022" w14:paraId="722E19EC" w14:textId="77777777" w:rsidTr="00B40022">
        <w:trPr>
          <w:cantSplit/>
        </w:trPr>
        <w:tc>
          <w:tcPr>
            <w:tcW w:w="8771" w:type="dxa"/>
            <w:tcBorders>
              <w:top w:val="nil"/>
              <w:left w:val="nil"/>
              <w:bottom w:val="single" w:sz="6" w:space="0" w:color="78A22F"/>
              <w:right w:val="nil"/>
            </w:tcBorders>
            <w:shd w:val="clear" w:color="auto" w:fill="auto"/>
          </w:tcPr>
          <w:p w14:paraId="6C361770" w14:textId="77777777" w:rsidR="00B40022" w:rsidRDefault="00B40022" w:rsidP="00E24113">
            <w:pPr>
              <w:pStyle w:val="Box"/>
              <w:keepLines/>
              <w:spacing w:before="0" w:line="120" w:lineRule="exact"/>
            </w:pPr>
          </w:p>
        </w:tc>
      </w:tr>
      <w:tr w:rsidR="00B40022" w:rsidRPr="000863A5" w14:paraId="7D150B81" w14:textId="77777777" w:rsidTr="00B40022">
        <w:tc>
          <w:tcPr>
            <w:tcW w:w="8771" w:type="dxa"/>
            <w:tcBorders>
              <w:top w:val="single" w:sz="6" w:space="0" w:color="78A22F"/>
              <w:left w:val="nil"/>
              <w:bottom w:val="nil"/>
              <w:right w:val="nil"/>
            </w:tcBorders>
          </w:tcPr>
          <w:p w14:paraId="6DA564B3" w14:textId="2CA7BE8D" w:rsidR="00B40022" w:rsidRPr="00626D32" w:rsidRDefault="00B40022" w:rsidP="00E24113">
            <w:pPr>
              <w:pStyle w:val="BoxSpaceBelow"/>
              <w:keepNext/>
              <w:keepLines/>
            </w:pPr>
          </w:p>
        </w:tc>
      </w:tr>
    </w:tbl>
    <w:p w14:paraId="2B674408" w14:textId="3AAF08A8" w:rsidR="00B40022" w:rsidRPr="00962C7F" w:rsidRDefault="00AF76D8" w:rsidP="00CF3142">
      <w:pPr>
        <w:pStyle w:val="Heading3"/>
        <w:spacing w:before="480"/>
      </w:pPr>
      <w:proofErr w:type="spellStart"/>
      <w:r w:rsidRPr="00962C7F">
        <w:t>S</w:t>
      </w:r>
      <w:r>
        <w:t>A6</w:t>
      </w:r>
      <w:proofErr w:type="spellEnd"/>
      <w:r w:rsidR="00B40022" w:rsidRPr="00962C7F">
        <w:t xml:space="preserve">: </w:t>
      </w:r>
      <w:r w:rsidR="00B40022">
        <w:t>Health</w:t>
      </w:r>
      <w:r w:rsidR="00B86FE0">
        <w:noBreakHyphen/>
      </w:r>
      <w:r w:rsidR="00B40022">
        <w:t>driven decrease in</w:t>
      </w:r>
      <w:r w:rsidR="00B40022" w:rsidRPr="00A35F19">
        <w:t xml:space="preserve"> </w:t>
      </w:r>
      <w:r w:rsidR="00B40022">
        <w:t>i</w:t>
      </w:r>
      <w:r w:rsidR="00B40022" w:rsidRPr="00A35F19">
        <w:t>nvoluntary retirement probabilities</w:t>
      </w:r>
    </w:p>
    <w:p w14:paraId="33A9BD99" w14:textId="0CBB2D26" w:rsidR="00B40022" w:rsidRDefault="00B40022" w:rsidP="00B40022">
      <w:pPr>
        <w:pStyle w:val="BodyText"/>
      </w:pPr>
      <w:r>
        <w:t>The original scenario does not assume any improvement in involuntary retirement rates over time. This sensitivity analysis scenario assumes modest health</w:t>
      </w:r>
      <w:r w:rsidR="00B86FE0">
        <w:noBreakHyphen/>
      </w:r>
      <w:r>
        <w:t>driven improvements in involuntary retirement rates</w:t>
      </w:r>
      <w:r w:rsidR="00890A7A">
        <w:t xml:space="preserve"> based on projections from </w:t>
      </w:r>
      <w:proofErr w:type="spellStart"/>
      <w:r w:rsidR="00890A7A">
        <w:t>Head</w:t>
      </w:r>
      <w:r>
        <w:t>ey</w:t>
      </w:r>
      <w:proofErr w:type="spellEnd"/>
      <w:r>
        <w:t xml:space="preserve"> et al</w:t>
      </w:r>
      <w:r w:rsidR="0043427D">
        <w:t>.</w:t>
      </w:r>
      <w:r>
        <w:t xml:space="preserve"> </w:t>
      </w:r>
      <w:r w:rsidR="003A6D3E" w:rsidRPr="003A6D3E">
        <w:t>(2010)</w:t>
      </w:r>
      <w:r>
        <w:t xml:space="preserve">. These improvements are </w:t>
      </w:r>
      <w:r w:rsidR="00E404ED">
        <w:t>larger for those</w:t>
      </w:r>
      <w:r>
        <w:t xml:space="preserve"> aged above 65 years (table </w:t>
      </w:r>
      <w:r w:rsidR="00D85DB3">
        <w:t>6.9</w:t>
      </w:r>
      <w:r>
        <w:t>).</w:t>
      </w:r>
    </w:p>
    <w:p w14:paraId="11DB767E" w14:textId="3A45E809" w:rsidR="00B40022" w:rsidRDefault="00B40022" w:rsidP="00B40022">
      <w:pPr>
        <w:pStyle w:val="BoxSpaceAbove"/>
      </w:pPr>
    </w:p>
    <w:tbl>
      <w:tblPr>
        <w:tblW w:w="0" w:type="auto"/>
        <w:tblInd w:w="164" w:type="dxa"/>
        <w:tblBorders>
          <w:top w:val="single" w:sz="6" w:space="0" w:color="auto"/>
          <w:left w:val="single" w:sz="6" w:space="0" w:color="auto"/>
          <w:bottom w:val="single" w:sz="6" w:space="0" w:color="auto"/>
          <w:right w:val="single" w:sz="6" w:space="0" w:color="auto"/>
        </w:tblBorders>
        <w:tblCellMar>
          <w:left w:w="142" w:type="dxa"/>
          <w:right w:w="142" w:type="dxa"/>
        </w:tblCellMar>
        <w:tblLook w:val="0000" w:firstRow="0" w:lastRow="0" w:firstColumn="0" w:lastColumn="0" w:noHBand="0" w:noVBand="0"/>
      </w:tblPr>
      <w:tblGrid>
        <w:gridCol w:w="8771"/>
      </w:tblGrid>
      <w:tr w:rsidR="00B40022" w14:paraId="3DFB0ED1" w14:textId="77777777" w:rsidTr="00B40022">
        <w:tc>
          <w:tcPr>
            <w:tcW w:w="8771" w:type="dxa"/>
            <w:tcBorders>
              <w:top w:val="single" w:sz="6" w:space="0" w:color="78A22F"/>
              <w:left w:val="nil"/>
              <w:bottom w:val="nil"/>
              <w:right w:val="nil"/>
            </w:tcBorders>
            <w:shd w:val="clear" w:color="auto" w:fill="auto"/>
          </w:tcPr>
          <w:p w14:paraId="2B5D866F" w14:textId="3E0624AA" w:rsidR="00B40022" w:rsidRPr="00784A05" w:rsidRDefault="00B40022" w:rsidP="005F2E7A">
            <w:pPr>
              <w:pStyle w:val="TableTitle"/>
            </w:pPr>
            <w:r>
              <w:rPr>
                <w:b w:val="0"/>
              </w:rPr>
              <w:t xml:space="preserve">Table </w:t>
            </w:r>
            <w:bookmarkStart w:id="12" w:name="OLE_LINK35"/>
            <w:r w:rsidR="00D85DB3">
              <w:rPr>
                <w:b w:val="0"/>
              </w:rPr>
              <w:t>6.</w:t>
            </w:r>
            <w:r w:rsidR="00D85DB3">
              <w:rPr>
                <w:b w:val="0"/>
                <w:noProof/>
              </w:rPr>
              <w:t>9</w:t>
            </w:r>
            <w:bookmarkEnd w:id="12"/>
            <w:r>
              <w:tab/>
            </w:r>
            <w:proofErr w:type="spellStart"/>
            <w:r w:rsidR="005F2E7A">
              <w:t>SA6</w:t>
            </w:r>
            <w:proofErr w:type="spellEnd"/>
            <w:r w:rsidR="005F2E7A">
              <w:t xml:space="preserve"> </w:t>
            </w:r>
            <w:r>
              <w:t>assumptions</w:t>
            </w:r>
          </w:p>
        </w:tc>
      </w:tr>
      <w:tr w:rsidR="00B40022" w14:paraId="57F115A3" w14:textId="77777777" w:rsidTr="00B40022">
        <w:trPr>
          <w:cantSplit/>
        </w:trPr>
        <w:tc>
          <w:tcPr>
            <w:tcW w:w="8771" w:type="dxa"/>
            <w:tcBorders>
              <w:top w:val="nil"/>
              <w:left w:val="nil"/>
              <w:bottom w:val="nil"/>
              <w:right w:val="nil"/>
            </w:tcBorders>
            <w:shd w:val="clear" w:color="auto" w:fill="auto"/>
          </w:tcPr>
          <w:tbl>
            <w:tblPr>
              <w:tblW w:w="5000" w:type="pct"/>
              <w:tblCellMar>
                <w:top w:w="28" w:type="dxa"/>
                <w:left w:w="0" w:type="dxa"/>
                <w:right w:w="0" w:type="dxa"/>
              </w:tblCellMar>
              <w:tblLook w:val="0000" w:firstRow="0" w:lastRow="0" w:firstColumn="0" w:lastColumn="0" w:noHBand="0" w:noVBand="0"/>
            </w:tblPr>
            <w:tblGrid>
              <w:gridCol w:w="1821"/>
              <w:gridCol w:w="3475"/>
              <w:gridCol w:w="3191"/>
            </w:tblGrid>
            <w:tr w:rsidR="00B40022" w14:paraId="1F458F61" w14:textId="77777777" w:rsidTr="00B40022">
              <w:tc>
                <w:tcPr>
                  <w:tcW w:w="1073" w:type="pct"/>
                  <w:tcBorders>
                    <w:top w:val="single" w:sz="6" w:space="0" w:color="BFBFBF"/>
                    <w:bottom w:val="single" w:sz="6" w:space="0" w:color="BFBFBF"/>
                  </w:tcBorders>
                  <w:shd w:val="clear" w:color="auto" w:fill="auto"/>
                  <w:tcMar>
                    <w:top w:w="28" w:type="dxa"/>
                  </w:tcMar>
                </w:tcPr>
                <w:p w14:paraId="63742E22" w14:textId="77777777" w:rsidR="00B40022" w:rsidRDefault="005F2E7A" w:rsidP="00B40022">
                  <w:pPr>
                    <w:pStyle w:val="TableColumnHeading"/>
                    <w:jc w:val="left"/>
                  </w:pPr>
                  <w:r>
                    <w:t>Age cohort</w:t>
                  </w:r>
                </w:p>
              </w:tc>
              <w:tc>
                <w:tcPr>
                  <w:tcW w:w="2047" w:type="pct"/>
                  <w:tcBorders>
                    <w:top w:val="single" w:sz="6" w:space="0" w:color="BFBFBF"/>
                    <w:bottom w:val="single" w:sz="6" w:space="0" w:color="BFBFBF"/>
                  </w:tcBorders>
                </w:tcPr>
                <w:p w14:paraId="7B1AAFC1" w14:textId="77777777" w:rsidR="00B40022" w:rsidRDefault="00B40022" w:rsidP="00B40022">
                  <w:pPr>
                    <w:pStyle w:val="TableColumnHeading"/>
                    <w:ind w:right="28"/>
                  </w:pPr>
                  <w:r>
                    <w:t>Involuntary retirement rates in 2055 as a proportion of base</w:t>
                  </w:r>
                  <w:r w:rsidR="00C02682">
                    <w:t xml:space="preserve"> case</w:t>
                  </w:r>
                  <w:r>
                    <w:t xml:space="preserve"> rates (Males/Couples)</w:t>
                  </w:r>
                </w:p>
              </w:tc>
              <w:tc>
                <w:tcPr>
                  <w:tcW w:w="1880" w:type="pct"/>
                  <w:tcBorders>
                    <w:top w:val="single" w:sz="6" w:space="0" w:color="BFBFBF"/>
                    <w:bottom w:val="single" w:sz="6" w:space="0" w:color="BFBFBF"/>
                  </w:tcBorders>
                  <w:shd w:val="clear" w:color="auto" w:fill="auto"/>
                  <w:tcMar>
                    <w:top w:w="28" w:type="dxa"/>
                  </w:tcMar>
                </w:tcPr>
                <w:p w14:paraId="49D58469" w14:textId="77777777" w:rsidR="00B40022" w:rsidRDefault="00B40022" w:rsidP="00B40022">
                  <w:pPr>
                    <w:pStyle w:val="TableColumnHeading"/>
                    <w:ind w:right="28"/>
                  </w:pPr>
                  <w:r>
                    <w:t xml:space="preserve">Involuntary retirement rates in 2055 as a proportion of base </w:t>
                  </w:r>
                  <w:r w:rsidR="00C02682">
                    <w:t xml:space="preserve">case </w:t>
                  </w:r>
                  <w:r>
                    <w:t>rates (Females)</w:t>
                  </w:r>
                </w:p>
              </w:tc>
            </w:tr>
            <w:tr w:rsidR="00B40022" w14:paraId="5D5AEC00" w14:textId="77777777" w:rsidTr="00B40022">
              <w:tc>
                <w:tcPr>
                  <w:tcW w:w="1073" w:type="pct"/>
                </w:tcPr>
                <w:p w14:paraId="4A9A50E8" w14:textId="7335AD4F" w:rsidR="00B40022" w:rsidRDefault="00B40022" w:rsidP="00B40022">
                  <w:pPr>
                    <w:pStyle w:val="TableBodyText"/>
                    <w:jc w:val="left"/>
                  </w:pPr>
                  <w:r>
                    <w:t>50</w:t>
                  </w:r>
                  <w:r w:rsidR="00B86FE0">
                    <w:noBreakHyphen/>
                  </w:r>
                  <w:r>
                    <w:t>54</w:t>
                  </w:r>
                </w:p>
              </w:tc>
              <w:tc>
                <w:tcPr>
                  <w:tcW w:w="2047" w:type="pct"/>
                </w:tcPr>
                <w:p w14:paraId="1D1EB7DD" w14:textId="77777777" w:rsidR="00B40022" w:rsidRDefault="00B40022" w:rsidP="00B40022">
                  <w:pPr>
                    <w:pStyle w:val="TableBodyText"/>
                    <w:ind w:right="28"/>
                  </w:pPr>
                  <w:r>
                    <w:t>0.991</w:t>
                  </w:r>
                </w:p>
              </w:tc>
              <w:tc>
                <w:tcPr>
                  <w:tcW w:w="1880" w:type="pct"/>
                </w:tcPr>
                <w:p w14:paraId="3E805C1F" w14:textId="77777777" w:rsidR="00B40022" w:rsidRDefault="00B40022" w:rsidP="00B40022">
                  <w:pPr>
                    <w:pStyle w:val="TableBodyText"/>
                    <w:ind w:right="28"/>
                  </w:pPr>
                  <w:r>
                    <w:t>0.975</w:t>
                  </w:r>
                </w:p>
              </w:tc>
            </w:tr>
            <w:tr w:rsidR="00B40022" w14:paraId="1BEFCD5B" w14:textId="77777777" w:rsidTr="00B40022">
              <w:tc>
                <w:tcPr>
                  <w:tcW w:w="1073" w:type="pct"/>
                </w:tcPr>
                <w:p w14:paraId="041C9492" w14:textId="4875C984" w:rsidR="00B40022" w:rsidRDefault="00B40022" w:rsidP="00B40022">
                  <w:pPr>
                    <w:pStyle w:val="TableBodyText"/>
                    <w:jc w:val="left"/>
                  </w:pPr>
                  <w:r>
                    <w:t>55</w:t>
                  </w:r>
                  <w:r w:rsidR="00B86FE0">
                    <w:noBreakHyphen/>
                  </w:r>
                  <w:r>
                    <w:t>59</w:t>
                  </w:r>
                </w:p>
              </w:tc>
              <w:tc>
                <w:tcPr>
                  <w:tcW w:w="2047" w:type="pct"/>
                </w:tcPr>
                <w:p w14:paraId="577C4CFA" w14:textId="77777777" w:rsidR="00B40022" w:rsidRDefault="00B40022" w:rsidP="00B40022">
                  <w:pPr>
                    <w:pStyle w:val="TableBodyText"/>
                    <w:ind w:right="28"/>
                  </w:pPr>
                  <w:r>
                    <w:t>0.984</w:t>
                  </w:r>
                </w:p>
              </w:tc>
              <w:tc>
                <w:tcPr>
                  <w:tcW w:w="1880" w:type="pct"/>
                </w:tcPr>
                <w:p w14:paraId="56A1E58A" w14:textId="77777777" w:rsidR="00B40022" w:rsidRDefault="00B40022" w:rsidP="00B40022">
                  <w:pPr>
                    <w:pStyle w:val="TableBodyText"/>
                    <w:ind w:right="28"/>
                  </w:pPr>
                  <w:r>
                    <w:t>0.967</w:t>
                  </w:r>
                </w:p>
              </w:tc>
            </w:tr>
            <w:tr w:rsidR="00B40022" w14:paraId="60FB5559" w14:textId="77777777" w:rsidTr="00B40022">
              <w:tc>
                <w:tcPr>
                  <w:tcW w:w="1073" w:type="pct"/>
                </w:tcPr>
                <w:p w14:paraId="59A5D6F3" w14:textId="20A8B5F4" w:rsidR="00B40022" w:rsidRDefault="00B40022" w:rsidP="00B40022">
                  <w:pPr>
                    <w:pStyle w:val="TableBodyText"/>
                    <w:jc w:val="left"/>
                  </w:pPr>
                  <w:r>
                    <w:t>60</w:t>
                  </w:r>
                  <w:r w:rsidR="00B86FE0">
                    <w:noBreakHyphen/>
                  </w:r>
                  <w:r>
                    <w:t>64</w:t>
                  </w:r>
                </w:p>
              </w:tc>
              <w:tc>
                <w:tcPr>
                  <w:tcW w:w="2047" w:type="pct"/>
                </w:tcPr>
                <w:p w14:paraId="4A341FA3" w14:textId="77777777" w:rsidR="00B40022" w:rsidRDefault="00B40022" w:rsidP="00B40022">
                  <w:pPr>
                    <w:pStyle w:val="TableBodyText"/>
                    <w:ind w:right="28"/>
                  </w:pPr>
                  <w:r>
                    <w:t>0.937</w:t>
                  </w:r>
                </w:p>
              </w:tc>
              <w:tc>
                <w:tcPr>
                  <w:tcW w:w="1880" w:type="pct"/>
                </w:tcPr>
                <w:p w14:paraId="4CAE979E" w14:textId="77777777" w:rsidR="00B40022" w:rsidRDefault="00B40022" w:rsidP="00B40022">
                  <w:pPr>
                    <w:pStyle w:val="TableBodyText"/>
                    <w:ind w:right="28"/>
                  </w:pPr>
                  <w:r>
                    <w:t>0.896</w:t>
                  </w:r>
                </w:p>
              </w:tc>
            </w:tr>
            <w:tr w:rsidR="00B40022" w14:paraId="1C255A09" w14:textId="77777777" w:rsidTr="00B40022">
              <w:tc>
                <w:tcPr>
                  <w:tcW w:w="1073" w:type="pct"/>
                  <w:tcBorders>
                    <w:bottom w:val="single" w:sz="6" w:space="0" w:color="BFBFBF"/>
                  </w:tcBorders>
                  <w:shd w:val="clear" w:color="auto" w:fill="auto"/>
                </w:tcPr>
                <w:p w14:paraId="25062614" w14:textId="77777777" w:rsidR="00B40022" w:rsidRDefault="00B40022" w:rsidP="00B40022">
                  <w:pPr>
                    <w:pStyle w:val="TableBodyText"/>
                    <w:jc w:val="left"/>
                  </w:pPr>
                  <w:r>
                    <w:t>65+</w:t>
                  </w:r>
                </w:p>
              </w:tc>
              <w:tc>
                <w:tcPr>
                  <w:tcW w:w="2047" w:type="pct"/>
                  <w:tcBorders>
                    <w:bottom w:val="single" w:sz="6" w:space="0" w:color="BFBFBF"/>
                  </w:tcBorders>
                </w:tcPr>
                <w:p w14:paraId="77EF9292" w14:textId="77777777" w:rsidR="00B40022" w:rsidRDefault="00B40022" w:rsidP="00B40022">
                  <w:pPr>
                    <w:pStyle w:val="TableBodyText"/>
                    <w:ind w:right="28"/>
                  </w:pPr>
                  <w:r>
                    <w:t>0.892</w:t>
                  </w:r>
                </w:p>
              </w:tc>
              <w:tc>
                <w:tcPr>
                  <w:tcW w:w="1880" w:type="pct"/>
                  <w:tcBorders>
                    <w:bottom w:val="single" w:sz="6" w:space="0" w:color="BFBFBF"/>
                  </w:tcBorders>
                  <w:shd w:val="clear" w:color="auto" w:fill="auto"/>
                </w:tcPr>
                <w:p w14:paraId="3CD6EBEB" w14:textId="77777777" w:rsidR="00B40022" w:rsidRDefault="00B40022" w:rsidP="00B40022">
                  <w:pPr>
                    <w:pStyle w:val="TableBodyText"/>
                    <w:ind w:right="28"/>
                  </w:pPr>
                  <w:r>
                    <w:t>0.842</w:t>
                  </w:r>
                </w:p>
              </w:tc>
            </w:tr>
          </w:tbl>
          <w:p w14:paraId="5FFBBF91" w14:textId="77777777" w:rsidR="00B40022" w:rsidRDefault="00B40022" w:rsidP="00B40022">
            <w:pPr>
              <w:pStyle w:val="Box"/>
            </w:pPr>
          </w:p>
        </w:tc>
      </w:tr>
      <w:tr w:rsidR="00B40022" w14:paraId="19A0323B" w14:textId="77777777" w:rsidTr="00B40022">
        <w:trPr>
          <w:cantSplit/>
        </w:trPr>
        <w:tc>
          <w:tcPr>
            <w:tcW w:w="8771" w:type="dxa"/>
            <w:tcBorders>
              <w:top w:val="nil"/>
              <w:left w:val="nil"/>
              <w:bottom w:val="single" w:sz="6" w:space="0" w:color="78A22F"/>
              <w:right w:val="nil"/>
            </w:tcBorders>
            <w:shd w:val="clear" w:color="auto" w:fill="auto"/>
          </w:tcPr>
          <w:p w14:paraId="2D831A99" w14:textId="77777777" w:rsidR="00B40022" w:rsidRDefault="00B40022" w:rsidP="00B40022">
            <w:pPr>
              <w:pStyle w:val="Box"/>
              <w:spacing w:before="0" w:line="120" w:lineRule="exact"/>
            </w:pPr>
          </w:p>
        </w:tc>
      </w:tr>
      <w:tr w:rsidR="00B40022" w:rsidRPr="000863A5" w14:paraId="5832A92A" w14:textId="77777777" w:rsidTr="00B40022">
        <w:tc>
          <w:tcPr>
            <w:tcW w:w="8771" w:type="dxa"/>
            <w:tcBorders>
              <w:top w:val="single" w:sz="6" w:space="0" w:color="78A22F"/>
              <w:left w:val="nil"/>
              <w:bottom w:val="nil"/>
              <w:right w:val="nil"/>
            </w:tcBorders>
          </w:tcPr>
          <w:p w14:paraId="31B3C253" w14:textId="26E37FAE" w:rsidR="00B40022" w:rsidRPr="00626D32" w:rsidRDefault="00B40022" w:rsidP="00B40022">
            <w:pPr>
              <w:pStyle w:val="BoxSpaceBelow"/>
            </w:pPr>
          </w:p>
        </w:tc>
      </w:tr>
    </w:tbl>
    <w:p w14:paraId="2A90A73F" w14:textId="18EEBACA" w:rsidR="00B40022" w:rsidRDefault="00B40022" w:rsidP="00B40022">
      <w:pPr>
        <w:pStyle w:val="BodyText"/>
      </w:pPr>
      <w:r>
        <w:t>These health</w:t>
      </w:r>
      <w:r w:rsidR="00B86FE0">
        <w:noBreakHyphen/>
      </w:r>
      <w:r>
        <w:t xml:space="preserve">improvements in involuntary retirement </w:t>
      </w:r>
      <w:r w:rsidR="00B86FE0">
        <w:t>(</w:t>
      </w:r>
      <w:proofErr w:type="spellStart"/>
      <w:r w:rsidR="00B86FE0">
        <w:t>IR</w:t>
      </w:r>
      <w:proofErr w:type="spellEnd"/>
      <w:r w:rsidR="00B86FE0">
        <w:t xml:space="preserve">) </w:t>
      </w:r>
      <w:r>
        <w:t>rates have a negligible impact on model results (table </w:t>
      </w:r>
      <w:r w:rsidR="00D85DB3">
        <w:t>6.10</w:t>
      </w:r>
      <w:r>
        <w:t xml:space="preserve">). This is because there are limited improvements for retirement ages that are most affected by an increase in the </w:t>
      </w:r>
      <w:r w:rsidR="00265F10">
        <w:t>preservation</w:t>
      </w:r>
      <w:r w:rsidR="009E3E77">
        <w:t xml:space="preserve"> age</w:t>
      </w:r>
      <w:r>
        <w:t xml:space="preserve"> (that is, 50</w:t>
      </w:r>
      <w:r w:rsidR="00B86FE0">
        <w:noBreakHyphen/>
      </w:r>
      <w:r>
        <w:t>64 year old</w:t>
      </w:r>
      <w:r w:rsidR="0077228C">
        <w:t>s</w:t>
      </w:r>
      <w:r>
        <w:t>).</w:t>
      </w:r>
    </w:p>
    <w:p w14:paraId="0A6CE073" w14:textId="00A60AF6" w:rsidR="00B40022" w:rsidRDefault="00B40022" w:rsidP="00B40022">
      <w:pPr>
        <w:pStyle w:val="BoxSpaceAbove"/>
      </w:pPr>
    </w:p>
    <w:tbl>
      <w:tblPr>
        <w:tblW w:w="0" w:type="auto"/>
        <w:tblInd w:w="164" w:type="dxa"/>
        <w:tblBorders>
          <w:top w:val="single" w:sz="6" w:space="0" w:color="auto"/>
          <w:left w:val="single" w:sz="6" w:space="0" w:color="auto"/>
          <w:bottom w:val="single" w:sz="6" w:space="0" w:color="auto"/>
          <w:right w:val="single" w:sz="6" w:space="0" w:color="auto"/>
        </w:tblBorders>
        <w:tblCellMar>
          <w:left w:w="142" w:type="dxa"/>
          <w:right w:w="142" w:type="dxa"/>
        </w:tblCellMar>
        <w:tblLook w:val="0000" w:firstRow="0" w:lastRow="0" w:firstColumn="0" w:lastColumn="0" w:noHBand="0" w:noVBand="0"/>
      </w:tblPr>
      <w:tblGrid>
        <w:gridCol w:w="8771"/>
      </w:tblGrid>
      <w:tr w:rsidR="00B40022" w14:paraId="187454F8" w14:textId="77777777" w:rsidTr="00B40022">
        <w:tc>
          <w:tcPr>
            <w:tcW w:w="8771" w:type="dxa"/>
            <w:tcBorders>
              <w:top w:val="single" w:sz="6" w:space="0" w:color="78A22F"/>
              <w:left w:val="nil"/>
              <w:bottom w:val="nil"/>
              <w:right w:val="nil"/>
            </w:tcBorders>
            <w:shd w:val="clear" w:color="auto" w:fill="auto"/>
          </w:tcPr>
          <w:p w14:paraId="0DEB56F9" w14:textId="37DB4B2F" w:rsidR="00B40022" w:rsidRPr="00FA543D" w:rsidRDefault="00B40022" w:rsidP="005F2E7A">
            <w:pPr>
              <w:pStyle w:val="TableTitle"/>
            </w:pPr>
            <w:r>
              <w:rPr>
                <w:b w:val="0"/>
              </w:rPr>
              <w:t xml:space="preserve">Table </w:t>
            </w:r>
            <w:bookmarkStart w:id="13" w:name="OLE_LINK36"/>
            <w:r w:rsidR="00D85DB3">
              <w:rPr>
                <w:b w:val="0"/>
              </w:rPr>
              <w:t>6.</w:t>
            </w:r>
            <w:r w:rsidR="00D85DB3">
              <w:rPr>
                <w:b w:val="0"/>
                <w:noProof/>
              </w:rPr>
              <w:t>10</w:t>
            </w:r>
            <w:bookmarkEnd w:id="13"/>
            <w:r>
              <w:tab/>
            </w:r>
            <w:proofErr w:type="spellStart"/>
            <w:r w:rsidR="005F2E7A">
              <w:t>SA6</w:t>
            </w:r>
            <w:proofErr w:type="spellEnd"/>
            <w:r w:rsidR="005F2E7A">
              <w:t xml:space="preserve"> </w:t>
            </w:r>
            <w:r>
              <w:t>results in 2055</w:t>
            </w:r>
          </w:p>
        </w:tc>
      </w:tr>
      <w:tr w:rsidR="00B40022" w14:paraId="4815BA94" w14:textId="77777777" w:rsidTr="00B40022">
        <w:trPr>
          <w:cantSplit/>
        </w:trPr>
        <w:tc>
          <w:tcPr>
            <w:tcW w:w="8771" w:type="dxa"/>
            <w:tcBorders>
              <w:top w:val="nil"/>
              <w:left w:val="nil"/>
              <w:bottom w:val="nil"/>
              <w:right w:val="nil"/>
            </w:tcBorders>
            <w:shd w:val="clear" w:color="auto" w:fill="auto"/>
          </w:tcPr>
          <w:tbl>
            <w:tblPr>
              <w:tblW w:w="5000" w:type="pct"/>
              <w:tblCellMar>
                <w:top w:w="28" w:type="dxa"/>
                <w:left w:w="0" w:type="dxa"/>
                <w:right w:w="0" w:type="dxa"/>
              </w:tblCellMar>
              <w:tblLook w:val="0000" w:firstRow="0" w:lastRow="0" w:firstColumn="0" w:lastColumn="0" w:noHBand="0" w:noVBand="0"/>
            </w:tblPr>
            <w:tblGrid>
              <w:gridCol w:w="3132"/>
              <w:gridCol w:w="1972"/>
              <w:gridCol w:w="1692"/>
              <w:gridCol w:w="1691"/>
            </w:tblGrid>
            <w:tr w:rsidR="00B40022" w14:paraId="3650E594" w14:textId="77777777" w:rsidTr="00B40022">
              <w:tc>
                <w:tcPr>
                  <w:tcW w:w="1845" w:type="pct"/>
                  <w:tcBorders>
                    <w:top w:val="single" w:sz="6" w:space="0" w:color="BFBFBF"/>
                    <w:bottom w:val="single" w:sz="6" w:space="0" w:color="BFBFBF"/>
                  </w:tcBorders>
                  <w:shd w:val="clear" w:color="auto" w:fill="auto"/>
                  <w:tcMar>
                    <w:top w:w="28" w:type="dxa"/>
                  </w:tcMar>
                </w:tcPr>
                <w:p w14:paraId="41EC5EA6" w14:textId="77777777" w:rsidR="00B40022" w:rsidRDefault="00B40022" w:rsidP="00B40022">
                  <w:pPr>
                    <w:pStyle w:val="TableColumnHeading"/>
                    <w:jc w:val="left"/>
                  </w:pPr>
                </w:p>
              </w:tc>
              <w:tc>
                <w:tcPr>
                  <w:tcW w:w="1162" w:type="pct"/>
                  <w:tcBorders>
                    <w:top w:val="single" w:sz="6" w:space="0" w:color="BFBFBF"/>
                    <w:bottom w:val="single" w:sz="6" w:space="0" w:color="BFBFBF"/>
                  </w:tcBorders>
                  <w:shd w:val="clear" w:color="auto" w:fill="auto"/>
                  <w:tcMar>
                    <w:top w:w="28" w:type="dxa"/>
                  </w:tcMar>
                </w:tcPr>
                <w:p w14:paraId="23F7D4C2" w14:textId="77777777" w:rsidR="00B40022" w:rsidRDefault="00B40022" w:rsidP="00B40022">
                  <w:pPr>
                    <w:pStyle w:val="TableColumnHeading"/>
                  </w:pPr>
                  <w:r>
                    <w:t>Units</w:t>
                  </w:r>
                </w:p>
              </w:tc>
              <w:tc>
                <w:tcPr>
                  <w:tcW w:w="997" w:type="pct"/>
                  <w:tcBorders>
                    <w:top w:val="single" w:sz="6" w:space="0" w:color="BFBFBF"/>
                    <w:bottom w:val="single" w:sz="6" w:space="0" w:color="BFBFBF"/>
                  </w:tcBorders>
                </w:tcPr>
                <w:p w14:paraId="75A9D0C5" w14:textId="77777777" w:rsidR="00B40022" w:rsidRDefault="00B40022" w:rsidP="00B40022">
                  <w:pPr>
                    <w:pStyle w:val="TableColumnHeading"/>
                    <w:ind w:right="28"/>
                  </w:pPr>
                  <w:r>
                    <w:t>Original</w:t>
                  </w:r>
                </w:p>
              </w:tc>
              <w:tc>
                <w:tcPr>
                  <w:tcW w:w="996" w:type="pct"/>
                  <w:tcBorders>
                    <w:top w:val="single" w:sz="6" w:space="0" w:color="BFBFBF"/>
                    <w:bottom w:val="single" w:sz="6" w:space="0" w:color="BFBFBF"/>
                  </w:tcBorders>
                  <w:shd w:val="clear" w:color="auto" w:fill="auto"/>
                  <w:tcMar>
                    <w:top w:w="28" w:type="dxa"/>
                  </w:tcMar>
                </w:tcPr>
                <w:p w14:paraId="0EBAFB8C" w14:textId="77777777" w:rsidR="00B40022" w:rsidRDefault="00B40022" w:rsidP="00B40022">
                  <w:pPr>
                    <w:pStyle w:val="TableColumnHeading"/>
                    <w:ind w:right="28"/>
                  </w:pPr>
                  <w:r>
                    <w:t xml:space="preserve">Improvements in </w:t>
                  </w:r>
                  <w:proofErr w:type="spellStart"/>
                  <w:r>
                    <w:t>IR</w:t>
                  </w:r>
                  <w:proofErr w:type="spellEnd"/>
                  <w:r>
                    <w:t xml:space="preserve"> rates over time</w:t>
                  </w:r>
                </w:p>
              </w:tc>
            </w:tr>
            <w:tr w:rsidR="00803039" w14:paraId="6B28C567" w14:textId="77777777" w:rsidTr="00B40022">
              <w:tc>
                <w:tcPr>
                  <w:tcW w:w="1845" w:type="pct"/>
                </w:tcPr>
                <w:p w14:paraId="58842FB0" w14:textId="0EE0A24C" w:rsidR="00803039" w:rsidRDefault="00803039" w:rsidP="00B40022">
                  <w:pPr>
                    <w:pStyle w:val="TableBodyText"/>
                    <w:jc w:val="left"/>
                  </w:pPr>
                  <w:r w:rsidRPr="006E4466">
                    <w:t>Change in participa</w:t>
                  </w:r>
                  <w:r>
                    <w:t>tion rate of 50</w:t>
                  </w:r>
                  <w:r w:rsidR="00B86FE0">
                    <w:noBreakHyphen/>
                  </w:r>
                  <w:r>
                    <w:t xml:space="preserve">64 year olds </w:t>
                  </w:r>
                </w:p>
              </w:tc>
              <w:tc>
                <w:tcPr>
                  <w:tcW w:w="1162" w:type="pct"/>
                </w:tcPr>
                <w:p w14:paraId="6226535E" w14:textId="77777777" w:rsidR="00803039" w:rsidRDefault="00803039" w:rsidP="00B40022">
                  <w:pPr>
                    <w:pStyle w:val="TableBodyText"/>
                  </w:pPr>
                  <w:r>
                    <w:t>Percentage point</w:t>
                  </w:r>
                </w:p>
              </w:tc>
              <w:tc>
                <w:tcPr>
                  <w:tcW w:w="997" w:type="pct"/>
                  <w:vAlign w:val="center"/>
                </w:tcPr>
                <w:p w14:paraId="73593495" w14:textId="77777777" w:rsidR="00803039" w:rsidRDefault="00803039" w:rsidP="00B40022">
                  <w:pPr>
                    <w:pStyle w:val="TableBodyText"/>
                  </w:pPr>
                  <w:r>
                    <w:rPr>
                      <w:rFonts w:cs="Arial"/>
                      <w:color w:val="000000"/>
                      <w:szCs w:val="18"/>
                    </w:rPr>
                    <w:t>2.0</w:t>
                  </w:r>
                </w:p>
              </w:tc>
              <w:tc>
                <w:tcPr>
                  <w:tcW w:w="996" w:type="pct"/>
                  <w:vAlign w:val="center"/>
                </w:tcPr>
                <w:p w14:paraId="40432680" w14:textId="77777777" w:rsidR="00803039" w:rsidRDefault="00803039" w:rsidP="00B40022">
                  <w:pPr>
                    <w:pStyle w:val="TableBodyText"/>
                  </w:pPr>
                  <w:r>
                    <w:rPr>
                      <w:rFonts w:cs="Arial"/>
                      <w:color w:val="000000"/>
                      <w:szCs w:val="18"/>
                    </w:rPr>
                    <w:t>2.0</w:t>
                  </w:r>
                </w:p>
              </w:tc>
            </w:tr>
            <w:tr w:rsidR="00803039" w14:paraId="6B6D36B1" w14:textId="77777777" w:rsidTr="00B40022">
              <w:tc>
                <w:tcPr>
                  <w:tcW w:w="1845" w:type="pct"/>
                </w:tcPr>
                <w:p w14:paraId="1629F682" w14:textId="77777777" w:rsidR="00803039" w:rsidRDefault="00803039" w:rsidP="00B40022">
                  <w:pPr>
                    <w:pStyle w:val="TableBodyText"/>
                    <w:jc w:val="left"/>
                  </w:pPr>
                  <w:r>
                    <w:t>Government expenses</w:t>
                  </w:r>
                </w:p>
              </w:tc>
              <w:tc>
                <w:tcPr>
                  <w:tcW w:w="1162" w:type="pct"/>
                </w:tcPr>
                <w:p w14:paraId="62E296E4" w14:textId="03BFCD6C" w:rsidR="00803039" w:rsidRDefault="00803039" w:rsidP="00B40022">
                  <w:pPr>
                    <w:pStyle w:val="TableBodyText"/>
                  </w:pPr>
                  <w:r>
                    <w:t>$b in 2015 prices</w:t>
                  </w:r>
                </w:p>
              </w:tc>
              <w:tc>
                <w:tcPr>
                  <w:tcW w:w="997" w:type="pct"/>
                  <w:vAlign w:val="center"/>
                </w:tcPr>
                <w:p w14:paraId="29C3957A" w14:textId="6AB7E4B6" w:rsidR="00803039" w:rsidRDefault="00B86FE0" w:rsidP="00B40022">
                  <w:pPr>
                    <w:pStyle w:val="TableBodyText"/>
                  </w:pPr>
                  <w:r>
                    <w:rPr>
                      <w:rFonts w:cs="Arial"/>
                      <w:color w:val="000000"/>
                      <w:szCs w:val="18"/>
                    </w:rPr>
                    <w:noBreakHyphen/>
                  </w:r>
                  <w:r w:rsidR="00803039">
                    <w:rPr>
                      <w:rFonts w:cs="Arial"/>
                      <w:color w:val="000000"/>
                      <w:szCs w:val="18"/>
                    </w:rPr>
                    <w:t>2.0</w:t>
                  </w:r>
                </w:p>
              </w:tc>
              <w:tc>
                <w:tcPr>
                  <w:tcW w:w="996" w:type="pct"/>
                  <w:vAlign w:val="center"/>
                </w:tcPr>
                <w:p w14:paraId="4F4A2B55" w14:textId="1D198A5C" w:rsidR="00803039" w:rsidRDefault="00B86FE0" w:rsidP="00B40022">
                  <w:pPr>
                    <w:pStyle w:val="TableBodyText"/>
                  </w:pPr>
                  <w:r>
                    <w:rPr>
                      <w:rFonts w:cs="Arial"/>
                      <w:color w:val="000000"/>
                      <w:szCs w:val="18"/>
                    </w:rPr>
                    <w:noBreakHyphen/>
                  </w:r>
                  <w:r w:rsidR="00803039">
                    <w:rPr>
                      <w:rFonts w:cs="Arial"/>
                      <w:color w:val="000000"/>
                      <w:szCs w:val="18"/>
                    </w:rPr>
                    <w:t>2.0</w:t>
                  </w:r>
                </w:p>
              </w:tc>
            </w:tr>
            <w:tr w:rsidR="00803039" w14:paraId="70778655" w14:textId="77777777" w:rsidTr="00B40022">
              <w:tc>
                <w:tcPr>
                  <w:tcW w:w="1845" w:type="pct"/>
                  <w:shd w:val="clear" w:color="auto" w:fill="auto"/>
                </w:tcPr>
                <w:p w14:paraId="57D803D5" w14:textId="77777777" w:rsidR="00803039" w:rsidRDefault="00803039" w:rsidP="00B40022">
                  <w:pPr>
                    <w:pStyle w:val="TableBodyText"/>
                    <w:jc w:val="left"/>
                  </w:pPr>
                  <w:r>
                    <w:t>Government tax receipts</w:t>
                  </w:r>
                </w:p>
              </w:tc>
              <w:tc>
                <w:tcPr>
                  <w:tcW w:w="1162" w:type="pct"/>
                  <w:shd w:val="clear" w:color="auto" w:fill="auto"/>
                </w:tcPr>
                <w:p w14:paraId="1517F300" w14:textId="70385EB2" w:rsidR="00803039" w:rsidRDefault="00803039" w:rsidP="00B40022">
                  <w:pPr>
                    <w:pStyle w:val="TableBodyText"/>
                  </w:pPr>
                  <w:r>
                    <w:t>$b in 2015 prices</w:t>
                  </w:r>
                </w:p>
              </w:tc>
              <w:tc>
                <w:tcPr>
                  <w:tcW w:w="997" w:type="pct"/>
                  <w:vAlign w:val="center"/>
                </w:tcPr>
                <w:p w14:paraId="52D1FAB3" w14:textId="77777777" w:rsidR="00803039" w:rsidRDefault="00803039" w:rsidP="00B40022">
                  <w:pPr>
                    <w:pStyle w:val="TableBodyText"/>
                  </w:pPr>
                  <w:r>
                    <w:rPr>
                      <w:rFonts w:cs="Arial"/>
                      <w:color w:val="000000"/>
                      <w:szCs w:val="18"/>
                    </w:rPr>
                    <w:t>5.2</w:t>
                  </w:r>
                </w:p>
              </w:tc>
              <w:tc>
                <w:tcPr>
                  <w:tcW w:w="996" w:type="pct"/>
                  <w:shd w:val="clear" w:color="auto" w:fill="auto"/>
                  <w:vAlign w:val="center"/>
                </w:tcPr>
                <w:p w14:paraId="5C8B8B9A" w14:textId="77777777" w:rsidR="00803039" w:rsidRDefault="00803039" w:rsidP="00B40022">
                  <w:pPr>
                    <w:pStyle w:val="TableBodyText"/>
                  </w:pPr>
                  <w:r>
                    <w:rPr>
                      <w:rFonts w:cs="Arial"/>
                      <w:color w:val="000000"/>
                      <w:szCs w:val="18"/>
                    </w:rPr>
                    <w:t>5.2</w:t>
                  </w:r>
                </w:p>
              </w:tc>
            </w:tr>
            <w:tr w:rsidR="00803039" w14:paraId="1CF0B663" w14:textId="77777777" w:rsidTr="00B40022">
              <w:tc>
                <w:tcPr>
                  <w:tcW w:w="1845" w:type="pct"/>
                  <w:tcBorders>
                    <w:bottom w:val="single" w:sz="6" w:space="0" w:color="BFBFBF"/>
                  </w:tcBorders>
                  <w:shd w:val="clear" w:color="auto" w:fill="auto"/>
                </w:tcPr>
                <w:p w14:paraId="34696098" w14:textId="77777777" w:rsidR="00803039" w:rsidRDefault="00803039" w:rsidP="00B40022">
                  <w:pPr>
                    <w:pStyle w:val="TableBodyText"/>
                    <w:jc w:val="left"/>
                  </w:pPr>
                  <w:r>
                    <w:t>Net government fiscal position</w:t>
                  </w:r>
                </w:p>
              </w:tc>
              <w:tc>
                <w:tcPr>
                  <w:tcW w:w="1162" w:type="pct"/>
                  <w:tcBorders>
                    <w:bottom w:val="single" w:sz="6" w:space="0" w:color="BFBFBF"/>
                  </w:tcBorders>
                  <w:shd w:val="clear" w:color="auto" w:fill="auto"/>
                </w:tcPr>
                <w:p w14:paraId="49AB687B" w14:textId="3D95C5A2" w:rsidR="00803039" w:rsidRDefault="00803039" w:rsidP="00B40022">
                  <w:pPr>
                    <w:pStyle w:val="TableBodyText"/>
                  </w:pPr>
                  <w:r>
                    <w:t>$b in 2015 prices</w:t>
                  </w:r>
                </w:p>
              </w:tc>
              <w:tc>
                <w:tcPr>
                  <w:tcW w:w="997" w:type="pct"/>
                  <w:tcBorders>
                    <w:bottom w:val="single" w:sz="6" w:space="0" w:color="BFBFBF"/>
                  </w:tcBorders>
                  <w:vAlign w:val="center"/>
                </w:tcPr>
                <w:p w14:paraId="4FD4188A" w14:textId="77777777" w:rsidR="00803039" w:rsidRDefault="00803039" w:rsidP="00B40022">
                  <w:pPr>
                    <w:pStyle w:val="TableBodyText"/>
                  </w:pPr>
                  <w:r>
                    <w:rPr>
                      <w:rFonts w:cs="Arial"/>
                      <w:color w:val="000000"/>
                      <w:szCs w:val="18"/>
                    </w:rPr>
                    <w:t>7.2</w:t>
                  </w:r>
                </w:p>
              </w:tc>
              <w:tc>
                <w:tcPr>
                  <w:tcW w:w="996" w:type="pct"/>
                  <w:tcBorders>
                    <w:bottom w:val="single" w:sz="6" w:space="0" w:color="BFBFBF"/>
                  </w:tcBorders>
                  <w:shd w:val="clear" w:color="auto" w:fill="auto"/>
                  <w:vAlign w:val="center"/>
                </w:tcPr>
                <w:p w14:paraId="16BE4884" w14:textId="77777777" w:rsidR="00803039" w:rsidRDefault="00803039" w:rsidP="00B40022">
                  <w:pPr>
                    <w:pStyle w:val="TableBodyText"/>
                  </w:pPr>
                  <w:r>
                    <w:rPr>
                      <w:rFonts w:cs="Arial"/>
                      <w:color w:val="000000"/>
                      <w:szCs w:val="18"/>
                    </w:rPr>
                    <w:t>7.2</w:t>
                  </w:r>
                </w:p>
              </w:tc>
            </w:tr>
          </w:tbl>
          <w:p w14:paraId="5991C3E9" w14:textId="77777777" w:rsidR="00B40022" w:rsidRDefault="00B40022" w:rsidP="00B40022">
            <w:pPr>
              <w:pStyle w:val="Box"/>
            </w:pPr>
          </w:p>
        </w:tc>
      </w:tr>
      <w:tr w:rsidR="00B40022" w14:paraId="37C44511" w14:textId="77777777" w:rsidTr="00B40022">
        <w:trPr>
          <w:cantSplit/>
        </w:trPr>
        <w:tc>
          <w:tcPr>
            <w:tcW w:w="8771" w:type="dxa"/>
            <w:tcBorders>
              <w:top w:val="nil"/>
              <w:left w:val="nil"/>
              <w:bottom w:val="nil"/>
              <w:right w:val="nil"/>
            </w:tcBorders>
            <w:shd w:val="clear" w:color="auto" w:fill="auto"/>
          </w:tcPr>
          <w:p w14:paraId="6FFC292B" w14:textId="0CB54D4E" w:rsidR="00B40022" w:rsidRDefault="0061143E" w:rsidP="00B40022">
            <w:pPr>
              <w:pStyle w:val="Source"/>
            </w:pPr>
            <w:r>
              <w:rPr>
                <w:i/>
              </w:rPr>
              <w:t>Source</w:t>
            </w:r>
            <w:r w:rsidRPr="00167F06">
              <w:t xml:space="preserve">: </w:t>
            </w:r>
            <w:r>
              <w:t>Commission estimates</w:t>
            </w:r>
            <w:r w:rsidR="003E6A41">
              <w:t>.</w:t>
            </w:r>
          </w:p>
        </w:tc>
      </w:tr>
      <w:tr w:rsidR="00B40022" w14:paraId="62537774" w14:textId="77777777" w:rsidTr="00B40022">
        <w:trPr>
          <w:cantSplit/>
        </w:trPr>
        <w:tc>
          <w:tcPr>
            <w:tcW w:w="8771" w:type="dxa"/>
            <w:tcBorders>
              <w:top w:val="nil"/>
              <w:left w:val="nil"/>
              <w:bottom w:val="single" w:sz="6" w:space="0" w:color="78A22F"/>
              <w:right w:val="nil"/>
            </w:tcBorders>
            <w:shd w:val="clear" w:color="auto" w:fill="auto"/>
          </w:tcPr>
          <w:p w14:paraId="7F9A6CF9" w14:textId="77777777" w:rsidR="00B40022" w:rsidRDefault="00B40022" w:rsidP="00B40022">
            <w:pPr>
              <w:pStyle w:val="Box"/>
              <w:spacing w:before="0" w:line="120" w:lineRule="exact"/>
            </w:pPr>
          </w:p>
        </w:tc>
      </w:tr>
      <w:tr w:rsidR="00B40022" w:rsidRPr="000863A5" w14:paraId="0F86B383" w14:textId="77777777" w:rsidTr="00B40022">
        <w:tc>
          <w:tcPr>
            <w:tcW w:w="8771" w:type="dxa"/>
            <w:tcBorders>
              <w:top w:val="single" w:sz="6" w:space="0" w:color="78A22F"/>
              <w:left w:val="nil"/>
              <w:bottom w:val="nil"/>
              <w:right w:val="nil"/>
            </w:tcBorders>
          </w:tcPr>
          <w:p w14:paraId="371A85AB" w14:textId="7CFF1D2F" w:rsidR="00B40022" w:rsidRPr="00626D32" w:rsidRDefault="00B40022" w:rsidP="00B40022">
            <w:pPr>
              <w:pStyle w:val="BoxSpaceBelow"/>
            </w:pPr>
          </w:p>
        </w:tc>
      </w:tr>
    </w:tbl>
    <w:p w14:paraId="3DA15985" w14:textId="77777777" w:rsidR="00B2270C" w:rsidRDefault="00AF76D8" w:rsidP="00B40022">
      <w:pPr>
        <w:pStyle w:val="Heading3"/>
      </w:pPr>
      <w:proofErr w:type="spellStart"/>
      <w:r>
        <w:lastRenderedPageBreak/>
        <w:t>SA7</w:t>
      </w:r>
      <w:proofErr w:type="spellEnd"/>
      <w:r w:rsidR="00B2270C">
        <w:t>: Increases in labour force participation of women</w:t>
      </w:r>
      <w:r w:rsidR="00F0578D">
        <w:t xml:space="preserve"> </w:t>
      </w:r>
    </w:p>
    <w:p w14:paraId="71F40E3E" w14:textId="77777777" w:rsidR="00347FE9" w:rsidRDefault="00347FE9" w:rsidP="00347FE9">
      <w:pPr>
        <w:pStyle w:val="BodyText"/>
      </w:pPr>
      <w:r>
        <w:t>This sensitivity analysis scenario alters the parameters relating to female labour force participation by reducing the gap between males and females by 25</w:t>
      </w:r>
      <w:r w:rsidR="00126026">
        <w:t> </w:t>
      </w:r>
      <w:r>
        <w:t>per</w:t>
      </w:r>
      <w:r w:rsidR="00126026">
        <w:t> </w:t>
      </w:r>
      <w:r>
        <w:t xml:space="preserve">cent prior to the age of 50. The restriction of the age of 50 is necessary due to the workings of the </w:t>
      </w:r>
      <w:proofErr w:type="spellStart"/>
      <w:r>
        <w:t>PCRM</w:t>
      </w:r>
      <w:proofErr w:type="spellEnd"/>
      <w:r>
        <w:t xml:space="preserve">, as retirement decisions made beyond this age </w:t>
      </w:r>
      <w:r w:rsidR="0077228C">
        <w:t>form</w:t>
      </w:r>
      <w:r>
        <w:t xml:space="preserve"> part of the calculations of the model. </w:t>
      </w:r>
      <w:r w:rsidR="00126026">
        <w:t>(</w:t>
      </w:r>
      <w:r>
        <w:t>In practice, this restriction is not likely to affect the sensitivity analysis greatly, as the peak earnings and participation gap between men and women happens at earlier ages.</w:t>
      </w:r>
      <w:r w:rsidR="00126026">
        <w:t>)</w:t>
      </w:r>
    </w:p>
    <w:p w14:paraId="3AD352F1" w14:textId="21CE809E" w:rsidR="0077228C" w:rsidRDefault="0077228C" w:rsidP="00031ACF">
      <w:pPr>
        <w:pStyle w:val="BodyText"/>
      </w:pPr>
      <w:r>
        <w:t>Under the revised base case, t</w:t>
      </w:r>
      <w:r w:rsidR="00347FE9">
        <w:t>hose households with women</w:t>
      </w:r>
      <w:r w:rsidR="004E21E4">
        <w:t xml:space="preserve"> (households headed by couples or single females)</w:t>
      </w:r>
      <w:r w:rsidR="00347FE9">
        <w:t xml:space="preserve"> have higher incomes</w:t>
      </w:r>
      <w:r w:rsidR="00AE3B22">
        <w:t>,</w:t>
      </w:r>
      <w:r w:rsidR="00347FE9">
        <w:t xml:space="preserve"> and as a result accumulate greater savings. </w:t>
      </w:r>
      <w:r>
        <w:t>H</w:t>
      </w:r>
      <w:r w:rsidR="00347FE9">
        <w:t xml:space="preserve">ouseholds </w:t>
      </w:r>
      <w:r w:rsidR="00AE3B22">
        <w:t>headed by single males</w:t>
      </w:r>
      <w:r w:rsidR="00347FE9">
        <w:t xml:space="preserve"> </w:t>
      </w:r>
      <w:r>
        <w:t>are unaffected</w:t>
      </w:r>
      <w:r w:rsidR="00347FE9">
        <w:t>. The change to the base case did not require the model to be recalibrated.</w:t>
      </w:r>
      <w:r w:rsidR="00347FE9" w:rsidDel="00DD3A77">
        <w:t xml:space="preserve"> </w:t>
      </w:r>
    </w:p>
    <w:p w14:paraId="5821A91D" w14:textId="108999FA" w:rsidR="00126026" w:rsidRDefault="00347FE9" w:rsidP="00031ACF">
      <w:pPr>
        <w:pStyle w:val="BodyText"/>
      </w:pPr>
      <w:r>
        <w:t xml:space="preserve">The </w:t>
      </w:r>
      <w:r w:rsidR="0077228C">
        <w:t xml:space="preserve">change in participation rates </w:t>
      </w:r>
      <w:r>
        <w:t>result</w:t>
      </w:r>
      <w:r w:rsidR="0077228C">
        <w:t>ing from</w:t>
      </w:r>
      <w:r>
        <w:t xml:space="preserve"> </w:t>
      </w:r>
      <w:r w:rsidR="0077228C">
        <w:t>a</w:t>
      </w:r>
      <w:r>
        <w:t xml:space="preserve"> change in the preservation age are slightly smaller </w:t>
      </w:r>
      <w:r w:rsidR="0077228C">
        <w:t>under this scenario (table</w:t>
      </w:r>
      <w:r w:rsidR="00B86FE0">
        <w:t> </w:t>
      </w:r>
      <w:r w:rsidR="00D85DB3">
        <w:t>6.11</w:t>
      </w:r>
      <w:r w:rsidR="0077228C">
        <w:t>). This is because the increased amount of non</w:t>
      </w:r>
      <w:r w:rsidR="00B86FE0">
        <w:noBreakHyphen/>
      </w:r>
      <w:r w:rsidR="0077228C">
        <w:t xml:space="preserve">superannuation savings held by households </w:t>
      </w:r>
      <w:r w:rsidR="004E21E4">
        <w:t xml:space="preserve">with </w:t>
      </w:r>
      <w:r w:rsidR="0077228C">
        <w:t xml:space="preserve">women, which can be accessed at any time, reduces the need for </w:t>
      </w:r>
      <w:r w:rsidR="004604E4">
        <w:t xml:space="preserve">some of these </w:t>
      </w:r>
      <w:r w:rsidR="0077228C">
        <w:t>households to retire later</w:t>
      </w:r>
      <w:r w:rsidR="00A76FAA">
        <w:t>.</w:t>
      </w:r>
      <w:r w:rsidR="0077228C">
        <w:t xml:space="preserve"> </w:t>
      </w:r>
    </w:p>
    <w:p w14:paraId="1E6194E7" w14:textId="620F9F84" w:rsidR="00F0578D" w:rsidRDefault="00F0578D" w:rsidP="00F0578D">
      <w:pPr>
        <w:pStyle w:val="BoxSpaceAbove"/>
      </w:pPr>
    </w:p>
    <w:tbl>
      <w:tblPr>
        <w:tblW w:w="0" w:type="auto"/>
        <w:tblInd w:w="164" w:type="dxa"/>
        <w:tblBorders>
          <w:top w:val="single" w:sz="6" w:space="0" w:color="auto"/>
          <w:left w:val="single" w:sz="6" w:space="0" w:color="auto"/>
          <w:bottom w:val="single" w:sz="6" w:space="0" w:color="auto"/>
          <w:right w:val="single" w:sz="6" w:space="0" w:color="auto"/>
        </w:tblBorders>
        <w:tblCellMar>
          <w:left w:w="142" w:type="dxa"/>
          <w:right w:w="142" w:type="dxa"/>
        </w:tblCellMar>
        <w:tblLook w:val="0000" w:firstRow="0" w:lastRow="0" w:firstColumn="0" w:lastColumn="0" w:noHBand="0" w:noVBand="0"/>
      </w:tblPr>
      <w:tblGrid>
        <w:gridCol w:w="8771"/>
      </w:tblGrid>
      <w:tr w:rsidR="00F0578D" w14:paraId="56C2A0DB" w14:textId="77777777" w:rsidTr="006976D7">
        <w:tc>
          <w:tcPr>
            <w:tcW w:w="8771" w:type="dxa"/>
            <w:tcBorders>
              <w:top w:val="single" w:sz="6" w:space="0" w:color="78A22F"/>
              <w:left w:val="nil"/>
              <w:bottom w:val="nil"/>
              <w:right w:val="nil"/>
            </w:tcBorders>
            <w:shd w:val="clear" w:color="auto" w:fill="auto"/>
          </w:tcPr>
          <w:p w14:paraId="209A33D1" w14:textId="75E8A565" w:rsidR="00F0578D" w:rsidRPr="00FA543D" w:rsidRDefault="00F0578D" w:rsidP="005F2E7A">
            <w:pPr>
              <w:pStyle w:val="TableTitle"/>
            </w:pPr>
            <w:r>
              <w:rPr>
                <w:b w:val="0"/>
              </w:rPr>
              <w:t xml:space="preserve">Table </w:t>
            </w:r>
            <w:bookmarkStart w:id="14" w:name="OLE_LINK5"/>
            <w:r w:rsidR="00D85DB3">
              <w:rPr>
                <w:b w:val="0"/>
              </w:rPr>
              <w:t>6.</w:t>
            </w:r>
            <w:r w:rsidR="00D85DB3">
              <w:rPr>
                <w:b w:val="0"/>
                <w:noProof/>
              </w:rPr>
              <w:t>11</w:t>
            </w:r>
            <w:bookmarkEnd w:id="14"/>
            <w:r>
              <w:tab/>
            </w:r>
            <w:proofErr w:type="spellStart"/>
            <w:r w:rsidR="005F2E7A">
              <w:t>SA7</w:t>
            </w:r>
            <w:proofErr w:type="spellEnd"/>
            <w:r w:rsidR="005F2E7A">
              <w:t xml:space="preserve"> </w:t>
            </w:r>
            <w:r>
              <w:t>results in 2055</w:t>
            </w:r>
          </w:p>
        </w:tc>
      </w:tr>
      <w:tr w:rsidR="00F0578D" w14:paraId="3054152A" w14:textId="77777777" w:rsidTr="006976D7">
        <w:trPr>
          <w:cantSplit/>
        </w:trPr>
        <w:tc>
          <w:tcPr>
            <w:tcW w:w="8771" w:type="dxa"/>
            <w:tcBorders>
              <w:top w:val="nil"/>
              <w:left w:val="nil"/>
              <w:bottom w:val="nil"/>
              <w:right w:val="nil"/>
            </w:tcBorders>
            <w:shd w:val="clear" w:color="auto" w:fill="auto"/>
          </w:tcPr>
          <w:tbl>
            <w:tblPr>
              <w:tblW w:w="5000" w:type="pct"/>
              <w:tblCellMar>
                <w:top w:w="28" w:type="dxa"/>
                <w:left w:w="0" w:type="dxa"/>
                <w:right w:w="0" w:type="dxa"/>
              </w:tblCellMar>
              <w:tblLook w:val="0000" w:firstRow="0" w:lastRow="0" w:firstColumn="0" w:lastColumn="0" w:noHBand="0" w:noVBand="0"/>
            </w:tblPr>
            <w:tblGrid>
              <w:gridCol w:w="3133"/>
              <w:gridCol w:w="1808"/>
              <w:gridCol w:w="1132"/>
              <w:gridCol w:w="2414"/>
            </w:tblGrid>
            <w:tr w:rsidR="00F0578D" w14:paraId="6BD0C25C" w14:textId="77777777" w:rsidTr="00803039">
              <w:tc>
                <w:tcPr>
                  <w:tcW w:w="1846" w:type="pct"/>
                  <w:tcBorders>
                    <w:top w:val="single" w:sz="6" w:space="0" w:color="BFBFBF"/>
                    <w:bottom w:val="single" w:sz="6" w:space="0" w:color="BFBFBF"/>
                  </w:tcBorders>
                  <w:shd w:val="clear" w:color="auto" w:fill="auto"/>
                  <w:tcMar>
                    <w:top w:w="28" w:type="dxa"/>
                  </w:tcMar>
                </w:tcPr>
                <w:p w14:paraId="03A1D9CA" w14:textId="77777777" w:rsidR="00F0578D" w:rsidRDefault="00F0578D" w:rsidP="006976D7">
                  <w:pPr>
                    <w:pStyle w:val="TableColumnHeading"/>
                    <w:jc w:val="left"/>
                  </w:pPr>
                </w:p>
              </w:tc>
              <w:tc>
                <w:tcPr>
                  <w:tcW w:w="1065" w:type="pct"/>
                  <w:tcBorders>
                    <w:top w:val="single" w:sz="6" w:space="0" w:color="BFBFBF"/>
                    <w:bottom w:val="single" w:sz="6" w:space="0" w:color="BFBFBF"/>
                  </w:tcBorders>
                  <w:shd w:val="clear" w:color="auto" w:fill="auto"/>
                  <w:tcMar>
                    <w:top w:w="28" w:type="dxa"/>
                  </w:tcMar>
                </w:tcPr>
                <w:p w14:paraId="732CC0E5" w14:textId="77777777" w:rsidR="00F0578D" w:rsidRDefault="00F0578D" w:rsidP="006976D7">
                  <w:pPr>
                    <w:pStyle w:val="TableColumnHeading"/>
                  </w:pPr>
                  <w:r>
                    <w:t>Units</w:t>
                  </w:r>
                </w:p>
              </w:tc>
              <w:tc>
                <w:tcPr>
                  <w:tcW w:w="667" w:type="pct"/>
                  <w:tcBorders>
                    <w:top w:val="single" w:sz="6" w:space="0" w:color="BFBFBF"/>
                    <w:bottom w:val="single" w:sz="6" w:space="0" w:color="BFBFBF"/>
                  </w:tcBorders>
                </w:tcPr>
                <w:p w14:paraId="16F0F8F8" w14:textId="77777777" w:rsidR="00F0578D" w:rsidRDefault="00F0578D" w:rsidP="006976D7">
                  <w:pPr>
                    <w:pStyle w:val="TableColumnHeading"/>
                    <w:ind w:right="28"/>
                  </w:pPr>
                  <w:r>
                    <w:t>Original</w:t>
                  </w:r>
                </w:p>
              </w:tc>
              <w:tc>
                <w:tcPr>
                  <w:tcW w:w="1422" w:type="pct"/>
                  <w:tcBorders>
                    <w:top w:val="single" w:sz="6" w:space="0" w:color="BFBFBF"/>
                    <w:bottom w:val="single" w:sz="6" w:space="0" w:color="BFBFBF"/>
                  </w:tcBorders>
                  <w:shd w:val="clear" w:color="auto" w:fill="auto"/>
                  <w:tcMar>
                    <w:top w:w="28" w:type="dxa"/>
                  </w:tcMar>
                </w:tcPr>
                <w:p w14:paraId="358C0B99" w14:textId="77777777" w:rsidR="00F0578D" w:rsidRDefault="00F0578D" w:rsidP="00F0578D">
                  <w:pPr>
                    <w:jc w:val="right"/>
                    <w:rPr>
                      <w:rFonts w:ascii="Arial" w:hAnsi="Arial" w:cs="Arial"/>
                      <w:i/>
                      <w:iCs/>
                      <w:color w:val="000000"/>
                      <w:sz w:val="18"/>
                      <w:szCs w:val="18"/>
                    </w:rPr>
                  </w:pPr>
                  <w:r>
                    <w:rPr>
                      <w:rFonts w:ascii="Arial" w:hAnsi="Arial" w:cs="Arial"/>
                      <w:i/>
                      <w:iCs/>
                      <w:color w:val="000000"/>
                      <w:sz w:val="18"/>
                      <w:szCs w:val="18"/>
                    </w:rPr>
                    <w:t>Improvement in labour force participation of women</w:t>
                  </w:r>
                </w:p>
                <w:p w14:paraId="58A5CDB0" w14:textId="77777777" w:rsidR="00F0578D" w:rsidRDefault="00F0578D" w:rsidP="006976D7">
                  <w:pPr>
                    <w:pStyle w:val="TableColumnHeading"/>
                    <w:ind w:right="28"/>
                  </w:pPr>
                  <w:r>
                    <w:t xml:space="preserve"> </w:t>
                  </w:r>
                </w:p>
              </w:tc>
            </w:tr>
            <w:tr w:rsidR="00803039" w14:paraId="4E33F7C6" w14:textId="77777777" w:rsidTr="00803039">
              <w:tc>
                <w:tcPr>
                  <w:tcW w:w="1846" w:type="pct"/>
                </w:tcPr>
                <w:p w14:paraId="42BD3311" w14:textId="45D0D0AC" w:rsidR="00803039" w:rsidRDefault="00803039" w:rsidP="006976D7">
                  <w:pPr>
                    <w:pStyle w:val="TableBodyText"/>
                    <w:jc w:val="left"/>
                  </w:pPr>
                  <w:r w:rsidRPr="006E4466">
                    <w:t>Change in participa</w:t>
                  </w:r>
                  <w:r>
                    <w:t>tion rate of 50</w:t>
                  </w:r>
                  <w:r w:rsidR="00B86FE0">
                    <w:noBreakHyphen/>
                  </w:r>
                  <w:r>
                    <w:t xml:space="preserve">64 year olds </w:t>
                  </w:r>
                </w:p>
              </w:tc>
              <w:tc>
                <w:tcPr>
                  <w:tcW w:w="1065" w:type="pct"/>
                </w:tcPr>
                <w:p w14:paraId="6F5CDF60" w14:textId="77777777" w:rsidR="00803039" w:rsidRDefault="00803039" w:rsidP="006976D7">
                  <w:pPr>
                    <w:pStyle w:val="TableBodyText"/>
                  </w:pPr>
                  <w:r>
                    <w:t>Percentage point</w:t>
                  </w:r>
                </w:p>
              </w:tc>
              <w:tc>
                <w:tcPr>
                  <w:tcW w:w="667" w:type="pct"/>
                  <w:vAlign w:val="center"/>
                </w:tcPr>
                <w:p w14:paraId="58F25BA9" w14:textId="77777777" w:rsidR="00803039" w:rsidRDefault="00803039" w:rsidP="006976D7">
                  <w:pPr>
                    <w:pStyle w:val="TableBodyText"/>
                  </w:pPr>
                  <w:r>
                    <w:rPr>
                      <w:rFonts w:cs="Arial"/>
                      <w:color w:val="000000"/>
                      <w:szCs w:val="18"/>
                    </w:rPr>
                    <w:t>2.0</w:t>
                  </w:r>
                </w:p>
              </w:tc>
              <w:tc>
                <w:tcPr>
                  <w:tcW w:w="1422" w:type="pct"/>
                  <w:vAlign w:val="center"/>
                </w:tcPr>
                <w:p w14:paraId="64B350E9" w14:textId="77777777" w:rsidR="00803039" w:rsidRDefault="00803039" w:rsidP="006976D7">
                  <w:pPr>
                    <w:pStyle w:val="TableBodyText"/>
                  </w:pPr>
                  <w:r>
                    <w:rPr>
                      <w:rFonts w:cs="Arial"/>
                      <w:color w:val="000000"/>
                      <w:szCs w:val="18"/>
                    </w:rPr>
                    <w:t>1.8</w:t>
                  </w:r>
                </w:p>
              </w:tc>
            </w:tr>
            <w:tr w:rsidR="00803039" w14:paraId="6FCFD4BC" w14:textId="77777777" w:rsidTr="00803039">
              <w:tc>
                <w:tcPr>
                  <w:tcW w:w="1846" w:type="pct"/>
                </w:tcPr>
                <w:p w14:paraId="3AB54DCF" w14:textId="77777777" w:rsidR="00803039" w:rsidRDefault="00803039" w:rsidP="006976D7">
                  <w:pPr>
                    <w:pStyle w:val="TableBodyText"/>
                    <w:jc w:val="left"/>
                  </w:pPr>
                  <w:r>
                    <w:t>Government expenses</w:t>
                  </w:r>
                </w:p>
              </w:tc>
              <w:tc>
                <w:tcPr>
                  <w:tcW w:w="1065" w:type="pct"/>
                </w:tcPr>
                <w:p w14:paraId="5876C0BC" w14:textId="554B96E5" w:rsidR="00803039" w:rsidRDefault="00803039" w:rsidP="006976D7">
                  <w:pPr>
                    <w:pStyle w:val="TableBodyText"/>
                  </w:pPr>
                  <w:r>
                    <w:t>$b in 2015 prices</w:t>
                  </w:r>
                </w:p>
              </w:tc>
              <w:tc>
                <w:tcPr>
                  <w:tcW w:w="667" w:type="pct"/>
                  <w:vAlign w:val="center"/>
                </w:tcPr>
                <w:p w14:paraId="5ECCD186" w14:textId="606FDA49" w:rsidR="00803039" w:rsidRDefault="00B86FE0" w:rsidP="006976D7">
                  <w:pPr>
                    <w:pStyle w:val="TableBodyText"/>
                  </w:pPr>
                  <w:r>
                    <w:rPr>
                      <w:rFonts w:cs="Arial"/>
                      <w:color w:val="000000"/>
                      <w:szCs w:val="18"/>
                    </w:rPr>
                    <w:noBreakHyphen/>
                  </w:r>
                  <w:r w:rsidR="00803039">
                    <w:rPr>
                      <w:rFonts w:cs="Arial"/>
                      <w:color w:val="000000"/>
                      <w:szCs w:val="18"/>
                    </w:rPr>
                    <w:t>2.0</w:t>
                  </w:r>
                </w:p>
              </w:tc>
              <w:tc>
                <w:tcPr>
                  <w:tcW w:w="1422" w:type="pct"/>
                  <w:vAlign w:val="center"/>
                </w:tcPr>
                <w:p w14:paraId="728EEABA" w14:textId="6F030A1F" w:rsidR="00803039" w:rsidRDefault="00B86FE0" w:rsidP="006976D7">
                  <w:pPr>
                    <w:pStyle w:val="TableBodyText"/>
                  </w:pPr>
                  <w:r>
                    <w:rPr>
                      <w:rFonts w:cs="Arial"/>
                      <w:color w:val="000000"/>
                      <w:szCs w:val="18"/>
                    </w:rPr>
                    <w:noBreakHyphen/>
                  </w:r>
                  <w:r w:rsidR="00803039">
                    <w:rPr>
                      <w:rFonts w:cs="Arial"/>
                      <w:color w:val="000000"/>
                      <w:szCs w:val="18"/>
                    </w:rPr>
                    <w:t>1.6</w:t>
                  </w:r>
                </w:p>
              </w:tc>
            </w:tr>
            <w:tr w:rsidR="00803039" w14:paraId="199D0F3D" w14:textId="77777777" w:rsidTr="00803039">
              <w:tc>
                <w:tcPr>
                  <w:tcW w:w="1846" w:type="pct"/>
                  <w:shd w:val="clear" w:color="auto" w:fill="auto"/>
                </w:tcPr>
                <w:p w14:paraId="1321112F" w14:textId="77777777" w:rsidR="00803039" w:rsidRDefault="00803039" w:rsidP="006976D7">
                  <w:pPr>
                    <w:pStyle w:val="TableBodyText"/>
                    <w:jc w:val="left"/>
                  </w:pPr>
                  <w:r>
                    <w:t>Government tax receipts</w:t>
                  </w:r>
                </w:p>
              </w:tc>
              <w:tc>
                <w:tcPr>
                  <w:tcW w:w="1065" w:type="pct"/>
                  <w:shd w:val="clear" w:color="auto" w:fill="auto"/>
                </w:tcPr>
                <w:p w14:paraId="769CE64D" w14:textId="4FE8A103" w:rsidR="00803039" w:rsidRDefault="00803039" w:rsidP="006976D7">
                  <w:pPr>
                    <w:pStyle w:val="TableBodyText"/>
                  </w:pPr>
                  <w:r>
                    <w:t>$b in 2015 prices</w:t>
                  </w:r>
                </w:p>
              </w:tc>
              <w:tc>
                <w:tcPr>
                  <w:tcW w:w="667" w:type="pct"/>
                  <w:vAlign w:val="center"/>
                </w:tcPr>
                <w:p w14:paraId="7C3C1AF2" w14:textId="77777777" w:rsidR="00803039" w:rsidRDefault="00803039" w:rsidP="006976D7">
                  <w:pPr>
                    <w:pStyle w:val="TableBodyText"/>
                  </w:pPr>
                  <w:r>
                    <w:rPr>
                      <w:rFonts w:cs="Arial"/>
                      <w:color w:val="000000"/>
                      <w:szCs w:val="18"/>
                    </w:rPr>
                    <w:t>5.2</w:t>
                  </w:r>
                </w:p>
              </w:tc>
              <w:tc>
                <w:tcPr>
                  <w:tcW w:w="1422" w:type="pct"/>
                  <w:shd w:val="clear" w:color="auto" w:fill="auto"/>
                  <w:vAlign w:val="center"/>
                </w:tcPr>
                <w:p w14:paraId="28E2A33C" w14:textId="77777777" w:rsidR="00803039" w:rsidRDefault="00803039" w:rsidP="006976D7">
                  <w:pPr>
                    <w:pStyle w:val="TableBodyText"/>
                  </w:pPr>
                  <w:r>
                    <w:rPr>
                      <w:rFonts w:cs="Arial"/>
                      <w:color w:val="000000"/>
                      <w:szCs w:val="18"/>
                    </w:rPr>
                    <w:t>5.5</w:t>
                  </w:r>
                </w:p>
              </w:tc>
            </w:tr>
            <w:tr w:rsidR="00803039" w14:paraId="037E4D2A" w14:textId="77777777" w:rsidTr="00803039">
              <w:tc>
                <w:tcPr>
                  <w:tcW w:w="1846" w:type="pct"/>
                  <w:tcBorders>
                    <w:bottom w:val="single" w:sz="6" w:space="0" w:color="BFBFBF"/>
                  </w:tcBorders>
                  <w:shd w:val="clear" w:color="auto" w:fill="auto"/>
                </w:tcPr>
                <w:p w14:paraId="395E53DA" w14:textId="77777777" w:rsidR="00803039" w:rsidRDefault="00803039" w:rsidP="006976D7">
                  <w:pPr>
                    <w:pStyle w:val="TableBodyText"/>
                    <w:jc w:val="left"/>
                  </w:pPr>
                  <w:r>
                    <w:t>Net government fiscal position</w:t>
                  </w:r>
                </w:p>
              </w:tc>
              <w:tc>
                <w:tcPr>
                  <w:tcW w:w="1065" w:type="pct"/>
                  <w:tcBorders>
                    <w:bottom w:val="single" w:sz="6" w:space="0" w:color="BFBFBF"/>
                  </w:tcBorders>
                  <w:shd w:val="clear" w:color="auto" w:fill="auto"/>
                </w:tcPr>
                <w:p w14:paraId="72C3B0FA" w14:textId="2A75D76B" w:rsidR="00803039" w:rsidRDefault="00803039" w:rsidP="006976D7">
                  <w:pPr>
                    <w:pStyle w:val="TableBodyText"/>
                  </w:pPr>
                  <w:r>
                    <w:t>$b in 2015 prices</w:t>
                  </w:r>
                </w:p>
              </w:tc>
              <w:tc>
                <w:tcPr>
                  <w:tcW w:w="667" w:type="pct"/>
                  <w:tcBorders>
                    <w:bottom w:val="single" w:sz="6" w:space="0" w:color="BFBFBF"/>
                  </w:tcBorders>
                  <w:vAlign w:val="center"/>
                </w:tcPr>
                <w:p w14:paraId="58695E68" w14:textId="77777777" w:rsidR="00803039" w:rsidRDefault="00803039" w:rsidP="006976D7">
                  <w:pPr>
                    <w:pStyle w:val="TableBodyText"/>
                  </w:pPr>
                  <w:r>
                    <w:rPr>
                      <w:rFonts w:cs="Arial"/>
                      <w:color w:val="000000"/>
                      <w:szCs w:val="18"/>
                    </w:rPr>
                    <w:t>7.2</w:t>
                  </w:r>
                </w:p>
              </w:tc>
              <w:tc>
                <w:tcPr>
                  <w:tcW w:w="1422" w:type="pct"/>
                  <w:tcBorders>
                    <w:bottom w:val="single" w:sz="6" w:space="0" w:color="BFBFBF"/>
                  </w:tcBorders>
                  <w:shd w:val="clear" w:color="auto" w:fill="auto"/>
                  <w:vAlign w:val="center"/>
                </w:tcPr>
                <w:p w14:paraId="5D5791B9" w14:textId="77777777" w:rsidR="00803039" w:rsidRDefault="00803039" w:rsidP="006976D7">
                  <w:pPr>
                    <w:pStyle w:val="TableBodyText"/>
                  </w:pPr>
                  <w:r>
                    <w:rPr>
                      <w:rFonts w:cs="Arial"/>
                      <w:color w:val="000000"/>
                      <w:szCs w:val="18"/>
                    </w:rPr>
                    <w:t>7.1</w:t>
                  </w:r>
                </w:p>
              </w:tc>
            </w:tr>
          </w:tbl>
          <w:p w14:paraId="1F62E767" w14:textId="77777777" w:rsidR="00F0578D" w:rsidRDefault="00F0578D" w:rsidP="006976D7">
            <w:pPr>
              <w:pStyle w:val="Box"/>
            </w:pPr>
          </w:p>
        </w:tc>
      </w:tr>
      <w:tr w:rsidR="00F0578D" w14:paraId="109C6487" w14:textId="77777777" w:rsidTr="006976D7">
        <w:trPr>
          <w:cantSplit/>
        </w:trPr>
        <w:tc>
          <w:tcPr>
            <w:tcW w:w="8771" w:type="dxa"/>
            <w:tcBorders>
              <w:top w:val="nil"/>
              <w:left w:val="nil"/>
              <w:bottom w:val="nil"/>
              <w:right w:val="nil"/>
            </w:tcBorders>
            <w:shd w:val="clear" w:color="auto" w:fill="auto"/>
          </w:tcPr>
          <w:p w14:paraId="6255CCBD" w14:textId="22635DA3" w:rsidR="00F0578D" w:rsidRDefault="0061143E" w:rsidP="006976D7">
            <w:pPr>
              <w:pStyle w:val="Source"/>
            </w:pPr>
            <w:r>
              <w:rPr>
                <w:i/>
              </w:rPr>
              <w:t>Source</w:t>
            </w:r>
            <w:r w:rsidRPr="00167F06">
              <w:t xml:space="preserve">: </w:t>
            </w:r>
            <w:r>
              <w:t>Commission estimates</w:t>
            </w:r>
            <w:r w:rsidR="003E6A41">
              <w:t>.</w:t>
            </w:r>
          </w:p>
        </w:tc>
      </w:tr>
      <w:tr w:rsidR="00F0578D" w14:paraId="746EAC7B" w14:textId="77777777" w:rsidTr="006976D7">
        <w:trPr>
          <w:cantSplit/>
        </w:trPr>
        <w:tc>
          <w:tcPr>
            <w:tcW w:w="8771" w:type="dxa"/>
            <w:tcBorders>
              <w:top w:val="nil"/>
              <w:left w:val="nil"/>
              <w:bottom w:val="single" w:sz="6" w:space="0" w:color="78A22F"/>
              <w:right w:val="nil"/>
            </w:tcBorders>
            <w:shd w:val="clear" w:color="auto" w:fill="auto"/>
          </w:tcPr>
          <w:p w14:paraId="5AC937CD" w14:textId="77777777" w:rsidR="00F0578D" w:rsidRDefault="00F0578D" w:rsidP="006976D7">
            <w:pPr>
              <w:pStyle w:val="Box"/>
              <w:spacing w:before="0" w:line="120" w:lineRule="exact"/>
            </w:pPr>
          </w:p>
        </w:tc>
      </w:tr>
      <w:tr w:rsidR="00F0578D" w:rsidRPr="000863A5" w14:paraId="1011A335" w14:textId="77777777" w:rsidTr="006976D7">
        <w:tc>
          <w:tcPr>
            <w:tcW w:w="8771" w:type="dxa"/>
            <w:tcBorders>
              <w:top w:val="single" w:sz="6" w:space="0" w:color="78A22F"/>
              <w:left w:val="nil"/>
              <w:bottom w:val="nil"/>
              <w:right w:val="nil"/>
            </w:tcBorders>
          </w:tcPr>
          <w:p w14:paraId="54DBD1EF" w14:textId="0C677189" w:rsidR="00F0578D" w:rsidRPr="00626D32" w:rsidRDefault="00F0578D" w:rsidP="006976D7">
            <w:pPr>
              <w:pStyle w:val="BoxSpaceBelow"/>
            </w:pPr>
          </w:p>
        </w:tc>
      </w:tr>
    </w:tbl>
    <w:p w14:paraId="0FAED284" w14:textId="6C5D36E4" w:rsidR="00347FE9" w:rsidRDefault="00347FE9" w:rsidP="00347FE9">
      <w:pPr>
        <w:pStyle w:val="BodyText"/>
      </w:pPr>
      <w:r>
        <w:t>The net fiscal effects are fairly similar</w:t>
      </w:r>
      <w:r w:rsidR="00D25078">
        <w:t>.</w:t>
      </w:r>
      <w:r w:rsidR="00A76FAA" w:rsidRPr="008D4F67">
        <w:rPr>
          <w:rStyle w:val="FootnoteReference"/>
        </w:rPr>
        <w:footnoteReference w:id="3"/>
      </w:r>
      <w:r>
        <w:t xml:space="preserve"> </w:t>
      </w:r>
      <w:r w:rsidR="00A76FAA">
        <w:t>This is because,</w:t>
      </w:r>
      <w:r>
        <w:t xml:space="preserve"> under the new base case, fewer women make calls upon the </w:t>
      </w:r>
      <w:r w:rsidR="00A76FAA">
        <w:t>A</w:t>
      </w:r>
      <w:r>
        <w:t xml:space="preserve">ge </w:t>
      </w:r>
      <w:r w:rsidR="00A76FAA">
        <w:t>P</w:t>
      </w:r>
      <w:r>
        <w:t xml:space="preserve">ension as they have greater assets from increased participation, and the shift in the preservation age does little to reduce Age Pension incidence further. The greater government tax receipts </w:t>
      </w:r>
      <w:r w:rsidR="00A76FAA">
        <w:t>arise</w:t>
      </w:r>
      <w:r>
        <w:t xml:space="preserve"> due to higher income tax revenues and a longer period to collect taxes on non</w:t>
      </w:r>
      <w:r w:rsidR="00B86FE0">
        <w:noBreakHyphen/>
      </w:r>
      <w:r>
        <w:t>superannuation savings (the stock of which is larger than under the original base case) as some households defer retirement as a result of the change in policy.</w:t>
      </w:r>
    </w:p>
    <w:p w14:paraId="0ACBED64" w14:textId="77777777" w:rsidR="00CF3142" w:rsidRDefault="00CF3142" w:rsidP="00347FE9">
      <w:pPr>
        <w:pStyle w:val="BodyText"/>
      </w:pPr>
      <w:r>
        <w:br w:type="page"/>
      </w:r>
    </w:p>
    <w:p w14:paraId="40CED683" w14:textId="14FB612E" w:rsidR="00347FE9" w:rsidRDefault="00347FE9" w:rsidP="00347FE9">
      <w:pPr>
        <w:pStyle w:val="BodyText"/>
      </w:pPr>
      <w:r>
        <w:lastRenderedPageBreak/>
        <w:t>The results of this sensitivity analysis should be considered with several caveats in mind:</w:t>
      </w:r>
    </w:p>
    <w:p w14:paraId="5A084125" w14:textId="77777777" w:rsidR="00347FE9" w:rsidRDefault="00347FE9" w:rsidP="00347FE9">
      <w:pPr>
        <w:pStyle w:val="ListBullet"/>
      </w:pPr>
      <w:r>
        <w:t>the increased level of participation is assumed not to have an effect on the wages (or wage growth) of those already participating in work — in practice, an increasing rate of participation may be expected to have an effect on wages</w:t>
      </w:r>
    </w:p>
    <w:p w14:paraId="09B81551" w14:textId="77777777" w:rsidR="00347FE9" w:rsidRDefault="00347FE9" w:rsidP="00347FE9">
      <w:pPr>
        <w:pStyle w:val="ListBullet"/>
      </w:pPr>
      <w:r>
        <w:t xml:space="preserve">the </w:t>
      </w:r>
      <w:proofErr w:type="spellStart"/>
      <w:r>
        <w:t>PCRM</w:t>
      </w:r>
      <w:proofErr w:type="spellEnd"/>
      <w:r>
        <w:t xml:space="preserve"> model assumes that both members of a couple retire at the same age, and so the net effect of the policy change modelled reflects this joint decision — if the assumption were relaxed, then it </w:t>
      </w:r>
      <w:r w:rsidR="00A76FAA">
        <w:t>might</w:t>
      </w:r>
      <w:r>
        <w:t xml:space="preserve"> be the case that women within a couple may choose a different retirement age based on the policy shock</w:t>
      </w:r>
    </w:p>
    <w:p w14:paraId="761674FA" w14:textId="77777777" w:rsidR="00347FE9" w:rsidRDefault="00347FE9" w:rsidP="00347FE9">
      <w:pPr>
        <w:pStyle w:val="ListBullet"/>
      </w:pPr>
      <w:r>
        <w:t xml:space="preserve">the additional women in work under the increase in the participation rate are assumed to be identical to those women already working — in practice, they may have different levels of skills and health, which could affect their wage earnings and risks of involuntary retirement. </w:t>
      </w:r>
    </w:p>
    <w:p w14:paraId="56928FA2" w14:textId="77777777" w:rsidR="007F2FE9" w:rsidRDefault="00AF76D8" w:rsidP="007F2FE9">
      <w:pPr>
        <w:pStyle w:val="Heading3"/>
      </w:pPr>
      <w:proofErr w:type="spellStart"/>
      <w:r>
        <w:t>SA8</w:t>
      </w:r>
      <w:proofErr w:type="spellEnd"/>
      <w:r w:rsidR="007F2FE9">
        <w:t>: Alternative bequest motive specification</w:t>
      </w:r>
    </w:p>
    <w:p w14:paraId="4F9D1A95" w14:textId="77777777" w:rsidR="007F2FE9" w:rsidRDefault="007F2FE9" w:rsidP="007F2FE9">
      <w:pPr>
        <w:pStyle w:val="BodyText"/>
      </w:pPr>
      <w:r>
        <w:t>In the original model specification, the bequest motive is linked to the probability of death. This means that as life expectancies increase (and individuals die at older ages) the weight placed on the bequest motive in the utility function is implicitly decreased (though this is offset by the increase in wealth that arises as the super</w:t>
      </w:r>
      <w:r w:rsidR="0077228C">
        <w:t>annuation</w:t>
      </w:r>
      <w:r>
        <w:t xml:space="preserve"> system matures</w:t>
      </w:r>
      <w:r w:rsidR="003E4360">
        <w:t>)</w:t>
      </w:r>
      <w:r>
        <w:t xml:space="preserve">. </w:t>
      </w:r>
    </w:p>
    <w:p w14:paraId="5911B313" w14:textId="4A2792F9" w:rsidR="007F2FE9" w:rsidRDefault="007F2FE9" w:rsidP="007F2FE9">
      <w:pPr>
        <w:pStyle w:val="BodyText"/>
      </w:pPr>
      <w:r>
        <w:t>This sensitivity involves testing an alternative bequest motive specification where the implicit weight is fixed (that is, it does not decrease as life expectancies increase</w:t>
      </w:r>
      <w:r w:rsidR="003E4360">
        <w:t>)</w:t>
      </w:r>
      <w:r>
        <w:t xml:space="preserve">. This leads to households retiring much later under the revised base case (as wealth increases over time), which in turn results in a smaller fiscal and participation effect associated with an increase in the </w:t>
      </w:r>
      <w:r w:rsidR="00265F10">
        <w:t>preservation</w:t>
      </w:r>
      <w:r>
        <w:t xml:space="preserve"> age (as there are fewer household who are affected) (table </w:t>
      </w:r>
      <w:r w:rsidR="00D85DB3">
        <w:t>6.12</w:t>
      </w:r>
      <w:r>
        <w:t xml:space="preserve">). </w:t>
      </w:r>
    </w:p>
    <w:p w14:paraId="170FBDCA" w14:textId="777B3B6E" w:rsidR="007F2FE9" w:rsidRDefault="007F2FE9" w:rsidP="007F2FE9">
      <w:pPr>
        <w:pStyle w:val="BoxSpaceAbove"/>
      </w:pPr>
    </w:p>
    <w:tbl>
      <w:tblPr>
        <w:tblW w:w="0" w:type="auto"/>
        <w:tblInd w:w="164" w:type="dxa"/>
        <w:tblBorders>
          <w:top w:val="single" w:sz="6" w:space="0" w:color="auto"/>
          <w:left w:val="single" w:sz="6" w:space="0" w:color="auto"/>
          <w:bottom w:val="single" w:sz="6" w:space="0" w:color="auto"/>
          <w:right w:val="single" w:sz="6" w:space="0" w:color="auto"/>
        </w:tblBorders>
        <w:tblCellMar>
          <w:left w:w="142" w:type="dxa"/>
          <w:right w:w="142" w:type="dxa"/>
        </w:tblCellMar>
        <w:tblLook w:val="0000" w:firstRow="0" w:lastRow="0" w:firstColumn="0" w:lastColumn="0" w:noHBand="0" w:noVBand="0"/>
      </w:tblPr>
      <w:tblGrid>
        <w:gridCol w:w="8771"/>
      </w:tblGrid>
      <w:tr w:rsidR="007F2FE9" w14:paraId="1AEAFF27" w14:textId="77777777" w:rsidTr="006976D7">
        <w:tc>
          <w:tcPr>
            <w:tcW w:w="8771" w:type="dxa"/>
            <w:tcBorders>
              <w:top w:val="single" w:sz="6" w:space="0" w:color="78A22F"/>
              <w:left w:val="nil"/>
              <w:bottom w:val="nil"/>
              <w:right w:val="nil"/>
            </w:tcBorders>
            <w:shd w:val="clear" w:color="auto" w:fill="auto"/>
          </w:tcPr>
          <w:p w14:paraId="51F0B8B6" w14:textId="7288DE7E" w:rsidR="007F2FE9" w:rsidRPr="00FA543D" w:rsidRDefault="007F2FE9" w:rsidP="005F2E7A">
            <w:pPr>
              <w:pStyle w:val="TableTitle"/>
            </w:pPr>
            <w:r>
              <w:rPr>
                <w:b w:val="0"/>
              </w:rPr>
              <w:t xml:space="preserve">Table </w:t>
            </w:r>
            <w:bookmarkStart w:id="15" w:name="OLE_LINK1"/>
            <w:r w:rsidR="00D85DB3">
              <w:rPr>
                <w:b w:val="0"/>
              </w:rPr>
              <w:t>6.</w:t>
            </w:r>
            <w:r w:rsidR="00D85DB3">
              <w:rPr>
                <w:b w:val="0"/>
                <w:noProof/>
              </w:rPr>
              <w:t>12</w:t>
            </w:r>
            <w:bookmarkEnd w:id="15"/>
            <w:r>
              <w:tab/>
            </w:r>
            <w:proofErr w:type="spellStart"/>
            <w:r w:rsidR="005F2E7A">
              <w:t>SA8</w:t>
            </w:r>
            <w:proofErr w:type="spellEnd"/>
            <w:r w:rsidR="005F2E7A">
              <w:t xml:space="preserve"> </w:t>
            </w:r>
            <w:r>
              <w:t>results in 2055</w:t>
            </w:r>
          </w:p>
        </w:tc>
      </w:tr>
      <w:tr w:rsidR="007F2FE9" w14:paraId="5803F962" w14:textId="77777777" w:rsidTr="006976D7">
        <w:trPr>
          <w:cantSplit/>
        </w:trPr>
        <w:tc>
          <w:tcPr>
            <w:tcW w:w="8771" w:type="dxa"/>
            <w:tcBorders>
              <w:top w:val="nil"/>
              <w:left w:val="nil"/>
              <w:bottom w:val="nil"/>
              <w:right w:val="nil"/>
            </w:tcBorders>
            <w:shd w:val="clear" w:color="auto" w:fill="auto"/>
          </w:tcPr>
          <w:tbl>
            <w:tblPr>
              <w:tblW w:w="5000" w:type="pct"/>
              <w:tblCellMar>
                <w:top w:w="28" w:type="dxa"/>
                <w:left w:w="0" w:type="dxa"/>
                <w:right w:w="0" w:type="dxa"/>
              </w:tblCellMar>
              <w:tblLook w:val="0000" w:firstRow="0" w:lastRow="0" w:firstColumn="0" w:lastColumn="0" w:noHBand="0" w:noVBand="0"/>
            </w:tblPr>
            <w:tblGrid>
              <w:gridCol w:w="3132"/>
              <w:gridCol w:w="1972"/>
              <w:gridCol w:w="1692"/>
              <w:gridCol w:w="1691"/>
            </w:tblGrid>
            <w:tr w:rsidR="007C3EF5" w14:paraId="3ADA85D7" w14:textId="77777777" w:rsidTr="007C3EF5">
              <w:tc>
                <w:tcPr>
                  <w:tcW w:w="1845" w:type="pct"/>
                  <w:tcBorders>
                    <w:top w:val="single" w:sz="6" w:space="0" w:color="BFBFBF"/>
                    <w:bottom w:val="single" w:sz="6" w:space="0" w:color="BFBFBF"/>
                  </w:tcBorders>
                  <w:shd w:val="clear" w:color="auto" w:fill="auto"/>
                  <w:tcMar>
                    <w:top w:w="28" w:type="dxa"/>
                  </w:tcMar>
                </w:tcPr>
                <w:p w14:paraId="444B3743" w14:textId="77777777" w:rsidR="007C3EF5" w:rsidRDefault="007C3EF5" w:rsidP="006976D7">
                  <w:pPr>
                    <w:pStyle w:val="TableColumnHeading"/>
                    <w:jc w:val="left"/>
                  </w:pPr>
                </w:p>
              </w:tc>
              <w:tc>
                <w:tcPr>
                  <w:tcW w:w="1162" w:type="pct"/>
                  <w:tcBorders>
                    <w:top w:val="single" w:sz="6" w:space="0" w:color="BFBFBF"/>
                    <w:bottom w:val="single" w:sz="6" w:space="0" w:color="BFBFBF"/>
                  </w:tcBorders>
                  <w:shd w:val="clear" w:color="auto" w:fill="auto"/>
                  <w:tcMar>
                    <w:top w:w="28" w:type="dxa"/>
                  </w:tcMar>
                </w:tcPr>
                <w:p w14:paraId="1493D2BE" w14:textId="77777777" w:rsidR="007C3EF5" w:rsidRDefault="007C3EF5" w:rsidP="006976D7">
                  <w:pPr>
                    <w:pStyle w:val="TableColumnHeading"/>
                  </w:pPr>
                  <w:r>
                    <w:t>Units</w:t>
                  </w:r>
                </w:p>
              </w:tc>
              <w:tc>
                <w:tcPr>
                  <w:tcW w:w="997" w:type="pct"/>
                  <w:tcBorders>
                    <w:top w:val="single" w:sz="6" w:space="0" w:color="BFBFBF"/>
                    <w:bottom w:val="single" w:sz="6" w:space="0" w:color="BFBFBF"/>
                  </w:tcBorders>
                  <w:vAlign w:val="center"/>
                </w:tcPr>
                <w:p w14:paraId="06088EDB" w14:textId="77777777" w:rsidR="007C3EF5" w:rsidRDefault="007C3EF5" w:rsidP="006976D7">
                  <w:pPr>
                    <w:pStyle w:val="TableColumnHeading"/>
                    <w:ind w:right="28"/>
                  </w:pPr>
                  <w:r>
                    <w:rPr>
                      <w:rFonts w:cs="Arial"/>
                      <w:i w:val="0"/>
                      <w:iCs/>
                      <w:color w:val="000000"/>
                      <w:szCs w:val="18"/>
                    </w:rPr>
                    <w:t>Original</w:t>
                  </w:r>
                </w:p>
              </w:tc>
              <w:tc>
                <w:tcPr>
                  <w:tcW w:w="996" w:type="pct"/>
                  <w:tcBorders>
                    <w:top w:val="single" w:sz="6" w:space="0" w:color="BFBFBF"/>
                    <w:bottom w:val="single" w:sz="6" w:space="0" w:color="BFBFBF"/>
                  </w:tcBorders>
                  <w:shd w:val="clear" w:color="auto" w:fill="auto"/>
                  <w:tcMar>
                    <w:top w:w="28" w:type="dxa"/>
                  </w:tcMar>
                  <w:vAlign w:val="center"/>
                </w:tcPr>
                <w:p w14:paraId="115D1425" w14:textId="77777777" w:rsidR="007C3EF5" w:rsidRDefault="007C3EF5" w:rsidP="006976D7">
                  <w:pPr>
                    <w:pStyle w:val="TableColumnHeading"/>
                    <w:ind w:right="28"/>
                  </w:pPr>
                  <w:r>
                    <w:rPr>
                      <w:rFonts w:cs="Arial"/>
                      <w:i w:val="0"/>
                      <w:iCs/>
                      <w:color w:val="000000"/>
                      <w:szCs w:val="18"/>
                    </w:rPr>
                    <w:t>Alternative Bequest motive specification</w:t>
                  </w:r>
                </w:p>
              </w:tc>
            </w:tr>
            <w:tr w:rsidR="00803039" w14:paraId="001CCDCA" w14:textId="77777777" w:rsidTr="007C3EF5">
              <w:tc>
                <w:tcPr>
                  <w:tcW w:w="1845" w:type="pct"/>
                </w:tcPr>
                <w:p w14:paraId="6C4D5DFF" w14:textId="27531B1D" w:rsidR="00803039" w:rsidRDefault="00803039" w:rsidP="006976D7">
                  <w:pPr>
                    <w:pStyle w:val="TableBodyText"/>
                    <w:jc w:val="left"/>
                  </w:pPr>
                  <w:r w:rsidRPr="006E4466">
                    <w:t>Change in participa</w:t>
                  </w:r>
                  <w:r>
                    <w:t>tion rate of 50</w:t>
                  </w:r>
                  <w:r w:rsidR="00B86FE0">
                    <w:noBreakHyphen/>
                  </w:r>
                  <w:r>
                    <w:t xml:space="preserve">64 year olds </w:t>
                  </w:r>
                </w:p>
              </w:tc>
              <w:tc>
                <w:tcPr>
                  <w:tcW w:w="1162" w:type="pct"/>
                </w:tcPr>
                <w:p w14:paraId="6F1BF81E" w14:textId="77777777" w:rsidR="00803039" w:rsidRDefault="00803039" w:rsidP="006976D7">
                  <w:pPr>
                    <w:pStyle w:val="TableBodyText"/>
                  </w:pPr>
                  <w:r>
                    <w:t>Percentage point</w:t>
                  </w:r>
                </w:p>
              </w:tc>
              <w:tc>
                <w:tcPr>
                  <w:tcW w:w="997" w:type="pct"/>
                  <w:vAlign w:val="center"/>
                </w:tcPr>
                <w:p w14:paraId="1F0A9A1A" w14:textId="77777777" w:rsidR="00803039" w:rsidRDefault="00803039" w:rsidP="006976D7">
                  <w:pPr>
                    <w:pStyle w:val="TableBodyText"/>
                  </w:pPr>
                  <w:r>
                    <w:rPr>
                      <w:rFonts w:cs="Arial"/>
                      <w:color w:val="000000"/>
                      <w:szCs w:val="18"/>
                    </w:rPr>
                    <w:t>2.0</w:t>
                  </w:r>
                </w:p>
              </w:tc>
              <w:tc>
                <w:tcPr>
                  <w:tcW w:w="996" w:type="pct"/>
                  <w:vAlign w:val="center"/>
                </w:tcPr>
                <w:p w14:paraId="74C68D04" w14:textId="77777777" w:rsidR="00803039" w:rsidRDefault="00803039" w:rsidP="006976D7">
                  <w:pPr>
                    <w:pStyle w:val="TableBodyText"/>
                  </w:pPr>
                  <w:r>
                    <w:rPr>
                      <w:rFonts w:cs="Arial"/>
                      <w:color w:val="000000"/>
                      <w:szCs w:val="18"/>
                    </w:rPr>
                    <w:t>0.9</w:t>
                  </w:r>
                </w:p>
              </w:tc>
            </w:tr>
            <w:tr w:rsidR="00803039" w14:paraId="4BC6C8A0" w14:textId="77777777" w:rsidTr="007C3EF5">
              <w:tc>
                <w:tcPr>
                  <w:tcW w:w="1845" w:type="pct"/>
                </w:tcPr>
                <w:p w14:paraId="6C0F711B" w14:textId="77777777" w:rsidR="00803039" w:rsidRDefault="00803039" w:rsidP="006976D7">
                  <w:pPr>
                    <w:pStyle w:val="TableBodyText"/>
                    <w:jc w:val="left"/>
                  </w:pPr>
                  <w:r>
                    <w:t>Government expenses</w:t>
                  </w:r>
                </w:p>
              </w:tc>
              <w:tc>
                <w:tcPr>
                  <w:tcW w:w="1162" w:type="pct"/>
                </w:tcPr>
                <w:p w14:paraId="277317E4" w14:textId="05D5E9DC" w:rsidR="00803039" w:rsidRDefault="00803039" w:rsidP="006976D7">
                  <w:pPr>
                    <w:pStyle w:val="TableBodyText"/>
                  </w:pPr>
                  <w:r>
                    <w:t>$b in 2015 prices</w:t>
                  </w:r>
                </w:p>
              </w:tc>
              <w:tc>
                <w:tcPr>
                  <w:tcW w:w="997" w:type="pct"/>
                  <w:vAlign w:val="center"/>
                </w:tcPr>
                <w:p w14:paraId="05684A17" w14:textId="58F66B18" w:rsidR="00803039" w:rsidRDefault="00B86FE0" w:rsidP="006976D7">
                  <w:pPr>
                    <w:pStyle w:val="TableBodyText"/>
                  </w:pPr>
                  <w:r>
                    <w:rPr>
                      <w:rFonts w:cs="Arial"/>
                      <w:color w:val="000000"/>
                      <w:szCs w:val="18"/>
                    </w:rPr>
                    <w:noBreakHyphen/>
                  </w:r>
                  <w:r w:rsidR="00803039">
                    <w:rPr>
                      <w:rFonts w:cs="Arial"/>
                      <w:color w:val="000000"/>
                      <w:szCs w:val="18"/>
                    </w:rPr>
                    <w:t>2.0</w:t>
                  </w:r>
                </w:p>
              </w:tc>
              <w:tc>
                <w:tcPr>
                  <w:tcW w:w="996" w:type="pct"/>
                  <w:vAlign w:val="center"/>
                </w:tcPr>
                <w:p w14:paraId="0CEF1A0B" w14:textId="010CD840" w:rsidR="00803039" w:rsidRDefault="00B86FE0" w:rsidP="006976D7">
                  <w:pPr>
                    <w:pStyle w:val="TableBodyText"/>
                  </w:pPr>
                  <w:r>
                    <w:rPr>
                      <w:rFonts w:cs="Arial"/>
                      <w:color w:val="000000"/>
                      <w:szCs w:val="18"/>
                    </w:rPr>
                    <w:noBreakHyphen/>
                  </w:r>
                  <w:r w:rsidR="00803039">
                    <w:rPr>
                      <w:rFonts w:cs="Arial"/>
                      <w:color w:val="000000"/>
                      <w:szCs w:val="18"/>
                    </w:rPr>
                    <w:t>1.2</w:t>
                  </w:r>
                </w:p>
              </w:tc>
            </w:tr>
            <w:tr w:rsidR="00803039" w14:paraId="47E34194" w14:textId="77777777" w:rsidTr="007C3EF5">
              <w:tc>
                <w:tcPr>
                  <w:tcW w:w="1845" w:type="pct"/>
                  <w:shd w:val="clear" w:color="auto" w:fill="auto"/>
                </w:tcPr>
                <w:p w14:paraId="240B778C" w14:textId="77777777" w:rsidR="00803039" w:rsidRDefault="00803039" w:rsidP="006976D7">
                  <w:pPr>
                    <w:pStyle w:val="TableBodyText"/>
                    <w:jc w:val="left"/>
                  </w:pPr>
                  <w:r>
                    <w:t>Government tax receipts</w:t>
                  </w:r>
                </w:p>
              </w:tc>
              <w:tc>
                <w:tcPr>
                  <w:tcW w:w="1162" w:type="pct"/>
                  <w:shd w:val="clear" w:color="auto" w:fill="auto"/>
                </w:tcPr>
                <w:p w14:paraId="66F5EC08" w14:textId="7A79430F" w:rsidR="00803039" w:rsidRDefault="00803039" w:rsidP="006976D7">
                  <w:pPr>
                    <w:pStyle w:val="TableBodyText"/>
                  </w:pPr>
                  <w:r>
                    <w:t>$b in 2015 prices</w:t>
                  </w:r>
                </w:p>
              </w:tc>
              <w:tc>
                <w:tcPr>
                  <w:tcW w:w="997" w:type="pct"/>
                  <w:vAlign w:val="center"/>
                </w:tcPr>
                <w:p w14:paraId="036CD543" w14:textId="77777777" w:rsidR="00803039" w:rsidRDefault="00803039" w:rsidP="006976D7">
                  <w:pPr>
                    <w:pStyle w:val="TableBodyText"/>
                  </w:pPr>
                  <w:r>
                    <w:rPr>
                      <w:rFonts w:cs="Arial"/>
                      <w:color w:val="000000"/>
                      <w:szCs w:val="18"/>
                    </w:rPr>
                    <w:t>5.2</w:t>
                  </w:r>
                </w:p>
              </w:tc>
              <w:tc>
                <w:tcPr>
                  <w:tcW w:w="996" w:type="pct"/>
                  <w:shd w:val="clear" w:color="auto" w:fill="auto"/>
                  <w:vAlign w:val="center"/>
                </w:tcPr>
                <w:p w14:paraId="013E2377" w14:textId="77777777" w:rsidR="00803039" w:rsidRDefault="00803039" w:rsidP="006976D7">
                  <w:pPr>
                    <w:pStyle w:val="TableBodyText"/>
                  </w:pPr>
                  <w:r>
                    <w:rPr>
                      <w:rFonts w:cs="Arial"/>
                      <w:color w:val="000000"/>
                      <w:szCs w:val="18"/>
                    </w:rPr>
                    <w:t>3.2</w:t>
                  </w:r>
                </w:p>
              </w:tc>
            </w:tr>
            <w:tr w:rsidR="00803039" w14:paraId="086BBD26" w14:textId="77777777" w:rsidTr="007C3EF5">
              <w:tc>
                <w:tcPr>
                  <w:tcW w:w="1845" w:type="pct"/>
                  <w:tcBorders>
                    <w:bottom w:val="single" w:sz="6" w:space="0" w:color="BFBFBF"/>
                  </w:tcBorders>
                  <w:shd w:val="clear" w:color="auto" w:fill="auto"/>
                </w:tcPr>
                <w:p w14:paraId="7457B131" w14:textId="77777777" w:rsidR="00803039" w:rsidRDefault="00803039" w:rsidP="006976D7">
                  <w:pPr>
                    <w:pStyle w:val="TableBodyText"/>
                    <w:jc w:val="left"/>
                  </w:pPr>
                  <w:r>
                    <w:t>Net government fiscal position</w:t>
                  </w:r>
                </w:p>
              </w:tc>
              <w:tc>
                <w:tcPr>
                  <w:tcW w:w="1162" w:type="pct"/>
                  <w:tcBorders>
                    <w:bottom w:val="single" w:sz="6" w:space="0" w:color="BFBFBF"/>
                  </w:tcBorders>
                  <w:shd w:val="clear" w:color="auto" w:fill="auto"/>
                </w:tcPr>
                <w:p w14:paraId="633595B7" w14:textId="190E81C0" w:rsidR="00803039" w:rsidRDefault="00803039" w:rsidP="006976D7">
                  <w:pPr>
                    <w:pStyle w:val="TableBodyText"/>
                  </w:pPr>
                  <w:r>
                    <w:t>$b in 2015 prices</w:t>
                  </w:r>
                </w:p>
              </w:tc>
              <w:tc>
                <w:tcPr>
                  <w:tcW w:w="997" w:type="pct"/>
                  <w:tcBorders>
                    <w:bottom w:val="single" w:sz="6" w:space="0" w:color="BFBFBF"/>
                  </w:tcBorders>
                  <w:vAlign w:val="center"/>
                </w:tcPr>
                <w:p w14:paraId="19BD837F" w14:textId="77777777" w:rsidR="00803039" w:rsidRDefault="00803039" w:rsidP="006976D7">
                  <w:pPr>
                    <w:pStyle w:val="TableBodyText"/>
                  </w:pPr>
                  <w:r>
                    <w:rPr>
                      <w:rFonts w:cs="Arial"/>
                      <w:color w:val="000000"/>
                      <w:szCs w:val="18"/>
                    </w:rPr>
                    <w:t>7.2</w:t>
                  </w:r>
                </w:p>
              </w:tc>
              <w:tc>
                <w:tcPr>
                  <w:tcW w:w="996" w:type="pct"/>
                  <w:tcBorders>
                    <w:bottom w:val="single" w:sz="6" w:space="0" w:color="BFBFBF"/>
                  </w:tcBorders>
                  <w:shd w:val="clear" w:color="auto" w:fill="auto"/>
                  <w:vAlign w:val="center"/>
                </w:tcPr>
                <w:p w14:paraId="166A55D6" w14:textId="77777777" w:rsidR="00803039" w:rsidRDefault="00803039" w:rsidP="006976D7">
                  <w:pPr>
                    <w:pStyle w:val="TableBodyText"/>
                  </w:pPr>
                  <w:r>
                    <w:rPr>
                      <w:rFonts w:cs="Arial"/>
                      <w:color w:val="000000"/>
                      <w:szCs w:val="18"/>
                    </w:rPr>
                    <w:t>4.4</w:t>
                  </w:r>
                </w:p>
              </w:tc>
            </w:tr>
          </w:tbl>
          <w:p w14:paraId="28441C72" w14:textId="77777777" w:rsidR="007F2FE9" w:rsidRDefault="007F2FE9" w:rsidP="006976D7">
            <w:pPr>
              <w:pStyle w:val="Box"/>
            </w:pPr>
          </w:p>
        </w:tc>
      </w:tr>
      <w:tr w:rsidR="007F2FE9" w14:paraId="0F4972FB" w14:textId="77777777" w:rsidTr="006976D7">
        <w:trPr>
          <w:cantSplit/>
        </w:trPr>
        <w:tc>
          <w:tcPr>
            <w:tcW w:w="8771" w:type="dxa"/>
            <w:tcBorders>
              <w:top w:val="nil"/>
              <w:left w:val="nil"/>
              <w:bottom w:val="nil"/>
              <w:right w:val="nil"/>
            </w:tcBorders>
            <w:shd w:val="clear" w:color="auto" w:fill="auto"/>
          </w:tcPr>
          <w:p w14:paraId="7361F037" w14:textId="590C07D0" w:rsidR="007F2FE9" w:rsidRDefault="0061143E" w:rsidP="006976D7">
            <w:pPr>
              <w:pStyle w:val="Source"/>
            </w:pPr>
            <w:r>
              <w:rPr>
                <w:i/>
              </w:rPr>
              <w:t>Source</w:t>
            </w:r>
            <w:r w:rsidRPr="00167F06">
              <w:t xml:space="preserve">: </w:t>
            </w:r>
            <w:r>
              <w:t>Commission estimates</w:t>
            </w:r>
            <w:r w:rsidR="003E6A41">
              <w:t>.</w:t>
            </w:r>
          </w:p>
        </w:tc>
      </w:tr>
      <w:tr w:rsidR="007F2FE9" w14:paraId="3E831BA6" w14:textId="77777777" w:rsidTr="006976D7">
        <w:trPr>
          <w:cantSplit/>
        </w:trPr>
        <w:tc>
          <w:tcPr>
            <w:tcW w:w="8771" w:type="dxa"/>
            <w:tcBorders>
              <w:top w:val="nil"/>
              <w:left w:val="nil"/>
              <w:bottom w:val="single" w:sz="6" w:space="0" w:color="78A22F"/>
              <w:right w:val="nil"/>
            </w:tcBorders>
            <w:shd w:val="clear" w:color="auto" w:fill="auto"/>
          </w:tcPr>
          <w:p w14:paraId="0FCCCA8C" w14:textId="77777777" w:rsidR="007F2FE9" w:rsidRDefault="007F2FE9" w:rsidP="006976D7">
            <w:pPr>
              <w:pStyle w:val="Box"/>
              <w:spacing w:before="0" w:line="120" w:lineRule="exact"/>
            </w:pPr>
          </w:p>
        </w:tc>
      </w:tr>
      <w:tr w:rsidR="007F2FE9" w:rsidRPr="000863A5" w14:paraId="177E53E4" w14:textId="77777777" w:rsidTr="006976D7">
        <w:tc>
          <w:tcPr>
            <w:tcW w:w="8771" w:type="dxa"/>
            <w:tcBorders>
              <w:top w:val="single" w:sz="6" w:space="0" w:color="78A22F"/>
              <w:left w:val="nil"/>
              <w:bottom w:val="nil"/>
              <w:right w:val="nil"/>
            </w:tcBorders>
          </w:tcPr>
          <w:p w14:paraId="46C89163" w14:textId="4DA3E0AC" w:rsidR="007F2FE9" w:rsidRPr="00626D32" w:rsidRDefault="007F2FE9" w:rsidP="006976D7">
            <w:pPr>
              <w:pStyle w:val="BoxSpaceBelow"/>
            </w:pPr>
          </w:p>
        </w:tc>
      </w:tr>
    </w:tbl>
    <w:p w14:paraId="64650BE5" w14:textId="77777777" w:rsidR="00B40022" w:rsidRPr="00962C7F" w:rsidRDefault="00B40022" w:rsidP="00B40022">
      <w:pPr>
        <w:pStyle w:val="Heading3"/>
      </w:pPr>
      <w:proofErr w:type="spellStart"/>
      <w:r w:rsidRPr="00962C7F">
        <w:lastRenderedPageBreak/>
        <w:t>S</w:t>
      </w:r>
      <w:r>
        <w:t>A9</w:t>
      </w:r>
      <w:proofErr w:type="spellEnd"/>
      <w:r w:rsidRPr="00962C7F">
        <w:t xml:space="preserve">: </w:t>
      </w:r>
      <w:r w:rsidR="001A539F">
        <w:t>Minimum and maximum sensitivity</w:t>
      </w:r>
      <w:r>
        <w:t xml:space="preserve"> case</w:t>
      </w:r>
      <w:r w:rsidR="001A539F">
        <w:t>s</w:t>
      </w:r>
    </w:p>
    <w:p w14:paraId="138647A1" w14:textId="54254F55" w:rsidR="001A539F" w:rsidRDefault="00B40022" w:rsidP="001A539F">
      <w:pPr>
        <w:pStyle w:val="BodyText"/>
      </w:pPr>
      <w:r>
        <w:t>The ‘</w:t>
      </w:r>
      <w:r w:rsidR="0052493F">
        <w:t>minimum</w:t>
      </w:r>
      <w:r>
        <w:t>/</w:t>
      </w:r>
      <w:r w:rsidR="0052493F">
        <w:t>maximum</w:t>
      </w:r>
      <w:r>
        <w:t>’ scenario capture</w:t>
      </w:r>
      <w:r w:rsidR="0052493F">
        <w:t>s</w:t>
      </w:r>
      <w:r>
        <w:t xml:space="preserve"> the </w:t>
      </w:r>
      <w:r w:rsidR="0052493F">
        <w:t>c</w:t>
      </w:r>
      <w:r>
        <w:t>umulative effect of multiple low/high sensitivity analysis scenarios. The</w:t>
      </w:r>
      <w:r w:rsidR="0052493F">
        <w:t xml:space="preserve"> </w:t>
      </w:r>
      <w:r>
        <w:t>‘</w:t>
      </w:r>
      <w:r w:rsidR="0052493F">
        <w:t xml:space="preserve">minimum’ </w:t>
      </w:r>
      <w:r>
        <w:t xml:space="preserve">case scenario includes the </w:t>
      </w:r>
      <w:r w:rsidR="004A10CA">
        <w:t>‘</w:t>
      </w:r>
      <w:r w:rsidR="00F72EE1">
        <w:t>lower returns’</w:t>
      </w:r>
      <w:r>
        <w:t xml:space="preserve"> assumptions</w:t>
      </w:r>
      <w:r w:rsidR="0052493F">
        <w:t xml:space="preserve"> from </w:t>
      </w:r>
      <w:proofErr w:type="spellStart"/>
      <w:r w:rsidR="0052493F">
        <w:t>SA1</w:t>
      </w:r>
      <w:proofErr w:type="spellEnd"/>
      <w:r>
        <w:t xml:space="preserve">, </w:t>
      </w:r>
      <w:r w:rsidR="0052493F">
        <w:t xml:space="preserve">and </w:t>
      </w:r>
      <w:r>
        <w:t>the</w:t>
      </w:r>
      <w:r w:rsidR="0052493F">
        <w:t xml:space="preserve"> ‘</w:t>
      </w:r>
      <w:r w:rsidR="00F72EE1">
        <w:t>alternative</w:t>
      </w:r>
      <w:r w:rsidR="0052493F">
        <w:t xml:space="preserve"> parameter</w:t>
      </w:r>
      <w:r w:rsidR="00F72EE1">
        <w:t xml:space="preserve"> </w:t>
      </w:r>
      <w:r w:rsidR="0052493F">
        <w:t>s</w:t>
      </w:r>
      <w:r w:rsidR="00F72EE1">
        <w:t>et 1</w:t>
      </w:r>
      <w:r w:rsidR="0052493F">
        <w:t>’</w:t>
      </w:r>
      <w:r>
        <w:t xml:space="preserve"> assumptions</w:t>
      </w:r>
      <w:r w:rsidR="0052493F">
        <w:t xml:space="preserve"> from </w:t>
      </w:r>
      <w:proofErr w:type="spellStart"/>
      <w:r w:rsidR="0052493F">
        <w:t>SA2</w:t>
      </w:r>
      <w:proofErr w:type="spellEnd"/>
      <w:r w:rsidR="0052493F">
        <w:t>.</w:t>
      </w:r>
      <w:r>
        <w:t xml:space="preserve"> The ‘</w:t>
      </w:r>
      <w:r w:rsidR="0052493F">
        <w:t>maximum</w:t>
      </w:r>
      <w:r>
        <w:t xml:space="preserve">’ case scenario includes the </w:t>
      </w:r>
      <w:r w:rsidR="004A10CA">
        <w:t>‘</w:t>
      </w:r>
      <w:r>
        <w:t>high</w:t>
      </w:r>
      <w:r w:rsidR="004A10CA">
        <w:t>er</w:t>
      </w:r>
      <w:r>
        <w:t xml:space="preserve"> returns</w:t>
      </w:r>
      <w:r w:rsidR="004A10CA">
        <w:t>’</w:t>
      </w:r>
      <w:r>
        <w:t xml:space="preserve"> assumptions</w:t>
      </w:r>
      <w:r w:rsidR="0052493F">
        <w:t xml:space="preserve"> from </w:t>
      </w:r>
      <w:proofErr w:type="spellStart"/>
      <w:r w:rsidR="0052493F">
        <w:t>SA1</w:t>
      </w:r>
      <w:proofErr w:type="spellEnd"/>
      <w:r w:rsidR="0052493F">
        <w:t>,</w:t>
      </w:r>
      <w:r>
        <w:t xml:space="preserve"> and the </w:t>
      </w:r>
      <w:r w:rsidR="0052493F">
        <w:t>‘</w:t>
      </w:r>
      <w:r w:rsidR="00F72EE1">
        <w:t>alternative</w:t>
      </w:r>
      <w:r w:rsidR="0052493F">
        <w:t xml:space="preserve"> parameter</w:t>
      </w:r>
      <w:r w:rsidR="00F72EE1">
        <w:t xml:space="preserve"> </w:t>
      </w:r>
      <w:r w:rsidR="0052493F">
        <w:t>s</w:t>
      </w:r>
      <w:r w:rsidR="00F72EE1">
        <w:t>et 2</w:t>
      </w:r>
      <w:r w:rsidR="0052493F">
        <w:t xml:space="preserve">’ assumptions from </w:t>
      </w:r>
      <w:proofErr w:type="spellStart"/>
      <w:r w:rsidR="0052493F">
        <w:t>SA2</w:t>
      </w:r>
      <w:proofErr w:type="spellEnd"/>
      <w:r>
        <w:t>.</w:t>
      </w:r>
    </w:p>
    <w:p w14:paraId="2176B37F" w14:textId="5482EDF2" w:rsidR="00C02682" w:rsidRPr="005C5AE0" w:rsidRDefault="00B40022" w:rsidP="004A10CA">
      <w:pPr>
        <w:pStyle w:val="BodyText"/>
      </w:pPr>
      <w:r w:rsidRPr="005C5AE0">
        <w:t xml:space="preserve">The results for these sensitivity analysis scenarios suggest that the effect </w:t>
      </w:r>
      <w:r w:rsidR="00E87088">
        <w:t>on</w:t>
      </w:r>
      <w:r w:rsidR="00E87088" w:rsidRPr="005C5AE0">
        <w:t xml:space="preserve"> </w:t>
      </w:r>
      <w:r w:rsidR="00F90FCD">
        <w:t xml:space="preserve">mature age </w:t>
      </w:r>
      <w:r w:rsidRPr="005C5AE0">
        <w:t xml:space="preserve">participation rates </w:t>
      </w:r>
      <w:r w:rsidR="00F72EE1">
        <w:t xml:space="preserve">in 2055 </w:t>
      </w:r>
      <w:r w:rsidRPr="005C5AE0">
        <w:t xml:space="preserve">of a delayed increase in the </w:t>
      </w:r>
      <w:r w:rsidR="00F72EE1">
        <w:t>p</w:t>
      </w:r>
      <w:r w:rsidRPr="005C5AE0">
        <w:t xml:space="preserve">reservation age is somewhere between </w:t>
      </w:r>
      <w:r w:rsidR="00E87088">
        <w:t>0.8</w:t>
      </w:r>
      <w:r w:rsidR="00F72EE1">
        <w:t xml:space="preserve"> and </w:t>
      </w:r>
      <w:r w:rsidR="00E87088">
        <w:t>3.8</w:t>
      </w:r>
      <w:r w:rsidR="00F72EE1">
        <w:t> per</w:t>
      </w:r>
      <w:r w:rsidRPr="005C5AE0">
        <w:t>cent</w:t>
      </w:r>
      <w:r w:rsidR="00F72EE1">
        <w:t>age points</w:t>
      </w:r>
      <w:r w:rsidRPr="005C5AE0">
        <w:t xml:space="preserve">, and the effect on the government’s net fiscal balance is somewhere between </w:t>
      </w:r>
      <w:r w:rsidR="00F72EE1">
        <w:t>$</w:t>
      </w:r>
      <w:r w:rsidR="00E87088">
        <w:t>2.9</w:t>
      </w:r>
      <w:r w:rsidR="00213A85">
        <w:t xml:space="preserve"> billion</w:t>
      </w:r>
      <w:r w:rsidRPr="005C5AE0">
        <w:t xml:space="preserve"> and </w:t>
      </w:r>
      <w:r w:rsidR="00F72EE1">
        <w:t>$</w:t>
      </w:r>
      <w:r w:rsidR="00E87088">
        <w:t>11.6</w:t>
      </w:r>
      <w:r w:rsidR="00213A85">
        <w:t xml:space="preserve"> billion</w:t>
      </w:r>
      <w:r w:rsidRPr="005C5AE0">
        <w:t xml:space="preserve"> </w:t>
      </w:r>
      <w:r w:rsidR="00213A85">
        <w:t xml:space="preserve">in 2015 prices </w:t>
      </w:r>
      <w:r w:rsidRPr="005C5AE0">
        <w:t>(this excludes the effect of assumptions that cannot be readily tested).</w:t>
      </w:r>
    </w:p>
    <w:p w14:paraId="61D0D7F7" w14:textId="22EF0E1D" w:rsidR="00C656F2" w:rsidRDefault="00C656F2" w:rsidP="004A10CA">
      <w:pPr>
        <w:pStyle w:val="BodyText"/>
      </w:pPr>
    </w:p>
    <w:tbl>
      <w:tblPr>
        <w:tblW w:w="0" w:type="auto"/>
        <w:tblInd w:w="164" w:type="dxa"/>
        <w:tblBorders>
          <w:top w:val="single" w:sz="6" w:space="0" w:color="auto"/>
          <w:left w:val="single" w:sz="6" w:space="0" w:color="auto"/>
          <w:bottom w:val="single" w:sz="6" w:space="0" w:color="auto"/>
          <w:right w:val="single" w:sz="6" w:space="0" w:color="auto"/>
        </w:tblBorders>
        <w:tblCellMar>
          <w:left w:w="142" w:type="dxa"/>
          <w:right w:w="142" w:type="dxa"/>
        </w:tblCellMar>
        <w:tblLook w:val="0000" w:firstRow="0" w:lastRow="0" w:firstColumn="0" w:lastColumn="0" w:noHBand="0" w:noVBand="0"/>
      </w:tblPr>
      <w:tblGrid>
        <w:gridCol w:w="8771"/>
      </w:tblGrid>
      <w:tr w:rsidR="00C656F2" w14:paraId="4AF225FB" w14:textId="77777777" w:rsidTr="00400D34">
        <w:tc>
          <w:tcPr>
            <w:tcW w:w="8771" w:type="dxa"/>
            <w:tcBorders>
              <w:top w:val="single" w:sz="6" w:space="0" w:color="78A22F"/>
              <w:left w:val="nil"/>
              <w:bottom w:val="nil"/>
              <w:right w:val="nil"/>
            </w:tcBorders>
            <w:shd w:val="clear" w:color="auto" w:fill="auto"/>
          </w:tcPr>
          <w:p w14:paraId="23FA0DDA" w14:textId="4949E815" w:rsidR="00C656F2" w:rsidRPr="00784A05" w:rsidRDefault="00C656F2" w:rsidP="00064EC7">
            <w:pPr>
              <w:pStyle w:val="TableTitle"/>
            </w:pPr>
            <w:r>
              <w:rPr>
                <w:b w:val="0"/>
              </w:rPr>
              <w:t xml:space="preserve">Table </w:t>
            </w:r>
            <w:r w:rsidR="00D85DB3">
              <w:rPr>
                <w:b w:val="0"/>
              </w:rPr>
              <w:t>6.</w:t>
            </w:r>
            <w:r w:rsidR="00D85DB3">
              <w:rPr>
                <w:b w:val="0"/>
                <w:noProof/>
              </w:rPr>
              <w:t>13</w:t>
            </w:r>
            <w:r>
              <w:tab/>
            </w:r>
            <w:proofErr w:type="spellStart"/>
            <w:r w:rsidR="005F2E7A">
              <w:t>SA9</w:t>
            </w:r>
            <w:proofErr w:type="spellEnd"/>
            <w:r w:rsidR="00064EC7">
              <w:t xml:space="preserve"> results in 2055: minimum and maximum sensitivity cases</w:t>
            </w:r>
            <w:r w:rsidR="00064EC7" w:rsidDel="00064EC7">
              <w:t xml:space="preserve"> </w:t>
            </w:r>
          </w:p>
        </w:tc>
      </w:tr>
      <w:tr w:rsidR="00C656F2" w14:paraId="11EB0345" w14:textId="77777777" w:rsidTr="00400D34">
        <w:trPr>
          <w:cantSplit/>
        </w:trPr>
        <w:tc>
          <w:tcPr>
            <w:tcW w:w="8771" w:type="dxa"/>
            <w:tcBorders>
              <w:top w:val="nil"/>
              <w:left w:val="nil"/>
              <w:bottom w:val="nil"/>
              <w:right w:val="nil"/>
            </w:tcBorders>
            <w:shd w:val="clear" w:color="auto" w:fill="auto"/>
          </w:tcPr>
          <w:tbl>
            <w:tblPr>
              <w:tblW w:w="5000" w:type="pct"/>
              <w:tblCellMar>
                <w:top w:w="28" w:type="dxa"/>
                <w:left w:w="0" w:type="dxa"/>
                <w:right w:w="0" w:type="dxa"/>
              </w:tblCellMar>
              <w:tblLook w:val="0000" w:firstRow="0" w:lastRow="0" w:firstColumn="0" w:lastColumn="0" w:noHBand="0" w:noVBand="0"/>
            </w:tblPr>
            <w:tblGrid>
              <w:gridCol w:w="3947"/>
              <w:gridCol w:w="1558"/>
              <w:gridCol w:w="995"/>
              <w:gridCol w:w="930"/>
              <w:gridCol w:w="1057"/>
            </w:tblGrid>
            <w:tr w:rsidR="00537EBD" w14:paraId="618A758B" w14:textId="77777777" w:rsidTr="00605FFA">
              <w:tc>
                <w:tcPr>
                  <w:tcW w:w="2325" w:type="pct"/>
                  <w:tcBorders>
                    <w:top w:val="single" w:sz="6" w:space="0" w:color="BFBFBF"/>
                    <w:bottom w:val="single" w:sz="6" w:space="0" w:color="BFBFBF"/>
                  </w:tcBorders>
                  <w:shd w:val="clear" w:color="auto" w:fill="auto"/>
                  <w:tcMar>
                    <w:top w:w="28" w:type="dxa"/>
                  </w:tcMar>
                </w:tcPr>
                <w:p w14:paraId="46A7FA74" w14:textId="77777777" w:rsidR="00537EBD" w:rsidRDefault="00537EBD" w:rsidP="00400D34">
                  <w:pPr>
                    <w:pStyle w:val="TableColumnHeading"/>
                    <w:jc w:val="left"/>
                  </w:pPr>
                </w:p>
              </w:tc>
              <w:tc>
                <w:tcPr>
                  <w:tcW w:w="918" w:type="pct"/>
                  <w:tcBorders>
                    <w:top w:val="single" w:sz="6" w:space="0" w:color="BFBFBF"/>
                    <w:bottom w:val="single" w:sz="6" w:space="0" w:color="BFBFBF"/>
                  </w:tcBorders>
                </w:tcPr>
                <w:p w14:paraId="3540200A" w14:textId="77777777" w:rsidR="00537EBD" w:rsidRDefault="00537EBD" w:rsidP="00400D34">
                  <w:pPr>
                    <w:pStyle w:val="TableColumnHeading"/>
                  </w:pPr>
                  <w:r>
                    <w:t>Units</w:t>
                  </w:r>
                </w:p>
              </w:tc>
              <w:tc>
                <w:tcPr>
                  <w:tcW w:w="586" w:type="pct"/>
                  <w:tcBorders>
                    <w:top w:val="single" w:sz="6" w:space="0" w:color="BFBFBF"/>
                    <w:bottom w:val="single" w:sz="6" w:space="0" w:color="BFBFBF"/>
                  </w:tcBorders>
                  <w:shd w:val="clear" w:color="auto" w:fill="auto"/>
                  <w:tcMar>
                    <w:top w:w="28" w:type="dxa"/>
                  </w:tcMar>
                </w:tcPr>
                <w:p w14:paraId="7819E8AF" w14:textId="77777777" w:rsidR="00537EBD" w:rsidRDefault="00537EBD" w:rsidP="00400D34">
                  <w:pPr>
                    <w:pStyle w:val="TableColumnHeading"/>
                  </w:pPr>
                  <w:r>
                    <w:t>Minimum</w:t>
                  </w:r>
                </w:p>
              </w:tc>
              <w:tc>
                <w:tcPr>
                  <w:tcW w:w="548" w:type="pct"/>
                  <w:tcBorders>
                    <w:top w:val="single" w:sz="6" w:space="0" w:color="BFBFBF"/>
                    <w:bottom w:val="single" w:sz="6" w:space="0" w:color="BFBFBF"/>
                  </w:tcBorders>
                  <w:shd w:val="clear" w:color="auto" w:fill="auto"/>
                  <w:tcMar>
                    <w:top w:w="28" w:type="dxa"/>
                  </w:tcMar>
                </w:tcPr>
                <w:p w14:paraId="1500859A" w14:textId="77777777" w:rsidR="00537EBD" w:rsidRDefault="00537EBD" w:rsidP="00400D34">
                  <w:pPr>
                    <w:pStyle w:val="TableColumnHeading"/>
                    <w:ind w:right="28"/>
                  </w:pPr>
                  <w:r>
                    <w:t>Original</w:t>
                  </w:r>
                </w:p>
              </w:tc>
              <w:tc>
                <w:tcPr>
                  <w:tcW w:w="623" w:type="pct"/>
                  <w:tcBorders>
                    <w:top w:val="single" w:sz="6" w:space="0" w:color="BFBFBF"/>
                    <w:bottom w:val="single" w:sz="6" w:space="0" w:color="BFBFBF"/>
                  </w:tcBorders>
                </w:tcPr>
                <w:p w14:paraId="50121A5E" w14:textId="77777777" w:rsidR="00537EBD" w:rsidRDefault="00537EBD" w:rsidP="00400D34">
                  <w:pPr>
                    <w:pStyle w:val="TableColumnHeading"/>
                    <w:ind w:right="28"/>
                  </w:pPr>
                  <w:r>
                    <w:t>Maximum</w:t>
                  </w:r>
                </w:p>
              </w:tc>
            </w:tr>
            <w:tr w:rsidR="00537EBD" w14:paraId="228D1245" w14:textId="77777777" w:rsidTr="00605FFA">
              <w:tc>
                <w:tcPr>
                  <w:tcW w:w="2325" w:type="pct"/>
                  <w:tcBorders>
                    <w:top w:val="single" w:sz="6" w:space="0" w:color="BFBFBF"/>
                  </w:tcBorders>
                </w:tcPr>
                <w:p w14:paraId="17CC36D5" w14:textId="34D17903" w:rsidR="00537EBD" w:rsidRDefault="00537EBD" w:rsidP="00C656F2">
                  <w:pPr>
                    <w:pStyle w:val="TableBodyText"/>
                    <w:jc w:val="left"/>
                  </w:pPr>
                  <w:r w:rsidRPr="006E4466">
                    <w:t>Change in participa</w:t>
                  </w:r>
                  <w:r>
                    <w:t>tion rate of 50</w:t>
                  </w:r>
                  <w:r w:rsidR="00B86FE0">
                    <w:noBreakHyphen/>
                  </w:r>
                  <w:r>
                    <w:t xml:space="preserve">64 year olds </w:t>
                  </w:r>
                </w:p>
              </w:tc>
              <w:tc>
                <w:tcPr>
                  <w:tcW w:w="918" w:type="pct"/>
                  <w:tcBorders>
                    <w:top w:val="single" w:sz="6" w:space="0" w:color="BFBFBF"/>
                  </w:tcBorders>
                </w:tcPr>
                <w:p w14:paraId="10603AFC" w14:textId="569A3C20" w:rsidR="00537EBD" w:rsidRPr="00C02682" w:rsidRDefault="00F72EE1" w:rsidP="00400D34">
                  <w:pPr>
                    <w:pStyle w:val="TableUnitsRow"/>
                    <w:framePr w:w="2155" w:hSpace="227" w:vSpace="181" w:wrap="around" w:vAnchor="text" w:hAnchor="page" w:xAlign="outside" w:y="1"/>
                    <w:rPr>
                      <w:rFonts w:cs="Arial"/>
                      <w:color w:val="000000"/>
                      <w:szCs w:val="18"/>
                    </w:rPr>
                  </w:pPr>
                  <w:r>
                    <w:rPr>
                      <w:rFonts w:cs="Arial"/>
                      <w:color w:val="000000"/>
                      <w:szCs w:val="18"/>
                    </w:rPr>
                    <w:t>Per</w:t>
                  </w:r>
                  <w:r w:rsidR="00537EBD" w:rsidRPr="00C02682">
                    <w:rPr>
                      <w:rFonts w:cs="Arial"/>
                      <w:color w:val="000000"/>
                      <w:szCs w:val="18"/>
                    </w:rPr>
                    <w:t>cent</w:t>
                  </w:r>
                  <w:r>
                    <w:rPr>
                      <w:rFonts w:cs="Arial"/>
                      <w:color w:val="000000"/>
                      <w:szCs w:val="18"/>
                    </w:rPr>
                    <w:t>age point</w:t>
                  </w:r>
                </w:p>
              </w:tc>
              <w:tc>
                <w:tcPr>
                  <w:tcW w:w="586" w:type="pct"/>
                  <w:tcBorders>
                    <w:top w:val="single" w:sz="6" w:space="0" w:color="BFBFBF"/>
                  </w:tcBorders>
                  <w:vAlign w:val="center"/>
                </w:tcPr>
                <w:p w14:paraId="56C39276" w14:textId="77777777" w:rsidR="00537EBD" w:rsidRPr="00605FFA" w:rsidRDefault="00537EBD" w:rsidP="00400D34">
                  <w:pPr>
                    <w:pStyle w:val="TableUnitsRow"/>
                    <w:rPr>
                      <w:szCs w:val="18"/>
                    </w:rPr>
                  </w:pPr>
                  <w:r w:rsidRPr="00605FFA">
                    <w:rPr>
                      <w:rFonts w:cs="Arial"/>
                      <w:color w:val="000000"/>
                      <w:szCs w:val="18"/>
                    </w:rPr>
                    <w:t>0.8</w:t>
                  </w:r>
                </w:p>
              </w:tc>
              <w:tc>
                <w:tcPr>
                  <w:tcW w:w="548" w:type="pct"/>
                  <w:tcBorders>
                    <w:top w:val="single" w:sz="6" w:space="0" w:color="BFBFBF"/>
                  </w:tcBorders>
                  <w:vAlign w:val="center"/>
                </w:tcPr>
                <w:p w14:paraId="27D6AC8F" w14:textId="77777777" w:rsidR="00537EBD" w:rsidRPr="00605FFA" w:rsidRDefault="00537EBD" w:rsidP="00400D34">
                  <w:pPr>
                    <w:pStyle w:val="TableUnitsRow"/>
                    <w:ind w:right="28"/>
                    <w:rPr>
                      <w:szCs w:val="18"/>
                    </w:rPr>
                  </w:pPr>
                  <w:r w:rsidRPr="00605FFA">
                    <w:rPr>
                      <w:rFonts w:cs="Arial"/>
                      <w:color w:val="000000"/>
                      <w:szCs w:val="18"/>
                    </w:rPr>
                    <w:t>2.0</w:t>
                  </w:r>
                </w:p>
              </w:tc>
              <w:tc>
                <w:tcPr>
                  <w:tcW w:w="623" w:type="pct"/>
                  <w:tcBorders>
                    <w:top w:val="single" w:sz="6" w:space="0" w:color="BFBFBF"/>
                  </w:tcBorders>
                  <w:vAlign w:val="center"/>
                </w:tcPr>
                <w:p w14:paraId="71A6AECE" w14:textId="77777777" w:rsidR="00537EBD" w:rsidRPr="00605FFA" w:rsidRDefault="00537EBD" w:rsidP="004A10CA">
                  <w:pPr>
                    <w:pStyle w:val="TableUnitsRow"/>
                    <w:ind w:right="28"/>
                    <w:rPr>
                      <w:szCs w:val="18"/>
                    </w:rPr>
                  </w:pPr>
                  <w:r w:rsidRPr="00605FFA">
                    <w:rPr>
                      <w:rFonts w:cs="Arial"/>
                      <w:color w:val="000000"/>
                      <w:szCs w:val="18"/>
                    </w:rPr>
                    <w:t>3.</w:t>
                  </w:r>
                  <w:r w:rsidR="004A10CA" w:rsidRPr="00605FFA">
                    <w:rPr>
                      <w:rFonts w:cs="Arial"/>
                      <w:color w:val="000000"/>
                      <w:szCs w:val="18"/>
                    </w:rPr>
                    <w:t>8</w:t>
                  </w:r>
                </w:p>
              </w:tc>
            </w:tr>
            <w:tr w:rsidR="00537EBD" w14:paraId="48E47082" w14:textId="77777777" w:rsidTr="00605FFA">
              <w:tc>
                <w:tcPr>
                  <w:tcW w:w="2325" w:type="pct"/>
                </w:tcPr>
                <w:p w14:paraId="19029718" w14:textId="77777777" w:rsidR="00537EBD" w:rsidRDefault="004A10CA" w:rsidP="00400D34">
                  <w:pPr>
                    <w:pStyle w:val="TableBodyText"/>
                    <w:jc w:val="left"/>
                  </w:pPr>
                  <w:r>
                    <w:t>Government expenses</w:t>
                  </w:r>
                </w:p>
              </w:tc>
              <w:tc>
                <w:tcPr>
                  <w:tcW w:w="918" w:type="pct"/>
                </w:tcPr>
                <w:p w14:paraId="136B25C6" w14:textId="5C945A6C" w:rsidR="00537EBD" w:rsidRPr="00C02682" w:rsidRDefault="00605FFA" w:rsidP="00400D34">
                  <w:pPr>
                    <w:pStyle w:val="TableBodyText"/>
                    <w:rPr>
                      <w:rFonts w:cs="Arial"/>
                      <w:color w:val="000000"/>
                      <w:sz w:val="16"/>
                      <w:szCs w:val="16"/>
                    </w:rPr>
                  </w:pPr>
                  <w:r>
                    <w:t>$b in 2015 prices</w:t>
                  </w:r>
                </w:p>
              </w:tc>
              <w:tc>
                <w:tcPr>
                  <w:tcW w:w="586" w:type="pct"/>
                  <w:vAlign w:val="center"/>
                </w:tcPr>
                <w:p w14:paraId="1094DD4C" w14:textId="4F78C95B" w:rsidR="00537EBD" w:rsidRPr="00605FFA" w:rsidRDefault="00B86FE0" w:rsidP="004A10CA">
                  <w:pPr>
                    <w:pStyle w:val="TableBodyText"/>
                    <w:rPr>
                      <w:szCs w:val="18"/>
                    </w:rPr>
                  </w:pPr>
                  <w:r>
                    <w:rPr>
                      <w:rFonts w:cs="Arial"/>
                      <w:color w:val="000000"/>
                      <w:szCs w:val="18"/>
                    </w:rPr>
                    <w:noBreakHyphen/>
                  </w:r>
                  <w:r w:rsidR="004A10CA" w:rsidRPr="00605FFA">
                    <w:rPr>
                      <w:rFonts w:cs="Arial"/>
                      <w:color w:val="000000"/>
                      <w:szCs w:val="18"/>
                    </w:rPr>
                    <w:t>0.7</w:t>
                  </w:r>
                </w:p>
              </w:tc>
              <w:tc>
                <w:tcPr>
                  <w:tcW w:w="548" w:type="pct"/>
                  <w:vAlign w:val="center"/>
                </w:tcPr>
                <w:p w14:paraId="39FA6136" w14:textId="6AC4ADFC" w:rsidR="00537EBD" w:rsidRPr="00605FFA" w:rsidRDefault="00B86FE0" w:rsidP="00400D34">
                  <w:pPr>
                    <w:pStyle w:val="TableBodyText"/>
                    <w:ind w:right="28"/>
                    <w:rPr>
                      <w:szCs w:val="18"/>
                    </w:rPr>
                  </w:pPr>
                  <w:r>
                    <w:rPr>
                      <w:szCs w:val="18"/>
                    </w:rPr>
                    <w:noBreakHyphen/>
                  </w:r>
                  <w:r w:rsidR="004A10CA" w:rsidRPr="00605FFA">
                    <w:rPr>
                      <w:szCs w:val="18"/>
                    </w:rPr>
                    <w:t>2.0</w:t>
                  </w:r>
                </w:p>
              </w:tc>
              <w:tc>
                <w:tcPr>
                  <w:tcW w:w="623" w:type="pct"/>
                  <w:vAlign w:val="center"/>
                </w:tcPr>
                <w:p w14:paraId="55701BB9" w14:textId="1D6FA901" w:rsidR="00537EBD" w:rsidRPr="00605FFA" w:rsidRDefault="00B86FE0" w:rsidP="004A10CA">
                  <w:pPr>
                    <w:pStyle w:val="TableBodyText"/>
                    <w:ind w:right="28"/>
                    <w:rPr>
                      <w:szCs w:val="18"/>
                    </w:rPr>
                  </w:pPr>
                  <w:r>
                    <w:rPr>
                      <w:rFonts w:cs="Arial"/>
                      <w:color w:val="000000"/>
                      <w:szCs w:val="18"/>
                    </w:rPr>
                    <w:noBreakHyphen/>
                  </w:r>
                  <w:r w:rsidR="004A10CA" w:rsidRPr="00605FFA">
                    <w:rPr>
                      <w:rFonts w:cs="Arial"/>
                      <w:color w:val="000000"/>
                      <w:szCs w:val="18"/>
                    </w:rPr>
                    <w:t>3.3</w:t>
                  </w:r>
                </w:p>
              </w:tc>
            </w:tr>
            <w:tr w:rsidR="00537EBD" w14:paraId="24AB394E" w14:textId="77777777" w:rsidTr="00605FFA">
              <w:tc>
                <w:tcPr>
                  <w:tcW w:w="2325" w:type="pct"/>
                </w:tcPr>
                <w:p w14:paraId="7EBCFF11" w14:textId="77777777" w:rsidR="00537EBD" w:rsidRDefault="004A10CA" w:rsidP="00B61BF1">
                  <w:pPr>
                    <w:pStyle w:val="TableBodyText"/>
                    <w:jc w:val="left"/>
                  </w:pPr>
                  <w:r>
                    <w:t>Government tax receipts</w:t>
                  </w:r>
                </w:p>
              </w:tc>
              <w:tc>
                <w:tcPr>
                  <w:tcW w:w="918" w:type="pct"/>
                </w:tcPr>
                <w:p w14:paraId="33923932" w14:textId="425DB980" w:rsidR="00537EBD" w:rsidRPr="00C02682" w:rsidRDefault="00605FFA" w:rsidP="00400D34">
                  <w:pPr>
                    <w:pStyle w:val="TableBodyText"/>
                    <w:framePr w:w="2155" w:hSpace="227" w:vSpace="181" w:wrap="around" w:vAnchor="text" w:hAnchor="page" w:xAlign="outside" w:y="1"/>
                    <w:rPr>
                      <w:rFonts w:cs="Arial"/>
                      <w:color w:val="000000"/>
                      <w:szCs w:val="18"/>
                    </w:rPr>
                  </w:pPr>
                  <w:r>
                    <w:t>$b in 2015 prices</w:t>
                  </w:r>
                </w:p>
              </w:tc>
              <w:tc>
                <w:tcPr>
                  <w:tcW w:w="586" w:type="pct"/>
                  <w:vAlign w:val="center"/>
                </w:tcPr>
                <w:p w14:paraId="0BA8FCF9" w14:textId="77777777" w:rsidR="00537EBD" w:rsidRPr="00605FFA" w:rsidRDefault="004A10CA" w:rsidP="00400D34">
                  <w:pPr>
                    <w:pStyle w:val="TableBodyText"/>
                    <w:rPr>
                      <w:szCs w:val="18"/>
                    </w:rPr>
                  </w:pPr>
                  <w:r w:rsidRPr="00605FFA">
                    <w:rPr>
                      <w:rFonts w:cs="Arial"/>
                      <w:color w:val="000000"/>
                      <w:szCs w:val="18"/>
                    </w:rPr>
                    <w:t>2.2</w:t>
                  </w:r>
                </w:p>
              </w:tc>
              <w:tc>
                <w:tcPr>
                  <w:tcW w:w="548" w:type="pct"/>
                  <w:vAlign w:val="center"/>
                </w:tcPr>
                <w:p w14:paraId="6CFD8CB5" w14:textId="77777777" w:rsidR="00537EBD" w:rsidRPr="00605FFA" w:rsidRDefault="004A10CA" w:rsidP="004A10CA">
                  <w:pPr>
                    <w:pStyle w:val="TableBodyText"/>
                    <w:ind w:right="28"/>
                    <w:rPr>
                      <w:szCs w:val="18"/>
                    </w:rPr>
                  </w:pPr>
                  <w:r w:rsidRPr="00605FFA">
                    <w:rPr>
                      <w:rFonts w:cs="Arial"/>
                      <w:color w:val="000000"/>
                      <w:szCs w:val="18"/>
                    </w:rPr>
                    <w:t>5.2</w:t>
                  </w:r>
                </w:p>
              </w:tc>
              <w:tc>
                <w:tcPr>
                  <w:tcW w:w="623" w:type="pct"/>
                  <w:vAlign w:val="center"/>
                </w:tcPr>
                <w:p w14:paraId="560BFB0E" w14:textId="77777777" w:rsidR="00537EBD" w:rsidRPr="00605FFA" w:rsidRDefault="004A10CA" w:rsidP="004A10CA">
                  <w:pPr>
                    <w:pStyle w:val="TableBodyText"/>
                    <w:ind w:right="28"/>
                    <w:rPr>
                      <w:szCs w:val="18"/>
                    </w:rPr>
                  </w:pPr>
                  <w:r w:rsidRPr="00605FFA">
                    <w:rPr>
                      <w:rFonts w:cs="Arial"/>
                      <w:color w:val="000000"/>
                      <w:szCs w:val="18"/>
                    </w:rPr>
                    <w:t>8.3</w:t>
                  </w:r>
                </w:p>
              </w:tc>
            </w:tr>
            <w:tr w:rsidR="00537EBD" w14:paraId="49851895" w14:textId="77777777" w:rsidTr="00605FFA">
              <w:tc>
                <w:tcPr>
                  <w:tcW w:w="2325" w:type="pct"/>
                  <w:tcBorders>
                    <w:bottom w:val="single" w:sz="6" w:space="0" w:color="BFBFBF"/>
                  </w:tcBorders>
                  <w:shd w:val="clear" w:color="auto" w:fill="auto"/>
                </w:tcPr>
                <w:p w14:paraId="57C22A6B" w14:textId="77777777" w:rsidR="00537EBD" w:rsidRPr="00C656F2" w:rsidRDefault="004A10CA" w:rsidP="004A10CA">
                  <w:pPr>
                    <w:pStyle w:val="TableBodyText"/>
                    <w:jc w:val="left"/>
                    <w:rPr>
                      <w:sz w:val="16"/>
                      <w:szCs w:val="16"/>
                    </w:rPr>
                  </w:pPr>
                  <w:r>
                    <w:t>Net government fiscal position</w:t>
                  </w:r>
                </w:p>
              </w:tc>
              <w:tc>
                <w:tcPr>
                  <w:tcW w:w="918" w:type="pct"/>
                  <w:tcBorders>
                    <w:bottom w:val="single" w:sz="6" w:space="0" w:color="BFBFBF"/>
                  </w:tcBorders>
                </w:tcPr>
                <w:p w14:paraId="4EE236D8" w14:textId="20A23C4B" w:rsidR="00537EBD" w:rsidRPr="00C02682" w:rsidRDefault="00605FFA" w:rsidP="00400D34">
                  <w:pPr>
                    <w:pStyle w:val="TableBodyText"/>
                    <w:rPr>
                      <w:rFonts w:cs="Arial"/>
                      <w:color w:val="000000"/>
                      <w:sz w:val="16"/>
                      <w:szCs w:val="16"/>
                    </w:rPr>
                  </w:pPr>
                  <w:r>
                    <w:t>$b in 2015 prices</w:t>
                  </w:r>
                </w:p>
              </w:tc>
              <w:tc>
                <w:tcPr>
                  <w:tcW w:w="586" w:type="pct"/>
                  <w:tcBorders>
                    <w:bottom w:val="single" w:sz="6" w:space="0" w:color="BFBFBF"/>
                  </w:tcBorders>
                  <w:shd w:val="clear" w:color="auto" w:fill="auto"/>
                  <w:vAlign w:val="center"/>
                </w:tcPr>
                <w:p w14:paraId="575ECC7E" w14:textId="77777777" w:rsidR="00537EBD" w:rsidRPr="00605FFA" w:rsidRDefault="004A10CA" w:rsidP="004A10CA">
                  <w:pPr>
                    <w:pStyle w:val="TableBodyText"/>
                    <w:rPr>
                      <w:szCs w:val="18"/>
                    </w:rPr>
                  </w:pPr>
                  <w:r w:rsidRPr="00605FFA">
                    <w:rPr>
                      <w:rFonts w:cs="Arial"/>
                      <w:color w:val="000000"/>
                      <w:szCs w:val="18"/>
                    </w:rPr>
                    <w:t>2.9</w:t>
                  </w:r>
                </w:p>
              </w:tc>
              <w:tc>
                <w:tcPr>
                  <w:tcW w:w="548" w:type="pct"/>
                  <w:tcBorders>
                    <w:bottom w:val="single" w:sz="6" w:space="0" w:color="BFBFBF"/>
                  </w:tcBorders>
                  <w:shd w:val="clear" w:color="auto" w:fill="auto"/>
                  <w:vAlign w:val="center"/>
                </w:tcPr>
                <w:p w14:paraId="6AD7D74F" w14:textId="77777777" w:rsidR="00537EBD" w:rsidRPr="00605FFA" w:rsidRDefault="004A10CA" w:rsidP="00400D34">
                  <w:pPr>
                    <w:pStyle w:val="TableBodyText"/>
                    <w:ind w:right="28"/>
                    <w:rPr>
                      <w:szCs w:val="18"/>
                    </w:rPr>
                  </w:pPr>
                  <w:r w:rsidRPr="00605FFA">
                    <w:rPr>
                      <w:szCs w:val="18"/>
                    </w:rPr>
                    <w:t>7.2</w:t>
                  </w:r>
                </w:p>
              </w:tc>
              <w:tc>
                <w:tcPr>
                  <w:tcW w:w="623" w:type="pct"/>
                  <w:tcBorders>
                    <w:bottom w:val="single" w:sz="6" w:space="0" w:color="BFBFBF"/>
                  </w:tcBorders>
                  <w:vAlign w:val="center"/>
                </w:tcPr>
                <w:p w14:paraId="756BF439" w14:textId="77777777" w:rsidR="00537EBD" w:rsidRPr="00605FFA" w:rsidRDefault="004A10CA" w:rsidP="004A10CA">
                  <w:pPr>
                    <w:pStyle w:val="TableBodyText"/>
                    <w:ind w:right="28"/>
                    <w:rPr>
                      <w:szCs w:val="18"/>
                    </w:rPr>
                  </w:pPr>
                  <w:r w:rsidRPr="00605FFA">
                    <w:rPr>
                      <w:rFonts w:cs="Arial"/>
                      <w:color w:val="000000"/>
                      <w:szCs w:val="18"/>
                    </w:rPr>
                    <w:t>11.6</w:t>
                  </w:r>
                </w:p>
              </w:tc>
            </w:tr>
          </w:tbl>
          <w:p w14:paraId="120CD8EF" w14:textId="77777777" w:rsidR="00C656F2" w:rsidRDefault="00C656F2" w:rsidP="00400D34">
            <w:pPr>
              <w:pStyle w:val="Box"/>
            </w:pPr>
          </w:p>
        </w:tc>
      </w:tr>
      <w:tr w:rsidR="00C656F2" w14:paraId="1D3D81E1" w14:textId="77777777" w:rsidTr="00400D34">
        <w:trPr>
          <w:cantSplit/>
        </w:trPr>
        <w:tc>
          <w:tcPr>
            <w:tcW w:w="8771" w:type="dxa"/>
            <w:tcBorders>
              <w:top w:val="nil"/>
              <w:left w:val="nil"/>
              <w:bottom w:val="nil"/>
              <w:right w:val="nil"/>
            </w:tcBorders>
            <w:shd w:val="clear" w:color="auto" w:fill="auto"/>
          </w:tcPr>
          <w:p w14:paraId="071073F7" w14:textId="3D9488FC" w:rsidR="00C656F2" w:rsidRDefault="00C656F2" w:rsidP="004B5390">
            <w:pPr>
              <w:pStyle w:val="Source"/>
            </w:pPr>
            <w:r>
              <w:rPr>
                <w:i/>
              </w:rPr>
              <w:t>Source</w:t>
            </w:r>
            <w:r w:rsidRPr="00167F06">
              <w:t xml:space="preserve">: </w:t>
            </w:r>
            <w:r w:rsidR="004B5390">
              <w:t>Commission estimates</w:t>
            </w:r>
            <w:r w:rsidR="003E6A41">
              <w:t>.</w:t>
            </w:r>
          </w:p>
        </w:tc>
      </w:tr>
      <w:tr w:rsidR="00C656F2" w14:paraId="7F4F0A20" w14:textId="77777777" w:rsidTr="00400D34">
        <w:trPr>
          <w:cantSplit/>
        </w:trPr>
        <w:tc>
          <w:tcPr>
            <w:tcW w:w="8771" w:type="dxa"/>
            <w:tcBorders>
              <w:top w:val="nil"/>
              <w:left w:val="nil"/>
              <w:bottom w:val="single" w:sz="6" w:space="0" w:color="78A22F"/>
              <w:right w:val="nil"/>
            </w:tcBorders>
            <w:shd w:val="clear" w:color="auto" w:fill="auto"/>
          </w:tcPr>
          <w:p w14:paraId="5BAC6296" w14:textId="77777777" w:rsidR="00C656F2" w:rsidRDefault="00C656F2" w:rsidP="00400D34">
            <w:pPr>
              <w:pStyle w:val="Box"/>
              <w:spacing w:before="0" w:line="120" w:lineRule="exact"/>
            </w:pPr>
          </w:p>
        </w:tc>
      </w:tr>
      <w:tr w:rsidR="00C656F2" w:rsidRPr="000863A5" w14:paraId="5B38E41F" w14:textId="77777777" w:rsidTr="00400D34">
        <w:tc>
          <w:tcPr>
            <w:tcW w:w="8771" w:type="dxa"/>
            <w:tcBorders>
              <w:top w:val="single" w:sz="6" w:space="0" w:color="78A22F"/>
              <w:left w:val="nil"/>
              <w:bottom w:val="nil"/>
              <w:right w:val="nil"/>
            </w:tcBorders>
          </w:tcPr>
          <w:p w14:paraId="16447493" w14:textId="47FD2A07" w:rsidR="00C656F2" w:rsidRPr="00626D32" w:rsidRDefault="00C656F2" w:rsidP="00400D34">
            <w:pPr>
              <w:pStyle w:val="BoxSpaceBelow"/>
            </w:pPr>
          </w:p>
        </w:tc>
      </w:tr>
    </w:tbl>
    <w:p w14:paraId="48279CE1" w14:textId="24923CCD" w:rsidR="00B40022" w:rsidRDefault="00142445" w:rsidP="00142445">
      <w:pPr>
        <w:pStyle w:val="Heading2nosectionno"/>
      </w:pPr>
      <w:r>
        <w:t>References</w:t>
      </w:r>
    </w:p>
    <w:p w14:paraId="193337F3" w14:textId="11DFF9AB" w:rsidR="00142445" w:rsidRDefault="00142445" w:rsidP="00142445">
      <w:pPr>
        <w:pStyle w:val="Reference"/>
      </w:pPr>
      <w:proofErr w:type="spellStart"/>
      <w:r w:rsidRPr="00142445">
        <w:t>Headey</w:t>
      </w:r>
      <w:proofErr w:type="spellEnd"/>
      <w:r w:rsidRPr="00142445">
        <w:t xml:space="preserve">, B., </w:t>
      </w:r>
      <w:proofErr w:type="spellStart"/>
      <w:r w:rsidRPr="00142445">
        <w:t>Freebairn</w:t>
      </w:r>
      <w:proofErr w:type="spellEnd"/>
      <w:r w:rsidRPr="00142445">
        <w:t xml:space="preserve">, J. and Warren, D. 2010, </w:t>
      </w:r>
      <w:r w:rsidRPr="00142445">
        <w:rPr>
          <w:i/>
          <w:iCs/>
        </w:rPr>
        <w:t>Dynamics of Mature Age Workforce Participation: Policy Effects and Continuing Trends</w:t>
      </w:r>
      <w:r w:rsidRPr="00142445">
        <w:t>, Project No. 5/2010, September, Melbourne Institute of Applied Economic and Social Research, Melbourne.</w:t>
      </w:r>
    </w:p>
    <w:sectPr w:rsidR="00142445" w:rsidSect="00606E78">
      <w:headerReference w:type="even" r:id="rId13"/>
      <w:headerReference w:type="default" r:id="rId14"/>
      <w:footerReference w:type="even" r:id="rId15"/>
      <w:footerReference w:type="default" r:id="rId16"/>
      <w:pgSz w:w="11907" w:h="16840" w:code="9"/>
      <w:pgMar w:top="1985" w:right="1304" w:bottom="1247" w:left="1814" w:header="1701" w:footer="397" w:gutter="0"/>
      <w:pgNumType w:start="1" w:chapSep="period"/>
      <w:cols w:space="72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9B6F683" w15:done="0"/>
  <w15:commentEx w15:paraId="5B1BD695" w15:done="0"/>
  <w15:commentEx w15:paraId="5603E78C" w15:done="0"/>
  <w15:commentEx w15:paraId="6ED6C265" w15:done="0"/>
  <w15:commentEx w15:paraId="3FEC830B" w15:done="0"/>
  <w15:commentEx w15:paraId="6F6C1BA1" w15:done="0"/>
  <w15:commentEx w15:paraId="216CD924" w15:done="0"/>
  <w15:commentEx w15:paraId="67D2F20C" w15:done="0"/>
  <w15:commentEx w15:paraId="229CAA80" w15:done="0"/>
  <w15:commentEx w15:paraId="6F45B8CE" w15:done="0"/>
  <w15:commentEx w15:paraId="60CF9B8A" w15:done="0"/>
  <w15:commentEx w15:paraId="178EDBC5" w15:done="0"/>
  <w15:commentEx w15:paraId="5E91D7DA" w15:done="0"/>
  <w15:commentEx w15:paraId="1C12A462" w15:done="0"/>
  <w15:commentEx w15:paraId="12390372" w15:done="0"/>
  <w15:commentEx w15:paraId="3045D69A" w15:done="0"/>
  <w15:commentEx w15:paraId="02468F8A" w15:done="0"/>
  <w15:commentEx w15:paraId="67FD6072" w15:done="0"/>
  <w15:commentEx w15:paraId="7E69E1E9" w15:done="0"/>
  <w15:commentEx w15:paraId="3F0C9916" w15:done="0"/>
  <w15:commentEx w15:paraId="6159BB21" w15:done="0"/>
  <w15:commentEx w15:paraId="4A6CCE88" w15:done="0"/>
  <w15:commentEx w15:paraId="4B3C26AD" w15:done="0"/>
  <w15:commentEx w15:paraId="5DA48A92" w15:done="0"/>
  <w15:commentEx w15:paraId="0C64E712" w15:done="0"/>
  <w15:commentEx w15:paraId="160163D3" w15:done="0"/>
  <w15:commentEx w15:paraId="4E5F57AA" w15:done="0"/>
  <w15:commentEx w15:paraId="7D9D9392" w15:done="0"/>
  <w15:commentEx w15:paraId="21333895" w15:done="0"/>
  <w15:commentEx w15:paraId="450E7F60"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22B2D8E" w14:textId="77777777" w:rsidR="003E6A41" w:rsidRDefault="003E6A41">
      <w:r>
        <w:separator/>
      </w:r>
    </w:p>
  </w:endnote>
  <w:endnote w:type="continuationSeparator" w:id="0">
    <w:p w14:paraId="0F0413B6" w14:textId="77777777" w:rsidR="003E6A41" w:rsidRDefault="003E6A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T Extra">
    <w:panose1 w:val="05050102010205020202"/>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top w:val="single" w:sz="4" w:space="0" w:color="auto"/>
      </w:tblBorders>
      <w:tblLayout w:type="fixed"/>
      <w:tblCellMar>
        <w:left w:w="0" w:type="dxa"/>
        <w:right w:w="0" w:type="dxa"/>
      </w:tblCellMar>
      <w:tblLook w:val="0000" w:firstRow="0" w:lastRow="0" w:firstColumn="0" w:lastColumn="0" w:noHBand="0" w:noVBand="0"/>
    </w:tblPr>
    <w:tblGrid>
      <w:gridCol w:w="510"/>
      <w:gridCol w:w="7767"/>
      <w:gridCol w:w="510"/>
    </w:tblGrid>
    <w:tr w:rsidR="003E6A41" w14:paraId="3B5B5700" w14:textId="77777777" w:rsidTr="005F48ED">
      <w:trPr>
        <w:trHeight w:hRule="exact" w:val="567"/>
      </w:trPr>
      <w:tc>
        <w:tcPr>
          <w:tcW w:w="510" w:type="dxa"/>
        </w:tcPr>
        <w:p w14:paraId="3BD81461" w14:textId="77777777" w:rsidR="003E6A41" w:rsidRPr="00A24443" w:rsidRDefault="003E6A41" w:rsidP="0019293B">
          <w:pPr>
            <w:pStyle w:val="Footer"/>
            <w:tabs>
              <w:tab w:val="left" w:pos="0"/>
            </w:tabs>
            <w:ind w:right="0"/>
            <w:rPr>
              <w:rStyle w:val="PageNumber"/>
              <w:caps w:val="0"/>
            </w:rPr>
          </w:pPr>
          <w:r w:rsidRPr="00A24443">
            <w:rPr>
              <w:rStyle w:val="PageNumber"/>
              <w:caps w:val="0"/>
            </w:rPr>
            <w:fldChar w:fldCharType="begin"/>
          </w:r>
          <w:r w:rsidRPr="00A24443">
            <w:rPr>
              <w:rStyle w:val="PageNumber"/>
              <w:caps w:val="0"/>
            </w:rPr>
            <w:instrText xml:space="preserve">PAGE  </w:instrText>
          </w:r>
          <w:r w:rsidRPr="00A24443">
            <w:rPr>
              <w:rStyle w:val="PageNumber"/>
              <w:caps w:val="0"/>
            </w:rPr>
            <w:fldChar w:fldCharType="separate"/>
          </w:r>
          <w:r w:rsidR="00D5283C">
            <w:rPr>
              <w:rStyle w:val="PageNumber"/>
              <w:caps w:val="0"/>
              <w:noProof/>
            </w:rPr>
            <w:t>2</w:t>
          </w:r>
          <w:r w:rsidRPr="00A24443">
            <w:rPr>
              <w:rStyle w:val="PageNumber"/>
              <w:caps w:val="0"/>
            </w:rPr>
            <w:fldChar w:fldCharType="end"/>
          </w:r>
        </w:p>
      </w:tc>
      <w:tc>
        <w:tcPr>
          <w:tcW w:w="7767" w:type="dxa"/>
        </w:tcPr>
        <w:p w14:paraId="6B929039" w14:textId="55285C96" w:rsidR="003E6A41" w:rsidRPr="0013739A" w:rsidRDefault="00D85DB3" w:rsidP="0013739A">
          <w:pPr>
            <w:pStyle w:val="Footer"/>
            <w:rPr>
              <w:rFonts w:cs="Arial"/>
            </w:rPr>
          </w:pPr>
          <w:r>
            <w:rPr>
              <w:rFonts w:cs="Arial"/>
            </w:rPr>
            <w:t>Superannuation Policy for Post-Retirement: Modelling supplement</w:t>
          </w:r>
          <w:bookmarkStart w:id="16" w:name="DraftReportEven"/>
          <w:bookmarkEnd w:id="16"/>
        </w:p>
      </w:tc>
      <w:tc>
        <w:tcPr>
          <w:tcW w:w="510" w:type="dxa"/>
        </w:tcPr>
        <w:p w14:paraId="70B3C361" w14:textId="77777777" w:rsidR="003E6A41" w:rsidRDefault="003E6A41" w:rsidP="0019293B">
          <w:pPr>
            <w:pStyle w:val="Footer"/>
          </w:pPr>
        </w:p>
      </w:tc>
    </w:tr>
  </w:tbl>
  <w:p w14:paraId="3A257118" w14:textId="77777777" w:rsidR="003E6A41" w:rsidRDefault="003E6A41" w:rsidP="0019293B">
    <w:pPr>
      <w:pStyle w:val="FooterEnd"/>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top w:val="single" w:sz="4" w:space="0" w:color="auto"/>
      </w:tblBorders>
      <w:tblLayout w:type="fixed"/>
      <w:tblCellMar>
        <w:left w:w="0" w:type="dxa"/>
        <w:right w:w="0" w:type="dxa"/>
      </w:tblCellMar>
      <w:tblLook w:val="0000" w:firstRow="0" w:lastRow="0" w:firstColumn="0" w:lastColumn="0" w:noHBand="0" w:noVBand="0"/>
    </w:tblPr>
    <w:tblGrid>
      <w:gridCol w:w="510"/>
      <w:gridCol w:w="7767"/>
      <w:gridCol w:w="510"/>
    </w:tblGrid>
    <w:tr w:rsidR="003E6A41" w14:paraId="10FFF2CE" w14:textId="77777777" w:rsidTr="005F48ED">
      <w:trPr>
        <w:trHeight w:hRule="exact" w:val="567"/>
      </w:trPr>
      <w:tc>
        <w:tcPr>
          <w:tcW w:w="510" w:type="dxa"/>
        </w:tcPr>
        <w:p w14:paraId="7A285625" w14:textId="77777777" w:rsidR="003E6A41" w:rsidRDefault="003E6A41">
          <w:pPr>
            <w:pStyle w:val="Footer"/>
            <w:ind w:right="360" w:firstLine="360"/>
          </w:pPr>
        </w:p>
      </w:tc>
      <w:tc>
        <w:tcPr>
          <w:tcW w:w="7767" w:type="dxa"/>
        </w:tcPr>
        <w:p w14:paraId="787DD1A8" w14:textId="5721F014" w:rsidR="003E6A41" w:rsidRPr="00BA5B14" w:rsidRDefault="00D85DB3" w:rsidP="0013739A">
          <w:pPr>
            <w:pStyle w:val="Footer"/>
            <w:jc w:val="right"/>
            <w:rPr>
              <w:rFonts w:cs="Arial"/>
            </w:rPr>
          </w:pPr>
          <w:r>
            <w:rPr>
              <w:rFonts w:cs="Arial"/>
            </w:rPr>
            <w:t>Sensitivity analyses</w:t>
          </w:r>
          <w:bookmarkStart w:id="17" w:name="DraftReportOdd"/>
          <w:bookmarkEnd w:id="17"/>
        </w:p>
      </w:tc>
      <w:tc>
        <w:tcPr>
          <w:tcW w:w="510" w:type="dxa"/>
        </w:tcPr>
        <w:p w14:paraId="0DE122C7" w14:textId="77777777" w:rsidR="003E6A41" w:rsidRPr="00A24443" w:rsidRDefault="003E6A41">
          <w:pPr>
            <w:pStyle w:val="Footer"/>
            <w:jc w:val="right"/>
            <w:rPr>
              <w:caps w:val="0"/>
            </w:rPr>
          </w:pPr>
          <w:r w:rsidRPr="00A24443">
            <w:rPr>
              <w:rStyle w:val="PageNumber"/>
              <w:caps w:val="0"/>
            </w:rPr>
            <w:fldChar w:fldCharType="begin"/>
          </w:r>
          <w:r w:rsidRPr="00A24443">
            <w:rPr>
              <w:rStyle w:val="PageNumber"/>
              <w:caps w:val="0"/>
            </w:rPr>
            <w:instrText xml:space="preserve">PAGE  </w:instrText>
          </w:r>
          <w:r w:rsidRPr="00A24443">
            <w:rPr>
              <w:rStyle w:val="PageNumber"/>
              <w:caps w:val="0"/>
            </w:rPr>
            <w:fldChar w:fldCharType="separate"/>
          </w:r>
          <w:r w:rsidR="00D5283C">
            <w:rPr>
              <w:rStyle w:val="PageNumber"/>
              <w:caps w:val="0"/>
              <w:noProof/>
            </w:rPr>
            <w:t>1</w:t>
          </w:r>
          <w:r w:rsidRPr="00A24443">
            <w:rPr>
              <w:rStyle w:val="PageNumber"/>
              <w:caps w:val="0"/>
            </w:rPr>
            <w:fldChar w:fldCharType="end"/>
          </w:r>
        </w:p>
      </w:tc>
    </w:tr>
  </w:tbl>
  <w:p w14:paraId="46127964" w14:textId="77777777" w:rsidR="003E6A41" w:rsidRDefault="003E6A41">
    <w:pPr>
      <w:pStyle w:val="FooterEn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2BA4C31" w14:textId="77777777" w:rsidR="003E6A41" w:rsidRDefault="003E6A41">
      <w:r>
        <w:separator/>
      </w:r>
    </w:p>
  </w:footnote>
  <w:footnote w:type="continuationSeparator" w:id="0">
    <w:p w14:paraId="7E93D2C1" w14:textId="77777777" w:rsidR="003E6A41" w:rsidRDefault="003E6A41">
      <w:r>
        <w:continuationSeparator/>
      </w:r>
    </w:p>
  </w:footnote>
  <w:footnote w:id="1">
    <w:p w14:paraId="5AF7F141" w14:textId="77777777" w:rsidR="003E6A41" w:rsidRDefault="003E6A41" w:rsidP="00B40022">
      <w:pPr>
        <w:pStyle w:val="FootnoteText"/>
      </w:pPr>
      <w:r w:rsidRPr="008D4F67">
        <w:rPr>
          <w:rStyle w:val="FootnoteReference"/>
        </w:rPr>
        <w:footnoteRef/>
      </w:r>
      <w:r>
        <w:tab/>
        <w:t>T</w:t>
      </w:r>
      <w:r w:rsidRPr="00FA543D">
        <w:t xml:space="preserve">he preferences for non-work activities are increased relative to consumption and bequest preferences when the returns </w:t>
      </w:r>
      <w:r>
        <w:t>to savings are increased, and vice versa.</w:t>
      </w:r>
    </w:p>
  </w:footnote>
  <w:footnote w:id="2">
    <w:p w14:paraId="74EF2C9E" w14:textId="375E9178" w:rsidR="003E6A41" w:rsidRDefault="003E6A41">
      <w:pPr>
        <w:pStyle w:val="FootnoteText"/>
      </w:pPr>
      <w:r w:rsidRPr="008D4F67">
        <w:rPr>
          <w:rStyle w:val="FootnoteReference"/>
        </w:rPr>
        <w:footnoteRef/>
      </w:r>
      <w:r>
        <w:tab/>
        <w:t>This result is driven by the lower rate of time preference, which more than offsets the two other parameter changes which tend to encourage earlier retirement.</w:t>
      </w:r>
    </w:p>
  </w:footnote>
  <w:footnote w:id="3">
    <w:p w14:paraId="168FB0B9" w14:textId="77777777" w:rsidR="003E6A41" w:rsidRPr="00B0355E" w:rsidRDefault="003E6A41">
      <w:pPr>
        <w:pStyle w:val="FootnoteText"/>
        <w:rPr>
          <w:lang w:val="en-US"/>
        </w:rPr>
      </w:pPr>
      <w:r w:rsidRPr="008D4F67">
        <w:rPr>
          <w:rStyle w:val="FootnoteReference"/>
        </w:rPr>
        <w:footnoteRef/>
      </w:r>
      <w:r>
        <w:tab/>
        <w:t xml:space="preserve">Although they come about from a smaller fall in government expenses ($1.6 billion) and a larger increase in government tax receipts ($5.5 billion), relative to the outcome in Policy </w:t>
      </w:r>
      <w:proofErr w:type="spellStart"/>
      <w:r>
        <w:t>1A</w:t>
      </w:r>
      <w:proofErr w:type="spellEnd"/>
      <w: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0" w:type="dxa"/>
        <w:right w:w="0" w:type="dxa"/>
      </w:tblCellMar>
      <w:tblLook w:val="0000" w:firstRow="0" w:lastRow="0" w:firstColumn="0" w:lastColumn="0" w:noHBand="0" w:noVBand="0"/>
    </w:tblPr>
    <w:tblGrid>
      <w:gridCol w:w="2155"/>
      <w:gridCol w:w="6634"/>
    </w:tblGrid>
    <w:tr w:rsidR="003E6A41" w14:paraId="268B94E5" w14:textId="77777777">
      <w:tc>
        <w:tcPr>
          <w:tcW w:w="2155" w:type="dxa"/>
          <w:tcBorders>
            <w:top w:val="single" w:sz="24" w:space="0" w:color="auto"/>
          </w:tcBorders>
        </w:tcPr>
        <w:p w14:paraId="62F84072" w14:textId="77777777" w:rsidR="003E6A41" w:rsidRDefault="003E6A41" w:rsidP="0019293B">
          <w:pPr>
            <w:pStyle w:val="HeaderEven"/>
          </w:pPr>
        </w:p>
      </w:tc>
      <w:tc>
        <w:tcPr>
          <w:tcW w:w="6634" w:type="dxa"/>
          <w:tcBorders>
            <w:top w:val="single" w:sz="6" w:space="0" w:color="auto"/>
          </w:tcBorders>
        </w:tcPr>
        <w:p w14:paraId="68CD498D" w14:textId="77777777" w:rsidR="003E6A41" w:rsidRDefault="003E6A41" w:rsidP="0019293B">
          <w:pPr>
            <w:pStyle w:val="HeaderEven"/>
          </w:pPr>
        </w:p>
      </w:tc>
    </w:tr>
  </w:tbl>
  <w:p w14:paraId="53DBD388" w14:textId="77777777" w:rsidR="003E6A41" w:rsidRDefault="003E6A41" w:rsidP="0019293B">
    <w:pPr>
      <w:pStyle w:val="HeaderEn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top w:val="single" w:sz="6" w:space="0" w:color="auto"/>
      </w:tblBorders>
      <w:tblLayout w:type="fixed"/>
      <w:tblCellMar>
        <w:left w:w="0" w:type="dxa"/>
        <w:right w:w="0" w:type="dxa"/>
      </w:tblCellMar>
      <w:tblLook w:val="0000" w:firstRow="0" w:lastRow="0" w:firstColumn="0" w:lastColumn="0" w:noHBand="0" w:noVBand="0"/>
    </w:tblPr>
    <w:tblGrid>
      <w:gridCol w:w="6634"/>
      <w:gridCol w:w="2155"/>
    </w:tblGrid>
    <w:tr w:rsidR="003E6A41" w14:paraId="3879EBE2" w14:textId="77777777">
      <w:tc>
        <w:tcPr>
          <w:tcW w:w="6634" w:type="dxa"/>
          <w:tcBorders>
            <w:top w:val="single" w:sz="6" w:space="0" w:color="auto"/>
          </w:tcBorders>
        </w:tcPr>
        <w:p w14:paraId="75025447" w14:textId="77777777" w:rsidR="003E6A41" w:rsidRDefault="003E6A41" w:rsidP="00E669E2">
          <w:pPr>
            <w:pStyle w:val="HeaderOdd"/>
          </w:pPr>
        </w:p>
      </w:tc>
      <w:tc>
        <w:tcPr>
          <w:tcW w:w="2155" w:type="dxa"/>
          <w:tcBorders>
            <w:top w:val="single" w:sz="24" w:space="0" w:color="auto"/>
          </w:tcBorders>
        </w:tcPr>
        <w:p w14:paraId="75682C57" w14:textId="77777777" w:rsidR="003E6A41" w:rsidRDefault="003E6A41" w:rsidP="00E669E2">
          <w:pPr>
            <w:pStyle w:val="HeaderOdd"/>
          </w:pPr>
        </w:p>
      </w:tc>
    </w:tr>
  </w:tbl>
  <w:p w14:paraId="385B14B2" w14:textId="77777777" w:rsidR="003E6A41" w:rsidRDefault="003E6A41" w:rsidP="00E669E2">
    <w:pPr>
      <w:pStyle w:val="HeaderEn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0BA2943E"/>
    <w:lvl w:ilvl="0">
      <w:start w:val="1"/>
      <w:numFmt w:val="bullet"/>
      <w:lvlText w:val=""/>
      <w:lvlJc w:val="left"/>
      <w:pPr>
        <w:tabs>
          <w:tab w:val="num" w:pos="643"/>
        </w:tabs>
        <w:ind w:left="643" w:hanging="360"/>
      </w:pPr>
      <w:rPr>
        <w:rFonts w:ascii="Symbol" w:hAnsi="Symbol" w:hint="default"/>
      </w:rPr>
    </w:lvl>
  </w:abstractNum>
  <w:abstractNum w:abstractNumId="1">
    <w:nsid w:val="FFFFFF89"/>
    <w:multiLevelType w:val="singleLevel"/>
    <w:tmpl w:val="521C75D6"/>
    <w:lvl w:ilvl="0">
      <w:start w:val="1"/>
      <w:numFmt w:val="bullet"/>
      <w:lvlText w:val=""/>
      <w:lvlJc w:val="left"/>
      <w:pPr>
        <w:tabs>
          <w:tab w:val="num" w:pos="360"/>
        </w:tabs>
        <w:ind w:left="360" w:hanging="360"/>
      </w:pPr>
      <w:rPr>
        <w:rFonts w:ascii="Symbol" w:hAnsi="Symbol" w:hint="default"/>
      </w:rPr>
    </w:lvl>
  </w:abstractNum>
  <w:abstractNum w:abstractNumId="2">
    <w:nsid w:val="FFFFFFFE"/>
    <w:multiLevelType w:val="singleLevel"/>
    <w:tmpl w:val="FFFFFFFF"/>
    <w:lvl w:ilvl="0">
      <w:numFmt w:val="decimal"/>
      <w:lvlText w:val="*"/>
      <w:lvlJc w:val="left"/>
    </w:lvl>
  </w:abstractNum>
  <w:abstractNum w:abstractNumId="3">
    <w:nsid w:val="02D84BB9"/>
    <w:multiLevelType w:val="hybridMultilevel"/>
    <w:tmpl w:val="5F24570C"/>
    <w:lvl w:ilvl="0" w:tplc="6C209310">
      <w:start w:val="1"/>
      <w:numFmt w:val="bullet"/>
      <w:pStyle w:val="Jurisdictioncommentslistbullet"/>
      <w:lvlText w:val=""/>
      <w:lvlJc w:val="left"/>
      <w:pPr>
        <w:tabs>
          <w:tab w:val="num" w:pos="318"/>
        </w:tabs>
        <w:ind w:left="318" w:hanging="318"/>
      </w:pPr>
      <w:rPr>
        <w:rFonts w:ascii="Symbol" w:hAnsi="Symbol" w:hint="default"/>
        <w:sz w:val="20"/>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4">
    <w:nsid w:val="047A7C39"/>
    <w:multiLevelType w:val="singleLevel"/>
    <w:tmpl w:val="4438961C"/>
    <w:lvl w:ilvl="0">
      <w:numFmt w:val="bullet"/>
      <w:pStyle w:val="ListBullet2"/>
      <w:lvlText w:val="–"/>
      <w:lvlJc w:val="left"/>
      <w:pPr>
        <w:tabs>
          <w:tab w:val="num" w:pos="680"/>
        </w:tabs>
        <w:ind w:left="680" w:hanging="340"/>
      </w:pPr>
      <w:rPr>
        <w:rFonts w:ascii="Times New Roman" w:hAnsi="Times New Roman" w:cs="Times New Roman" w:hint="default"/>
      </w:rPr>
    </w:lvl>
  </w:abstractNum>
  <w:abstractNum w:abstractNumId="5">
    <w:nsid w:val="06214B87"/>
    <w:multiLevelType w:val="singleLevel"/>
    <w:tmpl w:val="AB185BC4"/>
    <w:lvl w:ilvl="0">
      <w:numFmt w:val="bullet"/>
      <w:pStyle w:val="BoxListBullet2"/>
      <w:lvlText w:val="–"/>
      <w:lvlJc w:val="left"/>
      <w:pPr>
        <w:tabs>
          <w:tab w:val="num" w:pos="567"/>
        </w:tabs>
        <w:ind w:left="567" w:hanging="283"/>
      </w:pPr>
      <w:rPr>
        <w:rFonts w:ascii="Times New Roman" w:hAnsi="Times New Roman" w:cs="Times New Roman" w:hint="default"/>
      </w:rPr>
    </w:lvl>
  </w:abstractNum>
  <w:abstractNum w:abstractNumId="6">
    <w:nsid w:val="0E116344"/>
    <w:multiLevelType w:val="multilevel"/>
    <w:tmpl w:val="3B188B36"/>
    <w:lvl w:ilvl="0">
      <w:start w:val="1"/>
      <w:numFmt w:val="decimal"/>
      <w:pStyle w:val="BoxListNumber"/>
      <w:lvlText w:val="%1."/>
      <w:lvlJc w:val="left"/>
      <w:pPr>
        <w:tabs>
          <w:tab w:val="num" w:pos="284"/>
        </w:tabs>
        <w:ind w:left="284" w:hanging="284"/>
      </w:pPr>
      <w:rPr>
        <w:rFonts w:hint="default"/>
      </w:rPr>
    </w:lvl>
    <w:lvl w:ilvl="1">
      <w:start w:val="1"/>
      <w:numFmt w:val="lowerLetter"/>
      <w:pStyle w:val="BoxListNumber2"/>
      <w:lvlText w:val="(%2)"/>
      <w:lvlJc w:val="left"/>
      <w:pPr>
        <w:tabs>
          <w:tab w:val="num" w:pos="680"/>
        </w:tabs>
        <w:ind w:left="680" w:hanging="396"/>
      </w:pPr>
      <w:rPr>
        <w:rFonts w:hint="default"/>
      </w:rPr>
    </w:lvl>
    <w:lvl w:ilvl="2">
      <w:start w:val="1"/>
      <w:numFmt w:val="lowerRoman"/>
      <w:lvlText w:val="%3)"/>
      <w:lvlJc w:val="left"/>
      <w:pPr>
        <w:tabs>
          <w:tab w:val="num" w:pos="1304"/>
        </w:tabs>
        <w:ind w:left="1304" w:hanging="51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nsid w:val="0ED95F65"/>
    <w:multiLevelType w:val="multilevel"/>
    <w:tmpl w:val="C444122C"/>
    <w:lvl w:ilvl="0">
      <w:start w:val="1"/>
      <w:numFmt w:val="decimal"/>
      <w:pStyle w:val="ListNumber"/>
      <w:lvlText w:val="%1."/>
      <w:lvlJc w:val="left"/>
      <w:pPr>
        <w:tabs>
          <w:tab w:val="num" w:pos="340"/>
        </w:tabs>
        <w:ind w:left="340" w:hanging="340"/>
      </w:pPr>
      <w:rPr>
        <w:rFonts w:hint="default"/>
      </w:rPr>
    </w:lvl>
    <w:lvl w:ilvl="1">
      <w:start w:val="1"/>
      <w:numFmt w:val="lowerLetter"/>
      <w:pStyle w:val="ListNumber2"/>
      <w:lvlText w:val="(%2)"/>
      <w:lvlJc w:val="left"/>
      <w:pPr>
        <w:tabs>
          <w:tab w:val="num" w:pos="794"/>
        </w:tabs>
        <w:ind w:left="794" w:hanging="454"/>
      </w:pPr>
      <w:rPr>
        <w:rFonts w:hint="default"/>
      </w:rPr>
    </w:lvl>
    <w:lvl w:ilvl="2">
      <w:start w:val="1"/>
      <w:numFmt w:val="lowerRoman"/>
      <w:pStyle w:val="ListNumber3"/>
      <w:lvlText w:val="(%3)"/>
      <w:lvlJc w:val="left"/>
      <w:pPr>
        <w:tabs>
          <w:tab w:val="num" w:pos="1304"/>
        </w:tabs>
        <w:ind w:left="1304" w:hanging="51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nsid w:val="11CE45D8"/>
    <w:multiLevelType w:val="singleLevel"/>
    <w:tmpl w:val="650622E4"/>
    <w:lvl w:ilvl="0">
      <w:numFmt w:val="bullet"/>
      <w:pStyle w:val="SideNoteBullet"/>
      <w:lvlText w:val="–"/>
      <w:lvlJc w:val="left"/>
      <w:pPr>
        <w:tabs>
          <w:tab w:val="num" w:pos="360"/>
        </w:tabs>
        <w:ind w:left="227" w:hanging="227"/>
      </w:pPr>
      <w:rPr>
        <w:rFonts w:ascii="Times New Roman" w:hAnsi="Times New Roman" w:hint="default"/>
      </w:rPr>
    </w:lvl>
  </w:abstractNum>
  <w:abstractNum w:abstractNumId="9">
    <w:nsid w:val="130F69BA"/>
    <w:multiLevelType w:val="hybridMultilevel"/>
    <w:tmpl w:val="C388DEA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nsid w:val="1452415F"/>
    <w:multiLevelType w:val="hybridMultilevel"/>
    <w:tmpl w:val="11042038"/>
    <w:lvl w:ilvl="0" w:tplc="CC683DAA">
      <w:start w:val="1"/>
      <w:numFmt w:val="bullet"/>
      <w:pStyle w:val="KeyPointsListBullet2"/>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1">
    <w:nsid w:val="1DFB546C"/>
    <w:multiLevelType w:val="hybridMultilevel"/>
    <w:tmpl w:val="FCCE093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nsid w:val="23FF358D"/>
    <w:multiLevelType w:val="singleLevel"/>
    <w:tmpl w:val="4146A198"/>
    <w:lvl w:ilvl="0">
      <w:start w:val="1"/>
      <w:numFmt w:val="bullet"/>
      <w:pStyle w:val="RecBBullet"/>
      <w:lvlText w:val=""/>
      <w:lvlJc w:val="left"/>
      <w:pPr>
        <w:tabs>
          <w:tab w:val="num" w:pos="340"/>
        </w:tabs>
        <w:ind w:left="340" w:hanging="340"/>
      </w:pPr>
      <w:rPr>
        <w:rFonts w:ascii="Symbol" w:hAnsi="Symbol" w:hint="default"/>
        <w:b w:val="0"/>
        <w:i w:val="0"/>
        <w:sz w:val="18"/>
      </w:rPr>
    </w:lvl>
  </w:abstractNum>
  <w:abstractNum w:abstractNumId="13">
    <w:nsid w:val="2B466A13"/>
    <w:multiLevelType w:val="hybridMultilevel"/>
    <w:tmpl w:val="3E0CC5BA"/>
    <w:lvl w:ilvl="0" w:tplc="2B829644">
      <w:numFmt w:val="bullet"/>
      <w:pStyle w:val="BoxQuoteBullet"/>
      <w:lvlText w:val=""/>
      <w:lvlJc w:val="left"/>
      <w:pPr>
        <w:ind w:left="1004" w:hanging="360"/>
      </w:pPr>
      <w:rPr>
        <w:rFonts w:ascii="Symbol" w:hAnsi="Symbol" w:hint="default"/>
        <w:sz w:val="18"/>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4">
    <w:nsid w:val="30E90CE4"/>
    <w:multiLevelType w:val="singleLevel"/>
    <w:tmpl w:val="52F61D9A"/>
    <w:lvl w:ilvl="0">
      <w:start w:val="1"/>
      <w:numFmt w:val="bullet"/>
      <w:pStyle w:val="BoxListBullet"/>
      <w:lvlText w:val=""/>
      <w:lvlJc w:val="left"/>
      <w:pPr>
        <w:tabs>
          <w:tab w:val="num" w:pos="284"/>
        </w:tabs>
        <w:ind w:left="284" w:hanging="284"/>
      </w:pPr>
      <w:rPr>
        <w:rFonts w:ascii="Symbol" w:hAnsi="Symbol" w:hint="default"/>
        <w:sz w:val="18"/>
      </w:rPr>
    </w:lvl>
  </w:abstractNum>
  <w:abstractNum w:abstractNumId="15">
    <w:nsid w:val="332A1B3F"/>
    <w:multiLevelType w:val="hybridMultilevel"/>
    <w:tmpl w:val="E47AB12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nsid w:val="3C571856"/>
    <w:multiLevelType w:val="hybridMultilevel"/>
    <w:tmpl w:val="BCCECC9C"/>
    <w:lvl w:ilvl="0" w:tplc="5D6ED598">
      <w:start w:val="7"/>
      <w:numFmt w:val="bullet"/>
      <w:lvlText w:val=""/>
      <w:lvlJc w:val="left"/>
      <w:pPr>
        <w:ind w:left="720" w:hanging="360"/>
      </w:pPr>
      <w:rPr>
        <w:rFonts w:ascii="Wingdings" w:eastAsia="Times New Roman" w:hAnsi="Wingdings"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nsid w:val="47455423"/>
    <w:multiLevelType w:val="hybridMultilevel"/>
    <w:tmpl w:val="8B3C1B52"/>
    <w:lvl w:ilvl="0" w:tplc="0C090017">
      <w:start w:val="1"/>
      <w:numFmt w:val="lowerLetter"/>
      <w:lvlText w:val="%1)"/>
      <w:lvlJc w:val="left"/>
      <w:pPr>
        <w:ind w:left="360" w:hanging="360"/>
      </w:pPr>
    </w:lvl>
    <w:lvl w:ilvl="1" w:tplc="9F66A786">
      <w:start w:val="1"/>
      <w:numFmt w:val="lowerLetter"/>
      <w:lvlText w:val="%2)"/>
      <w:lvlJc w:val="left"/>
      <w:pPr>
        <w:ind w:left="1080" w:hanging="360"/>
      </w:pPr>
      <w:rPr>
        <w:rFonts w:hint="default"/>
      </w:r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8">
    <w:nsid w:val="4C2B5347"/>
    <w:multiLevelType w:val="hybridMultilevel"/>
    <w:tmpl w:val="8B002072"/>
    <w:lvl w:ilvl="0" w:tplc="720CA4D2">
      <w:start w:val="1"/>
      <w:numFmt w:val="bullet"/>
      <w:pStyle w:val="InformationRequestBullet"/>
      <w:lvlText w:val=""/>
      <w:lvlJc w:val="left"/>
      <w:pPr>
        <w:ind w:left="360" w:hanging="360"/>
      </w:pPr>
      <w:rPr>
        <w:rFonts w:ascii="Symbol" w:hAnsi="Symbol" w:hint="default"/>
        <w:sz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nsid w:val="54382D6E"/>
    <w:multiLevelType w:val="singleLevel"/>
    <w:tmpl w:val="315ABD1E"/>
    <w:lvl w:ilvl="0">
      <w:numFmt w:val="bullet"/>
      <w:pStyle w:val="ListBullet"/>
      <w:lvlText w:val=""/>
      <w:lvlJc w:val="left"/>
      <w:pPr>
        <w:tabs>
          <w:tab w:val="num" w:pos="340"/>
        </w:tabs>
        <w:ind w:left="340" w:hanging="340"/>
      </w:pPr>
      <w:rPr>
        <w:rFonts w:ascii="Symbol" w:hAnsi="Symbol" w:hint="default"/>
        <w:sz w:val="18"/>
      </w:rPr>
    </w:lvl>
  </w:abstractNum>
  <w:abstractNum w:abstractNumId="20">
    <w:nsid w:val="543E1FD6"/>
    <w:multiLevelType w:val="singleLevel"/>
    <w:tmpl w:val="039AA380"/>
    <w:lvl w:ilvl="0">
      <w:start w:val="1"/>
      <w:numFmt w:val="bullet"/>
      <w:pStyle w:val="TableBullet"/>
      <w:lvlText w:val=""/>
      <w:lvlJc w:val="left"/>
      <w:pPr>
        <w:tabs>
          <w:tab w:val="num" w:pos="170"/>
        </w:tabs>
        <w:ind w:left="170" w:hanging="170"/>
      </w:pPr>
      <w:rPr>
        <w:rFonts w:ascii="Symbol" w:hAnsi="Symbol" w:hint="default"/>
        <w:b w:val="0"/>
        <w:i w:val="0"/>
        <w:sz w:val="18"/>
      </w:rPr>
    </w:lvl>
  </w:abstractNum>
  <w:abstractNum w:abstractNumId="21">
    <w:nsid w:val="56107838"/>
    <w:multiLevelType w:val="singleLevel"/>
    <w:tmpl w:val="775A3F3A"/>
    <w:lvl w:ilvl="0">
      <w:start w:val="1"/>
      <w:numFmt w:val="bullet"/>
      <w:pStyle w:val="QuoteBullet"/>
      <w:lvlText w:val=""/>
      <w:lvlJc w:val="left"/>
      <w:pPr>
        <w:tabs>
          <w:tab w:val="num" w:pos="680"/>
        </w:tabs>
        <w:ind w:left="680" w:hanging="340"/>
      </w:pPr>
      <w:rPr>
        <w:rFonts w:ascii="Symbol" w:hAnsi="Symbol" w:hint="default"/>
        <w:sz w:val="18"/>
      </w:rPr>
    </w:lvl>
  </w:abstractNum>
  <w:abstractNum w:abstractNumId="22">
    <w:nsid w:val="592D6D4E"/>
    <w:multiLevelType w:val="hybridMultilevel"/>
    <w:tmpl w:val="0C44FF7A"/>
    <w:lvl w:ilvl="0" w:tplc="B4385E08">
      <w:start w:val="1"/>
      <w:numFmt w:val="bullet"/>
      <w:pStyle w:val="BoxListBullet3"/>
      <w:lvlText w:val=""/>
      <w:lvlJc w:val="left"/>
      <w:pPr>
        <w:ind w:left="1287" w:hanging="360"/>
      </w:pPr>
      <w:rPr>
        <w:rFonts w:ascii="MT Extra" w:hAnsi="MT Extra" w:hint="default"/>
        <w:b w:val="0"/>
        <w:i w:val="0"/>
        <w:sz w:val="16"/>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23">
    <w:nsid w:val="60A27097"/>
    <w:multiLevelType w:val="hybridMultilevel"/>
    <w:tmpl w:val="39D64E4A"/>
    <w:lvl w:ilvl="0" w:tplc="FEF6E6BE">
      <w:start w:val="1"/>
      <w:numFmt w:val="bullet"/>
      <w:pStyle w:val="KeyPointsListBullet"/>
      <w:lvlText w:val=""/>
      <w:lvlJc w:val="left"/>
      <w:pPr>
        <w:ind w:left="720" w:hanging="360"/>
      </w:pPr>
      <w:rPr>
        <w:rFonts w:ascii="Symbol" w:hAnsi="Symbol" w:hint="default"/>
        <w:sz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nsid w:val="643516F3"/>
    <w:multiLevelType w:val="singleLevel"/>
    <w:tmpl w:val="C05AE1DC"/>
    <w:lvl w:ilvl="0">
      <w:start w:val="1"/>
      <w:numFmt w:val="bullet"/>
      <w:pStyle w:val="ListBullet3"/>
      <w:lvlText w:val=""/>
      <w:lvlJc w:val="left"/>
      <w:pPr>
        <w:tabs>
          <w:tab w:val="num" w:pos="1021"/>
        </w:tabs>
        <w:ind w:left="1021" w:hanging="341"/>
      </w:pPr>
      <w:rPr>
        <w:rFonts w:ascii="MT Extra" w:hAnsi="MT Extra" w:hint="default"/>
        <w:b w:val="0"/>
        <w:i w:val="0"/>
        <w:sz w:val="16"/>
      </w:rPr>
    </w:lvl>
  </w:abstractNum>
  <w:abstractNum w:abstractNumId="25">
    <w:nsid w:val="736D7718"/>
    <w:multiLevelType w:val="hybridMultilevel"/>
    <w:tmpl w:val="6A2206D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6">
    <w:nsid w:val="78995ABC"/>
    <w:multiLevelType w:val="hybridMultilevel"/>
    <w:tmpl w:val="1FF2D702"/>
    <w:lvl w:ilvl="0" w:tplc="3DCA0042">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nsid w:val="7A1373DF"/>
    <w:multiLevelType w:val="singleLevel"/>
    <w:tmpl w:val="66CC34AA"/>
    <w:lvl w:ilvl="0">
      <w:start w:val="1"/>
      <w:numFmt w:val="bullet"/>
      <w:pStyle w:val="FindingBullet"/>
      <w:lvlText w:val=""/>
      <w:lvlJc w:val="left"/>
      <w:pPr>
        <w:tabs>
          <w:tab w:val="num" w:pos="340"/>
        </w:tabs>
        <w:ind w:left="340" w:hanging="340"/>
      </w:pPr>
      <w:rPr>
        <w:rFonts w:ascii="Symbol" w:hAnsi="Symbol" w:hint="default"/>
        <w:b w:val="0"/>
        <w:i w:val="0"/>
        <w:sz w:val="18"/>
      </w:rPr>
    </w:lvl>
  </w:abstractNum>
  <w:abstractNum w:abstractNumId="28">
    <w:nsid w:val="7BFA7D75"/>
    <w:multiLevelType w:val="singleLevel"/>
    <w:tmpl w:val="B4C476FC"/>
    <w:lvl w:ilvl="0">
      <w:start w:val="1"/>
      <w:numFmt w:val="bullet"/>
      <w:pStyle w:val="RecBullet"/>
      <w:lvlText w:val=""/>
      <w:lvlJc w:val="left"/>
      <w:pPr>
        <w:tabs>
          <w:tab w:val="num" w:pos="340"/>
        </w:tabs>
        <w:ind w:left="340" w:hanging="340"/>
      </w:pPr>
      <w:rPr>
        <w:rFonts w:ascii="Symbol" w:hAnsi="Symbol" w:hint="default"/>
        <w:b w:val="0"/>
        <w:i w:val="0"/>
        <w:sz w:val="18"/>
      </w:rPr>
    </w:lvl>
  </w:abstractNum>
  <w:abstractNum w:abstractNumId="29">
    <w:nsid w:val="7CE65915"/>
    <w:multiLevelType w:val="singleLevel"/>
    <w:tmpl w:val="0C090017"/>
    <w:lvl w:ilvl="0">
      <w:start w:val="1"/>
      <w:numFmt w:val="lowerLetter"/>
      <w:lvlText w:val="%1)"/>
      <w:lvlJc w:val="left"/>
      <w:pPr>
        <w:ind w:left="700" w:hanging="360"/>
      </w:pPr>
      <w:rPr>
        <w:rFonts w:hint="default"/>
      </w:rPr>
    </w:lvl>
  </w:abstractNum>
  <w:abstractNum w:abstractNumId="30">
    <w:nsid w:val="7EED1D1B"/>
    <w:multiLevelType w:val="hybridMultilevel"/>
    <w:tmpl w:val="B486010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14"/>
  </w:num>
  <w:num w:numId="2">
    <w:abstractNumId w:val="3"/>
  </w:num>
  <w:num w:numId="3">
    <w:abstractNumId w:val="19"/>
  </w:num>
  <w:num w:numId="4">
    <w:abstractNumId w:val="4"/>
  </w:num>
  <w:num w:numId="5">
    <w:abstractNumId w:val="24"/>
  </w:num>
  <w:num w:numId="6">
    <w:abstractNumId w:val="21"/>
  </w:num>
  <w:num w:numId="7">
    <w:abstractNumId w:val="8"/>
  </w:num>
  <w:num w:numId="8">
    <w:abstractNumId w:val="20"/>
  </w:num>
  <w:num w:numId="9">
    <w:abstractNumId w:val="7"/>
  </w:num>
  <w:num w:numId="10">
    <w:abstractNumId w:val="6"/>
  </w:num>
  <w:num w:numId="11">
    <w:abstractNumId w:val="12"/>
  </w:num>
  <w:num w:numId="12">
    <w:abstractNumId w:val="13"/>
  </w:num>
  <w:num w:numId="13">
    <w:abstractNumId w:val="5"/>
  </w:num>
  <w:num w:numId="14">
    <w:abstractNumId w:val="22"/>
  </w:num>
  <w:num w:numId="15">
    <w:abstractNumId w:val="27"/>
  </w:num>
  <w:num w:numId="16">
    <w:abstractNumId w:val="18"/>
  </w:num>
  <w:num w:numId="17">
    <w:abstractNumId w:val="28"/>
  </w:num>
  <w:num w:numId="18">
    <w:abstractNumId w:val="0"/>
  </w:num>
  <w:num w:numId="19">
    <w:abstractNumId w:val="2"/>
    <w:lvlOverride w:ilvl="0">
      <w:lvl w:ilvl="0">
        <w:start w:val="1"/>
        <w:numFmt w:val="bullet"/>
        <w:lvlText w:val=""/>
        <w:legacy w:legacy="1" w:legacySpace="0" w:legacyIndent="284"/>
        <w:lvlJc w:val="left"/>
        <w:pPr>
          <w:ind w:left="284" w:hanging="284"/>
        </w:pPr>
        <w:rPr>
          <w:rFonts w:ascii="Symbol" w:hAnsi="Symbol" w:hint="default"/>
          <w:sz w:val="18"/>
        </w:rPr>
      </w:lvl>
    </w:lvlOverride>
  </w:num>
  <w:num w:numId="20">
    <w:abstractNumId w:val="23"/>
  </w:num>
  <w:num w:numId="21">
    <w:abstractNumId w:val="10"/>
  </w:num>
  <w:num w:numId="22">
    <w:abstractNumId w:val="29"/>
  </w:num>
  <w:num w:numId="23">
    <w:abstractNumId w:val="25"/>
  </w:num>
  <w:num w:numId="24">
    <w:abstractNumId w:val="30"/>
  </w:num>
  <w:num w:numId="25">
    <w:abstractNumId w:val="15"/>
  </w:num>
  <w:num w:numId="26">
    <w:abstractNumId w:val="9"/>
  </w:num>
  <w:num w:numId="27">
    <w:abstractNumId w:val="11"/>
  </w:num>
  <w:num w:numId="28">
    <w:abstractNumId w:val="1"/>
  </w:num>
  <w:num w:numId="29">
    <w:abstractNumId w:val="17"/>
  </w:num>
  <w:num w:numId="30">
    <w:abstractNumId w:val="26"/>
  </w:num>
  <w:num w:numId="31">
    <w:abstractNumId w:val="16"/>
  </w:num>
  <w:numIdMacAtCleanup w:val="17"/>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icrosoft account">
    <w15:presenceInfo w15:providerId="Windows Live" w15:userId="2d2495f952427f4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mirrorMargins/>
  <w:proofState w:spelling="clean"/>
  <w:attachedTemplate r:id="rId1"/>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clickAndTypeStyle w:val="BodyText"/>
  <w:evenAndOddHeaders/>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ppendixNumber" w:val="7"/>
    <w:docVar w:name="FindingOptions" w:val="1"/>
    <w:docVar w:name="RecOptions" w:val="111"/>
    <w:docVar w:name="ShortChapterTitle" w:val="Sensitivity analyses"/>
    <w:docVar w:name="ShortReportTitle" w:val="Superannuation Policy for Post-Retirement: Modelling supplement"/>
  </w:docVars>
  <w:rsids>
    <w:rsidRoot w:val="001F7DEA"/>
    <w:rsid w:val="00010817"/>
    <w:rsid w:val="00015368"/>
    <w:rsid w:val="000171C6"/>
    <w:rsid w:val="00017A0B"/>
    <w:rsid w:val="00020A28"/>
    <w:rsid w:val="000227D5"/>
    <w:rsid w:val="000245AA"/>
    <w:rsid w:val="00024C43"/>
    <w:rsid w:val="00031ACF"/>
    <w:rsid w:val="00032DBC"/>
    <w:rsid w:val="0003664B"/>
    <w:rsid w:val="0004111F"/>
    <w:rsid w:val="00042480"/>
    <w:rsid w:val="00052612"/>
    <w:rsid w:val="00054F9D"/>
    <w:rsid w:val="00055077"/>
    <w:rsid w:val="000565B3"/>
    <w:rsid w:val="00064EC7"/>
    <w:rsid w:val="0006674D"/>
    <w:rsid w:val="00071405"/>
    <w:rsid w:val="0007150B"/>
    <w:rsid w:val="00072EC2"/>
    <w:rsid w:val="00073EEE"/>
    <w:rsid w:val="00092382"/>
    <w:rsid w:val="000938F5"/>
    <w:rsid w:val="00095663"/>
    <w:rsid w:val="00096E55"/>
    <w:rsid w:val="000970BD"/>
    <w:rsid w:val="0009783E"/>
    <w:rsid w:val="000B1022"/>
    <w:rsid w:val="000B1716"/>
    <w:rsid w:val="000B601B"/>
    <w:rsid w:val="000C207E"/>
    <w:rsid w:val="000D41E9"/>
    <w:rsid w:val="000D4489"/>
    <w:rsid w:val="000F0035"/>
    <w:rsid w:val="000F04E7"/>
    <w:rsid w:val="000F060A"/>
    <w:rsid w:val="000F420B"/>
    <w:rsid w:val="001012BD"/>
    <w:rsid w:val="00110116"/>
    <w:rsid w:val="00110B96"/>
    <w:rsid w:val="00111686"/>
    <w:rsid w:val="00115B99"/>
    <w:rsid w:val="00120072"/>
    <w:rsid w:val="00126026"/>
    <w:rsid w:val="00126EB8"/>
    <w:rsid w:val="001274D4"/>
    <w:rsid w:val="00127FE7"/>
    <w:rsid w:val="001363AA"/>
    <w:rsid w:val="0013739A"/>
    <w:rsid w:val="001411CF"/>
    <w:rsid w:val="00142165"/>
    <w:rsid w:val="00142445"/>
    <w:rsid w:val="001501BB"/>
    <w:rsid w:val="001548FF"/>
    <w:rsid w:val="00160464"/>
    <w:rsid w:val="001623C6"/>
    <w:rsid w:val="00162434"/>
    <w:rsid w:val="001727B1"/>
    <w:rsid w:val="00180D90"/>
    <w:rsid w:val="00182FFC"/>
    <w:rsid w:val="00183E82"/>
    <w:rsid w:val="001873BE"/>
    <w:rsid w:val="0018743F"/>
    <w:rsid w:val="001878BB"/>
    <w:rsid w:val="00190C32"/>
    <w:rsid w:val="00191AE0"/>
    <w:rsid w:val="0019293B"/>
    <w:rsid w:val="0019426B"/>
    <w:rsid w:val="001A539F"/>
    <w:rsid w:val="001A6A4B"/>
    <w:rsid w:val="001B00D8"/>
    <w:rsid w:val="001B11F6"/>
    <w:rsid w:val="001B1B3B"/>
    <w:rsid w:val="001B2D99"/>
    <w:rsid w:val="001B47CB"/>
    <w:rsid w:val="001C0865"/>
    <w:rsid w:val="001C0AED"/>
    <w:rsid w:val="001C3ABA"/>
    <w:rsid w:val="001C5111"/>
    <w:rsid w:val="001E39C2"/>
    <w:rsid w:val="001E7BE8"/>
    <w:rsid w:val="001F0248"/>
    <w:rsid w:val="001F1214"/>
    <w:rsid w:val="001F1666"/>
    <w:rsid w:val="001F3EB3"/>
    <w:rsid w:val="001F4F86"/>
    <w:rsid w:val="001F7DEA"/>
    <w:rsid w:val="00202C2C"/>
    <w:rsid w:val="00203050"/>
    <w:rsid w:val="00207DE4"/>
    <w:rsid w:val="00212B12"/>
    <w:rsid w:val="002135AB"/>
    <w:rsid w:val="00213A85"/>
    <w:rsid w:val="002144BE"/>
    <w:rsid w:val="00217A4F"/>
    <w:rsid w:val="00237AE6"/>
    <w:rsid w:val="00240AF8"/>
    <w:rsid w:val="0024164E"/>
    <w:rsid w:val="00242279"/>
    <w:rsid w:val="00243997"/>
    <w:rsid w:val="0024516C"/>
    <w:rsid w:val="00245C82"/>
    <w:rsid w:val="00261EF8"/>
    <w:rsid w:val="00265F10"/>
    <w:rsid w:val="002724BA"/>
    <w:rsid w:val="00277212"/>
    <w:rsid w:val="00283963"/>
    <w:rsid w:val="00291737"/>
    <w:rsid w:val="00291B40"/>
    <w:rsid w:val="00291CDB"/>
    <w:rsid w:val="00291FBD"/>
    <w:rsid w:val="002A4912"/>
    <w:rsid w:val="002B4008"/>
    <w:rsid w:val="002C439F"/>
    <w:rsid w:val="002C45D2"/>
    <w:rsid w:val="002D0C42"/>
    <w:rsid w:val="002D0E8E"/>
    <w:rsid w:val="002D1BA6"/>
    <w:rsid w:val="002D21A2"/>
    <w:rsid w:val="002E6C8C"/>
    <w:rsid w:val="00301189"/>
    <w:rsid w:val="00301E4A"/>
    <w:rsid w:val="003168B8"/>
    <w:rsid w:val="00322D64"/>
    <w:rsid w:val="00323E09"/>
    <w:rsid w:val="00326BCF"/>
    <w:rsid w:val="00327D98"/>
    <w:rsid w:val="00330BF4"/>
    <w:rsid w:val="00333932"/>
    <w:rsid w:val="003366AC"/>
    <w:rsid w:val="0034196E"/>
    <w:rsid w:val="00344F13"/>
    <w:rsid w:val="00347FE9"/>
    <w:rsid w:val="003518AA"/>
    <w:rsid w:val="00352165"/>
    <w:rsid w:val="00352C05"/>
    <w:rsid w:val="00353182"/>
    <w:rsid w:val="003565D9"/>
    <w:rsid w:val="003569D2"/>
    <w:rsid w:val="003602E1"/>
    <w:rsid w:val="00367CAA"/>
    <w:rsid w:val="0037026F"/>
    <w:rsid w:val="00370931"/>
    <w:rsid w:val="003709C5"/>
    <w:rsid w:val="00371240"/>
    <w:rsid w:val="00374731"/>
    <w:rsid w:val="00376E59"/>
    <w:rsid w:val="00377EC1"/>
    <w:rsid w:val="00380340"/>
    <w:rsid w:val="00391137"/>
    <w:rsid w:val="003919F9"/>
    <w:rsid w:val="00391C53"/>
    <w:rsid w:val="00391DC5"/>
    <w:rsid w:val="003920CF"/>
    <w:rsid w:val="0039497C"/>
    <w:rsid w:val="003A0E83"/>
    <w:rsid w:val="003A2AC3"/>
    <w:rsid w:val="003A4FF9"/>
    <w:rsid w:val="003A6D3E"/>
    <w:rsid w:val="003A78AB"/>
    <w:rsid w:val="003B23C2"/>
    <w:rsid w:val="003B43B7"/>
    <w:rsid w:val="003C38B5"/>
    <w:rsid w:val="003C4AE8"/>
    <w:rsid w:val="003C5458"/>
    <w:rsid w:val="003C5D99"/>
    <w:rsid w:val="003D1087"/>
    <w:rsid w:val="003E297B"/>
    <w:rsid w:val="003E2F59"/>
    <w:rsid w:val="003E4360"/>
    <w:rsid w:val="003E6A41"/>
    <w:rsid w:val="003E746B"/>
    <w:rsid w:val="003F0789"/>
    <w:rsid w:val="00400D34"/>
    <w:rsid w:val="00401882"/>
    <w:rsid w:val="00404A56"/>
    <w:rsid w:val="004100C8"/>
    <w:rsid w:val="00411DBD"/>
    <w:rsid w:val="00412ACE"/>
    <w:rsid w:val="004145D2"/>
    <w:rsid w:val="00426CB4"/>
    <w:rsid w:val="00431249"/>
    <w:rsid w:val="0043427D"/>
    <w:rsid w:val="00434819"/>
    <w:rsid w:val="00434C19"/>
    <w:rsid w:val="004368B9"/>
    <w:rsid w:val="004463E8"/>
    <w:rsid w:val="00447B38"/>
    <w:rsid w:val="00450810"/>
    <w:rsid w:val="00451230"/>
    <w:rsid w:val="0045345B"/>
    <w:rsid w:val="004562A8"/>
    <w:rsid w:val="004604E4"/>
    <w:rsid w:val="00462C59"/>
    <w:rsid w:val="00470737"/>
    <w:rsid w:val="00476752"/>
    <w:rsid w:val="00477144"/>
    <w:rsid w:val="00487F61"/>
    <w:rsid w:val="00491380"/>
    <w:rsid w:val="0049459F"/>
    <w:rsid w:val="004A0E57"/>
    <w:rsid w:val="004A10CA"/>
    <w:rsid w:val="004A38DD"/>
    <w:rsid w:val="004B3532"/>
    <w:rsid w:val="004B43AE"/>
    <w:rsid w:val="004B5390"/>
    <w:rsid w:val="004C2FE3"/>
    <w:rsid w:val="004C30ED"/>
    <w:rsid w:val="004D5675"/>
    <w:rsid w:val="004E21E4"/>
    <w:rsid w:val="004E31B9"/>
    <w:rsid w:val="004E6445"/>
    <w:rsid w:val="005158A3"/>
    <w:rsid w:val="00517795"/>
    <w:rsid w:val="00520484"/>
    <w:rsid w:val="00523639"/>
    <w:rsid w:val="0052493F"/>
    <w:rsid w:val="00530163"/>
    <w:rsid w:val="00531FE5"/>
    <w:rsid w:val="00534421"/>
    <w:rsid w:val="0053560C"/>
    <w:rsid w:val="00537EBD"/>
    <w:rsid w:val="005402FA"/>
    <w:rsid w:val="00543C19"/>
    <w:rsid w:val="005452F2"/>
    <w:rsid w:val="00555D21"/>
    <w:rsid w:val="00560A6E"/>
    <w:rsid w:val="0056212F"/>
    <w:rsid w:val="00567762"/>
    <w:rsid w:val="00567E75"/>
    <w:rsid w:val="005729BD"/>
    <w:rsid w:val="00580154"/>
    <w:rsid w:val="00583ABD"/>
    <w:rsid w:val="00583C39"/>
    <w:rsid w:val="00586A90"/>
    <w:rsid w:val="00586FDA"/>
    <w:rsid w:val="00587F28"/>
    <w:rsid w:val="005909CF"/>
    <w:rsid w:val="00591E71"/>
    <w:rsid w:val="00596F24"/>
    <w:rsid w:val="005A0D41"/>
    <w:rsid w:val="005B0DD4"/>
    <w:rsid w:val="005B6160"/>
    <w:rsid w:val="005C1A8C"/>
    <w:rsid w:val="005C5557"/>
    <w:rsid w:val="005C5AE0"/>
    <w:rsid w:val="005D0395"/>
    <w:rsid w:val="005D15A4"/>
    <w:rsid w:val="005D329F"/>
    <w:rsid w:val="005D66C4"/>
    <w:rsid w:val="005E6155"/>
    <w:rsid w:val="005F2E7A"/>
    <w:rsid w:val="005F48ED"/>
    <w:rsid w:val="00605FFA"/>
    <w:rsid w:val="00606E78"/>
    <w:rsid w:val="00607BF1"/>
    <w:rsid w:val="0061143E"/>
    <w:rsid w:val="0062691A"/>
    <w:rsid w:val="0062793D"/>
    <w:rsid w:val="00630D4D"/>
    <w:rsid w:val="00632A74"/>
    <w:rsid w:val="00643E53"/>
    <w:rsid w:val="00654D42"/>
    <w:rsid w:val="006641D5"/>
    <w:rsid w:val="00666E02"/>
    <w:rsid w:val="006815B7"/>
    <w:rsid w:val="00691FE9"/>
    <w:rsid w:val="006934E3"/>
    <w:rsid w:val="006976D7"/>
    <w:rsid w:val="006A4655"/>
    <w:rsid w:val="006A6540"/>
    <w:rsid w:val="006A729E"/>
    <w:rsid w:val="006B2B3C"/>
    <w:rsid w:val="006C1D81"/>
    <w:rsid w:val="006C5A52"/>
    <w:rsid w:val="006C7038"/>
    <w:rsid w:val="006E73EF"/>
    <w:rsid w:val="0070492C"/>
    <w:rsid w:val="007079C9"/>
    <w:rsid w:val="00714D4D"/>
    <w:rsid w:val="007266D3"/>
    <w:rsid w:val="00731A44"/>
    <w:rsid w:val="00732029"/>
    <w:rsid w:val="007604BB"/>
    <w:rsid w:val="0076766F"/>
    <w:rsid w:val="0077228C"/>
    <w:rsid w:val="00772909"/>
    <w:rsid w:val="007764FA"/>
    <w:rsid w:val="00785232"/>
    <w:rsid w:val="0079287E"/>
    <w:rsid w:val="0079701E"/>
    <w:rsid w:val="007A1B3B"/>
    <w:rsid w:val="007A1C32"/>
    <w:rsid w:val="007A21EB"/>
    <w:rsid w:val="007A50C3"/>
    <w:rsid w:val="007A6C4F"/>
    <w:rsid w:val="007B10C1"/>
    <w:rsid w:val="007B1A93"/>
    <w:rsid w:val="007B34F6"/>
    <w:rsid w:val="007C36C9"/>
    <w:rsid w:val="007C3EF5"/>
    <w:rsid w:val="007D6401"/>
    <w:rsid w:val="007E01E4"/>
    <w:rsid w:val="007E5B31"/>
    <w:rsid w:val="007E61DD"/>
    <w:rsid w:val="007E7A12"/>
    <w:rsid w:val="007F199B"/>
    <w:rsid w:val="007F2FE9"/>
    <w:rsid w:val="007F7107"/>
    <w:rsid w:val="00800D4C"/>
    <w:rsid w:val="00803039"/>
    <w:rsid w:val="008037D3"/>
    <w:rsid w:val="0081030F"/>
    <w:rsid w:val="008109E1"/>
    <w:rsid w:val="00812F4A"/>
    <w:rsid w:val="0082087D"/>
    <w:rsid w:val="00833680"/>
    <w:rsid w:val="0083462F"/>
    <w:rsid w:val="00835771"/>
    <w:rsid w:val="008370B7"/>
    <w:rsid w:val="00837606"/>
    <w:rsid w:val="00842933"/>
    <w:rsid w:val="00853549"/>
    <w:rsid w:val="00857441"/>
    <w:rsid w:val="0086082C"/>
    <w:rsid w:val="00863108"/>
    <w:rsid w:val="00864ADC"/>
    <w:rsid w:val="00866346"/>
    <w:rsid w:val="00867BF8"/>
    <w:rsid w:val="00871421"/>
    <w:rsid w:val="00873ABF"/>
    <w:rsid w:val="00874558"/>
    <w:rsid w:val="00880153"/>
    <w:rsid w:val="00880F97"/>
    <w:rsid w:val="0088133A"/>
    <w:rsid w:val="008833AE"/>
    <w:rsid w:val="00890A7A"/>
    <w:rsid w:val="0089285E"/>
    <w:rsid w:val="0089436C"/>
    <w:rsid w:val="008A01D3"/>
    <w:rsid w:val="008A4396"/>
    <w:rsid w:val="008A54AA"/>
    <w:rsid w:val="008A70FA"/>
    <w:rsid w:val="008B1BF3"/>
    <w:rsid w:val="008B7042"/>
    <w:rsid w:val="008C640D"/>
    <w:rsid w:val="008D0C12"/>
    <w:rsid w:val="008D365C"/>
    <w:rsid w:val="008D4F67"/>
    <w:rsid w:val="008D7622"/>
    <w:rsid w:val="009021A6"/>
    <w:rsid w:val="009030BF"/>
    <w:rsid w:val="00903B52"/>
    <w:rsid w:val="0091032F"/>
    <w:rsid w:val="00914368"/>
    <w:rsid w:val="00924DB0"/>
    <w:rsid w:val="009250D7"/>
    <w:rsid w:val="009264FB"/>
    <w:rsid w:val="00931076"/>
    <w:rsid w:val="009337C0"/>
    <w:rsid w:val="009345D9"/>
    <w:rsid w:val="00934B15"/>
    <w:rsid w:val="00940C87"/>
    <w:rsid w:val="00942B62"/>
    <w:rsid w:val="0095323B"/>
    <w:rsid w:val="00956A0C"/>
    <w:rsid w:val="00956BD9"/>
    <w:rsid w:val="00962489"/>
    <w:rsid w:val="00963C47"/>
    <w:rsid w:val="00964400"/>
    <w:rsid w:val="00967CD3"/>
    <w:rsid w:val="00972A21"/>
    <w:rsid w:val="00972FCC"/>
    <w:rsid w:val="00990C2C"/>
    <w:rsid w:val="009927F7"/>
    <w:rsid w:val="009A5171"/>
    <w:rsid w:val="009B1567"/>
    <w:rsid w:val="009C7D2C"/>
    <w:rsid w:val="009D3B12"/>
    <w:rsid w:val="009E1844"/>
    <w:rsid w:val="009E3E77"/>
    <w:rsid w:val="009E62A3"/>
    <w:rsid w:val="009E7CB5"/>
    <w:rsid w:val="009F0D1B"/>
    <w:rsid w:val="009F5BBD"/>
    <w:rsid w:val="009F696D"/>
    <w:rsid w:val="009F6BC6"/>
    <w:rsid w:val="009F74EF"/>
    <w:rsid w:val="00A02826"/>
    <w:rsid w:val="00A15D5A"/>
    <w:rsid w:val="00A15F28"/>
    <w:rsid w:val="00A17328"/>
    <w:rsid w:val="00A23A20"/>
    <w:rsid w:val="00A23DB6"/>
    <w:rsid w:val="00A24443"/>
    <w:rsid w:val="00A2446B"/>
    <w:rsid w:val="00A268B9"/>
    <w:rsid w:val="00A2703A"/>
    <w:rsid w:val="00A33DFF"/>
    <w:rsid w:val="00A35115"/>
    <w:rsid w:val="00A36D9A"/>
    <w:rsid w:val="00A41DCB"/>
    <w:rsid w:val="00A43D4B"/>
    <w:rsid w:val="00A451DC"/>
    <w:rsid w:val="00A45908"/>
    <w:rsid w:val="00A4644E"/>
    <w:rsid w:val="00A47C9D"/>
    <w:rsid w:val="00A554AB"/>
    <w:rsid w:val="00A57062"/>
    <w:rsid w:val="00A67781"/>
    <w:rsid w:val="00A71D7E"/>
    <w:rsid w:val="00A761F9"/>
    <w:rsid w:val="00A76FAA"/>
    <w:rsid w:val="00A84081"/>
    <w:rsid w:val="00A92B53"/>
    <w:rsid w:val="00A94FA6"/>
    <w:rsid w:val="00A957E8"/>
    <w:rsid w:val="00AA1213"/>
    <w:rsid w:val="00AA49A0"/>
    <w:rsid w:val="00AA6710"/>
    <w:rsid w:val="00AB0681"/>
    <w:rsid w:val="00AB2AA9"/>
    <w:rsid w:val="00AB60E1"/>
    <w:rsid w:val="00AC322D"/>
    <w:rsid w:val="00AC3A15"/>
    <w:rsid w:val="00AC5089"/>
    <w:rsid w:val="00AC7FC1"/>
    <w:rsid w:val="00AD520B"/>
    <w:rsid w:val="00AD715C"/>
    <w:rsid w:val="00AE3B22"/>
    <w:rsid w:val="00AE3BCC"/>
    <w:rsid w:val="00AF26E4"/>
    <w:rsid w:val="00AF58F4"/>
    <w:rsid w:val="00AF76D8"/>
    <w:rsid w:val="00B0355E"/>
    <w:rsid w:val="00B2002C"/>
    <w:rsid w:val="00B2270C"/>
    <w:rsid w:val="00B34089"/>
    <w:rsid w:val="00B40022"/>
    <w:rsid w:val="00B425C3"/>
    <w:rsid w:val="00B440AD"/>
    <w:rsid w:val="00B479BB"/>
    <w:rsid w:val="00B53E7E"/>
    <w:rsid w:val="00B55552"/>
    <w:rsid w:val="00B557C7"/>
    <w:rsid w:val="00B577A6"/>
    <w:rsid w:val="00B61BF1"/>
    <w:rsid w:val="00B6342E"/>
    <w:rsid w:val="00B7113F"/>
    <w:rsid w:val="00B74660"/>
    <w:rsid w:val="00B8639D"/>
    <w:rsid w:val="00B8689B"/>
    <w:rsid w:val="00B86FE0"/>
    <w:rsid w:val="00B953FA"/>
    <w:rsid w:val="00BA2BCF"/>
    <w:rsid w:val="00BA5B14"/>
    <w:rsid w:val="00BA73B6"/>
    <w:rsid w:val="00BA7E27"/>
    <w:rsid w:val="00BB1FAC"/>
    <w:rsid w:val="00BB22E2"/>
    <w:rsid w:val="00BB2603"/>
    <w:rsid w:val="00BB4FCD"/>
    <w:rsid w:val="00BC04E9"/>
    <w:rsid w:val="00BC2A49"/>
    <w:rsid w:val="00BD138D"/>
    <w:rsid w:val="00BD13EA"/>
    <w:rsid w:val="00BD6561"/>
    <w:rsid w:val="00BE03D5"/>
    <w:rsid w:val="00BE3808"/>
    <w:rsid w:val="00BF3B06"/>
    <w:rsid w:val="00C02682"/>
    <w:rsid w:val="00C03B88"/>
    <w:rsid w:val="00C062E9"/>
    <w:rsid w:val="00C07B64"/>
    <w:rsid w:val="00C13721"/>
    <w:rsid w:val="00C14FE4"/>
    <w:rsid w:val="00C1551F"/>
    <w:rsid w:val="00C25ECB"/>
    <w:rsid w:val="00C27891"/>
    <w:rsid w:val="00C3066D"/>
    <w:rsid w:val="00C330FC"/>
    <w:rsid w:val="00C44E4C"/>
    <w:rsid w:val="00C52416"/>
    <w:rsid w:val="00C543F4"/>
    <w:rsid w:val="00C61860"/>
    <w:rsid w:val="00C6291C"/>
    <w:rsid w:val="00C630D6"/>
    <w:rsid w:val="00C633CB"/>
    <w:rsid w:val="00C656F2"/>
    <w:rsid w:val="00C664CD"/>
    <w:rsid w:val="00C675AF"/>
    <w:rsid w:val="00C736B7"/>
    <w:rsid w:val="00C74CDD"/>
    <w:rsid w:val="00C75F38"/>
    <w:rsid w:val="00C77029"/>
    <w:rsid w:val="00C77626"/>
    <w:rsid w:val="00C81D4A"/>
    <w:rsid w:val="00C8762C"/>
    <w:rsid w:val="00C975FE"/>
    <w:rsid w:val="00CA00F9"/>
    <w:rsid w:val="00CA2961"/>
    <w:rsid w:val="00CA2E07"/>
    <w:rsid w:val="00CA32A6"/>
    <w:rsid w:val="00CA5C65"/>
    <w:rsid w:val="00CB05D8"/>
    <w:rsid w:val="00CB50D7"/>
    <w:rsid w:val="00CB698F"/>
    <w:rsid w:val="00CB7177"/>
    <w:rsid w:val="00CB7CED"/>
    <w:rsid w:val="00CC070F"/>
    <w:rsid w:val="00CC1998"/>
    <w:rsid w:val="00CC4946"/>
    <w:rsid w:val="00CC64A1"/>
    <w:rsid w:val="00CF24E0"/>
    <w:rsid w:val="00CF3142"/>
    <w:rsid w:val="00CF373A"/>
    <w:rsid w:val="00CF3B11"/>
    <w:rsid w:val="00CF5E2F"/>
    <w:rsid w:val="00CF624E"/>
    <w:rsid w:val="00CF6A3E"/>
    <w:rsid w:val="00D045C9"/>
    <w:rsid w:val="00D054BD"/>
    <w:rsid w:val="00D17C18"/>
    <w:rsid w:val="00D17E36"/>
    <w:rsid w:val="00D22F7A"/>
    <w:rsid w:val="00D25078"/>
    <w:rsid w:val="00D270A4"/>
    <w:rsid w:val="00D31FE9"/>
    <w:rsid w:val="00D34E1B"/>
    <w:rsid w:val="00D376BA"/>
    <w:rsid w:val="00D434A0"/>
    <w:rsid w:val="00D45634"/>
    <w:rsid w:val="00D5283C"/>
    <w:rsid w:val="00D5568A"/>
    <w:rsid w:val="00D61DAF"/>
    <w:rsid w:val="00D63D73"/>
    <w:rsid w:val="00D64452"/>
    <w:rsid w:val="00D66E1E"/>
    <w:rsid w:val="00D70696"/>
    <w:rsid w:val="00D75722"/>
    <w:rsid w:val="00D80CF5"/>
    <w:rsid w:val="00D85DB3"/>
    <w:rsid w:val="00D93F8D"/>
    <w:rsid w:val="00D96597"/>
    <w:rsid w:val="00DA5BBA"/>
    <w:rsid w:val="00DB26D2"/>
    <w:rsid w:val="00DB67C9"/>
    <w:rsid w:val="00DC0C95"/>
    <w:rsid w:val="00DC4F0B"/>
    <w:rsid w:val="00DD5D3B"/>
    <w:rsid w:val="00DD6580"/>
    <w:rsid w:val="00DE09B5"/>
    <w:rsid w:val="00DE1E1F"/>
    <w:rsid w:val="00DF3A64"/>
    <w:rsid w:val="00DF3B62"/>
    <w:rsid w:val="00E018D8"/>
    <w:rsid w:val="00E01D7F"/>
    <w:rsid w:val="00E0261A"/>
    <w:rsid w:val="00E0335B"/>
    <w:rsid w:val="00E05C03"/>
    <w:rsid w:val="00E10548"/>
    <w:rsid w:val="00E114E4"/>
    <w:rsid w:val="00E1350F"/>
    <w:rsid w:val="00E17C72"/>
    <w:rsid w:val="00E21FC6"/>
    <w:rsid w:val="00E24113"/>
    <w:rsid w:val="00E324AD"/>
    <w:rsid w:val="00E343E0"/>
    <w:rsid w:val="00E404ED"/>
    <w:rsid w:val="00E427C0"/>
    <w:rsid w:val="00E431A9"/>
    <w:rsid w:val="00E45CFD"/>
    <w:rsid w:val="00E6443E"/>
    <w:rsid w:val="00E65127"/>
    <w:rsid w:val="00E669E2"/>
    <w:rsid w:val="00E76135"/>
    <w:rsid w:val="00E800B3"/>
    <w:rsid w:val="00E8107A"/>
    <w:rsid w:val="00E82F4F"/>
    <w:rsid w:val="00E864DF"/>
    <w:rsid w:val="00E87088"/>
    <w:rsid w:val="00E90E9D"/>
    <w:rsid w:val="00E916B2"/>
    <w:rsid w:val="00EB2CC3"/>
    <w:rsid w:val="00EB69BC"/>
    <w:rsid w:val="00EC2844"/>
    <w:rsid w:val="00EC5500"/>
    <w:rsid w:val="00ED18F8"/>
    <w:rsid w:val="00ED2E74"/>
    <w:rsid w:val="00EE2925"/>
    <w:rsid w:val="00EE6EDA"/>
    <w:rsid w:val="00EE778E"/>
    <w:rsid w:val="00EF6719"/>
    <w:rsid w:val="00EF6C6C"/>
    <w:rsid w:val="00F01C47"/>
    <w:rsid w:val="00F05280"/>
    <w:rsid w:val="00F056FC"/>
    <w:rsid w:val="00F0578D"/>
    <w:rsid w:val="00F0632F"/>
    <w:rsid w:val="00F069AE"/>
    <w:rsid w:val="00F10476"/>
    <w:rsid w:val="00F135D8"/>
    <w:rsid w:val="00F23FFA"/>
    <w:rsid w:val="00F27705"/>
    <w:rsid w:val="00F27ACE"/>
    <w:rsid w:val="00F31299"/>
    <w:rsid w:val="00F31EC4"/>
    <w:rsid w:val="00F3534A"/>
    <w:rsid w:val="00F35BFB"/>
    <w:rsid w:val="00F35E1D"/>
    <w:rsid w:val="00F36ACC"/>
    <w:rsid w:val="00F37926"/>
    <w:rsid w:val="00F51609"/>
    <w:rsid w:val="00F551FA"/>
    <w:rsid w:val="00F55C25"/>
    <w:rsid w:val="00F61D9A"/>
    <w:rsid w:val="00F72ED1"/>
    <w:rsid w:val="00F72EE1"/>
    <w:rsid w:val="00F73727"/>
    <w:rsid w:val="00F74CAB"/>
    <w:rsid w:val="00F766A7"/>
    <w:rsid w:val="00F81006"/>
    <w:rsid w:val="00F85325"/>
    <w:rsid w:val="00F9019A"/>
    <w:rsid w:val="00F90FCD"/>
    <w:rsid w:val="00FA11E4"/>
    <w:rsid w:val="00FA3135"/>
    <w:rsid w:val="00FC60F2"/>
    <w:rsid w:val="00FD22B1"/>
    <w:rsid w:val="00FD27C2"/>
    <w:rsid w:val="00FD33F1"/>
    <w:rsid w:val="00FD3566"/>
    <w:rsid w:val="00FD4D01"/>
    <w:rsid w:val="00FE5397"/>
    <w:rsid w:val="00FF3D9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o:shapelayout v:ext="edit">
      <o:idmap v:ext="edit" data="1"/>
    </o:shapelayout>
  </w:shapeDefaults>
  <w:decimalSymbol w:val="."/>
  <w:listSeparator w:val=","/>
  <w14:docId w14:val="3EBB9E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1" w:defUnhideWhenUsed="1" w:defQFormat="0" w:count="267">
    <w:lsdException w:name="Normal" w:semiHidden="0" w:unhideWhenUsed="0"/>
    <w:lsdException w:name="heading 1" w:semiHidden="0" w:unhideWhenUsed="0"/>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lsdException w:name="annotation text"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lsdException w:name="Body Text"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lsdException w:name="Emphasis" w:semiHidden="0" w:unhideWhenUsed="0"/>
    <w:lsdException w:name="No List" w:uiPriority="99"/>
    <w:lsdException w:name="Table Grid" w:semiHidden="0" w:unhideWhenUsed="0"/>
    <w:lsdException w:name="Placeholder Text" w:uiPriority="99"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lsdException w:name="Quote" w:semiHidden="0"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rsid w:val="00A02826"/>
    <w:rPr>
      <w:sz w:val="24"/>
      <w:szCs w:val="24"/>
    </w:rPr>
  </w:style>
  <w:style w:type="paragraph" w:styleId="Heading1">
    <w:name w:val="heading 1"/>
    <w:basedOn w:val="Normal"/>
    <w:next w:val="BodyText"/>
    <w:rsid w:val="00FD22B1"/>
    <w:pPr>
      <w:keepNext/>
      <w:spacing w:before="160" w:after="1360" w:line="600" w:lineRule="exact"/>
      <w:ind w:left="907" w:hanging="907"/>
      <w:outlineLvl w:val="0"/>
    </w:pPr>
    <w:rPr>
      <w:sz w:val="52"/>
    </w:rPr>
  </w:style>
  <w:style w:type="paragraph" w:styleId="Heading2">
    <w:name w:val="heading 2"/>
    <w:basedOn w:val="Chapter"/>
    <w:next w:val="BodyText"/>
    <w:qFormat/>
    <w:rsid w:val="00A17328"/>
    <w:pPr>
      <w:spacing w:before="600" w:after="0" w:line="400" w:lineRule="exact"/>
      <w:ind w:left="907" w:hanging="907"/>
      <w:outlineLvl w:val="1"/>
    </w:pPr>
    <w:rPr>
      <w:rFonts w:ascii="Arial" w:hAnsi="Arial"/>
      <w:b/>
      <w:sz w:val="32"/>
    </w:rPr>
  </w:style>
  <w:style w:type="paragraph" w:styleId="Heading3">
    <w:name w:val="heading 3"/>
    <w:basedOn w:val="Heading2"/>
    <w:next w:val="BodyText"/>
    <w:link w:val="Heading3Char"/>
    <w:qFormat/>
    <w:rsid w:val="00A17328"/>
    <w:pPr>
      <w:spacing w:before="560" w:line="320" w:lineRule="exact"/>
      <w:ind w:left="0" w:firstLine="0"/>
      <w:outlineLvl w:val="2"/>
    </w:pPr>
    <w:rPr>
      <w:sz w:val="26"/>
    </w:rPr>
  </w:style>
  <w:style w:type="paragraph" w:styleId="Heading4">
    <w:name w:val="heading 4"/>
    <w:basedOn w:val="Heading3"/>
    <w:next w:val="BodyText"/>
    <w:qFormat/>
    <w:rsid w:val="00812F4A"/>
    <w:pPr>
      <w:spacing w:before="480"/>
      <w:outlineLvl w:val="3"/>
    </w:pPr>
    <w:rPr>
      <w:b w:val="0"/>
      <w:sz w:val="24"/>
    </w:rPr>
  </w:style>
  <w:style w:type="paragraph" w:styleId="Heading5">
    <w:name w:val="heading 5"/>
    <w:basedOn w:val="Heading4"/>
    <w:next w:val="BodyText"/>
    <w:link w:val="Heading5Char"/>
    <w:qFormat/>
    <w:rsid w:val="00812F4A"/>
    <w:pPr>
      <w:outlineLvl w:val="4"/>
    </w:pPr>
    <w:rPr>
      <w:i/>
      <w:sz w:val="22"/>
    </w:rPr>
  </w:style>
  <w:style w:type="paragraph" w:styleId="Heading6">
    <w:name w:val="heading 6"/>
    <w:basedOn w:val="BodyText"/>
    <w:next w:val="BodyText"/>
    <w:semiHidden/>
    <w:rsid w:val="00A17328"/>
    <w:pPr>
      <w:spacing w:after="60"/>
      <w:jc w:val="left"/>
      <w:outlineLvl w:val="5"/>
    </w:pPr>
    <w:rPr>
      <w:i/>
      <w:sz w:val="22"/>
    </w:rPr>
  </w:style>
  <w:style w:type="paragraph" w:styleId="Heading7">
    <w:name w:val="heading 7"/>
    <w:basedOn w:val="BodyText"/>
    <w:next w:val="BodyText"/>
    <w:semiHidden/>
    <w:rsid w:val="00A17328"/>
    <w:pPr>
      <w:spacing w:after="60" w:line="240" w:lineRule="auto"/>
      <w:jc w:val="left"/>
      <w:outlineLvl w:val="6"/>
    </w:pPr>
    <w:rPr>
      <w:rFonts w:ascii="Arial" w:hAnsi="Arial"/>
      <w:sz w:val="20"/>
    </w:rPr>
  </w:style>
  <w:style w:type="paragraph" w:styleId="Heading8">
    <w:name w:val="heading 8"/>
    <w:basedOn w:val="BodyText"/>
    <w:next w:val="BodyText"/>
    <w:semiHidden/>
    <w:rsid w:val="00A17328"/>
    <w:pPr>
      <w:spacing w:after="60" w:line="240" w:lineRule="auto"/>
      <w:jc w:val="left"/>
      <w:outlineLvl w:val="7"/>
    </w:pPr>
    <w:rPr>
      <w:rFonts w:ascii="Arial" w:hAnsi="Arial"/>
      <w:i/>
      <w:sz w:val="20"/>
    </w:rPr>
  </w:style>
  <w:style w:type="paragraph" w:styleId="Heading9">
    <w:name w:val="heading 9"/>
    <w:basedOn w:val="BodyText"/>
    <w:next w:val="BodyText"/>
    <w:semiHidden/>
    <w:rsid w:val="00A17328"/>
    <w:pPr>
      <w:spacing w:after="60" w:line="240" w:lineRule="auto"/>
      <w:jc w:val="left"/>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link w:val="BodyTextChar"/>
    <w:qFormat/>
    <w:rsid w:val="00812F4A"/>
    <w:pPr>
      <w:spacing w:before="240" w:line="300" w:lineRule="atLeast"/>
      <w:jc w:val="both"/>
    </w:pPr>
    <w:rPr>
      <w:sz w:val="24"/>
    </w:rPr>
  </w:style>
  <w:style w:type="paragraph" w:styleId="Footer">
    <w:name w:val="footer"/>
    <w:basedOn w:val="BodyText"/>
    <w:link w:val="FooterChar"/>
    <w:rsid w:val="00E01D7F"/>
    <w:pPr>
      <w:spacing w:before="80" w:line="200" w:lineRule="exact"/>
      <w:ind w:right="6"/>
      <w:jc w:val="left"/>
    </w:pPr>
    <w:rPr>
      <w:rFonts w:ascii="Arial" w:hAnsi="Arial"/>
      <w:caps/>
      <w:spacing w:val="-4"/>
      <w:sz w:val="16"/>
    </w:rPr>
  </w:style>
  <w:style w:type="paragraph" w:customStyle="1" w:styleId="FooterEnd">
    <w:name w:val="Footer End"/>
    <w:basedOn w:val="Footer"/>
    <w:rsid w:val="00A17328"/>
    <w:pPr>
      <w:spacing w:before="0" w:line="20" w:lineRule="exact"/>
    </w:pPr>
  </w:style>
  <w:style w:type="paragraph" w:styleId="Header">
    <w:name w:val="header"/>
    <w:basedOn w:val="BodyText"/>
    <w:rsid w:val="00A17328"/>
    <w:pPr>
      <w:tabs>
        <w:tab w:val="center" w:pos="4394"/>
        <w:tab w:val="right" w:pos="8789"/>
      </w:tabs>
      <w:spacing w:before="0" w:line="240" w:lineRule="atLeast"/>
      <w:jc w:val="left"/>
    </w:pPr>
    <w:rPr>
      <w:rFonts w:ascii="Arial" w:hAnsi="Arial"/>
      <w:caps/>
    </w:rPr>
  </w:style>
  <w:style w:type="paragraph" w:customStyle="1" w:styleId="HeaderEnd">
    <w:name w:val="Header End"/>
    <w:basedOn w:val="Header"/>
    <w:autoRedefine/>
    <w:rsid w:val="00914368"/>
    <w:pPr>
      <w:spacing w:line="20" w:lineRule="exact"/>
    </w:pPr>
    <w:rPr>
      <w:sz w:val="16"/>
    </w:rPr>
  </w:style>
  <w:style w:type="paragraph" w:customStyle="1" w:styleId="HeaderEven">
    <w:name w:val="Header Even"/>
    <w:basedOn w:val="Header"/>
    <w:rsid w:val="00C543F4"/>
  </w:style>
  <w:style w:type="paragraph" w:customStyle="1" w:styleId="HeaderOdd">
    <w:name w:val="Header Odd"/>
    <w:basedOn w:val="Header"/>
    <w:rsid w:val="00C543F4"/>
  </w:style>
  <w:style w:type="character" w:styleId="PageNumber">
    <w:name w:val="page number"/>
    <w:basedOn w:val="DefaultParagraphFont"/>
    <w:rsid w:val="00A17328"/>
    <w:rPr>
      <w:rFonts w:ascii="Arial" w:hAnsi="Arial"/>
      <w:b/>
      <w:sz w:val="16"/>
    </w:rPr>
  </w:style>
  <w:style w:type="paragraph" w:customStyle="1" w:styleId="Abbreviation">
    <w:name w:val="Abbreviation"/>
    <w:basedOn w:val="BodyText"/>
    <w:rsid w:val="00A17328"/>
    <w:pPr>
      <w:spacing w:before="120"/>
      <w:ind w:left="2381" w:hanging="2381"/>
      <w:jc w:val="left"/>
    </w:pPr>
  </w:style>
  <w:style w:type="paragraph" w:customStyle="1" w:styleId="Box">
    <w:name w:val="Box"/>
    <w:basedOn w:val="BodyText"/>
    <w:qFormat/>
    <w:rsid w:val="00812F4A"/>
    <w:pPr>
      <w:keepNext/>
      <w:spacing w:before="120" w:line="260" w:lineRule="atLeast"/>
    </w:pPr>
    <w:rPr>
      <w:rFonts w:ascii="Arial" w:hAnsi="Arial"/>
      <w:sz w:val="20"/>
    </w:rPr>
  </w:style>
  <w:style w:type="paragraph" w:customStyle="1" w:styleId="BoxContinued">
    <w:name w:val="Box Continued"/>
    <w:basedOn w:val="BodyText"/>
    <w:next w:val="BodyText"/>
    <w:semiHidden/>
    <w:rsid w:val="00A17328"/>
    <w:pPr>
      <w:spacing w:before="180" w:line="220" w:lineRule="exact"/>
      <w:jc w:val="right"/>
    </w:pPr>
    <w:rPr>
      <w:rFonts w:ascii="Arial" w:hAnsi="Arial"/>
      <w:sz w:val="18"/>
    </w:rPr>
  </w:style>
  <w:style w:type="paragraph" w:customStyle="1" w:styleId="BoxHeading1">
    <w:name w:val="Box Heading 1"/>
    <w:basedOn w:val="BodyText"/>
    <w:next w:val="Box"/>
    <w:rsid w:val="00A17328"/>
    <w:pPr>
      <w:keepNext/>
      <w:spacing w:before="200" w:line="280" w:lineRule="atLeast"/>
    </w:pPr>
    <w:rPr>
      <w:rFonts w:ascii="Arial" w:hAnsi="Arial"/>
      <w:b/>
      <w:sz w:val="22"/>
    </w:rPr>
  </w:style>
  <w:style w:type="paragraph" w:customStyle="1" w:styleId="BoxHeading2">
    <w:name w:val="Box Heading 2"/>
    <w:basedOn w:val="BoxHeading1"/>
    <w:next w:val="Normal"/>
    <w:rsid w:val="00A17328"/>
    <w:rPr>
      <w:b w:val="0"/>
      <w:i/>
    </w:rPr>
  </w:style>
  <w:style w:type="paragraph" w:customStyle="1" w:styleId="BoxListBullet">
    <w:name w:val="Box List Bullet"/>
    <w:basedOn w:val="BodyText"/>
    <w:rsid w:val="009F5BBD"/>
    <w:pPr>
      <w:keepNext/>
      <w:numPr>
        <w:numId w:val="1"/>
      </w:numPr>
      <w:spacing w:before="100" w:line="260" w:lineRule="atLeast"/>
    </w:pPr>
    <w:rPr>
      <w:rFonts w:ascii="Arial" w:hAnsi="Arial"/>
      <w:sz w:val="20"/>
    </w:rPr>
  </w:style>
  <w:style w:type="paragraph" w:customStyle="1" w:styleId="BoxListBullet2">
    <w:name w:val="Box List Bullet 2"/>
    <w:basedOn w:val="BoxListBullet"/>
    <w:rsid w:val="00812F4A"/>
    <w:pPr>
      <w:numPr>
        <w:numId w:val="13"/>
      </w:numPr>
      <w:ind w:left="568" w:hanging="284"/>
    </w:pPr>
  </w:style>
  <w:style w:type="paragraph" w:customStyle="1" w:styleId="BoxListNumber">
    <w:name w:val="Box List Number"/>
    <w:basedOn w:val="BodyText"/>
    <w:rsid w:val="00812F4A"/>
    <w:pPr>
      <w:keepNext/>
      <w:numPr>
        <w:numId w:val="10"/>
      </w:numPr>
      <w:spacing w:before="100" w:line="260" w:lineRule="atLeast"/>
    </w:pPr>
    <w:rPr>
      <w:rFonts w:ascii="Arial" w:hAnsi="Arial"/>
      <w:sz w:val="20"/>
    </w:rPr>
  </w:style>
  <w:style w:type="paragraph" w:customStyle="1" w:styleId="BoxListNumber2">
    <w:name w:val="Box List Number 2"/>
    <w:basedOn w:val="BoxListNumber"/>
    <w:rsid w:val="00055077"/>
    <w:pPr>
      <w:numPr>
        <w:ilvl w:val="1"/>
      </w:numPr>
      <w:ind w:left="681" w:hanging="397"/>
    </w:pPr>
  </w:style>
  <w:style w:type="paragraph" w:customStyle="1" w:styleId="BoxQuote">
    <w:name w:val="Box Quote"/>
    <w:basedOn w:val="BodyText"/>
    <w:next w:val="Box"/>
    <w:qFormat/>
    <w:rsid w:val="00812F4A"/>
    <w:pPr>
      <w:keepNext/>
      <w:spacing w:before="60" w:line="240" w:lineRule="exact"/>
      <w:ind w:left="284"/>
    </w:pPr>
    <w:rPr>
      <w:rFonts w:ascii="Arial" w:hAnsi="Arial"/>
      <w:sz w:val="18"/>
    </w:rPr>
  </w:style>
  <w:style w:type="paragraph" w:customStyle="1" w:styleId="Note">
    <w:name w:val="Note"/>
    <w:basedOn w:val="BodyText"/>
    <w:next w:val="BodyText"/>
    <w:rsid w:val="00812F4A"/>
    <w:pPr>
      <w:keepLines/>
      <w:spacing w:before="80" w:line="220" w:lineRule="exact"/>
    </w:pPr>
    <w:rPr>
      <w:rFonts w:ascii="Arial" w:hAnsi="Arial"/>
      <w:sz w:val="18"/>
    </w:rPr>
  </w:style>
  <w:style w:type="paragraph" w:customStyle="1" w:styleId="Source">
    <w:name w:val="Source"/>
    <w:basedOn w:val="Normal"/>
    <w:next w:val="BodyText"/>
    <w:rsid w:val="00517795"/>
    <w:pPr>
      <w:keepLines/>
      <w:spacing w:before="80" w:line="220" w:lineRule="exact"/>
      <w:jc w:val="both"/>
    </w:pPr>
    <w:rPr>
      <w:rFonts w:ascii="Arial" w:hAnsi="Arial"/>
      <w:sz w:val="18"/>
      <w:szCs w:val="20"/>
    </w:rPr>
  </w:style>
  <w:style w:type="paragraph" w:customStyle="1" w:styleId="BoxSource">
    <w:name w:val="Box Source"/>
    <w:basedOn w:val="Source"/>
    <w:next w:val="BodyText"/>
    <w:rsid w:val="009F74EF"/>
    <w:pPr>
      <w:spacing w:before="120"/>
    </w:pPr>
  </w:style>
  <w:style w:type="paragraph" w:customStyle="1" w:styleId="BoxSpaceAbove">
    <w:name w:val="Box Space Above"/>
    <w:basedOn w:val="BodyText"/>
    <w:rsid w:val="00A17328"/>
    <w:pPr>
      <w:keepNext/>
      <w:spacing w:before="360" w:line="80" w:lineRule="exact"/>
      <w:jc w:val="left"/>
    </w:pPr>
  </w:style>
  <w:style w:type="paragraph" w:styleId="Caption">
    <w:name w:val="caption"/>
    <w:basedOn w:val="Normal"/>
    <w:next w:val="BodyText"/>
    <w:rsid w:val="00A17328"/>
    <w:pPr>
      <w:keepNext/>
      <w:keepLines/>
      <w:spacing w:before="360" w:after="80" w:line="280" w:lineRule="exact"/>
      <w:ind w:left="1474" w:hanging="1474"/>
    </w:pPr>
    <w:rPr>
      <w:rFonts w:ascii="Arial" w:hAnsi="Arial"/>
      <w:b/>
    </w:rPr>
  </w:style>
  <w:style w:type="paragraph" w:customStyle="1" w:styleId="BoxTitle">
    <w:name w:val="Box Title"/>
    <w:basedOn w:val="Caption"/>
    <w:next w:val="BoxSubtitle"/>
    <w:rsid w:val="009F74EF"/>
    <w:pPr>
      <w:spacing w:before="120" w:after="0"/>
    </w:pPr>
  </w:style>
  <w:style w:type="paragraph" w:customStyle="1" w:styleId="BoxSubtitle">
    <w:name w:val="Box Subtitle"/>
    <w:basedOn w:val="BoxTitle"/>
    <w:next w:val="Normal"/>
    <w:rsid w:val="009F74EF"/>
    <w:pPr>
      <w:spacing w:after="80" w:line="200" w:lineRule="exact"/>
      <w:ind w:firstLine="0"/>
    </w:pPr>
    <w:rPr>
      <w:b w:val="0"/>
      <w:sz w:val="20"/>
    </w:rPr>
  </w:style>
  <w:style w:type="paragraph" w:customStyle="1" w:styleId="Chapter">
    <w:name w:val="Chapter"/>
    <w:basedOn w:val="Heading1"/>
    <w:next w:val="BodyText"/>
    <w:semiHidden/>
    <w:rsid w:val="00A17328"/>
    <w:pPr>
      <w:ind w:left="0" w:firstLine="0"/>
      <w:outlineLvl w:val="9"/>
    </w:pPr>
  </w:style>
  <w:style w:type="paragraph" w:customStyle="1" w:styleId="ChapterSummary">
    <w:name w:val="Chapter Summary"/>
    <w:basedOn w:val="BodyText"/>
    <w:rsid w:val="00517795"/>
    <w:pPr>
      <w:spacing w:line="280" w:lineRule="atLeast"/>
      <w:ind w:left="907"/>
    </w:pPr>
    <w:rPr>
      <w:rFonts w:ascii="Arial" w:hAnsi="Arial"/>
      <w:b/>
      <w:sz w:val="20"/>
    </w:rPr>
  </w:style>
  <w:style w:type="character" w:styleId="CommentReference">
    <w:name w:val="annotation reference"/>
    <w:basedOn w:val="DefaultParagraphFont"/>
    <w:uiPriority w:val="99"/>
    <w:semiHidden/>
    <w:rsid w:val="00A17328"/>
    <w:rPr>
      <w:b/>
      <w:vanish/>
      <w:color w:val="FF00FF"/>
      <w:sz w:val="20"/>
    </w:rPr>
  </w:style>
  <w:style w:type="paragraph" w:styleId="CommentText">
    <w:name w:val="annotation text"/>
    <w:basedOn w:val="Normal"/>
    <w:link w:val="CommentTextChar1"/>
    <w:uiPriority w:val="99"/>
    <w:semiHidden/>
    <w:rsid w:val="00A17328"/>
    <w:pPr>
      <w:spacing w:before="120" w:line="240" w:lineRule="atLeast"/>
      <w:ind w:left="567" w:hanging="567"/>
    </w:pPr>
    <w:rPr>
      <w:sz w:val="20"/>
    </w:rPr>
  </w:style>
  <w:style w:type="paragraph" w:customStyle="1" w:styleId="Continued">
    <w:name w:val="Continued"/>
    <w:basedOn w:val="BoxContinued"/>
    <w:next w:val="BodyText"/>
    <w:rsid w:val="00517795"/>
  </w:style>
  <w:style w:type="character" w:customStyle="1" w:styleId="DocumentInfo">
    <w:name w:val="Document Info"/>
    <w:basedOn w:val="DefaultParagraphFont"/>
    <w:semiHidden/>
    <w:rsid w:val="00A17328"/>
    <w:rPr>
      <w:rFonts w:ascii="Arial" w:hAnsi="Arial"/>
      <w:sz w:val="14"/>
    </w:rPr>
  </w:style>
  <w:style w:type="character" w:customStyle="1" w:styleId="DraftingNote">
    <w:name w:val="Drafting Note"/>
    <w:basedOn w:val="DefaultParagraphFont"/>
    <w:rsid w:val="00A17328"/>
    <w:rPr>
      <w:b/>
      <w:color w:val="FF0000"/>
      <w:sz w:val="24"/>
      <w:u w:val="dotted"/>
    </w:rPr>
  </w:style>
  <w:style w:type="paragraph" w:customStyle="1" w:styleId="Figure">
    <w:name w:val="Figure"/>
    <w:basedOn w:val="BodyText"/>
    <w:rsid w:val="00A17328"/>
    <w:pPr>
      <w:keepNext/>
      <w:spacing w:before="120" w:after="120" w:line="240" w:lineRule="atLeast"/>
      <w:jc w:val="center"/>
    </w:pPr>
  </w:style>
  <w:style w:type="paragraph" w:customStyle="1" w:styleId="FigureTitle">
    <w:name w:val="Figure Title"/>
    <w:basedOn w:val="Caption"/>
    <w:next w:val="Subtitle"/>
    <w:rsid w:val="009F74EF"/>
    <w:pPr>
      <w:spacing w:before="120"/>
    </w:pPr>
  </w:style>
  <w:style w:type="paragraph" w:styleId="Subtitle">
    <w:name w:val="Subtitle"/>
    <w:basedOn w:val="Caption"/>
    <w:link w:val="SubtitleChar"/>
    <w:qFormat/>
    <w:rsid w:val="00301E4A"/>
    <w:pPr>
      <w:spacing w:before="0" w:line="200" w:lineRule="exact"/>
      <w:ind w:firstLine="0"/>
    </w:pPr>
    <w:rPr>
      <w:b w:val="0"/>
      <w:sz w:val="20"/>
    </w:rPr>
  </w:style>
  <w:style w:type="paragraph" w:customStyle="1" w:styleId="Finding">
    <w:name w:val="Finding"/>
    <w:basedOn w:val="BodyText"/>
    <w:rsid w:val="009F5BBD"/>
    <w:pPr>
      <w:keepLines/>
      <w:spacing w:before="120" w:line="280" w:lineRule="atLeast"/>
    </w:pPr>
    <w:rPr>
      <w:rFonts w:ascii="Arial" w:hAnsi="Arial"/>
      <w:sz w:val="22"/>
    </w:rPr>
  </w:style>
  <w:style w:type="paragraph" w:customStyle="1" w:styleId="FindingBullet">
    <w:name w:val="Finding Bullet"/>
    <w:basedOn w:val="Finding"/>
    <w:rsid w:val="009F5BBD"/>
    <w:pPr>
      <w:numPr>
        <w:numId w:val="15"/>
      </w:numPr>
      <w:spacing w:before="80"/>
    </w:pPr>
  </w:style>
  <w:style w:type="paragraph" w:customStyle="1" w:styleId="FindingNoTitle">
    <w:name w:val="Finding NoTitle"/>
    <w:basedOn w:val="Finding"/>
    <w:semiHidden/>
    <w:rsid w:val="00AB0681"/>
    <w:pPr>
      <w:spacing w:before="240"/>
    </w:pPr>
  </w:style>
  <w:style w:type="paragraph" w:customStyle="1" w:styleId="RecTitle">
    <w:name w:val="Rec Title"/>
    <w:basedOn w:val="BodyText"/>
    <w:next w:val="Rec"/>
    <w:qFormat/>
    <w:rsid w:val="009F5BBD"/>
    <w:pPr>
      <w:keepNext/>
      <w:keepLines/>
      <w:spacing w:line="280" w:lineRule="atLeast"/>
    </w:pPr>
    <w:rPr>
      <w:rFonts w:ascii="Arial" w:hAnsi="Arial"/>
      <w:caps/>
      <w:sz w:val="18"/>
    </w:rPr>
  </w:style>
  <w:style w:type="paragraph" w:customStyle="1" w:styleId="FindingTitle">
    <w:name w:val="Finding Title"/>
    <w:basedOn w:val="RecTitle"/>
    <w:next w:val="Finding"/>
    <w:rsid w:val="009021A6"/>
  </w:style>
  <w:style w:type="character" w:styleId="FootnoteReference">
    <w:name w:val="footnote reference"/>
    <w:basedOn w:val="DefaultParagraphFont"/>
    <w:semiHidden/>
    <w:rsid w:val="00243997"/>
    <w:rPr>
      <w:rFonts w:ascii="Times New Roman" w:hAnsi="Times New Roman"/>
      <w:position w:val="6"/>
      <w:sz w:val="20"/>
      <w:vertAlign w:val="baseline"/>
    </w:rPr>
  </w:style>
  <w:style w:type="paragraph" w:styleId="FootnoteText">
    <w:name w:val="footnote text"/>
    <w:basedOn w:val="BodyText"/>
    <w:link w:val="FootnoteTextChar"/>
    <w:rsid w:val="00243997"/>
    <w:pPr>
      <w:tabs>
        <w:tab w:val="left" w:pos="284"/>
      </w:tabs>
      <w:spacing w:before="80" w:line="240" w:lineRule="exact"/>
      <w:ind w:left="284" w:hanging="284"/>
    </w:pPr>
    <w:rPr>
      <w:sz w:val="20"/>
    </w:rPr>
  </w:style>
  <w:style w:type="paragraph" w:customStyle="1" w:styleId="InformationRequest">
    <w:name w:val="Information Request"/>
    <w:basedOn w:val="Finding"/>
    <w:next w:val="BodyText"/>
    <w:rsid w:val="009F5BBD"/>
    <w:rPr>
      <w:i/>
    </w:rPr>
  </w:style>
  <w:style w:type="paragraph" w:customStyle="1" w:styleId="Jurisdictioncommentsbodytext">
    <w:name w:val="Jurisdiction comments body text"/>
    <w:rsid w:val="00A17328"/>
    <w:pPr>
      <w:spacing w:after="140"/>
      <w:jc w:val="both"/>
    </w:pPr>
    <w:rPr>
      <w:rFonts w:ascii="Arial" w:hAnsi="Arial"/>
      <w:sz w:val="24"/>
      <w:lang w:eastAsia="en-US"/>
    </w:rPr>
  </w:style>
  <w:style w:type="paragraph" w:customStyle="1" w:styleId="Jurisdictioncommentsheading">
    <w:name w:val="Jurisdiction comments heading"/>
    <w:rsid w:val="00A17328"/>
    <w:pPr>
      <w:spacing w:after="140" w:line="320" w:lineRule="atLeast"/>
      <w:jc w:val="both"/>
    </w:pPr>
    <w:rPr>
      <w:rFonts w:ascii="Arial" w:hAnsi="Arial"/>
      <w:b/>
      <w:sz w:val="24"/>
      <w:lang w:eastAsia="en-US"/>
    </w:rPr>
  </w:style>
  <w:style w:type="paragraph" w:customStyle="1" w:styleId="Jurisdictioncommentslistbullet">
    <w:name w:val="Jurisdiction comments list bullet"/>
    <w:rsid w:val="00A17328"/>
    <w:pPr>
      <w:numPr>
        <w:numId w:val="2"/>
      </w:numPr>
      <w:spacing w:after="140"/>
      <w:jc w:val="both"/>
    </w:pPr>
    <w:rPr>
      <w:rFonts w:ascii="Arial" w:hAnsi="Arial"/>
      <w:sz w:val="24"/>
      <w:lang w:eastAsia="en-US"/>
    </w:rPr>
  </w:style>
  <w:style w:type="paragraph" w:styleId="ListBullet">
    <w:name w:val="List Bullet"/>
    <w:basedOn w:val="BodyText"/>
    <w:rsid w:val="00812F4A"/>
    <w:pPr>
      <w:numPr>
        <w:numId w:val="3"/>
      </w:numPr>
      <w:spacing w:before="120"/>
    </w:pPr>
  </w:style>
  <w:style w:type="paragraph" w:styleId="ListBullet2">
    <w:name w:val="List Bullet 2"/>
    <w:basedOn w:val="BodyText"/>
    <w:rsid w:val="00DB67C9"/>
    <w:pPr>
      <w:numPr>
        <w:numId w:val="4"/>
      </w:numPr>
      <w:spacing w:before="120"/>
    </w:pPr>
  </w:style>
  <w:style w:type="paragraph" w:styleId="ListBullet3">
    <w:name w:val="List Bullet 3"/>
    <w:basedOn w:val="BodyText"/>
    <w:rsid w:val="00055077"/>
    <w:pPr>
      <w:numPr>
        <w:numId w:val="5"/>
      </w:numPr>
      <w:spacing w:before="120"/>
      <w:ind w:left="1020" w:hanging="340"/>
    </w:pPr>
  </w:style>
  <w:style w:type="paragraph" w:styleId="ListNumber">
    <w:name w:val="List Number"/>
    <w:basedOn w:val="BodyText"/>
    <w:rsid w:val="00864ADC"/>
    <w:pPr>
      <w:numPr>
        <w:numId w:val="9"/>
      </w:numPr>
      <w:spacing w:before="120"/>
    </w:pPr>
  </w:style>
  <w:style w:type="paragraph" w:styleId="ListNumber2">
    <w:name w:val="List Number 2"/>
    <w:basedOn w:val="ListNumber"/>
    <w:rsid w:val="00864ADC"/>
    <w:pPr>
      <w:numPr>
        <w:ilvl w:val="1"/>
      </w:numPr>
    </w:pPr>
  </w:style>
  <w:style w:type="paragraph" w:styleId="ListNumber3">
    <w:name w:val="List Number 3"/>
    <w:basedOn w:val="ListNumber2"/>
    <w:rsid w:val="00C52416"/>
    <w:pPr>
      <w:numPr>
        <w:ilvl w:val="2"/>
      </w:numPr>
    </w:pPr>
  </w:style>
  <w:style w:type="character" w:customStyle="1" w:styleId="NoteLabel">
    <w:name w:val="Note Label"/>
    <w:basedOn w:val="DefaultParagraphFont"/>
    <w:rsid w:val="00812F4A"/>
    <w:rPr>
      <w:rFonts w:ascii="Arial" w:hAnsi="Arial"/>
      <w:b/>
      <w:position w:val="6"/>
      <w:sz w:val="18"/>
    </w:rPr>
  </w:style>
  <w:style w:type="paragraph" w:customStyle="1" w:styleId="PartDivider">
    <w:name w:val="Part Divider"/>
    <w:basedOn w:val="BodyText"/>
    <w:next w:val="BodyText"/>
    <w:semiHidden/>
    <w:rsid w:val="00A17328"/>
    <w:pPr>
      <w:spacing w:before="0" w:line="40" w:lineRule="exact"/>
      <w:jc w:val="right"/>
    </w:pPr>
    <w:rPr>
      <w:smallCaps/>
      <w:sz w:val="16"/>
    </w:rPr>
  </w:style>
  <w:style w:type="paragraph" w:customStyle="1" w:styleId="PartNumber">
    <w:name w:val="Part Number"/>
    <w:basedOn w:val="BodyText"/>
    <w:next w:val="BodyText"/>
    <w:semiHidden/>
    <w:rsid w:val="00A17328"/>
    <w:pPr>
      <w:spacing w:before="4000" w:line="320" w:lineRule="exact"/>
      <w:ind w:left="6634"/>
      <w:jc w:val="right"/>
    </w:pPr>
    <w:rPr>
      <w:smallCaps/>
      <w:spacing w:val="60"/>
      <w:sz w:val="32"/>
    </w:rPr>
  </w:style>
  <w:style w:type="paragraph" w:customStyle="1" w:styleId="PartTitle">
    <w:name w:val="Part Title"/>
    <w:basedOn w:val="BodyText"/>
    <w:semiHidden/>
    <w:rsid w:val="00A17328"/>
    <w:pPr>
      <w:spacing w:before="160" w:after="1360" w:line="520" w:lineRule="exact"/>
      <w:ind w:right="2381"/>
      <w:jc w:val="right"/>
    </w:pPr>
    <w:rPr>
      <w:smallCaps/>
      <w:sz w:val="52"/>
    </w:rPr>
  </w:style>
  <w:style w:type="paragraph" w:styleId="Quote">
    <w:name w:val="Quote"/>
    <w:basedOn w:val="BodyText"/>
    <w:next w:val="BodyText"/>
    <w:qFormat/>
    <w:rsid w:val="00CB7CED"/>
    <w:pPr>
      <w:spacing w:before="120" w:line="280" w:lineRule="exact"/>
      <w:ind w:left="340"/>
    </w:pPr>
    <w:rPr>
      <w:sz w:val="22"/>
    </w:rPr>
  </w:style>
  <w:style w:type="paragraph" w:customStyle="1" w:styleId="QuoteBullet">
    <w:name w:val="Quote Bullet"/>
    <w:basedOn w:val="Quote"/>
    <w:rsid w:val="00812F4A"/>
    <w:pPr>
      <w:numPr>
        <w:numId w:val="6"/>
      </w:numPr>
    </w:pPr>
  </w:style>
  <w:style w:type="paragraph" w:customStyle="1" w:styleId="Rec">
    <w:name w:val="Rec"/>
    <w:basedOn w:val="BodyText"/>
    <w:qFormat/>
    <w:rsid w:val="009F5BBD"/>
    <w:pPr>
      <w:keepLines/>
      <w:spacing w:before="120" w:line="280" w:lineRule="atLeast"/>
    </w:pPr>
    <w:rPr>
      <w:rFonts w:ascii="Arial" w:hAnsi="Arial"/>
      <w:sz w:val="22"/>
    </w:rPr>
  </w:style>
  <w:style w:type="paragraph" w:customStyle="1" w:styleId="RecBullet">
    <w:name w:val="Rec Bullet"/>
    <w:basedOn w:val="Rec"/>
    <w:rsid w:val="00301E4A"/>
    <w:pPr>
      <w:numPr>
        <w:numId w:val="17"/>
      </w:numPr>
      <w:spacing w:before="80"/>
    </w:pPr>
  </w:style>
  <w:style w:type="paragraph" w:customStyle="1" w:styleId="RecB">
    <w:name w:val="RecB"/>
    <w:basedOn w:val="Normal"/>
    <w:semiHidden/>
    <w:rsid w:val="00F85325"/>
    <w:pPr>
      <w:keepLines/>
      <w:pBdr>
        <w:left w:val="single" w:sz="24" w:space="12" w:color="C0C0C0"/>
      </w:pBdr>
      <w:spacing w:before="180" w:line="320" w:lineRule="atLeast"/>
      <w:jc w:val="both"/>
    </w:pPr>
    <w:rPr>
      <w:b/>
      <w:i/>
      <w:szCs w:val="20"/>
    </w:rPr>
  </w:style>
  <w:style w:type="paragraph" w:customStyle="1" w:styleId="RecBBullet">
    <w:name w:val="RecB Bullet"/>
    <w:basedOn w:val="RecB"/>
    <w:semiHidden/>
    <w:rsid w:val="00F85325"/>
    <w:pPr>
      <w:numPr>
        <w:numId w:val="11"/>
      </w:numPr>
      <w:spacing w:before="80"/>
    </w:pPr>
  </w:style>
  <w:style w:type="paragraph" w:customStyle="1" w:styleId="RecBNoTitle">
    <w:name w:val="RecB NoTitle"/>
    <w:basedOn w:val="RecB"/>
    <w:semiHidden/>
    <w:rsid w:val="00F85325"/>
    <w:pPr>
      <w:spacing w:before="240"/>
    </w:pPr>
  </w:style>
  <w:style w:type="paragraph" w:customStyle="1" w:styleId="Reference">
    <w:name w:val="Reference"/>
    <w:basedOn w:val="BodyText"/>
    <w:rsid w:val="00A17328"/>
    <w:pPr>
      <w:spacing w:before="120"/>
      <w:ind w:left="340" w:hanging="340"/>
    </w:pPr>
  </w:style>
  <w:style w:type="paragraph" w:customStyle="1" w:styleId="SequenceInfo">
    <w:name w:val="Sequence Info"/>
    <w:basedOn w:val="BodyText"/>
    <w:semiHidden/>
    <w:rsid w:val="00A17328"/>
    <w:rPr>
      <w:vanish/>
      <w:sz w:val="16"/>
    </w:rPr>
  </w:style>
  <w:style w:type="paragraph" w:customStyle="1" w:styleId="SideNote">
    <w:name w:val="Side Note"/>
    <w:basedOn w:val="BodyText"/>
    <w:next w:val="BodyText"/>
    <w:semiHidden/>
    <w:rsid w:val="00A17328"/>
    <w:pPr>
      <w:keepNext/>
      <w:keepLines/>
      <w:framePr w:w="2155" w:hSpace="227" w:vSpace="181" w:wrap="around" w:vAnchor="text" w:hAnchor="page" w:xAlign="outside" w:y="1"/>
      <w:jc w:val="left"/>
    </w:pPr>
    <w:rPr>
      <w:i/>
    </w:rPr>
  </w:style>
  <w:style w:type="paragraph" w:customStyle="1" w:styleId="SideNoteBullet">
    <w:name w:val="Side Note Bullet"/>
    <w:basedOn w:val="SideNote"/>
    <w:next w:val="BodyText"/>
    <w:semiHidden/>
    <w:rsid w:val="00A17328"/>
    <w:pPr>
      <w:framePr w:wrap="around"/>
      <w:numPr>
        <w:numId w:val="7"/>
      </w:numPr>
      <w:tabs>
        <w:tab w:val="left" w:pos="227"/>
      </w:tabs>
    </w:pPr>
  </w:style>
  <w:style w:type="paragraph" w:customStyle="1" w:styleId="SideNoteGraphic">
    <w:name w:val="Side Note Graphic"/>
    <w:basedOn w:val="SideNote"/>
    <w:next w:val="BodyText"/>
    <w:semiHidden/>
    <w:rsid w:val="00A17328"/>
    <w:pPr>
      <w:framePr w:wrap="around"/>
    </w:pPr>
  </w:style>
  <w:style w:type="paragraph" w:customStyle="1" w:styleId="TableBodyText">
    <w:name w:val="Table Body Text"/>
    <w:basedOn w:val="BodyText"/>
    <w:rsid w:val="00812F4A"/>
    <w:pPr>
      <w:keepNext/>
      <w:keepLines/>
      <w:spacing w:before="0" w:after="40" w:line="200" w:lineRule="atLeast"/>
      <w:ind w:left="6" w:right="113"/>
      <w:jc w:val="right"/>
    </w:pPr>
    <w:rPr>
      <w:rFonts w:ascii="Arial" w:hAnsi="Arial"/>
      <w:sz w:val="18"/>
    </w:rPr>
  </w:style>
  <w:style w:type="paragraph" w:customStyle="1" w:styleId="TableBullet">
    <w:name w:val="Table Bullet"/>
    <w:basedOn w:val="TableBodyText"/>
    <w:rsid w:val="00812F4A"/>
    <w:pPr>
      <w:numPr>
        <w:numId w:val="8"/>
      </w:numPr>
      <w:jc w:val="left"/>
    </w:pPr>
  </w:style>
  <w:style w:type="paragraph" w:customStyle="1" w:styleId="TableColumnHeading">
    <w:name w:val="Table Column Heading"/>
    <w:basedOn w:val="TableBodyText"/>
    <w:rsid w:val="00812F4A"/>
    <w:pPr>
      <w:spacing w:before="80" w:after="80"/>
    </w:pPr>
    <w:rPr>
      <w:i/>
    </w:rPr>
  </w:style>
  <w:style w:type="paragraph" w:styleId="TOC2">
    <w:name w:val="toc 2"/>
    <w:basedOn w:val="TOC1"/>
    <w:rsid w:val="00F35BFB"/>
    <w:pPr>
      <w:ind w:left="1134" w:hanging="624"/>
    </w:pPr>
    <w:rPr>
      <w:b w:val="0"/>
    </w:rPr>
  </w:style>
  <w:style w:type="paragraph" w:styleId="TOC3">
    <w:name w:val="toc 3"/>
    <w:basedOn w:val="TOC2"/>
    <w:rsid w:val="00F73727"/>
    <w:pPr>
      <w:spacing w:before="60"/>
      <w:ind w:left="1190" w:hanging="680"/>
    </w:pPr>
  </w:style>
  <w:style w:type="paragraph" w:styleId="TableofFigures">
    <w:name w:val="table of figures"/>
    <w:basedOn w:val="TOC3"/>
    <w:next w:val="BodyText"/>
    <w:semiHidden/>
    <w:rsid w:val="00A17328"/>
    <w:pPr>
      <w:ind w:left="737" w:hanging="737"/>
    </w:pPr>
  </w:style>
  <w:style w:type="paragraph" w:customStyle="1" w:styleId="TableTitle">
    <w:name w:val="Table Title"/>
    <w:basedOn w:val="Caption"/>
    <w:next w:val="Subtitle"/>
    <w:qFormat/>
    <w:rsid w:val="009021A6"/>
    <w:pPr>
      <w:spacing w:before="120"/>
    </w:pPr>
  </w:style>
  <w:style w:type="paragraph" w:customStyle="1" w:styleId="TableUnitsRow">
    <w:name w:val="Table Units Row"/>
    <w:basedOn w:val="TableBodyText"/>
    <w:rsid w:val="008D7622"/>
    <w:pPr>
      <w:spacing w:before="40"/>
    </w:pPr>
  </w:style>
  <w:style w:type="paragraph" w:styleId="TOC1">
    <w:name w:val="toc 1"/>
    <w:basedOn w:val="Normal"/>
    <w:next w:val="TOC2"/>
    <w:link w:val="TOC1Char"/>
    <w:rsid w:val="00F73727"/>
    <w:pPr>
      <w:tabs>
        <w:tab w:val="right" w:pos="8789"/>
      </w:tabs>
      <w:spacing w:before="120" w:line="320" w:lineRule="exact"/>
      <w:ind w:left="510" w:right="851" w:hanging="510"/>
    </w:pPr>
    <w:rPr>
      <w:rFonts w:ascii="Arial" w:hAnsi="Arial"/>
      <w:b/>
      <w:sz w:val="26"/>
      <w:szCs w:val="26"/>
      <w:lang w:eastAsia="en-US"/>
    </w:rPr>
  </w:style>
  <w:style w:type="paragraph" w:styleId="TOC4">
    <w:name w:val="toc 4"/>
    <w:basedOn w:val="TOC3"/>
    <w:semiHidden/>
    <w:rsid w:val="00A17328"/>
    <w:pPr>
      <w:ind w:left="1191" w:firstLine="0"/>
    </w:pPr>
  </w:style>
  <w:style w:type="paragraph" w:customStyle="1" w:styleId="RecBBullet2">
    <w:name w:val="RecB Bullet 2"/>
    <w:basedOn w:val="ListBullet2"/>
    <w:semiHidden/>
    <w:rsid w:val="006B2B3C"/>
    <w:pPr>
      <w:pBdr>
        <w:left w:val="single" w:sz="24" w:space="29" w:color="C0C0C0"/>
      </w:pBdr>
    </w:pPr>
    <w:rPr>
      <w:b/>
      <w:i/>
    </w:rPr>
  </w:style>
  <w:style w:type="paragraph" w:styleId="BalloonText">
    <w:name w:val="Balloon Text"/>
    <w:basedOn w:val="Normal"/>
    <w:link w:val="BalloonTextChar"/>
    <w:rsid w:val="006B2B3C"/>
    <w:rPr>
      <w:rFonts w:ascii="Tahoma" w:hAnsi="Tahoma" w:cs="Tahoma"/>
      <w:sz w:val="16"/>
      <w:szCs w:val="16"/>
    </w:rPr>
  </w:style>
  <w:style w:type="character" w:customStyle="1" w:styleId="BalloonTextChar">
    <w:name w:val="Balloon Text Char"/>
    <w:basedOn w:val="DefaultParagraphFont"/>
    <w:link w:val="BalloonText"/>
    <w:rsid w:val="006B2B3C"/>
    <w:rPr>
      <w:rFonts w:ascii="Tahoma" w:hAnsi="Tahoma" w:cs="Tahoma"/>
      <w:sz w:val="16"/>
      <w:szCs w:val="16"/>
    </w:rPr>
  </w:style>
  <w:style w:type="character" w:customStyle="1" w:styleId="SubtitleChar">
    <w:name w:val="Subtitle Char"/>
    <w:basedOn w:val="DefaultParagraphFont"/>
    <w:link w:val="Subtitle"/>
    <w:rsid w:val="00301E4A"/>
    <w:rPr>
      <w:rFonts w:ascii="Arial" w:hAnsi="Arial"/>
      <w:szCs w:val="24"/>
    </w:rPr>
  </w:style>
  <w:style w:type="paragraph" w:customStyle="1" w:styleId="BoxListBullet3">
    <w:name w:val="Box List Bullet 3"/>
    <w:basedOn w:val="ListBullet3"/>
    <w:rsid w:val="00812F4A"/>
    <w:pPr>
      <w:numPr>
        <w:numId w:val="14"/>
      </w:numPr>
      <w:tabs>
        <w:tab w:val="left" w:pos="907"/>
      </w:tabs>
      <w:spacing w:before="60" w:line="260" w:lineRule="atLeast"/>
      <w:ind w:left="907" w:hanging="340"/>
    </w:pPr>
    <w:rPr>
      <w:rFonts w:ascii="Arial" w:hAnsi="Arial"/>
      <w:sz w:val="20"/>
    </w:rPr>
  </w:style>
  <w:style w:type="character" w:styleId="Emphasis">
    <w:name w:val="Emphasis"/>
    <w:basedOn w:val="DefaultParagraphFont"/>
    <w:rsid w:val="00DA5BBA"/>
    <w:rPr>
      <w:i/>
      <w:iCs/>
    </w:rPr>
  </w:style>
  <w:style w:type="paragraph" w:customStyle="1" w:styleId="BoxQuoteBullet">
    <w:name w:val="Box Quote Bullet"/>
    <w:basedOn w:val="BoxQuote"/>
    <w:next w:val="Box"/>
    <w:rsid w:val="00812F4A"/>
    <w:pPr>
      <w:numPr>
        <w:numId w:val="12"/>
      </w:numPr>
      <w:ind w:left="568" w:hanging="284"/>
    </w:pPr>
  </w:style>
  <w:style w:type="paragraph" w:customStyle="1" w:styleId="InformationRequestBullet">
    <w:name w:val="Information Request Bullet"/>
    <w:basedOn w:val="ListBullet"/>
    <w:next w:val="BodyText"/>
    <w:rsid w:val="004145D2"/>
    <w:pPr>
      <w:numPr>
        <w:numId w:val="16"/>
      </w:numPr>
      <w:spacing w:before="80" w:line="280" w:lineRule="atLeast"/>
      <w:ind w:left="357" w:hanging="357"/>
    </w:pPr>
    <w:rPr>
      <w:rFonts w:ascii="Arial" w:hAnsi="Arial"/>
      <w:i/>
      <w:sz w:val="22"/>
    </w:rPr>
  </w:style>
  <w:style w:type="paragraph" w:customStyle="1" w:styleId="BoxSpaceBelow">
    <w:name w:val="Box Space Below"/>
    <w:basedOn w:val="Box"/>
    <w:rsid w:val="009E1844"/>
    <w:pPr>
      <w:keepNext w:val="0"/>
      <w:spacing w:before="60" w:after="60" w:line="80" w:lineRule="exact"/>
    </w:pPr>
    <w:rPr>
      <w:sz w:val="14"/>
    </w:rPr>
  </w:style>
  <w:style w:type="paragraph" w:customStyle="1" w:styleId="KeyPointsListBullet">
    <w:name w:val="Key Points List Bullet"/>
    <w:basedOn w:val="Normal"/>
    <w:qFormat/>
    <w:rsid w:val="00F55C25"/>
    <w:pPr>
      <w:keepNext/>
      <w:numPr>
        <w:numId w:val="20"/>
      </w:numPr>
      <w:spacing w:before="100" w:line="260" w:lineRule="atLeast"/>
      <w:ind w:left="357" w:hanging="357"/>
      <w:jc w:val="both"/>
    </w:pPr>
    <w:rPr>
      <w:rFonts w:ascii="Arial" w:hAnsi="Arial"/>
      <w:sz w:val="20"/>
      <w:szCs w:val="20"/>
      <w:lang w:eastAsia="en-US"/>
    </w:rPr>
  </w:style>
  <w:style w:type="paragraph" w:customStyle="1" w:styleId="KeyPointsListBullet2">
    <w:name w:val="Key Points List Bullet 2"/>
    <w:basedOn w:val="BoxListBullet2"/>
    <w:rsid w:val="00470737"/>
    <w:pPr>
      <w:numPr>
        <w:numId w:val="21"/>
      </w:numPr>
      <w:ind w:left="568" w:hanging="284"/>
    </w:pPr>
  </w:style>
  <w:style w:type="paragraph" w:customStyle="1" w:styleId="InformationRequestTitle">
    <w:name w:val="Information Request Title"/>
    <w:basedOn w:val="FindingTitle"/>
    <w:next w:val="InformationRequest"/>
    <w:rsid w:val="009F5BBD"/>
    <w:rPr>
      <w:i/>
    </w:rPr>
  </w:style>
  <w:style w:type="paragraph" w:customStyle="1" w:styleId="Space">
    <w:name w:val="Space"/>
    <w:basedOn w:val="Normal"/>
    <w:rsid w:val="00967CD3"/>
    <w:pPr>
      <w:keepNext/>
      <w:spacing w:line="120" w:lineRule="exact"/>
      <w:jc w:val="both"/>
    </w:pPr>
    <w:rPr>
      <w:rFonts w:ascii="Arial" w:hAnsi="Arial"/>
      <w:sz w:val="20"/>
      <w:szCs w:val="20"/>
    </w:rPr>
  </w:style>
  <w:style w:type="paragraph" w:customStyle="1" w:styleId="Heading1nochapterno">
    <w:name w:val="Heading 1 (no chapter no.)"/>
    <w:basedOn w:val="Heading1"/>
    <w:rsid w:val="00CC070F"/>
    <w:pPr>
      <w:spacing w:before="0"/>
      <w:ind w:left="0" w:firstLine="0"/>
    </w:pPr>
  </w:style>
  <w:style w:type="paragraph" w:customStyle="1" w:styleId="Heading2nosectionno">
    <w:name w:val="Heading 2 (no section no.)"/>
    <w:basedOn w:val="Heading2"/>
    <w:rsid w:val="00CC070F"/>
    <w:pPr>
      <w:ind w:left="0" w:firstLine="0"/>
    </w:pPr>
  </w:style>
  <w:style w:type="character" w:customStyle="1" w:styleId="Heading5Char">
    <w:name w:val="Heading 5 Char"/>
    <w:basedOn w:val="DefaultParagraphFont"/>
    <w:link w:val="Heading5"/>
    <w:rsid w:val="00812F4A"/>
    <w:rPr>
      <w:rFonts w:ascii="Arial" w:hAnsi="Arial"/>
      <w:i/>
      <w:sz w:val="22"/>
    </w:rPr>
  </w:style>
  <w:style w:type="paragraph" w:customStyle="1" w:styleId="Figurespace">
    <w:name w:val="Figure space"/>
    <w:basedOn w:val="Box"/>
    <w:rsid w:val="000B1022"/>
    <w:pPr>
      <w:spacing w:before="0" w:line="120" w:lineRule="exact"/>
    </w:pPr>
  </w:style>
  <w:style w:type="paragraph" w:customStyle="1" w:styleId="FooterDraftReport">
    <w:name w:val="FooterDraftReport"/>
    <w:basedOn w:val="Footer"/>
    <w:link w:val="FooterDraftReportChar"/>
    <w:rsid w:val="00162434"/>
    <w:pPr>
      <w:spacing w:before="40"/>
    </w:pPr>
    <w:rPr>
      <w:rFonts w:cs="Arial"/>
      <w:color w:val="808080"/>
      <w14:textFill>
        <w14:solidFill>
          <w14:srgbClr w14:val="808080">
            <w14:lumMod w14:val="50000"/>
            <w14:lumOff w14:val="50000"/>
            <w14:lumMod w14:val="50000"/>
            <w14:lumOff w14:val="50000"/>
            <w14:lumMod w14:val="50000"/>
          </w14:srgbClr>
        </w14:solidFill>
      </w14:textFill>
    </w:rPr>
  </w:style>
  <w:style w:type="character" w:customStyle="1" w:styleId="BodyTextChar">
    <w:name w:val="Body Text Char"/>
    <w:basedOn w:val="DefaultParagraphFont"/>
    <w:link w:val="BodyText"/>
    <w:rsid w:val="00EB2CC3"/>
    <w:rPr>
      <w:sz w:val="24"/>
    </w:rPr>
  </w:style>
  <w:style w:type="character" w:customStyle="1" w:styleId="FooterChar">
    <w:name w:val="Footer Char"/>
    <w:basedOn w:val="BodyTextChar"/>
    <w:link w:val="Footer"/>
    <w:rsid w:val="00EB2CC3"/>
    <w:rPr>
      <w:rFonts w:ascii="Arial" w:hAnsi="Arial"/>
      <w:caps/>
      <w:spacing w:val="-4"/>
      <w:sz w:val="16"/>
    </w:rPr>
  </w:style>
  <w:style w:type="character" w:customStyle="1" w:styleId="FooterDraftReportChar">
    <w:name w:val="FooterDraftReport Char"/>
    <w:basedOn w:val="FooterChar"/>
    <w:link w:val="FooterDraftReport"/>
    <w:rsid w:val="00162434"/>
    <w:rPr>
      <w:rFonts w:ascii="Arial" w:hAnsi="Arial" w:cs="Arial"/>
      <w:caps/>
      <w:color w:val="808080"/>
      <w:spacing w:val="-4"/>
      <w:sz w:val="16"/>
      <w14:textFill>
        <w14:solidFill>
          <w14:srgbClr w14:val="808080">
            <w14:lumMod w14:val="50000"/>
            <w14:lumOff w14:val="50000"/>
            <w14:lumMod w14:val="50000"/>
            <w14:lumOff w14:val="50000"/>
            <w14:lumMod w14:val="50000"/>
          </w14:srgbClr>
        </w14:solidFill>
      </w14:textFill>
    </w:rPr>
  </w:style>
  <w:style w:type="table" w:styleId="TableGrid">
    <w:name w:val="Table Grid"/>
    <w:basedOn w:val="TableNormal"/>
    <w:rsid w:val="00666E0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OC1Char">
    <w:name w:val="TOC 1 Char"/>
    <w:basedOn w:val="DefaultParagraphFont"/>
    <w:link w:val="TOC1"/>
    <w:rsid w:val="00F73727"/>
    <w:rPr>
      <w:rFonts w:ascii="Arial" w:hAnsi="Arial"/>
      <w:b/>
      <w:sz w:val="26"/>
      <w:szCs w:val="26"/>
      <w:lang w:eastAsia="en-US"/>
    </w:rPr>
  </w:style>
  <w:style w:type="character" w:customStyle="1" w:styleId="Heading3Char">
    <w:name w:val="Heading 3 Char"/>
    <w:basedOn w:val="DefaultParagraphFont"/>
    <w:link w:val="Heading3"/>
    <w:rsid w:val="009E7CB5"/>
    <w:rPr>
      <w:rFonts w:ascii="Arial" w:hAnsi="Arial"/>
      <w:b/>
      <w:sz w:val="26"/>
      <w:szCs w:val="24"/>
    </w:rPr>
  </w:style>
  <w:style w:type="character" w:customStyle="1" w:styleId="FootnoteTextChar">
    <w:name w:val="Footnote Text Char"/>
    <w:basedOn w:val="DefaultParagraphFont"/>
    <w:link w:val="FootnoteText"/>
    <w:rsid w:val="009E7CB5"/>
  </w:style>
  <w:style w:type="character" w:customStyle="1" w:styleId="CommentTextChar">
    <w:name w:val="Comment Text Char"/>
    <w:basedOn w:val="DefaultParagraphFont"/>
    <w:uiPriority w:val="99"/>
    <w:semiHidden/>
    <w:rsid w:val="009E7CB5"/>
    <w:rPr>
      <w:szCs w:val="24"/>
    </w:rPr>
  </w:style>
  <w:style w:type="paragraph" w:styleId="CommentSubject">
    <w:name w:val="annotation subject"/>
    <w:basedOn w:val="CommentText"/>
    <w:next w:val="CommentText"/>
    <w:link w:val="CommentSubjectChar"/>
    <w:rsid w:val="009E7CB5"/>
    <w:pPr>
      <w:spacing w:before="0" w:line="240" w:lineRule="auto"/>
      <w:ind w:left="0" w:firstLine="0"/>
    </w:pPr>
    <w:rPr>
      <w:b/>
      <w:bCs/>
      <w:szCs w:val="20"/>
    </w:rPr>
  </w:style>
  <w:style w:type="character" w:customStyle="1" w:styleId="CommentTextChar1">
    <w:name w:val="Comment Text Char1"/>
    <w:basedOn w:val="DefaultParagraphFont"/>
    <w:link w:val="CommentText"/>
    <w:uiPriority w:val="99"/>
    <w:semiHidden/>
    <w:rsid w:val="009E7CB5"/>
    <w:rPr>
      <w:szCs w:val="24"/>
    </w:rPr>
  </w:style>
  <w:style w:type="character" w:customStyle="1" w:styleId="CommentSubjectChar">
    <w:name w:val="Comment Subject Char"/>
    <w:basedOn w:val="CommentTextChar1"/>
    <w:link w:val="CommentSubject"/>
    <w:rsid w:val="009E7CB5"/>
    <w:rPr>
      <w:b/>
      <w:bCs/>
      <w:szCs w:val="24"/>
    </w:rPr>
  </w:style>
  <w:style w:type="character" w:styleId="Hyperlink">
    <w:name w:val="Hyperlink"/>
    <w:basedOn w:val="DefaultParagraphFont"/>
    <w:rsid w:val="009E7CB5"/>
    <w:rPr>
      <w:color w:val="78A22F" w:themeColor="hyperlink"/>
      <w:u w:val="single"/>
    </w:rPr>
  </w:style>
  <w:style w:type="paragraph" w:styleId="Revision">
    <w:name w:val="Revision"/>
    <w:hidden/>
    <w:uiPriority w:val="99"/>
    <w:semiHidden/>
    <w:rsid w:val="009E7CB5"/>
    <w:rPr>
      <w:sz w:val="24"/>
      <w:szCs w:val="24"/>
    </w:rPr>
  </w:style>
  <w:style w:type="character" w:styleId="EndnoteReference">
    <w:name w:val="endnote reference"/>
    <w:basedOn w:val="DefaultParagraphFont"/>
    <w:rsid w:val="00D17E36"/>
    <w:rPr>
      <w:vertAlign w:val="superscript"/>
    </w:rPr>
  </w:style>
  <w:style w:type="paragraph" w:styleId="Bibliography">
    <w:name w:val="Bibliography"/>
    <w:basedOn w:val="Normal"/>
    <w:next w:val="Normal"/>
    <w:uiPriority w:val="37"/>
    <w:unhideWhenUsed/>
    <w:rsid w:val="00142445"/>
    <w:pPr>
      <w:spacing w:after="240"/>
      <w:ind w:left="720" w:hanging="7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1" w:defUnhideWhenUsed="1" w:defQFormat="0" w:count="267">
    <w:lsdException w:name="Normal" w:semiHidden="0" w:unhideWhenUsed="0"/>
    <w:lsdException w:name="heading 1" w:semiHidden="0" w:unhideWhenUsed="0"/>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lsdException w:name="annotation text"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lsdException w:name="Body Text"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lsdException w:name="Emphasis" w:semiHidden="0" w:unhideWhenUsed="0"/>
    <w:lsdException w:name="No List" w:uiPriority="99"/>
    <w:lsdException w:name="Table Grid" w:semiHidden="0" w:unhideWhenUsed="0"/>
    <w:lsdException w:name="Placeholder Text" w:uiPriority="99"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lsdException w:name="Quote" w:semiHidden="0"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rsid w:val="00A02826"/>
    <w:rPr>
      <w:sz w:val="24"/>
      <w:szCs w:val="24"/>
    </w:rPr>
  </w:style>
  <w:style w:type="paragraph" w:styleId="Heading1">
    <w:name w:val="heading 1"/>
    <w:basedOn w:val="Normal"/>
    <w:next w:val="BodyText"/>
    <w:rsid w:val="00FD22B1"/>
    <w:pPr>
      <w:keepNext/>
      <w:spacing w:before="160" w:after="1360" w:line="600" w:lineRule="exact"/>
      <w:ind w:left="907" w:hanging="907"/>
      <w:outlineLvl w:val="0"/>
    </w:pPr>
    <w:rPr>
      <w:sz w:val="52"/>
    </w:rPr>
  </w:style>
  <w:style w:type="paragraph" w:styleId="Heading2">
    <w:name w:val="heading 2"/>
    <w:basedOn w:val="Chapter"/>
    <w:next w:val="BodyText"/>
    <w:qFormat/>
    <w:rsid w:val="00A17328"/>
    <w:pPr>
      <w:spacing w:before="600" w:after="0" w:line="400" w:lineRule="exact"/>
      <w:ind w:left="907" w:hanging="907"/>
      <w:outlineLvl w:val="1"/>
    </w:pPr>
    <w:rPr>
      <w:rFonts w:ascii="Arial" w:hAnsi="Arial"/>
      <w:b/>
      <w:sz w:val="32"/>
    </w:rPr>
  </w:style>
  <w:style w:type="paragraph" w:styleId="Heading3">
    <w:name w:val="heading 3"/>
    <w:basedOn w:val="Heading2"/>
    <w:next w:val="BodyText"/>
    <w:link w:val="Heading3Char"/>
    <w:qFormat/>
    <w:rsid w:val="00A17328"/>
    <w:pPr>
      <w:spacing w:before="560" w:line="320" w:lineRule="exact"/>
      <w:ind w:left="0" w:firstLine="0"/>
      <w:outlineLvl w:val="2"/>
    </w:pPr>
    <w:rPr>
      <w:sz w:val="26"/>
    </w:rPr>
  </w:style>
  <w:style w:type="paragraph" w:styleId="Heading4">
    <w:name w:val="heading 4"/>
    <w:basedOn w:val="Heading3"/>
    <w:next w:val="BodyText"/>
    <w:qFormat/>
    <w:rsid w:val="00812F4A"/>
    <w:pPr>
      <w:spacing w:before="480"/>
      <w:outlineLvl w:val="3"/>
    </w:pPr>
    <w:rPr>
      <w:b w:val="0"/>
      <w:sz w:val="24"/>
    </w:rPr>
  </w:style>
  <w:style w:type="paragraph" w:styleId="Heading5">
    <w:name w:val="heading 5"/>
    <w:basedOn w:val="Heading4"/>
    <w:next w:val="BodyText"/>
    <w:link w:val="Heading5Char"/>
    <w:qFormat/>
    <w:rsid w:val="00812F4A"/>
    <w:pPr>
      <w:outlineLvl w:val="4"/>
    </w:pPr>
    <w:rPr>
      <w:i/>
      <w:sz w:val="22"/>
    </w:rPr>
  </w:style>
  <w:style w:type="paragraph" w:styleId="Heading6">
    <w:name w:val="heading 6"/>
    <w:basedOn w:val="BodyText"/>
    <w:next w:val="BodyText"/>
    <w:semiHidden/>
    <w:rsid w:val="00A17328"/>
    <w:pPr>
      <w:spacing w:after="60"/>
      <w:jc w:val="left"/>
      <w:outlineLvl w:val="5"/>
    </w:pPr>
    <w:rPr>
      <w:i/>
      <w:sz w:val="22"/>
    </w:rPr>
  </w:style>
  <w:style w:type="paragraph" w:styleId="Heading7">
    <w:name w:val="heading 7"/>
    <w:basedOn w:val="BodyText"/>
    <w:next w:val="BodyText"/>
    <w:semiHidden/>
    <w:rsid w:val="00A17328"/>
    <w:pPr>
      <w:spacing w:after="60" w:line="240" w:lineRule="auto"/>
      <w:jc w:val="left"/>
      <w:outlineLvl w:val="6"/>
    </w:pPr>
    <w:rPr>
      <w:rFonts w:ascii="Arial" w:hAnsi="Arial"/>
      <w:sz w:val="20"/>
    </w:rPr>
  </w:style>
  <w:style w:type="paragraph" w:styleId="Heading8">
    <w:name w:val="heading 8"/>
    <w:basedOn w:val="BodyText"/>
    <w:next w:val="BodyText"/>
    <w:semiHidden/>
    <w:rsid w:val="00A17328"/>
    <w:pPr>
      <w:spacing w:after="60" w:line="240" w:lineRule="auto"/>
      <w:jc w:val="left"/>
      <w:outlineLvl w:val="7"/>
    </w:pPr>
    <w:rPr>
      <w:rFonts w:ascii="Arial" w:hAnsi="Arial"/>
      <w:i/>
      <w:sz w:val="20"/>
    </w:rPr>
  </w:style>
  <w:style w:type="paragraph" w:styleId="Heading9">
    <w:name w:val="heading 9"/>
    <w:basedOn w:val="BodyText"/>
    <w:next w:val="BodyText"/>
    <w:semiHidden/>
    <w:rsid w:val="00A17328"/>
    <w:pPr>
      <w:spacing w:after="60" w:line="240" w:lineRule="auto"/>
      <w:jc w:val="left"/>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link w:val="BodyTextChar"/>
    <w:qFormat/>
    <w:rsid w:val="00812F4A"/>
    <w:pPr>
      <w:spacing w:before="240" w:line="300" w:lineRule="atLeast"/>
      <w:jc w:val="both"/>
    </w:pPr>
    <w:rPr>
      <w:sz w:val="24"/>
    </w:rPr>
  </w:style>
  <w:style w:type="paragraph" w:styleId="Footer">
    <w:name w:val="footer"/>
    <w:basedOn w:val="BodyText"/>
    <w:link w:val="FooterChar"/>
    <w:rsid w:val="00E01D7F"/>
    <w:pPr>
      <w:spacing w:before="80" w:line="200" w:lineRule="exact"/>
      <w:ind w:right="6"/>
      <w:jc w:val="left"/>
    </w:pPr>
    <w:rPr>
      <w:rFonts w:ascii="Arial" w:hAnsi="Arial"/>
      <w:caps/>
      <w:spacing w:val="-4"/>
      <w:sz w:val="16"/>
    </w:rPr>
  </w:style>
  <w:style w:type="paragraph" w:customStyle="1" w:styleId="FooterEnd">
    <w:name w:val="Footer End"/>
    <w:basedOn w:val="Footer"/>
    <w:rsid w:val="00A17328"/>
    <w:pPr>
      <w:spacing w:before="0" w:line="20" w:lineRule="exact"/>
    </w:pPr>
  </w:style>
  <w:style w:type="paragraph" w:styleId="Header">
    <w:name w:val="header"/>
    <w:basedOn w:val="BodyText"/>
    <w:rsid w:val="00A17328"/>
    <w:pPr>
      <w:tabs>
        <w:tab w:val="center" w:pos="4394"/>
        <w:tab w:val="right" w:pos="8789"/>
      </w:tabs>
      <w:spacing w:before="0" w:line="240" w:lineRule="atLeast"/>
      <w:jc w:val="left"/>
    </w:pPr>
    <w:rPr>
      <w:rFonts w:ascii="Arial" w:hAnsi="Arial"/>
      <w:caps/>
    </w:rPr>
  </w:style>
  <w:style w:type="paragraph" w:customStyle="1" w:styleId="HeaderEnd">
    <w:name w:val="Header End"/>
    <w:basedOn w:val="Header"/>
    <w:autoRedefine/>
    <w:rsid w:val="00914368"/>
    <w:pPr>
      <w:spacing w:line="20" w:lineRule="exact"/>
    </w:pPr>
    <w:rPr>
      <w:sz w:val="16"/>
    </w:rPr>
  </w:style>
  <w:style w:type="paragraph" w:customStyle="1" w:styleId="HeaderEven">
    <w:name w:val="Header Even"/>
    <w:basedOn w:val="Header"/>
    <w:rsid w:val="00C543F4"/>
  </w:style>
  <w:style w:type="paragraph" w:customStyle="1" w:styleId="HeaderOdd">
    <w:name w:val="Header Odd"/>
    <w:basedOn w:val="Header"/>
    <w:rsid w:val="00C543F4"/>
  </w:style>
  <w:style w:type="character" w:styleId="PageNumber">
    <w:name w:val="page number"/>
    <w:basedOn w:val="DefaultParagraphFont"/>
    <w:rsid w:val="00A17328"/>
    <w:rPr>
      <w:rFonts w:ascii="Arial" w:hAnsi="Arial"/>
      <w:b/>
      <w:sz w:val="16"/>
    </w:rPr>
  </w:style>
  <w:style w:type="paragraph" w:customStyle="1" w:styleId="Abbreviation">
    <w:name w:val="Abbreviation"/>
    <w:basedOn w:val="BodyText"/>
    <w:rsid w:val="00A17328"/>
    <w:pPr>
      <w:spacing w:before="120"/>
      <w:ind w:left="2381" w:hanging="2381"/>
      <w:jc w:val="left"/>
    </w:pPr>
  </w:style>
  <w:style w:type="paragraph" w:customStyle="1" w:styleId="Box">
    <w:name w:val="Box"/>
    <w:basedOn w:val="BodyText"/>
    <w:qFormat/>
    <w:rsid w:val="00812F4A"/>
    <w:pPr>
      <w:keepNext/>
      <w:spacing w:before="120" w:line="260" w:lineRule="atLeast"/>
    </w:pPr>
    <w:rPr>
      <w:rFonts w:ascii="Arial" w:hAnsi="Arial"/>
      <w:sz w:val="20"/>
    </w:rPr>
  </w:style>
  <w:style w:type="paragraph" w:customStyle="1" w:styleId="BoxContinued">
    <w:name w:val="Box Continued"/>
    <w:basedOn w:val="BodyText"/>
    <w:next w:val="BodyText"/>
    <w:semiHidden/>
    <w:rsid w:val="00A17328"/>
    <w:pPr>
      <w:spacing w:before="180" w:line="220" w:lineRule="exact"/>
      <w:jc w:val="right"/>
    </w:pPr>
    <w:rPr>
      <w:rFonts w:ascii="Arial" w:hAnsi="Arial"/>
      <w:sz w:val="18"/>
    </w:rPr>
  </w:style>
  <w:style w:type="paragraph" w:customStyle="1" w:styleId="BoxHeading1">
    <w:name w:val="Box Heading 1"/>
    <w:basedOn w:val="BodyText"/>
    <w:next w:val="Box"/>
    <w:rsid w:val="00A17328"/>
    <w:pPr>
      <w:keepNext/>
      <w:spacing w:before="200" w:line="280" w:lineRule="atLeast"/>
    </w:pPr>
    <w:rPr>
      <w:rFonts w:ascii="Arial" w:hAnsi="Arial"/>
      <w:b/>
      <w:sz w:val="22"/>
    </w:rPr>
  </w:style>
  <w:style w:type="paragraph" w:customStyle="1" w:styleId="BoxHeading2">
    <w:name w:val="Box Heading 2"/>
    <w:basedOn w:val="BoxHeading1"/>
    <w:next w:val="Normal"/>
    <w:rsid w:val="00A17328"/>
    <w:rPr>
      <w:b w:val="0"/>
      <w:i/>
    </w:rPr>
  </w:style>
  <w:style w:type="paragraph" w:customStyle="1" w:styleId="BoxListBullet">
    <w:name w:val="Box List Bullet"/>
    <w:basedOn w:val="BodyText"/>
    <w:rsid w:val="009F5BBD"/>
    <w:pPr>
      <w:keepNext/>
      <w:numPr>
        <w:numId w:val="1"/>
      </w:numPr>
      <w:spacing w:before="100" w:line="260" w:lineRule="atLeast"/>
    </w:pPr>
    <w:rPr>
      <w:rFonts w:ascii="Arial" w:hAnsi="Arial"/>
      <w:sz w:val="20"/>
    </w:rPr>
  </w:style>
  <w:style w:type="paragraph" w:customStyle="1" w:styleId="BoxListBullet2">
    <w:name w:val="Box List Bullet 2"/>
    <w:basedOn w:val="BoxListBullet"/>
    <w:rsid w:val="00812F4A"/>
    <w:pPr>
      <w:numPr>
        <w:numId w:val="13"/>
      </w:numPr>
      <w:ind w:left="568" w:hanging="284"/>
    </w:pPr>
  </w:style>
  <w:style w:type="paragraph" w:customStyle="1" w:styleId="BoxListNumber">
    <w:name w:val="Box List Number"/>
    <w:basedOn w:val="BodyText"/>
    <w:rsid w:val="00812F4A"/>
    <w:pPr>
      <w:keepNext/>
      <w:numPr>
        <w:numId w:val="10"/>
      </w:numPr>
      <w:spacing w:before="100" w:line="260" w:lineRule="atLeast"/>
    </w:pPr>
    <w:rPr>
      <w:rFonts w:ascii="Arial" w:hAnsi="Arial"/>
      <w:sz w:val="20"/>
    </w:rPr>
  </w:style>
  <w:style w:type="paragraph" w:customStyle="1" w:styleId="BoxListNumber2">
    <w:name w:val="Box List Number 2"/>
    <w:basedOn w:val="BoxListNumber"/>
    <w:rsid w:val="00055077"/>
    <w:pPr>
      <w:numPr>
        <w:ilvl w:val="1"/>
      </w:numPr>
      <w:ind w:left="681" w:hanging="397"/>
    </w:pPr>
  </w:style>
  <w:style w:type="paragraph" w:customStyle="1" w:styleId="BoxQuote">
    <w:name w:val="Box Quote"/>
    <w:basedOn w:val="BodyText"/>
    <w:next w:val="Box"/>
    <w:qFormat/>
    <w:rsid w:val="00812F4A"/>
    <w:pPr>
      <w:keepNext/>
      <w:spacing w:before="60" w:line="240" w:lineRule="exact"/>
      <w:ind w:left="284"/>
    </w:pPr>
    <w:rPr>
      <w:rFonts w:ascii="Arial" w:hAnsi="Arial"/>
      <w:sz w:val="18"/>
    </w:rPr>
  </w:style>
  <w:style w:type="paragraph" w:customStyle="1" w:styleId="Note">
    <w:name w:val="Note"/>
    <w:basedOn w:val="BodyText"/>
    <w:next w:val="BodyText"/>
    <w:rsid w:val="00812F4A"/>
    <w:pPr>
      <w:keepLines/>
      <w:spacing w:before="80" w:line="220" w:lineRule="exact"/>
    </w:pPr>
    <w:rPr>
      <w:rFonts w:ascii="Arial" w:hAnsi="Arial"/>
      <w:sz w:val="18"/>
    </w:rPr>
  </w:style>
  <w:style w:type="paragraph" w:customStyle="1" w:styleId="Source">
    <w:name w:val="Source"/>
    <w:basedOn w:val="Normal"/>
    <w:next w:val="BodyText"/>
    <w:rsid w:val="00517795"/>
    <w:pPr>
      <w:keepLines/>
      <w:spacing w:before="80" w:line="220" w:lineRule="exact"/>
      <w:jc w:val="both"/>
    </w:pPr>
    <w:rPr>
      <w:rFonts w:ascii="Arial" w:hAnsi="Arial"/>
      <w:sz w:val="18"/>
      <w:szCs w:val="20"/>
    </w:rPr>
  </w:style>
  <w:style w:type="paragraph" w:customStyle="1" w:styleId="BoxSource">
    <w:name w:val="Box Source"/>
    <w:basedOn w:val="Source"/>
    <w:next w:val="BodyText"/>
    <w:rsid w:val="009F74EF"/>
    <w:pPr>
      <w:spacing w:before="120"/>
    </w:pPr>
  </w:style>
  <w:style w:type="paragraph" w:customStyle="1" w:styleId="BoxSpaceAbove">
    <w:name w:val="Box Space Above"/>
    <w:basedOn w:val="BodyText"/>
    <w:rsid w:val="00A17328"/>
    <w:pPr>
      <w:keepNext/>
      <w:spacing w:before="360" w:line="80" w:lineRule="exact"/>
      <w:jc w:val="left"/>
    </w:pPr>
  </w:style>
  <w:style w:type="paragraph" w:styleId="Caption">
    <w:name w:val="caption"/>
    <w:basedOn w:val="Normal"/>
    <w:next w:val="BodyText"/>
    <w:rsid w:val="00A17328"/>
    <w:pPr>
      <w:keepNext/>
      <w:keepLines/>
      <w:spacing w:before="360" w:after="80" w:line="280" w:lineRule="exact"/>
      <w:ind w:left="1474" w:hanging="1474"/>
    </w:pPr>
    <w:rPr>
      <w:rFonts w:ascii="Arial" w:hAnsi="Arial"/>
      <w:b/>
    </w:rPr>
  </w:style>
  <w:style w:type="paragraph" w:customStyle="1" w:styleId="BoxTitle">
    <w:name w:val="Box Title"/>
    <w:basedOn w:val="Caption"/>
    <w:next w:val="BoxSubtitle"/>
    <w:rsid w:val="009F74EF"/>
    <w:pPr>
      <w:spacing w:before="120" w:after="0"/>
    </w:pPr>
  </w:style>
  <w:style w:type="paragraph" w:customStyle="1" w:styleId="BoxSubtitle">
    <w:name w:val="Box Subtitle"/>
    <w:basedOn w:val="BoxTitle"/>
    <w:next w:val="Normal"/>
    <w:rsid w:val="009F74EF"/>
    <w:pPr>
      <w:spacing w:after="80" w:line="200" w:lineRule="exact"/>
      <w:ind w:firstLine="0"/>
    </w:pPr>
    <w:rPr>
      <w:b w:val="0"/>
      <w:sz w:val="20"/>
    </w:rPr>
  </w:style>
  <w:style w:type="paragraph" w:customStyle="1" w:styleId="Chapter">
    <w:name w:val="Chapter"/>
    <w:basedOn w:val="Heading1"/>
    <w:next w:val="BodyText"/>
    <w:semiHidden/>
    <w:rsid w:val="00A17328"/>
    <w:pPr>
      <w:ind w:left="0" w:firstLine="0"/>
      <w:outlineLvl w:val="9"/>
    </w:pPr>
  </w:style>
  <w:style w:type="paragraph" w:customStyle="1" w:styleId="ChapterSummary">
    <w:name w:val="Chapter Summary"/>
    <w:basedOn w:val="BodyText"/>
    <w:rsid w:val="00517795"/>
    <w:pPr>
      <w:spacing w:line="280" w:lineRule="atLeast"/>
      <w:ind w:left="907"/>
    </w:pPr>
    <w:rPr>
      <w:rFonts w:ascii="Arial" w:hAnsi="Arial"/>
      <w:b/>
      <w:sz w:val="20"/>
    </w:rPr>
  </w:style>
  <w:style w:type="character" w:styleId="CommentReference">
    <w:name w:val="annotation reference"/>
    <w:basedOn w:val="DefaultParagraphFont"/>
    <w:uiPriority w:val="99"/>
    <w:semiHidden/>
    <w:rsid w:val="00A17328"/>
    <w:rPr>
      <w:b/>
      <w:vanish/>
      <w:color w:val="FF00FF"/>
      <w:sz w:val="20"/>
    </w:rPr>
  </w:style>
  <w:style w:type="paragraph" w:styleId="CommentText">
    <w:name w:val="annotation text"/>
    <w:basedOn w:val="Normal"/>
    <w:link w:val="CommentTextChar1"/>
    <w:uiPriority w:val="99"/>
    <w:semiHidden/>
    <w:rsid w:val="00A17328"/>
    <w:pPr>
      <w:spacing w:before="120" w:line="240" w:lineRule="atLeast"/>
      <w:ind w:left="567" w:hanging="567"/>
    </w:pPr>
    <w:rPr>
      <w:sz w:val="20"/>
    </w:rPr>
  </w:style>
  <w:style w:type="paragraph" w:customStyle="1" w:styleId="Continued">
    <w:name w:val="Continued"/>
    <w:basedOn w:val="BoxContinued"/>
    <w:next w:val="BodyText"/>
    <w:rsid w:val="00517795"/>
  </w:style>
  <w:style w:type="character" w:customStyle="1" w:styleId="DocumentInfo">
    <w:name w:val="Document Info"/>
    <w:basedOn w:val="DefaultParagraphFont"/>
    <w:semiHidden/>
    <w:rsid w:val="00A17328"/>
    <w:rPr>
      <w:rFonts w:ascii="Arial" w:hAnsi="Arial"/>
      <w:sz w:val="14"/>
    </w:rPr>
  </w:style>
  <w:style w:type="character" w:customStyle="1" w:styleId="DraftingNote">
    <w:name w:val="Drafting Note"/>
    <w:basedOn w:val="DefaultParagraphFont"/>
    <w:rsid w:val="00A17328"/>
    <w:rPr>
      <w:b/>
      <w:color w:val="FF0000"/>
      <w:sz w:val="24"/>
      <w:u w:val="dotted"/>
    </w:rPr>
  </w:style>
  <w:style w:type="paragraph" w:customStyle="1" w:styleId="Figure">
    <w:name w:val="Figure"/>
    <w:basedOn w:val="BodyText"/>
    <w:rsid w:val="00A17328"/>
    <w:pPr>
      <w:keepNext/>
      <w:spacing w:before="120" w:after="120" w:line="240" w:lineRule="atLeast"/>
      <w:jc w:val="center"/>
    </w:pPr>
  </w:style>
  <w:style w:type="paragraph" w:customStyle="1" w:styleId="FigureTitle">
    <w:name w:val="Figure Title"/>
    <w:basedOn w:val="Caption"/>
    <w:next w:val="Subtitle"/>
    <w:rsid w:val="009F74EF"/>
    <w:pPr>
      <w:spacing w:before="120"/>
    </w:pPr>
  </w:style>
  <w:style w:type="paragraph" w:styleId="Subtitle">
    <w:name w:val="Subtitle"/>
    <w:basedOn w:val="Caption"/>
    <w:link w:val="SubtitleChar"/>
    <w:qFormat/>
    <w:rsid w:val="00301E4A"/>
    <w:pPr>
      <w:spacing w:before="0" w:line="200" w:lineRule="exact"/>
      <w:ind w:firstLine="0"/>
    </w:pPr>
    <w:rPr>
      <w:b w:val="0"/>
      <w:sz w:val="20"/>
    </w:rPr>
  </w:style>
  <w:style w:type="paragraph" w:customStyle="1" w:styleId="Finding">
    <w:name w:val="Finding"/>
    <w:basedOn w:val="BodyText"/>
    <w:rsid w:val="009F5BBD"/>
    <w:pPr>
      <w:keepLines/>
      <w:spacing w:before="120" w:line="280" w:lineRule="atLeast"/>
    </w:pPr>
    <w:rPr>
      <w:rFonts w:ascii="Arial" w:hAnsi="Arial"/>
      <w:sz w:val="22"/>
    </w:rPr>
  </w:style>
  <w:style w:type="paragraph" w:customStyle="1" w:styleId="FindingBullet">
    <w:name w:val="Finding Bullet"/>
    <w:basedOn w:val="Finding"/>
    <w:rsid w:val="009F5BBD"/>
    <w:pPr>
      <w:numPr>
        <w:numId w:val="15"/>
      </w:numPr>
      <w:spacing w:before="80"/>
    </w:pPr>
  </w:style>
  <w:style w:type="paragraph" w:customStyle="1" w:styleId="FindingNoTitle">
    <w:name w:val="Finding NoTitle"/>
    <w:basedOn w:val="Finding"/>
    <w:semiHidden/>
    <w:rsid w:val="00AB0681"/>
    <w:pPr>
      <w:spacing w:before="240"/>
    </w:pPr>
  </w:style>
  <w:style w:type="paragraph" w:customStyle="1" w:styleId="RecTitle">
    <w:name w:val="Rec Title"/>
    <w:basedOn w:val="BodyText"/>
    <w:next w:val="Rec"/>
    <w:qFormat/>
    <w:rsid w:val="009F5BBD"/>
    <w:pPr>
      <w:keepNext/>
      <w:keepLines/>
      <w:spacing w:line="280" w:lineRule="atLeast"/>
    </w:pPr>
    <w:rPr>
      <w:rFonts w:ascii="Arial" w:hAnsi="Arial"/>
      <w:caps/>
      <w:sz w:val="18"/>
    </w:rPr>
  </w:style>
  <w:style w:type="paragraph" w:customStyle="1" w:styleId="FindingTitle">
    <w:name w:val="Finding Title"/>
    <w:basedOn w:val="RecTitle"/>
    <w:next w:val="Finding"/>
    <w:rsid w:val="009021A6"/>
  </w:style>
  <w:style w:type="character" w:styleId="FootnoteReference">
    <w:name w:val="footnote reference"/>
    <w:basedOn w:val="DefaultParagraphFont"/>
    <w:semiHidden/>
    <w:rsid w:val="00243997"/>
    <w:rPr>
      <w:rFonts w:ascii="Times New Roman" w:hAnsi="Times New Roman"/>
      <w:position w:val="6"/>
      <w:sz w:val="20"/>
      <w:vertAlign w:val="baseline"/>
    </w:rPr>
  </w:style>
  <w:style w:type="paragraph" w:styleId="FootnoteText">
    <w:name w:val="footnote text"/>
    <w:basedOn w:val="BodyText"/>
    <w:link w:val="FootnoteTextChar"/>
    <w:rsid w:val="00243997"/>
    <w:pPr>
      <w:tabs>
        <w:tab w:val="left" w:pos="284"/>
      </w:tabs>
      <w:spacing w:before="80" w:line="240" w:lineRule="exact"/>
      <w:ind w:left="284" w:hanging="284"/>
    </w:pPr>
    <w:rPr>
      <w:sz w:val="20"/>
    </w:rPr>
  </w:style>
  <w:style w:type="paragraph" w:customStyle="1" w:styleId="InformationRequest">
    <w:name w:val="Information Request"/>
    <w:basedOn w:val="Finding"/>
    <w:next w:val="BodyText"/>
    <w:rsid w:val="009F5BBD"/>
    <w:rPr>
      <w:i/>
    </w:rPr>
  </w:style>
  <w:style w:type="paragraph" w:customStyle="1" w:styleId="Jurisdictioncommentsbodytext">
    <w:name w:val="Jurisdiction comments body text"/>
    <w:rsid w:val="00A17328"/>
    <w:pPr>
      <w:spacing w:after="140"/>
      <w:jc w:val="both"/>
    </w:pPr>
    <w:rPr>
      <w:rFonts w:ascii="Arial" w:hAnsi="Arial"/>
      <w:sz w:val="24"/>
      <w:lang w:eastAsia="en-US"/>
    </w:rPr>
  </w:style>
  <w:style w:type="paragraph" w:customStyle="1" w:styleId="Jurisdictioncommentsheading">
    <w:name w:val="Jurisdiction comments heading"/>
    <w:rsid w:val="00A17328"/>
    <w:pPr>
      <w:spacing w:after="140" w:line="320" w:lineRule="atLeast"/>
      <w:jc w:val="both"/>
    </w:pPr>
    <w:rPr>
      <w:rFonts w:ascii="Arial" w:hAnsi="Arial"/>
      <w:b/>
      <w:sz w:val="24"/>
      <w:lang w:eastAsia="en-US"/>
    </w:rPr>
  </w:style>
  <w:style w:type="paragraph" w:customStyle="1" w:styleId="Jurisdictioncommentslistbullet">
    <w:name w:val="Jurisdiction comments list bullet"/>
    <w:rsid w:val="00A17328"/>
    <w:pPr>
      <w:numPr>
        <w:numId w:val="2"/>
      </w:numPr>
      <w:spacing w:after="140"/>
      <w:jc w:val="both"/>
    </w:pPr>
    <w:rPr>
      <w:rFonts w:ascii="Arial" w:hAnsi="Arial"/>
      <w:sz w:val="24"/>
      <w:lang w:eastAsia="en-US"/>
    </w:rPr>
  </w:style>
  <w:style w:type="paragraph" w:styleId="ListBullet">
    <w:name w:val="List Bullet"/>
    <w:basedOn w:val="BodyText"/>
    <w:rsid w:val="00812F4A"/>
    <w:pPr>
      <w:numPr>
        <w:numId w:val="3"/>
      </w:numPr>
      <w:spacing w:before="120"/>
    </w:pPr>
  </w:style>
  <w:style w:type="paragraph" w:styleId="ListBullet2">
    <w:name w:val="List Bullet 2"/>
    <w:basedOn w:val="BodyText"/>
    <w:rsid w:val="00DB67C9"/>
    <w:pPr>
      <w:numPr>
        <w:numId w:val="4"/>
      </w:numPr>
      <w:spacing w:before="120"/>
    </w:pPr>
  </w:style>
  <w:style w:type="paragraph" w:styleId="ListBullet3">
    <w:name w:val="List Bullet 3"/>
    <w:basedOn w:val="BodyText"/>
    <w:rsid w:val="00055077"/>
    <w:pPr>
      <w:numPr>
        <w:numId w:val="5"/>
      </w:numPr>
      <w:spacing w:before="120"/>
      <w:ind w:left="1020" w:hanging="340"/>
    </w:pPr>
  </w:style>
  <w:style w:type="paragraph" w:styleId="ListNumber">
    <w:name w:val="List Number"/>
    <w:basedOn w:val="BodyText"/>
    <w:rsid w:val="00864ADC"/>
    <w:pPr>
      <w:numPr>
        <w:numId w:val="9"/>
      </w:numPr>
      <w:spacing w:before="120"/>
    </w:pPr>
  </w:style>
  <w:style w:type="paragraph" w:styleId="ListNumber2">
    <w:name w:val="List Number 2"/>
    <w:basedOn w:val="ListNumber"/>
    <w:rsid w:val="00864ADC"/>
    <w:pPr>
      <w:numPr>
        <w:ilvl w:val="1"/>
      </w:numPr>
    </w:pPr>
  </w:style>
  <w:style w:type="paragraph" w:styleId="ListNumber3">
    <w:name w:val="List Number 3"/>
    <w:basedOn w:val="ListNumber2"/>
    <w:rsid w:val="00C52416"/>
    <w:pPr>
      <w:numPr>
        <w:ilvl w:val="2"/>
      </w:numPr>
    </w:pPr>
  </w:style>
  <w:style w:type="character" w:customStyle="1" w:styleId="NoteLabel">
    <w:name w:val="Note Label"/>
    <w:basedOn w:val="DefaultParagraphFont"/>
    <w:rsid w:val="00812F4A"/>
    <w:rPr>
      <w:rFonts w:ascii="Arial" w:hAnsi="Arial"/>
      <w:b/>
      <w:position w:val="6"/>
      <w:sz w:val="18"/>
    </w:rPr>
  </w:style>
  <w:style w:type="paragraph" w:customStyle="1" w:styleId="PartDivider">
    <w:name w:val="Part Divider"/>
    <w:basedOn w:val="BodyText"/>
    <w:next w:val="BodyText"/>
    <w:semiHidden/>
    <w:rsid w:val="00A17328"/>
    <w:pPr>
      <w:spacing w:before="0" w:line="40" w:lineRule="exact"/>
      <w:jc w:val="right"/>
    </w:pPr>
    <w:rPr>
      <w:smallCaps/>
      <w:sz w:val="16"/>
    </w:rPr>
  </w:style>
  <w:style w:type="paragraph" w:customStyle="1" w:styleId="PartNumber">
    <w:name w:val="Part Number"/>
    <w:basedOn w:val="BodyText"/>
    <w:next w:val="BodyText"/>
    <w:semiHidden/>
    <w:rsid w:val="00A17328"/>
    <w:pPr>
      <w:spacing w:before="4000" w:line="320" w:lineRule="exact"/>
      <w:ind w:left="6634"/>
      <w:jc w:val="right"/>
    </w:pPr>
    <w:rPr>
      <w:smallCaps/>
      <w:spacing w:val="60"/>
      <w:sz w:val="32"/>
    </w:rPr>
  </w:style>
  <w:style w:type="paragraph" w:customStyle="1" w:styleId="PartTitle">
    <w:name w:val="Part Title"/>
    <w:basedOn w:val="BodyText"/>
    <w:semiHidden/>
    <w:rsid w:val="00A17328"/>
    <w:pPr>
      <w:spacing w:before="160" w:after="1360" w:line="520" w:lineRule="exact"/>
      <w:ind w:right="2381"/>
      <w:jc w:val="right"/>
    </w:pPr>
    <w:rPr>
      <w:smallCaps/>
      <w:sz w:val="52"/>
    </w:rPr>
  </w:style>
  <w:style w:type="paragraph" w:styleId="Quote">
    <w:name w:val="Quote"/>
    <w:basedOn w:val="BodyText"/>
    <w:next w:val="BodyText"/>
    <w:qFormat/>
    <w:rsid w:val="00CB7CED"/>
    <w:pPr>
      <w:spacing w:before="120" w:line="280" w:lineRule="exact"/>
      <w:ind w:left="340"/>
    </w:pPr>
    <w:rPr>
      <w:sz w:val="22"/>
    </w:rPr>
  </w:style>
  <w:style w:type="paragraph" w:customStyle="1" w:styleId="QuoteBullet">
    <w:name w:val="Quote Bullet"/>
    <w:basedOn w:val="Quote"/>
    <w:rsid w:val="00812F4A"/>
    <w:pPr>
      <w:numPr>
        <w:numId w:val="6"/>
      </w:numPr>
    </w:pPr>
  </w:style>
  <w:style w:type="paragraph" w:customStyle="1" w:styleId="Rec">
    <w:name w:val="Rec"/>
    <w:basedOn w:val="BodyText"/>
    <w:qFormat/>
    <w:rsid w:val="009F5BBD"/>
    <w:pPr>
      <w:keepLines/>
      <w:spacing w:before="120" w:line="280" w:lineRule="atLeast"/>
    </w:pPr>
    <w:rPr>
      <w:rFonts w:ascii="Arial" w:hAnsi="Arial"/>
      <w:sz w:val="22"/>
    </w:rPr>
  </w:style>
  <w:style w:type="paragraph" w:customStyle="1" w:styleId="RecBullet">
    <w:name w:val="Rec Bullet"/>
    <w:basedOn w:val="Rec"/>
    <w:rsid w:val="00301E4A"/>
    <w:pPr>
      <w:numPr>
        <w:numId w:val="17"/>
      </w:numPr>
      <w:spacing w:before="80"/>
    </w:pPr>
  </w:style>
  <w:style w:type="paragraph" w:customStyle="1" w:styleId="RecB">
    <w:name w:val="RecB"/>
    <w:basedOn w:val="Normal"/>
    <w:semiHidden/>
    <w:rsid w:val="00F85325"/>
    <w:pPr>
      <w:keepLines/>
      <w:pBdr>
        <w:left w:val="single" w:sz="24" w:space="12" w:color="C0C0C0"/>
      </w:pBdr>
      <w:spacing w:before="180" w:line="320" w:lineRule="atLeast"/>
      <w:jc w:val="both"/>
    </w:pPr>
    <w:rPr>
      <w:b/>
      <w:i/>
      <w:szCs w:val="20"/>
    </w:rPr>
  </w:style>
  <w:style w:type="paragraph" w:customStyle="1" w:styleId="RecBBullet">
    <w:name w:val="RecB Bullet"/>
    <w:basedOn w:val="RecB"/>
    <w:semiHidden/>
    <w:rsid w:val="00F85325"/>
    <w:pPr>
      <w:numPr>
        <w:numId w:val="11"/>
      </w:numPr>
      <w:spacing w:before="80"/>
    </w:pPr>
  </w:style>
  <w:style w:type="paragraph" w:customStyle="1" w:styleId="RecBNoTitle">
    <w:name w:val="RecB NoTitle"/>
    <w:basedOn w:val="RecB"/>
    <w:semiHidden/>
    <w:rsid w:val="00F85325"/>
    <w:pPr>
      <w:spacing w:before="240"/>
    </w:pPr>
  </w:style>
  <w:style w:type="paragraph" w:customStyle="1" w:styleId="Reference">
    <w:name w:val="Reference"/>
    <w:basedOn w:val="BodyText"/>
    <w:rsid w:val="00A17328"/>
    <w:pPr>
      <w:spacing w:before="120"/>
      <w:ind w:left="340" w:hanging="340"/>
    </w:pPr>
  </w:style>
  <w:style w:type="paragraph" w:customStyle="1" w:styleId="SequenceInfo">
    <w:name w:val="Sequence Info"/>
    <w:basedOn w:val="BodyText"/>
    <w:semiHidden/>
    <w:rsid w:val="00A17328"/>
    <w:rPr>
      <w:vanish/>
      <w:sz w:val="16"/>
    </w:rPr>
  </w:style>
  <w:style w:type="paragraph" w:customStyle="1" w:styleId="SideNote">
    <w:name w:val="Side Note"/>
    <w:basedOn w:val="BodyText"/>
    <w:next w:val="BodyText"/>
    <w:semiHidden/>
    <w:rsid w:val="00A17328"/>
    <w:pPr>
      <w:keepNext/>
      <w:keepLines/>
      <w:framePr w:w="2155" w:hSpace="227" w:vSpace="181" w:wrap="around" w:vAnchor="text" w:hAnchor="page" w:xAlign="outside" w:y="1"/>
      <w:jc w:val="left"/>
    </w:pPr>
    <w:rPr>
      <w:i/>
    </w:rPr>
  </w:style>
  <w:style w:type="paragraph" w:customStyle="1" w:styleId="SideNoteBullet">
    <w:name w:val="Side Note Bullet"/>
    <w:basedOn w:val="SideNote"/>
    <w:next w:val="BodyText"/>
    <w:semiHidden/>
    <w:rsid w:val="00A17328"/>
    <w:pPr>
      <w:framePr w:wrap="around"/>
      <w:numPr>
        <w:numId w:val="7"/>
      </w:numPr>
      <w:tabs>
        <w:tab w:val="left" w:pos="227"/>
      </w:tabs>
    </w:pPr>
  </w:style>
  <w:style w:type="paragraph" w:customStyle="1" w:styleId="SideNoteGraphic">
    <w:name w:val="Side Note Graphic"/>
    <w:basedOn w:val="SideNote"/>
    <w:next w:val="BodyText"/>
    <w:semiHidden/>
    <w:rsid w:val="00A17328"/>
    <w:pPr>
      <w:framePr w:wrap="around"/>
    </w:pPr>
  </w:style>
  <w:style w:type="paragraph" w:customStyle="1" w:styleId="TableBodyText">
    <w:name w:val="Table Body Text"/>
    <w:basedOn w:val="BodyText"/>
    <w:rsid w:val="00812F4A"/>
    <w:pPr>
      <w:keepNext/>
      <w:keepLines/>
      <w:spacing w:before="0" w:after="40" w:line="200" w:lineRule="atLeast"/>
      <w:ind w:left="6" w:right="113"/>
      <w:jc w:val="right"/>
    </w:pPr>
    <w:rPr>
      <w:rFonts w:ascii="Arial" w:hAnsi="Arial"/>
      <w:sz w:val="18"/>
    </w:rPr>
  </w:style>
  <w:style w:type="paragraph" w:customStyle="1" w:styleId="TableBullet">
    <w:name w:val="Table Bullet"/>
    <w:basedOn w:val="TableBodyText"/>
    <w:rsid w:val="00812F4A"/>
    <w:pPr>
      <w:numPr>
        <w:numId w:val="8"/>
      </w:numPr>
      <w:jc w:val="left"/>
    </w:pPr>
  </w:style>
  <w:style w:type="paragraph" w:customStyle="1" w:styleId="TableColumnHeading">
    <w:name w:val="Table Column Heading"/>
    <w:basedOn w:val="TableBodyText"/>
    <w:rsid w:val="00812F4A"/>
    <w:pPr>
      <w:spacing w:before="80" w:after="80"/>
    </w:pPr>
    <w:rPr>
      <w:i/>
    </w:rPr>
  </w:style>
  <w:style w:type="paragraph" w:styleId="TOC2">
    <w:name w:val="toc 2"/>
    <w:basedOn w:val="TOC1"/>
    <w:rsid w:val="00F35BFB"/>
    <w:pPr>
      <w:ind w:left="1134" w:hanging="624"/>
    </w:pPr>
    <w:rPr>
      <w:b w:val="0"/>
    </w:rPr>
  </w:style>
  <w:style w:type="paragraph" w:styleId="TOC3">
    <w:name w:val="toc 3"/>
    <w:basedOn w:val="TOC2"/>
    <w:rsid w:val="00F73727"/>
    <w:pPr>
      <w:spacing w:before="60"/>
      <w:ind w:left="1190" w:hanging="680"/>
    </w:pPr>
  </w:style>
  <w:style w:type="paragraph" w:styleId="TableofFigures">
    <w:name w:val="table of figures"/>
    <w:basedOn w:val="TOC3"/>
    <w:next w:val="BodyText"/>
    <w:semiHidden/>
    <w:rsid w:val="00A17328"/>
    <w:pPr>
      <w:ind w:left="737" w:hanging="737"/>
    </w:pPr>
  </w:style>
  <w:style w:type="paragraph" w:customStyle="1" w:styleId="TableTitle">
    <w:name w:val="Table Title"/>
    <w:basedOn w:val="Caption"/>
    <w:next w:val="Subtitle"/>
    <w:qFormat/>
    <w:rsid w:val="009021A6"/>
    <w:pPr>
      <w:spacing w:before="120"/>
    </w:pPr>
  </w:style>
  <w:style w:type="paragraph" w:customStyle="1" w:styleId="TableUnitsRow">
    <w:name w:val="Table Units Row"/>
    <w:basedOn w:val="TableBodyText"/>
    <w:rsid w:val="008D7622"/>
    <w:pPr>
      <w:spacing w:before="40"/>
    </w:pPr>
  </w:style>
  <w:style w:type="paragraph" w:styleId="TOC1">
    <w:name w:val="toc 1"/>
    <w:basedOn w:val="Normal"/>
    <w:next w:val="TOC2"/>
    <w:link w:val="TOC1Char"/>
    <w:rsid w:val="00F73727"/>
    <w:pPr>
      <w:tabs>
        <w:tab w:val="right" w:pos="8789"/>
      </w:tabs>
      <w:spacing w:before="120" w:line="320" w:lineRule="exact"/>
      <w:ind w:left="510" w:right="851" w:hanging="510"/>
    </w:pPr>
    <w:rPr>
      <w:rFonts w:ascii="Arial" w:hAnsi="Arial"/>
      <w:b/>
      <w:sz w:val="26"/>
      <w:szCs w:val="26"/>
      <w:lang w:eastAsia="en-US"/>
    </w:rPr>
  </w:style>
  <w:style w:type="paragraph" w:styleId="TOC4">
    <w:name w:val="toc 4"/>
    <w:basedOn w:val="TOC3"/>
    <w:semiHidden/>
    <w:rsid w:val="00A17328"/>
    <w:pPr>
      <w:ind w:left="1191" w:firstLine="0"/>
    </w:pPr>
  </w:style>
  <w:style w:type="paragraph" w:customStyle="1" w:styleId="RecBBullet2">
    <w:name w:val="RecB Bullet 2"/>
    <w:basedOn w:val="ListBullet2"/>
    <w:semiHidden/>
    <w:rsid w:val="006B2B3C"/>
    <w:pPr>
      <w:pBdr>
        <w:left w:val="single" w:sz="24" w:space="29" w:color="C0C0C0"/>
      </w:pBdr>
    </w:pPr>
    <w:rPr>
      <w:b/>
      <w:i/>
    </w:rPr>
  </w:style>
  <w:style w:type="paragraph" w:styleId="BalloonText">
    <w:name w:val="Balloon Text"/>
    <w:basedOn w:val="Normal"/>
    <w:link w:val="BalloonTextChar"/>
    <w:rsid w:val="006B2B3C"/>
    <w:rPr>
      <w:rFonts w:ascii="Tahoma" w:hAnsi="Tahoma" w:cs="Tahoma"/>
      <w:sz w:val="16"/>
      <w:szCs w:val="16"/>
    </w:rPr>
  </w:style>
  <w:style w:type="character" w:customStyle="1" w:styleId="BalloonTextChar">
    <w:name w:val="Balloon Text Char"/>
    <w:basedOn w:val="DefaultParagraphFont"/>
    <w:link w:val="BalloonText"/>
    <w:rsid w:val="006B2B3C"/>
    <w:rPr>
      <w:rFonts w:ascii="Tahoma" w:hAnsi="Tahoma" w:cs="Tahoma"/>
      <w:sz w:val="16"/>
      <w:szCs w:val="16"/>
    </w:rPr>
  </w:style>
  <w:style w:type="character" w:customStyle="1" w:styleId="SubtitleChar">
    <w:name w:val="Subtitle Char"/>
    <w:basedOn w:val="DefaultParagraphFont"/>
    <w:link w:val="Subtitle"/>
    <w:rsid w:val="00301E4A"/>
    <w:rPr>
      <w:rFonts w:ascii="Arial" w:hAnsi="Arial"/>
      <w:szCs w:val="24"/>
    </w:rPr>
  </w:style>
  <w:style w:type="paragraph" w:customStyle="1" w:styleId="BoxListBullet3">
    <w:name w:val="Box List Bullet 3"/>
    <w:basedOn w:val="ListBullet3"/>
    <w:rsid w:val="00812F4A"/>
    <w:pPr>
      <w:numPr>
        <w:numId w:val="14"/>
      </w:numPr>
      <w:tabs>
        <w:tab w:val="left" w:pos="907"/>
      </w:tabs>
      <w:spacing w:before="60" w:line="260" w:lineRule="atLeast"/>
      <w:ind w:left="907" w:hanging="340"/>
    </w:pPr>
    <w:rPr>
      <w:rFonts w:ascii="Arial" w:hAnsi="Arial"/>
      <w:sz w:val="20"/>
    </w:rPr>
  </w:style>
  <w:style w:type="character" w:styleId="Emphasis">
    <w:name w:val="Emphasis"/>
    <w:basedOn w:val="DefaultParagraphFont"/>
    <w:rsid w:val="00DA5BBA"/>
    <w:rPr>
      <w:i/>
      <w:iCs/>
    </w:rPr>
  </w:style>
  <w:style w:type="paragraph" w:customStyle="1" w:styleId="BoxQuoteBullet">
    <w:name w:val="Box Quote Bullet"/>
    <w:basedOn w:val="BoxQuote"/>
    <w:next w:val="Box"/>
    <w:rsid w:val="00812F4A"/>
    <w:pPr>
      <w:numPr>
        <w:numId w:val="12"/>
      </w:numPr>
      <w:ind w:left="568" w:hanging="284"/>
    </w:pPr>
  </w:style>
  <w:style w:type="paragraph" w:customStyle="1" w:styleId="InformationRequestBullet">
    <w:name w:val="Information Request Bullet"/>
    <w:basedOn w:val="ListBullet"/>
    <w:next w:val="BodyText"/>
    <w:rsid w:val="004145D2"/>
    <w:pPr>
      <w:numPr>
        <w:numId w:val="16"/>
      </w:numPr>
      <w:spacing w:before="80" w:line="280" w:lineRule="atLeast"/>
      <w:ind w:left="357" w:hanging="357"/>
    </w:pPr>
    <w:rPr>
      <w:rFonts w:ascii="Arial" w:hAnsi="Arial"/>
      <w:i/>
      <w:sz w:val="22"/>
    </w:rPr>
  </w:style>
  <w:style w:type="paragraph" w:customStyle="1" w:styleId="BoxSpaceBelow">
    <w:name w:val="Box Space Below"/>
    <w:basedOn w:val="Box"/>
    <w:rsid w:val="009E1844"/>
    <w:pPr>
      <w:keepNext w:val="0"/>
      <w:spacing w:before="60" w:after="60" w:line="80" w:lineRule="exact"/>
    </w:pPr>
    <w:rPr>
      <w:sz w:val="14"/>
    </w:rPr>
  </w:style>
  <w:style w:type="paragraph" w:customStyle="1" w:styleId="KeyPointsListBullet">
    <w:name w:val="Key Points List Bullet"/>
    <w:basedOn w:val="Normal"/>
    <w:qFormat/>
    <w:rsid w:val="00F55C25"/>
    <w:pPr>
      <w:keepNext/>
      <w:numPr>
        <w:numId w:val="20"/>
      </w:numPr>
      <w:spacing w:before="100" w:line="260" w:lineRule="atLeast"/>
      <w:ind w:left="357" w:hanging="357"/>
      <w:jc w:val="both"/>
    </w:pPr>
    <w:rPr>
      <w:rFonts w:ascii="Arial" w:hAnsi="Arial"/>
      <w:sz w:val="20"/>
      <w:szCs w:val="20"/>
      <w:lang w:eastAsia="en-US"/>
    </w:rPr>
  </w:style>
  <w:style w:type="paragraph" w:customStyle="1" w:styleId="KeyPointsListBullet2">
    <w:name w:val="Key Points List Bullet 2"/>
    <w:basedOn w:val="BoxListBullet2"/>
    <w:rsid w:val="00470737"/>
    <w:pPr>
      <w:numPr>
        <w:numId w:val="21"/>
      </w:numPr>
      <w:ind w:left="568" w:hanging="284"/>
    </w:pPr>
  </w:style>
  <w:style w:type="paragraph" w:customStyle="1" w:styleId="InformationRequestTitle">
    <w:name w:val="Information Request Title"/>
    <w:basedOn w:val="FindingTitle"/>
    <w:next w:val="InformationRequest"/>
    <w:rsid w:val="009F5BBD"/>
    <w:rPr>
      <w:i/>
    </w:rPr>
  </w:style>
  <w:style w:type="paragraph" w:customStyle="1" w:styleId="Space">
    <w:name w:val="Space"/>
    <w:basedOn w:val="Normal"/>
    <w:rsid w:val="00967CD3"/>
    <w:pPr>
      <w:keepNext/>
      <w:spacing w:line="120" w:lineRule="exact"/>
      <w:jc w:val="both"/>
    </w:pPr>
    <w:rPr>
      <w:rFonts w:ascii="Arial" w:hAnsi="Arial"/>
      <w:sz w:val="20"/>
      <w:szCs w:val="20"/>
    </w:rPr>
  </w:style>
  <w:style w:type="paragraph" w:customStyle="1" w:styleId="Heading1nochapterno">
    <w:name w:val="Heading 1 (no chapter no.)"/>
    <w:basedOn w:val="Heading1"/>
    <w:rsid w:val="00CC070F"/>
    <w:pPr>
      <w:spacing w:before="0"/>
      <w:ind w:left="0" w:firstLine="0"/>
    </w:pPr>
  </w:style>
  <w:style w:type="paragraph" w:customStyle="1" w:styleId="Heading2nosectionno">
    <w:name w:val="Heading 2 (no section no.)"/>
    <w:basedOn w:val="Heading2"/>
    <w:rsid w:val="00CC070F"/>
    <w:pPr>
      <w:ind w:left="0" w:firstLine="0"/>
    </w:pPr>
  </w:style>
  <w:style w:type="character" w:customStyle="1" w:styleId="Heading5Char">
    <w:name w:val="Heading 5 Char"/>
    <w:basedOn w:val="DefaultParagraphFont"/>
    <w:link w:val="Heading5"/>
    <w:rsid w:val="00812F4A"/>
    <w:rPr>
      <w:rFonts w:ascii="Arial" w:hAnsi="Arial"/>
      <w:i/>
      <w:sz w:val="22"/>
    </w:rPr>
  </w:style>
  <w:style w:type="paragraph" w:customStyle="1" w:styleId="Figurespace">
    <w:name w:val="Figure space"/>
    <w:basedOn w:val="Box"/>
    <w:rsid w:val="000B1022"/>
    <w:pPr>
      <w:spacing w:before="0" w:line="120" w:lineRule="exact"/>
    </w:pPr>
  </w:style>
  <w:style w:type="paragraph" w:customStyle="1" w:styleId="FooterDraftReport">
    <w:name w:val="FooterDraftReport"/>
    <w:basedOn w:val="Footer"/>
    <w:link w:val="FooterDraftReportChar"/>
    <w:rsid w:val="00162434"/>
    <w:pPr>
      <w:spacing w:before="40"/>
    </w:pPr>
    <w:rPr>
      <w:rFonts w:cs="Arial"/>
      <w:color w:val="808080"/>
      <w14:textFill>
        <w14:solidFill>
          <w14:srgbClr w14:val="808080">
            <w14:lumMod w14:val="50000"/>
            <w14:lumOff w14:val="50000"/>
            <w14:lumMod w14:val="50000"/>
            <w14:lumOff w14:val="50000"/>
            <w14:lumMod w14:val="50000"/>
          </w14:srgbClr>
        </w14:solidFill>
      </w14:textFill>
    </w:rPr>
  </w:style>
  <w:style w:type="character" w:customStyle="1" w:styleId="BodyTextChar">
    <w:name w:val="Body Text Char"/>
    <w:basedOn w:val="DefaultParagraphFont"/>
    <w:link w:val="BodyText"/>
    <w:rsid w:val="00EB2CC3"/>
    <w:rPr>
      <w:sz w:val="24"/>
    </w:rPr>
  </w:style>
  <w:style w:type="character" w:customStyle="1" w:styleId="FooterChar">
    <w:name w:val="Footer Char"/>
    <w:basedOn w:val="BodyTextChar"/>
    <w:link w:val="Footer"/>
    <w:rsid w:val="00EB2CC3"/>
    <w:rPr>
      <w:rFonts w:ascii="Arial" w:hAnsi="Arial"/>
      <w:caps/>
      <w:spacing w:val="-4"/>
      <w:sz w:val="16"/>
    </w:rPr>
  </w:style>
  <w:style w:type="character" w:customStyle="1" w:styleId="FooterDraftReportChar">
    <w:name w:val="FooterDraftReport Char"/>
    <w:basedOn w:val="FooterChar"/>
    <w:link w:val="FooterDraftReport"/>
    <w:rsid w:val="00162434"/>
    <w:rPr>
      <w:rFonts w:ascii="Arial" w:hAnsi="Arial" w:cs="Arial"/>
      <w:caps/>
      <w:color w:val="808080"/>
      <w:spacing w:val="-4"/>
      <w:sz w:val="16"/>
      <w14:textFill>
        <w14:solidFill>
          <w14:srgbClr w14:val="808080">
            <w14:lumMod w14:val="50000"/>
            <w14:lumOff w14:val="50000"/>
            <w14:lumMod w14:val="50000"/>
            <w14:lumOff w14:val="50000"/>
            <w14:lumMod w14:val="50000"/>
          </w14:srgbClr>
        </w14:solidFill>
      </w14:textFill>
    </w:rPr>
  </w:style>
  <w:style w:type="table" w:styleId="TableGrid">
    <w:name w:val="Table Grid"/>
    <w:basedOn w:val="TableNormal"/>
    <w:rsid w:val="00666E0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OC1Char">
    <w:name w:val="TOC 1 Char"/>
    <w:basedOn w:val="DefaultParagraphFont"/>
    <w:link w:val="TOC1"/>
    <w:rsid w:val="00F73727"/>
    <w:rPr>
      <w:rFonts w:ascii="Arial" w:hAnsi="Arial"/>
      <w:b/>
      <w:sz w:val="26"/>
      <w:szCs w:val="26"/>
      <w:lang w:eastAsia="en-US"/>
    </w:rPr>
  </w:style>
  <w:style w:type="character" w:customStyle="1" w:styleId="Heading3Char">
    <w:name w:val="Heading 3 Char"/>
    <w:basedOn w:val="DefaultParagraphFont"/>
    <w:link w:val="Heading3"/>
    <w:rsid w:val="009E7CB5"/>
    <w:rPr>
      <w:rFonts w:ascii="Arial" w:hAnsi="Arial"/>
      <w:b/>
      <w:sz w:val="26"/>
      <w:szCs w:val="24"/>
    </w:rPr>
  </w:style>
  <w:style w:type="character" w:customStyle="1" w:styleId="FootnoteTextChar">
    <w:name w:val="Footnote Text Char"/>
    <w:basedOn w:val="DefaultParagraphFont"/>
    <w:link w:val="FootnoteText"/>
    <w:rsid w:val="009E7CB5"/>
  </w:style>
  <w:style w:type="character" w:customStyle="1" w:styleId="CommentTextChar">
    <w:name w:val="Comment Text Char"/>
    <w:basedOn w:val="DefaultParagraphFont"/>
    <w:uiPriority w:val="99"/>
    <w:semiHidden/>
    <w:rsid w:val="009E7CB5"/>
    <w:rPr>
      <w:szCs w:val="24"/>
    </w:rPr>
  </w:style>
  <w:style w:type="paragraph" w:styleId="CommentSubject">
    <w:name w:val="annotation subject"/>
    <w:basedOn w:val="CommentText"/>
    <w:next w:val="CommentText"/>
    <w:link w:val="CommentSubjectChar"/>
    <w:rsid w:val="009E7CB5"/>
    <w:pPr>
      <w:spacing w:before="0" w:line="240" w:lineRule="auto"/>
      <w:ind w:left="0" w:firstLine="0"/>
    </w:pPr>
    <w:rPr>
      <w:b/>
      <w:bCs/>
      <w:szCs w:val="20"/>
    </w:rPr>
  </w:style>
  <w:style w:type="character" w:customStyle="1" w:styleId="CommentTextChar1">
    <w:name w:val="Comment Text Char1"/>
    <w:basedOn w:val="DefaultParagraphFont"/>
    <w:link w:val="CommentText"/>
    <w:uiPriority w:val="99"/>
    <w:semiHidden/>
    <w:rsid w:val="009E7CB5"/>
    <w:rPr>
      <w:szCs w:val="24"/>
    </w:rPr>
  </w:style>
  <w:style w:type="character" w:customStyle="1" w:styleId="CommentSubjectChar">
    <w:name w:val="Comment Subject Char"/>
    <w:basedOn w:val="CommentTextChar1"/>
    <w:link w:val="CommentSubject"/>
    <w:rsid w:val="009E7CB5"/>
    <w:rPr>
      <w:b/>
      <w:bCs/>
      <w:szCs w:val="24"/>
    </w:rPr>
  </w:style>
  <w:style w:type="character" w:styleId="Hyperlink">
    <w:name w:val="Hyperlink"/>
    <w:basedOn w:val="DefaultParagraphFont"/>
    <w:rsid w:val="009E7CB5"/>
    <w:rPr>
      <w:color w:val="78A22F" w:themeColor="hyperlink"/>
      <w:u w:val="single"/>
    </w:rPr>
  </w:style>
  <w:style w:type="paragraph" w:styleId="Revision">
    <w:name w:val="Revision"/>
    <w:hidden/>
    <w:uiPriority w:val="99"/>
    <w:semiHidden/>
    <w:rsid w:val="009E7CB5"/>
    <w:rPr>
      <w:sz w:val="24"/>
      <w:szCs w:val="24"/>
    </w:rPr>
  </w:style>
  <w:style w:type="character" w:styleId="EndnoteReference">
    <w:name w:val="endnote reference"/>
    <w:basedOn w:val="DefaultParagraphFont"/>
    <w:rsid w:val="00D17E36"/>
    <w:rPr>
      <w:vertAlign w:val="superscript"/>
    </w:rPr>
  </w:style>
  <w:style w:type="paragraph" w:styleId="Bibliography">
    <w:name w:val="Bibliography"/>
    <w:basedOn w:val="Normal"/>
    <w:next w:val="Normal"/>
    <w:uiPriority w:val="37"/>
    <w:unhideWhenUsed/>
    <w:rsid w:val="00142445"/>
    <w:pPr>
      <w:spacing w:after="240"/>
      <w:ind w:left="720" w:hanging="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2740965">
      <w:bodyDiv w:val="1"/>
      <w:marLeft w:val="0"/>
      <w:marRight w:val="0"/>
      <w:marTop w:val="0"/>
      <w:marBottom w:val="0"/>
      <w:divBdr>
        <w:top w:val="none" w:sz="0" w:space="0" w:color="auto"/>
        <w:left w:val="none" w:sz="0" w:space="0" w:color="auto"/>
        <w:bottom w:val="none" w:sz="0" w:space="0" w:color="auto"/>
        <w:right w:val="none" w:sz="0" w:space="0" w:color="auto"/>
      </w:divBdr>
    </w:div>
    <w:div w:id="1068647160">
      <w:bodyDiv w:val="1"/>
      <w:marLeft w:val="0"/>
      <w:marRight w:val="0"/>
      <w:marTop w:val="0"/>
      <w:marBottom w:val="0"/>
      <w:divBdr>
        <w:top w:val="none" w:sz="0" w:space="0" w:color="auto"/>
        <w:left w:val="none" w:sz="0" w:space="0" w:color="auto"/>
        <w:bottom w:val="none" w:sz="0" w:space="0" w:color="auto"/>
        <w:right w:val="none" w:sz="0" w:space="0" w:color="auto"/>
      </w:divBdr>
    </w:div>
    <w:div w:id="1901749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20"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 Id="rId43"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G:\office\template2010\chapter.dotm" TargetMode="External"/></Relationships>
</file>

<file path=word/theme/theme1.xml><?xml version="1.0" encoding="utf-8"?>
<a:theme xmlns:a="http://schemas.openxmlformats.org/drawingml/2006/main" name="ProdCommTheme">
  <a:themeElements>
    <a:clrScheme name="PC colour scheme">
      <a:dk1>
        <a:sysClr val="windowText" lastClr="000000"/>
      </a:dk1>
      <a:lt1>
        <a:sysClr val="window" lastClr="FFFFFF"/>
      </a:lt1>
      <a:dk2>
        <a:srgbClr val="000000"/>
      </a:dk2>
      <a:lt2>
        <a:srgbClr val="BFBFBF"/>
      </a:lt2>
      <a:accent1>
        <a:srgbClr val="78A22F"/>
      </a:accent1>
      <a:accent2>
        <a:srgbClr val="265A9A"/>
      </a:accent2>
      <a:accent3>
        <a:srgbClr val="B2D673"/>
      </a:accent3>
      <a:accent4>
        <a:srgbClr val="F2F2F2"/>
      </a:accent4>
      <a:accent5>
        <a:srgbClr val="387DD2"/>
      </a:accent5>
      <a:accent6>
        <a:srgbClr val="C00000"/>
      </a:accent6>
      <a:hlink>
        <a:srgbClr val="78A22F"/>
      </a:hlink>
      <a:folHlink>
        <a:srgbClr val="387DD2"/>
      </a:folHlink>
    </a:clrScheme>
    <a:fontScheme name="PC font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customXsn xmlns="http://schemas.microsoft.com/office/2006/metadata/customXsn">
  <xsnLocation/>
  <cached>True</cached>
  <openByDefault>False</openByDefault>
  <xsnScope/>
</customXs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s" ma:contentTypeID="0x010100C6E8C21E118D7B41812BB8AD3D5DACD6" ma:contentTypeVersion="4" ma:contentTypeDescription="Create a new document." ma:contentTypeScope="" ma:versionID="83e03143a20d5434026975f3e59498e1">
  <xsd:schema xmlns:xsd="http://www.w3.org/2001/XMLSchema" xmlns:xs="http://www.w3.org/2001/XMLSchema" xmlns:p="http://schemas.microsoft.com/office/2006/metadata/properties" targetNamespace="http://schemas.microsoft.com/office/2006/metadata/properties" ma:root="true" ma:fieldsID="8b741d7760e7820ac40a9c32876c493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F00042-6F9B-47B8-A6D5-6438E85E19E6}">
  <ds:schemaRefs>
    <ds:schemaRef ds:uri="http://schemas.microsoft.com/office/2006/metadata/customXsn"/>
  </ds:schemaRefs>
</ds:datastoreItem>
</file>

<file path=customXml/itemProps2.xml><?xml version="1.0" encoding="utf-8"?>
<ds:datastoreItem xmlns:ds="http://schemas.openxmlformats.org/officeDocument/2006/customXml" ds:itemID="{1E7AD9E2-284F-4AC4-B57F-681667890B60}">
  <ds:schemaRefs>
    <ds:schemaRef ds:uri="http://schemas.microsoft.com/sharepoint/v3/contenttype/forms"/>
  </ds:schemaRefs>
</ds:datastoreItem>
</file>

<file path=customXml/itemProps3.xml><?xml version="1.0" encoding="utf-8"?>
<ds:datastoreItem xmlns:ds="http://schemas.openxmlformats.org/officeDocument/2006/customXml" ds:itemID="{354A1042-49D6-4683-8977-31FF214A8A46}">
  <ds:schemaRefs>
    <ds:schemaRef ds:uri="http://schemas.openxmlformats.org/package/2006/metadata/core-properties"/>
    <ds:schemaRef ds:uri="http://www.w3.org/XML/1998/namespace"/>
    <ds:schemaRef ds:uri="http://purl.org/dc/elements/1.1/"/>
    <ds:schemaRef ds:uri="http://schemas.microsoft.com/office/2006/documentManagement/types"/>
    <ds:schemaRef ds:uri="http://purl.org/dc/terms/"/>
    <ds:schemaRef ds:uri="http://schemas.microsoft.com/office/infopath/2007/PartnerControls"/>
    <ds:schemaRef ds:uri="http://purl.org/dc/dcmitype/"/>
    <ds:schemaRef ds:uri="http://schemas.microsoft.com/office/2006/metadata/properties"/>
  </ds:schemaRefs>
</ds:datastoreItem>
</file>

<file path=customXml/itemProps4.xml><?xml version="1.0" encoding="utf-8"?>
<ds:datastoreItem xmlns:ds="http://schemas.openxmlformats.org/officeDocument/2006/customXml" ds:itemID="{19DDA304-D6D9-4CBC-AB00-2A101909FC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5.xml><?xml version="1.0" encoding="utf-8"?>
<ds:datastoreItem xmlns:ds="http://schemas.openxmlformats.org/officeDocument/2006/customXml" ds:itemID="{D5BDADBD-9FB3-4A02-99E1-6BBBBE2ED7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chapter.dotm</Template>
  <TotalTime>0</TotalTime>
  <Pages>9</Pages>
  <Words>2483</Words>
  <Characters>13691</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Sensitivity analyses</vt:lpstr>
    </vt:vector>
  </TitlesOfParts>
  <Company>Productivity Commission</Company>
  <LinksUpToDate>false</LinksUpToDate>
  <CharactersWithSpaces>16142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Sensitivity analyses</dc:title>
  <dc:subject>Superannuation Policy for Post-Retirement: Modelling supplement</dc:subject>
  <dc:creator>Productivity Commission</dc:creator>
  <dc:description>6.</dc:description>
  <cp:lastModifiedBy>Productivity Commission</cp:lastModifiedBy>
  <cp:revision>2</cp:revision>
  <cp:lastPrinted>2015-06-25T07:32:00Z</cp:lastPrinted>
  <dcterms:created xsi:type="dcterms:W3CDTF">2015-07-02T04:31:00Z</dcterms:created>
  <dcterms:modified xsi:type="dcterms:W3CDTF">2015-07-02T04:31:00Z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0x010100C6E8C21E118D7B41812BB8AD3D5DACD6</vt:lpwstr>
  </property>
  <property fmtid="{D5CDD505-2E9C-101B-9397-08002B2CF9AE}" pid="3" name="ZOTERO_PREF_1">
    <vt:lpwstr>&lt;data data-version="3" zotero-version="4.0.20"&gt;&lt;session id="QL7JiyQy"/&gt;&lt;style id="http://www.zotero.org/styles/unisa-harvard" hasBibliography="1" bibliographyStyleHasBeenSet="1"/&gt;&lt;prefs&gt;&lt;pref name="fieldType" value="Field"/&gt;&lt;pref name="storeReferences" va</vt:lpwstr>
  </property>
  <property fmtid="{D5CDD505-2E9C-101B-9397-08002B2CF9AE}" pid="4" name="ZOTERO_PREF_2">
    <vt:lpwstr>lue="true"/&gt;&lt;pref name="automaticJournalAbbreviations" value="true"/&gt;&lt;pref name="noteType" value="0"/&gt;&lt;/prefs&gt;&lt;/data&gt;</vt:lpwstr>
  </property>
</Properties>
</file>