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E3640B" w:rsidP="00FE21A6">
      <w:pPr>
        <w:pStyle w:val="Heading1"/>
      </w:pPr>
      <w:bookmarkStart w:id="0" w:name="ChapterNumber"/>
      <w:r>
        <w:t>7</w:t>
      </w:r>
      <w:bookmarkEnd w:id="0"/>
      <w:r>
        <w:tab/>
      </w:r>
      <w:bookmarkStart w:id="1" w:name="ChapterTitle"/>
      <w:r>
        <w:t>Literature review of other models</w:t>
      </w:r>
      <w:bookmarkEnd w:id="1"/>
    </w:p>
    <w:p w:rsidR="00707572" w:rsidRDefault="000C1D6A" w:rsidP="007A21C9">
      <w:pPr>
        <w:pStyle w:val="BodyText"/>
      </w:pPr>
      <w:bookmarkStart w:id="2" w:name="begin"/>
      <w:bookmarkEnd w:id="2"/>
      <w:r>
        <w:t xml:space="preserve">Before making a decision to </w:t>
      </w:r>
      <w:r w:rsidR="00E4136E">
        <w:t>develop its own model of retirement behaviour</w:t>
      </w:r>
      <w:r>
        <w:t xml:space="preserve">, the Commission reviewed the literature </w:t>
      </w:r>
      <w:r w:rsidR="00D42A06">
        <w:t>detailing</w:t>
      </w:r>
      <w:r>
        <w:t xml:space="preserve"> </w:t>
      </w:r>
      <w:r w:rsidR="00BD653F">
        <w:t>other</w:t>
      </w:r>
      <w:r>
        <w:t xml:space="preserve"> modelling </w:t>
      </w:r>
      <w:r w:rsidR="00D42A06">
        <w:t>approaches that have been adopted, particularly in relation to assessing the impact of a change in the preservation age.</w:t>
      </w:r>
      <w:r>
        <w:t xml:space="preserve"> In general, empirical r</w:t>
      </w:r>
      <w:r w:rsidR="007A21C9" w:rsidRPr="007A21C9">
        <w:t xml:space="preserve">esearch into the impacts of changing the preservation age is limited. </w:t>
      </w:r>
      <w:r w:rsidR="009C434D">
        <w:t>Published s</w:t>
      </w:r>
      <w:r w:rsidR="007A21C9">
        <w:t>tudies in the</w:t>
      </w:r>
      <w:r w:rsidR="007A21C9" w:rsidRPr="007A21C9">
        <w:t xml:space="preserve"> area</w:t>
      </w:r>
      <w:r w:rsidR="007A21C9">
        <w:t xml:space="preserve"> include</w:t>
      </w:r>
      <w:r w:rsidR="00D42A06">
        <w:t xml:space="preserve"> those undertaken by</w:t>
      </w:r>
      <w:r w:rsidR="007A21C9">
        <w:t>:</w:t>
      </w:r>
      <w:r w:rsidR="007A21C9" w:rsidRPr="007A21C9">
        <w:t xml:space="preserve"> </w:t>
      </w:r>
    </w:p>
    <w:p w:rsidR="00707572" w:rsidRDefault="007A21C9" w:rsidP="00707572">
      <w:pPr>
        <w:pStyle w:val="ListBullet"/>
      </w:pPr>
      <w:proofErr w:type="spellStart"/>
      <w:r w:rsidRPr="007A21C9">
        <w:t>Kudrna</w:t>
      </w:r>
      <w:proofErr w:type="spellEnd"/>
      <w:r w:rsidRPr="007A21C9">
        <w:t xml:space="preserve"> and Woodland</w:t>
      </w:r>
      <w:r w:rsidR="009540E1">
        <w:t xml:space="preserve"> </w:t>
      </w:r>
      <w:r w:rsidR="009540E1" w:rsidRPr="009540E1">
        <w:t>(2010)</w:t>
      </w:r>
      <w:r w:rsidRPr="007A21C9">
        <w:t xml:space="preserve"> </w:t>
      </w:r>
    </w:p>
    <w:p w:rsidR="00707572" w:rsidRDefault="003C3978" w:rsidP="00707572">
      <w:pPr>
        <w:pStyle w:val="ListBullet"/>
      </w:pPr>
      <w:r>
        <w:t xml:space="preserve">the </w:t>
      </w:r>
      <w:r w:rsidR="007A21C9" w:rsidRPr="007A21C9">
        <w:t xml:space="preserve">National Centre for Social and Economic Modelling </w:t>
      </w:r>
      <w:r w:rsidR="00D8150D" w:rsidRPr="00D8150D">
        <w:rPr>
          <w:szCs w:val="24"/>
        </w:rPr>
        <w:t>(Harding et al. 2009)</w:t>
      </w:r>
      <w:r w:rsidR="007A21C9" w:rsidRPr="007A21C9">
        <w:t xml:space="preserve"> </w:t>
      </w:r>
    </w:p>
    <w:p w:rsidR="00707572" w:rsidRDefault="003C3978" w:rsidP="00707572">
      <w:pPr>
        <w:pStyle w:val="ListBullet"/>
      </w:pPr>
      <w:r>
        <w:t xml:space="preserve">the </w:t>
      </w:r>
      <w:r w:rsidR="007A21C9" w:rsidRPr="007A21C9">
        <w:t>Melb</w:t>
      </w:r>
      <w:r w:rsidR="00C039E4">
        <w:t>ourne Institute</w:t>
      </w:r>
      <w:r w:rsidR="00754347">
        <w:t xml:space="preserve"> </w:t>
      </w:r>
      <w:r w:rsidR="00D8150D" w:rsidRPr="00D8150D">
        <w:rPr>
          <w:szCs w:val="24"/>
        </w:rPr>
        <w:t>(</w:t>
      </w:r>
      <w:proofErr w:type="spellStart"/>
      <w:r w:rsidR="00D8150D" w:rsidRPr="00D8150D">
        <w:rPr>
          <w:szCs w:val="24"/>
        </w:rPr>
        <w:t>Headey</w:t>
      </w:r>
      <w:proofErr w:type="spellEnd"/>
      <w:r w:rsidR="00D8150D" w:rsidRPr="00D8150D">
        <w:rPr>
          <w:szCs w:val="24"/>
        </w:rPr>
        <w:t xml:space="preserve">, </w:t>
      </w:r>
      <w:proofErr w:type="spellStart"/>
      <w:r w:rsidR="00D8150D" w:rsidRPr="00D8150D">
        <w:rPr>
          <w:szCs w:val="24"/>
        </w:rPr>
        <w:t>Freebairn</w:t>
      </w:r>
      <w:proofErr w:type="spellEnd"/>
      <w:r w:rsidR="00D8150D" w:rsidRPr="00D8150D">
        <w:rPr>
          <w:szCs w:val="24"/>
        </w:rPr>
        <w:t xml:space="preserve"> and Warren 2010; Headey et al. 2007; Warren and Oguzoglu 2010)</w:t>
      </w:r>
      <w:r w:rsidR="00C039E4">
        <w:t xml:space="preserve">. </w:t>
      </w:r>
    </w:p>
    <w:p w:rsidR="001458A9" w:rsidRDefault="00C039E4" w:rsidP="007A21C9">
      <w:pPr>
        <w:pStyle w:val="BodyText"/>
      </w:pPr>
      <w:r>
        <w:t>The</w:t>
      </w:r>
      <w:r w:rsidRPr="007A2EA7">
        <w:t xml:space="preserve"> Retiremen</w:t>
      </w:r>
      <w:r>
        <w:t xml:space="preserve">t and Income Modelling Unit within the </w:t>
      </w:r>
      <w:r w:rsidR="000712C7">
        <w:t>Department of</w:t>
      </w:r>
      <w:r w:rsidR="00D42A06">
        <w:t xml:space="preserve"> </w:t>
      </w:r>
      <w:r>
        <w:t xml:space="preserve">Treasury </w:t>
      </w:r>
      <w:r w:rsidR="00EE1593">
        <w:t xml:space="preserve">also </w:t>
      </w:r>
      <w:r>
        <w:t xml:space="preserve">developed </w:t>
      </w:r>
      <w:r w:rsidR="00CF3659">
        <w:t xml:space="preserve">a </w:t>
      </w:r>
      <w:r>
        <w:t>model</w:t>
      </w:r>
      <w:r w:rsidR="00F41445">
        <w:t xml:space="preserve"> —</w:t>
      </w:r>
      <w:r w:rsidR="00CF3659">
        <w:t xml:space="preserve"> </w:t>
      </w:r>
      <w:r w:rsidR="00F41445">
        <w:t xml:space="preserve">called </w:t>
      </w:r>
      <w:proofErr w:type="spellStart"/>
      <w:r w:rsidR="001F6BDB">
        <w:t>RIMHYPO</w:t>
      </w:r>
      <w:proofErr w:type="spellEnd"/>
      <w:r w:rsidR="00003036">
        <w:noBreakHyphen/>
      </w:r>
      <w:r w:rsidR="001F6BDB">
        <w:t>B</w:t>
      </w:r>
      <w:r w:rsidR="00F41445">
        <w:t xml:space="preserve"> —</w:t>
      </w:r>
      <w:r w:rsidR="00D42A06">
        <w:t xml:space="preserve"> which has</w:t>
      </w:r>
      <w:r w:rsidR="00CF3659">
        <w:t xml:space="preserve"> the </w:t>
      </w:r>
      <w:r>
        <w:t xml:space="preserve">capacity </w:t>
      </w:r>
      <w:r w:rsidR="00CF3659">
        <w:t>to exam</w:t>
      </w:r>
      <w:r w:rsidR="00EE1593">
        <w:t>ine changes in retirement behaviour</w:t>
      </w:r>
      <w:r w:rsidR="00CF3659" w:rsidRPr="00CF3659">
        <w:t xml:space="preserve"> </w:t>
      </w:r>
      <w:r w:rsidR="00754347" w:rsidRPr="00754347">
        <w:rPr>
          <w:szCs w:val="24"/>
        </w:rPr>
        <w:t>(Oliver and Dixon 2010)</w:t>
      </w:r>
      <w:r w:rsidR="00074CF3">
        <w:t>.</w:t>
      </w:r>
    </w:p>
    <w:p w:rsidR="000C1D6A" w:rsidRDefault="009A55A1" w:rsidP="007A21C9">
      <w:pPr>
        <w:pStyle w:val="BodyText"/>
      </w:pPr>
      <w:r>
        <w:t>T</w:t>
      </w:r>
      <w:r w:rsidR="000C1D6A">
        <w:t xml:space="preserve">he existing models or modelling approaches </w:t>
      </w:r>
      <w:r w:rsidR="00A739FE">
        <w:t>have</w:t>
      </w:r>
      <w:r>
        <w:t xml:space="preserve"> their advantages. However, the Commission </w:t>
      </w:r>
      <w:r w:rsidR="00E3640B">
        <w:t>considers that developing its own retirement modelling capability is preferable</w:t>
      </w:r>
      <w:r>
        <w:t xml:space="preserve">, and that </w:t>
      </w:r>
      <w:r w:rsidR="001F6BDB">
        <w:t>a behaviour</w:t>
      </w:r>
      <w:r>
        <w:t>al</w:t>
      </w:r>
      <w:r w:rsidR="001F6BDB">
        <w:t xml:space="preserve"> microsimulation model such as</w:t>
      </w:r>
      <w:r w:rsidR="0004766C">
        <w:t xml:space="preserve"> the P</w:t>
      </w:r>
      <w:r w:rsidR="00D42A06">
        <w:t>roductivity Commission Retirement Model (</w:t>
      </w:r>
      <w:proofErr w:type="spellStart"/>
      <w:r w:rsidR="00D42A06">
        <w:t>PCRM</w:t>
      </w:r>
      <w:proofErr w:type="spellEnd"/>
      <w:r w:rsidR="00D42A06">
        <w:t xml:space="preserve">) </w:t>
      </w:r>
      <w:r w:rsidR="00A739FE">
        <w:t>is</w:t>
      </w:r>
      <w:r w:rsidR="001F6BDB">
        <w:t xml:space="preserve"> </w:t>
      </w:r>
      <w:r>
        <w:t>well</w:t>
      </w:r>
      <w:r w:rsidR="00003036">
        <w:noBreakHyphen/>
      </w:r>
      <w:r>
        <w:t>suited to</w:t>
      </w:r>
      <w:r w:rsidR="001F6BDB">
        <w:t xml:space="preserve"> </w:t>
      </w:r>
      <w:r>
        <w:t>analysing</w:t>
      </w:r>
      <w:r w:rsidR="001F6BDB">
        <w:t xml:space="preserve"> the </w:t>
      </w:r>
      <w:r w:rsidR="0004766C">
        <w:t xml:space="preserve">impact </w:t>
      </w:r>
      <w:r w:rsidR="00527561">
        <w:t xml:space="preserve">of changes to the preservation age (and other </w:t>
      </w:r>
      <w:r w:rsidR="00D42A06">
        <w:t>policy parameters)</w:t>
      </w:r>
      <w:r w:rsidR="00527561" w:rsidRPr="00527561">
        <w:t xml:space="preserve"> </w:t>
      </w:r>
      <w:r w:rsidR="00D42A06">
        <w:t>on retirement behaviour</w:t>
      </w:r>
      <w:r w:rsidR="001F6BDB">
        <w:t xml:space="preserve">. In developing the PCRM however, the Commission has drawn extensively </w:t>
      </w:r>
      <w:r w:rsidR="001C27AC">
        <w:t xml:space="preserve">on the experience and </w:t>
      </w:r>
      <w:r w:rsidR="00F43200">
        <w:t xml:space="preserve">methodology of </w:t>
      </w:r>
      <w:r w:rsidR="001C27AC">
        <w:t>others working in this field</w:t>
      </w:r>
      <w:r w:rsidR="001F6BDB">
        <w:t>.</w:t>
      </w:r>
    </w:p>
    <w:p w:rsidR="00BD653F" w:rsidRDefault="00E4136E" w:rsidP="007A21C9">
      <w:pPr>
        <w:pStyle w:val="BodyText"/>
      </w:pPr>
      <w:r>
        <w:t xml:space="preserve">The different approaches and underlying assumptions adopted means that the various modelling results are not directly comparable. </w:t>
      </w:r>
    </w:p>
    <w:p w:rsidR="007A21C9" w:rsidRPr="007A21C9" w:rsidRDefault="00754347" w:rsidP="008B3CDE">
      <w:pPr>
        <w:pStyle w:val="Heading3"/>
      </w:pPr>
      <w:proofErr w:type="spellStart"/>
      <w:r>
        <w:t>Kudrna</w:t>
      </w:r>
      <w:proofErr w:type="spellEnd"/>
      <w:r>
        <w:t xml:space="preserve"> and Woodland</w:t>
      </w:r>
    </w:p>
    <w:p w:rsidR="007A21C9" w:rsidRPr="007A21C9" w:rsidRDefault="007A21C9" w:rsidP="007A21C9">
      <w:pPr>
        <w:pStyle w:val="BodyText"/>
      </w:pPr>
      <w:proofErr w:type="spellStart"/>
      <w:r w:rsidRPr="007A21C9">
        <w:t>Kudrna</w:t>
      </w:r>
      <w:proofErr w:type="spellEnd"/>
      <w:r w:rsidRPr="007A21C9">
        <w:t xml:space="preserve"> and Woodland (2010) construct and use a dynamic general equilibrium (GE) model with overlapping generations in order to assess a range of policy proposals</w:t>
      </w:r>
      <w:r w:rsidR="00074CF3">
        <w:t>,</w:t>
      </w:r>
      <w:r w:rsidRPr="007A21C9">
        <w:t xml:space="preserve"> including one that looks at gradually increasing the preservation age to </w:t>
      </w:r>
      <w:r w:rsidR="00D42A06">
        <w:t xml:space="preserve">67 years to </w:t>
      </w:r>
      <w:r w:rsidRPr="007A21C9">
        <w:t xml:space="preserve">match that of the </w:t>
      </w:r>
      <w:r w:rsidR="00D42A06">
        <w:t>A</w:t>
      </w:r>
      <w:r w:rsidRPr="007A21C9">
        <w:t xml:space="preserve">ge </w:t>
      </w:r>
      <w:r w:rsidR="00D42A06">
        <w:t>P</w:t>
      </w:r>
      <w:r w:rsidRPr="007A21C9">
        <w:t>ension age. The paper</w:t>
      </w:r>
      <w:r>
        <w:t>, which</w:t>
      </w:r>
      <w:r w:rsidRPr="007A21C9">
        <w:t xml:space="preserve"> was commissioned by </w:t>
      </w:r>
      <w:r w:rsidR="00D42A06">
        <w:t xml:space="preserve">the </w:t>
      </w:r>
      <w:r w:rsidR="000712C7">
        <w:t xml:space="preserve">Department of </w:t>
      </w:r>
      <w:r w:rsidRPr="007A21C9">
        <w:t>Treasury,</w:t>
      </w:r>
      <w:r>
        <w:t xml:space="preserve"> was</w:t>
      </w:r>
      <w:r w:rsidRPr="007A21C9">
        <w:t xml:space="preserve"> undertaken by George </w:t>
      </w:r>
      <w:proofErr w:type="spellStart"/>
      <w:r w:rsidRPr="007A21C9">
        <w:t>Kudrna</w:t>
      </w:r>
      <w:proofErr w:type="spellEnd"/>
      <w:r w:rsidRPr="007A21C9">
        <w:t xml:space="preserve"> and Alan Woodland at the University of New South Wales, and comprised part of the research that fed into the Henry Tax Review.</w:t>
      </w:r>
    </w:p>
    <w:p w:rsidR="007A21C9" w:rsidRPr="007A21C9" w:rsidRDefault="007A21C9" w:rsidP="007A21C9">
      <w:pPr>
        <w:pStyle w:val="BodyText"/>
      </w:pPr>
      <w:r w:rsidRPr="007A21C9">
        <w:t xml:space="preserve">The GE model estimates the behaviour of representative households, which are characterised by different ages (21 to 90) and different levels of income (high, medium and </w:t>
      </w:r>
      <w:r w:rsidRPr="007A21C9">
        <w:lastRenderedPageBreak/>
        <w:t>low). Households are assumed to maximise their utility by choosing consumption, savings and the hours they work for each year</w:t>
      </w:r>
      <w:r w:rsidR="00074CF3">
        <w:t>,</w:t>
      </w:r>
      <w:r w:rsidRPr="007A21C9">
        <w:t xml:space="preserve"> and are paid their marginal product of labour, which increases and then declines with age. </w:t>
      </w:r>
      <w:r>
        <w:t xml:space="preserve">Individuals within each household are </w:t>
      </w:r>
      <w:r w:rsidRPr="007A21C9">
        <w:t xml:space="preserve">uncertain as to when they will die, with a deterministic probability applied at each age. The model assumes that the share of each </w:t>
      </w:r>
      <w:r>
        <w:t xml:space="preserve">age </w:t>
      </w:r>
      <w:r w:rsidRPr="007A21C9">
        <w:t xml:space="preserve">cohort as a proportion of the population is constant through time. </w:t>
      </w:r>
    </w:p>
    <w:p w:rsidR="007A21C9" w:rsidRPr="007A21C9" w:rsidRDefault="00074CF3" w:rsidP="007A21C9">
      <w:pPr>
        <w:pStyle w:val="BodyText"/>
      </w:pPr>
      <w:r>
        <w:t xml:space="preserve">The </w:t>
      </w:r>
      <w:r w:rsidR="007A21C9" w:rsidRPr="007A21C9">
        <w:t xml:space="preserve">assets of households </w:t>
      </w:r>
      <w:r>
        <w:t xml:space="preserve">whose members </w:t>
      </w:r>
      <w:r w:rsidR="007A21C9" w:rsidRPr="007A21C9">
        <w:t>die before 90 are redistributed equally to households in the cohorts aged between 45 and 65 as a proxy for bequests. The model also includes a means</w:t>
      </w:r>
      <w:r w:rsidR="00003036">
        <w:noBreakHyphen/>
      </w:r>
      <w:r w:rsidR="007A21C9" w:rsidRPr="007A21C9">
        <w:t xml:space="preserve">tested </w:t>
      </w:r>
      <w:r w:rsidR="00D42A06">
        <w:t>A</w:t>
      </w:r>
      <w:r w:rsidR="007A21C9" w:rsidRPr="007A21C9">
        <w:t xml:space="preserve">ge </w:t>
      </w:r>
      <w:r w:rsidR="00D42A06">
        <w:t>P</w:t>
      </w:r>
      <w:r w:rsidR="007A21C9" w:rsidRPr="007A21C9">
        <w:t>ension, and a superannuation system that pays out all benefits in the form of a lump sum at the age of 60. The model includes standard GE assumptions around the production, government and foreign sectors.</w:t>
      </w:r>
      <w:bookmarkStart w:id="3" w:name="_GoBack"/>
      <w:bookmarkEnd w:id="3"/>
    </w:p>
    <w:p w:rsidR="007A21C9" w:rsidRPr="007A21C9" w:rsidRDefault="007A21C9" w:rsidP="007A21C9">
      <w:pPr>
        <w:pStyle w:val="BodyText"/>
      </w:pPr>
      <w:r w:rsidRPr="007A21C9">
        <w:t>The paper compares a range of policy proposals against a steady</w:t>
      </w:r>
      <w:r w:rsidR="00003036">
        <w:noBreakHyphen/>
      </w:r>
      <w:r w:rsidRPr="007A21C9">
        <w:t xml:space="preserve">state baseline case, </w:t>
      </w:r>
      <w:r w:rsidR="00074CF3">
        <w:t>including</w:t>
      </w:r>
      <w:r w:rsidRPr="007A21C9">
        <w:t xml:space="preserve"> increasing </w:t>
      </w:r>
      <w:r w:rsidR="00074CF3">
        <w:t xml:space="preserve">the </w:t>
      </w:r>
      <w:r w:rsidR="00B14161">
        <w:t>A</w:t>
      </w:r>
      <w:r w:rsidRPr="007A21C9">
        <w:t xml:space="preserve">ge </w:t>
      </w:r>
      <w:r w:rsidR="00B14161">
        <w:t>P</w:t>
      </w:r>
      <w:r w:rsidRPr="007A21C9">
        <w:t xml:space="preserve">ension eligibility age from 65 to 67. By using a steady state, the model assumes that the superannuation system starts at a point of ‘maturity’. The model is calibrated using a range of data, including information from the national accounts, ABS life tables and Commonwealth Budgets. </w:t>
      </w:r>
    </w:p>
    <w:p w:rsidR="005137BC" w:rsidRDefault="007A21C9" w:rsidP="005137BC">
      <w:pPr>
        <w:pStyle w:val="BodyText"/>
      </w:pPr>
      <w:r w:rsidRPr="007A21C9">
        <w:t xml:space="preserve">The most relevant policy examined </w:t>
      </w:r>
      <w:r>
        <w:t>in</w:t>
      </w:r>
      <w:r w:rsidRPr="007A21C9">
        <w:t xml:space="preserve"> the paper is one where the preservation age is raised from 60 by one year every two years until it matches the </w:t>
      </w:r>
      <w:r w:rsidR="00B14161">
        <w:t>A</w:t>
      </w:r>
      <w:r w:rsidRPr="007A21C9">
        <w:t xml:space="preserve">ge </w:t>
      </w:r>
      <w:r w:rsidR="00B14161">
        <w:t>P</w:t>
      </w:r>
      <w:r w:rsidRPr="007A21C9">
        <w:t xml:space="preserve">ension eligibility age of 67. The main result is that households accumulate far less private savings over their lifespan to offset the increase in superannuation savings (and so smooth consumption). </w:t>
      </w:r>
      <w:r w:rsidR="00631B2C">
        <w:t xml:space="preserve">In the long run, aggregate labour supply increases by 0.44 per cent, and government expenditure on the </w:t>
      </w:r>
      <w:r w:rsidR="00B82943">
        <w:t>A</w:t>
      </w:r>
      <w:r w:rsidR="00631B2C">
        <w:t xml:space="preserve">ge </w:t>
      </w:r>
      <w:r w:rsidR="00B82943">
        <w:t>P</w:t>
      </w:r>
      <w:r w:rsidR="00631B2C">
        <w:t>ension declines by 1.6 per cent.</w:t>
      </w:r>
      <w:r w:rsidRPr="007A21C9">
        <w:t xml:space="preserve"> There are different welfare effects depending on whether the households are low, medium or high income.</w:t>
      </w:r>
      <w:r w:rsidR="00415DDA">
        <w:t xml:space="preserve"> </w:t>
      </w:r>
      <w:r w:rsidR="008F26A8">
        <w:t>For example, m</w:t>
      </w:r>
      <w:r w:rsidR="00415DDA">
        <w:t xml:space="preserve">iddle income households have lower lifetime </w:t>
      </w:r>
      <w:r w:rsidR="00934F93">
        <w:t>welfare (on average)</w:t>
      </w:r>
      <w:r w:rsidR="00415DDA">
        <w:t xml:space="preserve"> because the benefits from higher consumption in retirement</w:t>
      </w:r>
      <w:r w:rsidR="00934F93">
        <w:t xml:space="preserve"> </w:t>
      </w:r>
      <w:r w:rsidR="00415DDA">
        <w:t xml:space="preserve">due to accumulating </w:t>
      </w:r>
      <w:r w:rsidR="00934F93">
        <w:t>more superannuation savings</w:t>
      </w:r>
      <w:r w:rsidR="00415DDA">
        <w:t xml:space="preserve"> do not outweigh the welfare losses associated with having to retire later</w:t>
      </w:r>
      <w:r w:rsidR="008F26A8">
        <w:t>.</w:t>
      </w:r>
      <w:r w:rsidR="005137BC">
        <w:t xml:space="preserve"> </w:t>
      </w:r>
    </w:p>
    <w:p w:rsidR="007A21C9" w:rsidRPr="007A21C9" w:rsidRDefault="00754347" w:rsidP="005137BC">
      <w:pPr>
        <w:pStyle w:val="Heading3"/>
      </w:pPr>
      <w:proofErr w:type="spellStart"/>
      <w:r>
        <w:t>NATSEM</w:t>
      </w:r>
      <w:proofErr w:type="spellEnd"/>
    </w:p>
    <w:p w:rsidR="007A21C9" w:rsidRPr="007A21C9" w:rsidRDefault="007A21C9" w:rsidP="007A21C9">
      <w:pPr>
        <w:pStyle w:val="BodyText"/>
      </w:pPr>
      <w:r w:rsidRPr="007A21C9">
        <w:t>The National Centre for Social and Economic Modelling (</w:t>
      </w:r>
      <w:proofErr w:type="spellStart"/>
      <w:r w:rsidRPr="007A21C9">
        <w:t>NATSEM</w:t>
      </w:r>
      <w:proofErr w:type="spellEnd"/>
      <w:r w:rsidRPr="007A21C9">
        <w:t>) have developed a dynamic microsimulation model to evaluate and test the longer</w:t>
      </w:r>
      <w:r w:rsidR="00003036">
        <w:noBreakHyphen/>
      </w:r>
      <w:r w:rsidRPr="007A21C9">
        <w:t>term revenue and distributional impacts of possible policy reforms to pension</w:t>
      </w:r>
      <w:r w:rsidR="00B14161">
        <w:t>s</w:t>
      </w:r>
      <w:r w:rsidRPr="007A21C9">
        <w:t xml:space="preserve">, taxation and other programs. </w:t>
      </w:r>
      <w:r w:rsidR="00B14161">
        <w:t>Their model, t</w:t>
      </w:r>
      <w:r w:rsidR="00074CF3">
        <w:t>he</w:t>
      </w:r>
      <w:r w:rsidRPr="007A21C9">
        <w:t xml:space="preserve"> Australian Population and Poli</w:t>
      </w:r>
      <w:r w:rsidR="00074CF3">
        <w:t>cy Simulation Model (</w:t>
      </w:r>
      <w:proofErr w:type="spellStart"/>
      <w:r w:rsidR="00074CF3">
        <w:t>APPSIM</w:t>
      </w:r>
      <w:proofErr w:type="spellEnd"/>
      <w:r w:rsidR="00074CF3">
        <w:t>) has been</w:t>
      </w:r>
      <w:r w:rsidRPr="007A21C9">
        <w:t xml:space="preserve"> used to explore the impact of three possible policy changes — namely, increasing government pension age from 65 to 67 years, increasing the superannuation guarantee rate from 9 to 15</w:t>
      </w:r>
      <w:r w:rsidR="00B14161">
        <w:t> </w:t>
      </w:r>
      <w:r w:rsidRPr="007A21C9">
        <w:t xml:space="preserve">per cent, and increasing the preservation age from 55 to 60 years. </w:t>
      </w:r>
    </w:p>
    <w:p w:rsidR="007A21C9" w:rsidRPr="007A21C9" w:rsidRDefault="007A21C9" w:rsidP="007A21C9">
      <w:pPr>
        <w:pStyle w:val="BodyText"/>
      </w:pPr>
      <w:proofErr w:type="spellStart"/>
      <w:r w:rsidRPr="007A21C9">
        <w:t>APPSIM</w:t>
      </w:r>
      <w:proofErr w:type="spellEnd"/>
      <w:r w:rsidRPr="007A21C9">
        <w:t xml:space="preserve"> is based on data from the </w:t>
      </w:r>
      <w:r w:rsidR="00074CF3">
        <w:t xml:space="preserve">ABS </w:t>
      </w:r>
      <w:r w:rsidRPr="007A21C9">
        <w:t>Census</w:t>
      </w:r>
      <w:r w:rsidR="00074CF3">
        <w:t xml:space="preserve"> of Population and Housing,</w:t>
      </w:r>
      <w:r w:rsidRPr="007A21C9">
        <w:t xml:space="preserve"> with probabilities of events for microsimulation based on equations from sources such as the Household, Income and Labour Dynamics in Australia (HILDA) </w:t>
      </w:r>
      <w:r w:rsidR="00707572">
        <w:t>S</w:t>
      </w:r>
      <w:r w:rsidR="00707572" w:rsidRPr="007A21C9">
        <w:t>urvey</w:t>
      </w:r>
      <w:r w:rsidRPr="007A21C9">
        <w:t xml:space="preserve">. </w:t>
      </w:r>
    </w:p>
    <w:p w:rsidR="007A21C9" w:rsidRDefault="007A21C9" w:rsidP="007A21C9">
      <w:pPr>
        <w:pStyle w:val="BodyText"/>
      </w:pPr>
      <w:r w:rsidRPr="007A21C9">
        <w:lastRenderedPageBreak/>
        <w:t>The model operates as follows</w:t>
      </w:r>
      <w:r w:rsidR="00074CF3">
        <w:t>: e</w:t>
      </w:r>
      <w:r w:rsidRPr="007A21C9">
        <w:t>ach individual in the base data is subject to transition equations in sequential modules — demographics, household movement and formation, education and training, labour force, earnings, housing, other income and expenditure, household assets and debt, social security, taxation, health and aged care. After every individual in the base data has been subject to change by all of these modules, each individual’s new characteristics are recorded, representing their new state at the end of the first year of the simulation. Then the simulation occurs again, simulating the changes that occur in another year. This can happen up to 50 times, simulating a population changing over a 50 year period.</w:t>
      </w:r>
    </w:p>
    <w:p w:rsidR="0067680F" w:rsidRDefault="0067680F" w:rsidP="007A21C9">
      <w:pPr>
        <w:pStyle w:val="BodyText"/>
      </w:pPr>
      <w:r>
        <w:t xml:space="preserve">Unlike the </w:t>
      </w:r>
      <w:proofErr w:type="spellStart"/>
      <w:r>
        <w:t>Kudrna</w:t>
      </w:r>
      <w:proofErr w:type="spellEnd"/>
      <w:r>
        <w:t xml:space="preserve"> and Woodland approach</w:t>
      </w:r>
      <w:r w:rsidR="00D078E1">
        <w:t xml:space="preserve"> (and the </w:t>
      </w:r>
      <w:proofErr w:type="spellStart"/>
      <w:r w:rsidR="00D078E1">
        <w:t>PCRM</w:t>
      </w:r>
      <w:proofErr w:type="spellEnd"/>
      <w:r w:rsidR="00D078E1">
        <w:t xml:space="preserve"> approach)</w:t>
      </w:r>
      <w:r>
        <w:t xml:space="preserve">, the </w:t>
      </w:r>
      <w:proofErr w:type="spellStart"/>
      <w:r>
        <w:t>APPSIM</w:t>
      </w:r>
      <w:proofErr w:type="spellEnd"/>
      <w:r>
        <w:t xml:space="preserve"> model does not optimise the retirement decision, but instead uses the parameters from</w:t>
      </w:r>
      <w:r w:rsidR="009B43FC">
        <w:t xml:space="preserve"> a series of</w:t>
      </w:r>
      <w:r>
        <w:t xml:space="preserve"> regression equations to estimate the p</w:t>
      </w:r>
      <w:r w:rsidR="009B43FC">
        <w:t>robability of retirement (for each individual) at a given age</w:t>
      </w:r>
      <w:r>
        <w:t>.</w:t>
      </w:r>
      <w:r w:rsidR="00D078E1">
        <w:t xml:space="preserve"> Simulating the impact of an increase in the preservation age is done by reducing the probability of retirement at all ages between the old preservation age and the new preservation age.</w:t>
      </w:r>
      <w:r w:rsidR="00C55F05">
        <w:t xml:space="preserve"> </w:t>
      </w:r>
      <w:r w:rsidR="0083791C">
        <w:t xml:space="preserve"> </w:t>
      </w:r>
    </w:p>
    <w:p w:rsidR="007A21C9" w:rsidRPr="007A21C9" w:rsidRDefault="00E3640B" w:rsidP="007A21C9">
      <w:pPr>
        <w:pStyle w:val="BodyText"/>
      </w:pPr>
      <w:r>
        <w:t xml:space="preserve">In 2009, </w:t>
      </w:r>
      <w:proofErr w:type="spellStart"/>
      <w:r w:rsidR="007A21C9" w:rsidRPr="007A21C9">
        <w:t>APPSIM</w:t>
      </w:r>
      <w:proofErr w:type="spellEnd"/>
      <w:r w:rsidR="007A21C9" w:rsidRPr="007A21C9">
        <w:t xml:space="preserve"> </w:t>
      </w:r>
      <w:r w:rsidR="00EF17B7">
        <w:t xml:space="preserve">was used to </w:t>
      </w:r>
      <w:r w:rsidR="007A21C9" w:rsidRPr="007A21C9">
        <w:t xml:space="preserve">simulate a policy shock where </w:t>
      </w:r>
      <w:r w:rsidR="00EF17B7">
        <w:t xml:space="preserve">the </w:t>
      </w:r>
      <w:r w:rsidR="007A21C9" w:rsidRPr="007A21C9">
        <w:t xml:space="preserve">preservation age </w:t>
      </w:r>
      <w:r w:rsidR="00EF17B7">
        <w:t>was</w:t>
      </w:r>
      <w:r w:rsidR="007A21C9" w:rsidRPr="007A21C9">
        <w:t xml:space="preserve"> immediately increased from 55 to 60</w:t>
      </w:r>
      <w:r w:rsidR="00B14161">
        <w:t> </w:t>
      </w:r>
      <w:r w:rsidR="007A21C9" w:rsidRPr="007A21C9">
        <w:t xml:space="preserve">years of age. As a result of this policy change, it was estimated that future government </w:t>
      </w:r>
      <w:r w:rsidR="00B14161">
        <w:t>A</w:t>
      </w:r>
      <w:r w:rsidR="007A21C9" w:rsidRPr="007A21C9">
        <w:t xml:space="preserve">ge </w:t>
      </w:r>
      <w:r w:rsidR="00B14161">
        <w:t>P</w:t>
      </w:r>
      <w:r w:rsidR="007A21C9" w:rsidRPr="007A21C9">
        <w:t>ension outlays in 2049 would fall from 2.5 times to</w:t>
      </w:r>
      <w:r w:rsidR="00707572">
        <w:t> </w:t>
      </w:r>
      <w:r w:rsidR="007A21C9" w:rsidRPr="007A21C9">
        <w:t>2.23 times that of 2009 outlays. In relation to Generation X (who will be the first cohort to be dir</w:t>
      </w:r>
      <w:r w:rsidR="00EF17B7">
        <w:t>ectly affected), the model projects</w:t>
      </w:r>
      <w:r w:rsidR="007A21C9" w:rsidRPr="007A21C9">
        <w:t xml:space="preserve"> that private </w:t>
      </w:r>
      <w:r w:rsidR="0067680F">
        <w:t>(</w:t>
      </w:r>
      <w:r w:rsidR="00FC5E7A">
        <w:t>retirement</w:t>
      </w:r>
      <w:r w:rsidR="0067680F">
        <w:t>)</w:t>
      </w:r>
      <w:r w:rsidR="00FC5E7A">
        <w:t xml:space="preserve"> </w:t>
      </w:r>
      <w:r w:rsidR="007A21C9" w:rsidRPr="007A21C9">
        <w:t>incomes w</w:t>
      </w:r>
      <w:r w:rsidR="00EF17B7">
        <w:t>ould</w:t>
      </w:r>
      <w:r w:rsidR="007A21C9" w:rsidRPr="007A21C9">
        <w:t xml:space="preserve"> increase from $657 </w:t>
      </w:r>
      <w:r w:rsidR="00EF17B7">
        <w:t xml:space="preserve">per week </w:t>
      </w:r>
      <w:r w:rsidR="007A21C9" w:rsidRPr="007A21C9">
        <w:t>to $850</w:t>
      </w:r>
      <w:r w:rsidR="00EF17B7">
        <w:t xml:space="preserve"> per week,</w:t>
      </w:r>
      <w:r w:rsidR="007A21C9" w:rsidRPr="007A21C9">
        <w:t xml:space="preserve"> and</w:t>
      </w:r>
      <w:r w:rsidR="00EF17B7">
        <w:t xml:space="preserve"> thus</w:t>
      </w:r>
      <w:r w:rsidR="007A21C9" w:rsidRPr="007A21C9">
        <w:t xml:space="preserve"> reduce </w:t>
      </w:r>
      <w:r w:rsidR="00EF17B7">
        <w:t xml:space="preserve">Government funded </w:t>
      </w:r>
      <w:r w:rsidR="00B82943">
        <w:t>A</w:t>
      </w:r>
      <w:r w:rsidR="00B82943" w:rsidRPr="007A21C9">
        <w:t xml:space="preserve">ge </w:t>
      </w:r>
      <w:r w:rsidR="00B82943">
        <w:t>P</w:t>
      </w:r>
      <w:r w:rsidR="007A21C9" w:rsidRPr="007A21C9">
        <w:t>ension</w:t>
      </w:r>
      <w:r w:rsidR="00EF17B7">
        <w:t xml:space="preserve"> outlays for this cohort by around 25 per cent</w:t>
      </w:r>
      <w:r w:rsidR="006A6866">
        <w:t xml:space="preserve"> </w:t>
      </w:r>
      <w:r w:rsidR="006A6866" w:rsidRPr="006A6866">
        <w:rPr>
          <w:szCs w:val="24"/>
        </w:rPr>
        <w:t>(Harding et al. 2009)</w:t>
      </w:r>
      <w:r w:rsidR="00EF17B7">
        <w:t>.</w:t>
      </w:r>
      <w:r w:rsidR="007A21C9" w:rsidRPr="007A21C9">
        <w:t xml:space="preserve"> </w:t>
      </w:r>
    </w:p>
    <w:p w:rsidR="007A21C9" w:rsidRPr="007A21C9" w:rsidRDefault="007A21C9" w:rsidP="008B3CDE">
      <w:pPr>
        <w:pStyle w:val="Heading3"/>
      </w:pPr>
      <w:r w:rsidRPr="007A21C9">
        <w:t>Mel</w:t>
      </w:r>
      <w:r w:rsidR="00754347">
        <w:t>bourne Institute</w:t>
      </w:r>
      <w:r w:rsidR="00707572">
        <w:t xml:space="preserve"> of Applied Economic and Social Research</w:t>
      </w:r>
    </w:p>
    <w:p w:rsidR="007A21C9" w:rsidRPr="007A21C9" w:rsidRDefault="007A21C9" w:rsidP="007A21C9">
      <w:pPr>
        <w:pStyle w:val="BodyText"/>
      </w:pPr>
      <w:r w:rsidRPr="007A21C9">
        <w:t xml:space="preserve">The Melbourne Institute have produced </w:t>
      </w:r>
      <w:r w:rsidR="00BE31DD">
        <w:t>a number of</w:t>
      </w:r>
      <w:r w:rsidRPr="007A21C9">
        <w:t xml:space="preserve"> research reports</w:t>
      </w:r>
      <w:r w:rsidR="00496660">
        <w:t xml:space="preserve"> </w:t>
      </w:r>
      <w:r w:rsidR="00D8150D" w:rsidRPr="00D8150D">
        <w:rPr>
          <w:szCs w:val="24"/>
        </w:rPr>
        <w:t>(</w:t>
      </w:r>
      <w:proofErr w:type="spellStart"/>
      <w:r w:rsidR="00D8150D" w:rsidRPr="00D8150D">
        <w:rPr>
          <w:szCs w:val="24"/>
        </w:rPr>
        <w:t>Headey</w:t>
      </w:r>
      <w:proofErr w:type="spellEnd"/>
      <w:r w:rsidR="00D8150D" w:rsidRPr="00D8150D">
        <w:rPr>
          <w:szCs w:val="24"/>
        </w:rPr>
        <w:t xml:space="preserve">, </w:t>
      </w:r>
      <w:proofErr w:type="spellStart"/>
      <w:r w:rsidR="00D8150D" w:rsidRPr="00D8150D">
        <w:rPr>
          <w:szCs w:val="24"/>
        </w:rPr>
        <w:t>Freebairn</w:t>
      </w:r>
      <w:proofErr w:type="spellEnd"/>
      <w:r w:rsidR="00D8150D" w:rsidRPr="00D8150D">
        <w:rPr>
          <w:szCs w:val="24"/>
        </w:rPr>
        <w:t xml:space="preserve"> and Warren 2010; Headey et al. 2007; Warren and Oguzoglu 2010)</w:t>
      </w:r>
      <w:r w:rsidR="00BE31DD">
        <w:t xml:space="preserve"> </w:t>
      </w:r>
      <w:r w:rsidRPr="007A21C9">
        <w:t>that primarily look at the effects of retirement income policies on mature age workforce participation. These papers use a utility maximization framework</w:t>
      </w:r>
      <w:r w:rsidR="006A5B66">
        <w:t xml:space="preserve"> (base</w:t>
      </w:r>
      <w:r w:rsidR="006A2853">
        <w:t>d</w:t>
      </w:r>
      <w:r w:rsidR="006A5B66">
        <w:t xml:space="preserve"> on the work of Gruber and Wise </w:t>
      </w:r>
      <w:r w:rsidR="006A2853" w:rsidRPr="006A2853">
        <w:t>(2004)</w:t>
      </w:r>
      <w:r w:rsidR="006A5B66">
        <w:t>)</w:t>
      </w:r>
      <w:r w:rsidRPr="007A21C9">
        <w:t xml:space="preserve"> to analyse the effects of changes to retirement income policy</w:t>
      </w:r>
      <w:r w:rsidR="00BE31DD" w:rsidRPr="00BE31DD">
        <w:t xml:space="preserve"> </w:t>
      </w:r>
      <w:r w:rsidR="00BE31DD">
        <w:t xml:space="preserve">on labour force </w:t>
      </w:r>
      <w:r w:rsidR="00BE31DD" w:rsidRPr="007A21C9">
        <w:t>participation</w:t>
      </w:r>
      <w:r w:rsidRPr="007A21C9">
        <w:t>.</w:t>
      </w:r>
    </w:p>
    <w:p w:rsidR="007A21C9" w:rsidRPr="007A21C9" w:rsidRDefault="007A21C9" w:rsidP="007A21C9">
      <w:pPr>
        <w:pStyle w:val="BodyText"/>
      </w:pPr>
      <w:r w:rsidRPr="007A21C9">
        <w:t>The</w:t>
      </w:r>
      <w:r w:rsidR="00E450DC">
        <w:t xml:space="preserve"> Melbourne Institute </w:t>
      </w:r>
      <w:r w:rsidRPr="007A21C9">
        <w:t>report</w:t>
      </w:r>
      <w:r w:rsidR="00E450DC">
        <w:t>s</w:t>
      </w:r>
      <w:r w:rsidRPr="007A21C9">
        <w:t xml:space="preserve"> use panel data from the HILDA survey to undertake longitudinal random effects </w:t>
      </w:r>
      <w:proofErr w:type="spellStart"/>
      <w:r w:rsidRPr="007A21C9">
        <w:t>probit</w:t>
      </w:r>
      <w:proofErr w:type="spellEnd"/>
      <w:r w:rsidRPr="007A21C9">
        <w:t xml:space="preserve"> analys</w:t>
      </w:r>
      <w:r w:rsidR="00E450DC">
        <w:t>e</w:t>
      </w:r>
      <w:r w:rsidRPr="007A21C9">
        <w:t>s of the retirement decisions of mature age workers. The analys</w:t>
      </w:r>
      <w:r w:rsidR="00E450DC">
        <w:t>e</w:t>
      </w:r>
      <w:r w:rsidRPr="007A21C9">
        <w:t xml:space="preserve">s incorporate a range of explanatory variables for retirement decisions, including characteristics of </w:t>
      </w:r>
      <w:r w:rsidR="0051644D">
        <w:t>each</w:t>
      </w:r>
      <w:r w:rsidRPr="007A21C9">
        <w:t xml:space="preserve"> individual and</w:t>
      </w:r>
      <w:r w:rsidR="0051644D">
        <w:t xml:space="preserve"> (where relevant)</w:t>
      </w:r>
      <w:r w:rsidRPr="007A21C9">
        <w:t xml:space="preserve"> their spouse</w:t>
      </w:r>
      <w:r w:rsidR="0051644D">
        <w:t>,</w:t>
      </w:r>
      <w:r w:rsidRPr="007A21C9">
        <w:t xml:space="preserve"> such as age, educat</w:t>
      </w:r>
      <w:r w:rsidR="0051644D">
        <w:t>ion, health and work experience</w:t>
      </w:r>
      <w:r w:rsidR="00B14161">
        <w:t>,</w:t>
      </w:r>
      <w:r w:rsidR="0051644D">
        <w:t xml:space="preserve"> </w:t>
      </w:r>
      <w:r w:rsidRPr="007A21C9">
        <w:t>hous</w:t>
      </w:r>
      <w:r w:rsidR="0051644D">
        <w:t>ehold incomes, assets and debts,</w:t>
      </w:r>
      <w:r w:rsidRPr="007A21C9">
        <w:t xml:space="preserve"> superannuation balances, home ownership</w:t>
      </w:r>
      <w:r w:rsidR="0051644D">
        <w:t xml:space="preserve"> status</w:t>
      </w:r>
      <w:r w:rsidRPr="007A21C9">
        <w:t xml:space="preserve"> and </w:t>
      </w:r>
      <w:r w:rsidR="00B14161">
        <w:t>Age P</w:t>
      </w:r>
      <w:r w:rsidRPr="007A21C9">
        <w:t>ension eligibility. The model</w:t>
      </w:r>
      <w:r w:rsidR="00E450DC">
        <w:t>s</w:t>
      </w:r>
      <w:r w:rsidRPr="007A21C9">
        <w:t xml:space="preserve"> also include an ‘option value’ for lifetime retirement income as an explanatory variable. The option value represents the expected utility gain from postponing retirement to a later age — it captures both the additional utility of labour income and the utility of retirement </w:t>
      </w:r>
      <w:r w:rsidRPr="007A21C9">
        <w:lastRenderedPageBreak/>
        <w:t>(alternately, the disutility of labour). A higher option value denotes a greater incentive to postpone retirement.</w:t>
      </w:r>
    </w:p>
    <w:p w:rsidR="00B14161" w:rsidRDefault="007A21C9" w:rsidP="00B14161">
      <w:pPr>
        <w:pStyle w:val="BodyText"/>
      </w:pPr>
      <w:r w:rsidRPr="007A21C9">
        <w:t xml:space="preserve">Changes to retirement income policy settings, such as a change in the preservation age, will affect the option value at each age for an individual. </w:t>
      </w:r>
      <w:r w:rsidR="006A5B66">
        <w:t xml:space="preserve">For example, </w:t>
      </w:r>
      <w:proofErr w:type="spellStart"/>
      <w:r w:rsidRPr="007A21C9">
        <w:t>Headey</w:t>
      </w:r>
      <w:proofErr w:type="spellEnd"/>
      <w:r w:rsidRPr="007A21C9">
        <w:t xml:space="preserve">, </w:t>
      </w:r>
      <w:proofErr w:type="spellStart"/>
      <w:r w:rsidRPr="007A21C9">
        <w:t>Freebairn</w:t>
      </w:r>
      <w:proofErr w:type="spellEnd"/>
      <w:r w:rsidRPr="007A21C9">
        <w:t xml:space="preserve"> and Warren (2010) estimate the effect of raising the preservation age from 55 to 60. While this change would be expected to reduce retirement income for those who retire before 60, inducing more participation, they found that the predicted increases in mature age participation were quite modest.</w:t>
      </w:r>
      <w:r w:rsidR="00C93722">
        <w:t xml:space="preserve"> For example, the probability of </w:t>
      </w:r>
      <w:r w:rsidR="00E44248">
        <w:t xml:space="preserve">a male aged 55 participating in the labour force as a result of </w:t>
      </w:r>
      <w:r w:rsidR="00E44248" w:rsidRPr="007A21C9">
        <w:t>raising the preservation age from 55 to 60</w:t>
      </w:r>
      <w:r w:rsidR="00E44248">
        <w:t xml:space="preserve"> </w:t>
      </w:r>
      <w:r w:rsidR="00DF7648">
        <w:t xml:space="preserve">was estimated to </w:t>
      </w:r>
      <w:r w:rsidR="00E44248">
        <w:t>increase by 0.6</w:t>
      </w:r>
      <w:r w:rsidR="00B14161">
        <w:t> </w:t>
      </w:r>
      <w:r w:rsidR="00E44248">
        <w:t>per</w:t>
      </w:r>
      <w:r w:rsidR="00B14161">
        <w:t> </w:t>
      </w:r>
      <w:r w:rsidR="00E44248">
        <w:t>cent</w:t>
      </w:r>
      <w:r w:rsidR="00B14161">
        <w:t>.</w:t>
      </w:r>
    </w:p>
    <w:p w:rsidR="007A21C9" w:rsidRPr="007A21C9" w:rsidRDefault="006A5B66" w:rsidP="00B14161">
      <w:pPr>
        <w:pStyle w:val="BodyText"/>
      </w:pPr>
      <w:r>
        <w:t>The Melbourne Institute</w:t>
      </w:r>
      <w:r w:rsidR="00215C8C">
        <w:t xml:space="preserve"> papers generate estimates of </w:t>
      </w:r>
      <w:r w:rsidR="00424536">
        <w:t>the average change in labour force participation by age</w:t>
      </w:r>
      <w:r w:rsidR="00C902F6">
        <w:t xml:space="preserve"> and gender</w:t>
      </w:r>
      <w:r>
        <w:t xml:space="preserve"> under </w:t>
      </w:r>
      <w:r w:rsidR="00C25F39">
        <w:t>alternative</w:t>
      </w:r>
      <w:r>
        <w:t xml:space="preserve"> policy scenarios</w:t>
      </w:r>
      <w:r w:rsidR="00B14161">
        <w:t xml:space="preserve"> but</w:t>
      </w:r>
      <w:r w:rsidR="00194BA7">
        <w:t xml:space="preserve"> </w:t>
      </w:r>
      <w:r w:rsidR="00B14161">
        <w:t xml:space="preserve">do </w:t>
      </w:r>
      <w:r w:rsidR="00194BA7">
        <w:t xml:space="preserve">not </w:t>
      </w:r>
      <w:r w:rsidR="0041022A">
        <w:t>generate</w:t>
      </w:r>
      <w:r w:rsidR="00194BA7">
        <w:t xml:space="preserve"> estimates of</w:t>
      </w:r>
      <w:r w:rsidR="00215C8C">
        <w:t xml:space="preserve"> the aggregate or economywide effects</w:t>
      </w:r>
      <w:r w:rsidR="00194BA7">
        <w:t xml:space="preserve"> of policy changes</w:t>
      </w:r>
      <w:r w:rsidR="00E209A3">
        <w:t xml:space="preserve">, </w:t>
      </w:r>
      <w:r w:rsidR="005A409E">
        <w:t>such as changes in government expenditure, or changes in aggregate employment or activity</w:t>
      </w:r>
      <w:r w:rsidR="00DC5CF9">
        <w:t>.</w:t>
      </w:r>
    </w:p>
    <w:p w:rsidR="007A21C9" w:rsidRPr="007A21C9" w:rsidRDefault="007A21C9" w:rsidP="008B3CDE">
      <w:pPr>
        <w:pStyle w:val="Heading3"/>
      </w:pPr>
      <w:r w:rsidRPr="007A21C9">
        <w:t xml:space="preserve">Retirement Income Modelling </w:t>
      </w:r>
      <w:r w:rsidR="000712C7">
        <w:t>Unit</w:t>
      </w:r>
      <w:r w:rsidR="000712C7" w:rsidRPr="007A21C9">
        <w:t xml:space="preserve"> </w:t>
      </w:r>
    </w:p>
    <w:p w:rsidR="008300D7" w:rsidRDefault="007A2EA7" w:rsidP="007A21C9">
      <w:pPr>
        <w:pStyle w:val="BodyText"/>
      </w:pPr>
      <w:r w:rsidRPr="007A2EA7">
        <w:t>The Retirement and Income Modelling Unit (RIM)</w:t>
      </w:r>
      <w:r w:rsidR="00BE31DD">
        <w:t xml:space="preserve"> — previously known as the </w:t>
      </w:r>
      <w:r w:rsidR="00BE31DD" w:rsidRPr="007A21C9">
        <w:t>Retirem</w:t>
      </w:r>
      <w:r w:rsidR="00BE31DD">
        <w:t>ent Income Modelling Taskforce — w</w:t>
      </w:r>
      <w:r>
        <w:t xml:space="preserve">ithin </w:t>
      </w:r>
      <w:r w:rsidR="00BE31DD">
        <w:t>the</w:t>
      </w:r>
      <w:r>
        <w:t xml:space="preserve"> </w:t>
      </w:r>
      <w:r w:rsidR="000712C7">
        <w:t xml:space="preserve">Department of </w:t>
      </w:r>
      <w:r>
        <w:t xml:space="preserve">Treasury </w:t>
      </w:r>
      <w:r w:rsidRPr="007A2EA7">
        <w:t>undertak</w:t>
      </w:r>
      <w:r w:rsidR="00BE31DD">
        <w:t>es</w:t>
      </w:r>
      <w:r w:rsidR="00341DBF">
        <w:t xml:space="preserve"> a wide</w:t>
      </w:r>
      <w:r w:rsidRPr="007A2EA7">
        <w:t xml:space="preserve"> range of costing and modelling work for personal income and tax related issues. The Unit </w:t>
      </w:r>
      <w:r w:rsidR="00BE31DD">
        <w:t xml:space="preserve">has also played a key role in generating </w:t>
      </w:r>
      <w:r w:rsidRPr="007A2EA7">
        <w:t xml:space="preserve">projections for the </w:t>
      </w:r>
      <w:r w:rsidR="00BE31DD">
        <w:t xml:space="preserve">current and previous editions of the </w:t>
      </w:r>
      <w:r w:rsidRPr="007A2EA7">
        <w:t>Intergenerational Report</w:t>
      </w:r>
      <w:r w:rsidR="00707572">
        <w:t>.</w:t>
      </w:r>
      <w:r w:rsidR="00EA285B" w:rsidRPr="006B309F">
        <w:rPr>
          <w:rStyle w:val="FootnoteReference"/>
        </w:rPr>
        <w:footnoteReference w:id="1"/>
      </w:r>
      <w:r w:rsidR="008300D7">
        <w:t xml:space="preserve"> </w:t>
      </w:r>
    </w:p>
    <w:p w:rsidR="008300D7" w:rsidRDefault="008300D7" w:rsidP="007A21C9">
      <w:pPr>
        <w:pStyle w:val="BodyText"/>
      </w:pPr>
      <w:r>
        <w:t xml:space="preserve">The modelling unit use the </w:t>
      </w:r>
      <w:proofErr w:type="spellStart"/>
      <w:r w:rsidRPr="007A21C9">
        <w:t>RIMGROUP</w:t>
      </w:r>
      <w:proofErr w:type="spellEnd"/>
      <w:r>
        <w:t xml:space="preserve"> model for much of this work. </w:t>
      </w:r>
      <w:proofErr w:type="spellStart"/>
      <w:r w:rsidRPr="008300D7">
        <w:t>RIMGROUP</w:t>
      </w:r>
      <w:proofErr w:type="spellEnd"/>
      <w:r w:rsidRPr="008300D7">
        <w:t xml:space="preserve"> is a comprehensive cohort projection model of the Australian population</w:t>
      </w:r>
      <w:r w:rsidR="00B14161">
        <w:t>,</w:t>
      </w:r>
      <w:r w:rsidRPr="008300D7">
        <w:t xml:space="preserve"> which starts with population and labour force models, tracks the accumulation of superannuation in a specified set of account types, estimates non</w:t>
      </w:r>
      <w:r w:rsidR="00003036">
        <w:noBreakHyphen/>
      </w:r>
      <w:r w:rsidRPr="008300D7">
        <w:t>superannuation savings, and calculates tax liabilities, social security payments including pensions and the generation of other retirement incomes</w:t>
      </w:r>
      <w:r>
        <w:t xml:space="preserve"> (</w:t>
      </w:r>
      <w:r w:rsidR="00EA6EAB">
        <w:t xml:space="preserve">see </w:t>
      </w:r>
      <w:r w:rsidR="006364A3">
        <w:t xml:space="preserve">Rothman </w:t>
      </w:r>
      <w:r w:rsidR="00D8150D" w:rsidRPr="00D8150D">
        <w:t>(1997, 2011, 2012)</w:t>
      </w:r>
      <w:r w:rsidR="006364A3">
        <w:t>)</w:t>
      </w:r>
      <w:r w:rsidR="00B14161">
        <w:t>.</w:t>
      </w:r>
    </w:p>
    <w:p w:rsidR="008300D7" w:rsidRDefault="008300D7" w:rsidP="007A21C9">
      <w:pPr>
        <w:pStyle w:val="BodyText"/>
      </w:pPr>
      <w:proofErr w:type="spellStart"/>
      <w:r>
        <w:t>RIMGROUP</w:t>
      </w:r>
      <w:proofErr w:type="spellEnd"/>
      <w:r>
        <w:t xml:space="preserve"> is not an individually based microsimulation model however, and hence does not </w:t>
      </w:r>
      <w:r w:rsidR="00A433F3">
        <w:t>endogenously</w:t>
      </w:r>
      <w:r>
        <w:t xml:space="preserve"> determine the retirement age</w:t>
      </w:r>
      <w:r w:rsidR="00A433F3">
        <w:t xml:space="preserve"> </w:t>
      </w:r>
      <w:r w:rsidR="00C652A4">
        <w:t>for</w:t>
      </w:r>
      <w:r w:rsidR="00A433F3">
        <w:t xml:space="preserve"> each individual</w:t>
      </w:r>
      <w:r w:rsidR="00C652A4">
        <w:t xml:space="preserve"> or cohort</w:t>
      </w:r>
      <w:r>
        <w:t>. Rather, retirement ages are</w:t>
      </w:r>
      <w:r w:rsidR="00EA285B">
        <w:t xml:space="preserve"> fixed or</w:t>
      </w:r>
      <w:r>
        <w:t xml:space="preserve"> assumed.</w:t>
      </w:r>
    </w:p>
    <w:p w:rsidR="007D25FB" w:rsidRDefault="00B14161" w:rsidP="007A21C9">
      <w:pPr>
        <w:pStyle w:val="BodyText"/>
      </w:pPr>
      <w:r>
        <w:t>Another</w:t>
      </w:r>
      <w:r w:rsidR="008300D7">
        <w:t xml:space="preserve"> RIM </w:t>
      </w:r>
      <w:r w:rsidR="00CB2933">
        <w:t xml:space="preserve">model, </w:t>
      </w:r>
      <w:proofErr w:type="spellStart"/>
      <w:r w:rsidR="00CB2933">
        <w:t>RIMHYPO</w:t>
      </w:r>
      <w:proofErr w:type="spellEnd"/>
      <w:r w:rsidR="00003036">
        <w:noBreakHyphen/>
      </w:r>
      <w:r w:rsidR="00CB2933">
        <w:t xml:space="preserve">B, </w:t>
      </w:r>
      <w:r w:rsidR="00273371">
        <w:t xml:space="preserve">does have characteristics that </w:t>
      </w:r>
      <w:r w:rsidR="00EA285B">
        <w:t xml:space="preserve">would </w:t>
      </w:r>
      <w:r w:rsidR="00273371">
        <w:t xml:space="preserve">allow it to be used to assess the effects of policy changes — such as </w:t>
      </w:r>
      <w:r w:rsidR="004E31D5">
        <w:t xml:space="preserve">an </w:t>
      </w:r>
      <w:r w:rsidR="00273371">
        <w:t xml:space="preserve">increase </w:t>
      </w:r>
      <w:r w:rsidR="007F5020">
        <w:t xml:space="preserve">in </w:t>
      </w:r>
      <w:r w:rsidR="00273371">
        <w:t xml:space="preserve">the preservation age — on the timing of retirement decisions. </w:t>
      </w:r>
      <w:proofErr w:type="spellStart"/>
      <w:r w:rsidR="00273371">
        <w:t>RIMHYPO</w:t>
      </w:r>
      <w:proofErr w:type="spellEnd"/>
      <w:r w:rsidR="00003036">
        <w:noBreakHyphen/>
      </w:r>
      <w:r w:rsidR="00273371">
        <w:t xml:space="preserve">B </w:t>
      </w:r>
      <w:r w:rsidR="00CB2933">
        <w:t>is a household</w:t>
      </w:r>
      <w:r w:rsidR="00003036">
        <w:noBreakHyphen/>
      </w:r>
      <w:r w:rsidR="00CB2933">
        <w:t>level behavioural model that calculate</w:t>
      </w:r>
      <w:r w:rsidR="00273371">
        <w:t>s</w:t>
      </w:r>
      <w:r w:rsidR="00CB2933">
        <w:t xml:space="preserve"> optimal retirement outcomes</w:t>
      </w:r>
      <w:r w:rsidR="00273371">
        <w:t xml:space="preserve"> based on</w:t>
      </w:r>
      <w:r w:rsidR="00CB2933">
        <w:t xml:space="preserve"> lifetime utility measured in terms of consumption, leisure, preferences, discount rates and conditional survival probabilities </w:t>
      </w:r>
      <w:r w:rsidR="00D8150D" w:rsidRPr="00D8150D">
        <w:rPr>
          <w:szCs w:val="24"/>
        </w:rPr>
        <w:t>(Oliver and Dixon 2010)</w:t>
      </w:r>
      <w:r w:rsidR="00CB2933">
        <w:t>. Moreover, a large number of simulations can be run for different household types to provide a more representative population cohort</w:t>
      </w:r>
      <w:r w:rsidR="00707572">
        <w:t>,</w:t>
      </w:r>
      <w:r w:rsidR="00CB2933">
        <w:t xml:space="preserve"> and </w:t>
      </w:r>
      <w:r w:rsidR="00CB2933">
        <w:lastRenderedPageBreak/>
        <w:t xml:space="preserve">therefore a more realistic distribution of retirement outcomes. </w:t>
      </w:r>
      <w:r w:rsidR="005D474F">
        <w:t>While the</w:t>
      </w:r>
      <w:r w:rsidR="00CB2933">
        <w:t xml:space="preserve"> model </w:t>
      </w:r>
      <w:r w:rsidR="00273371">
        <w:t xml:space="preserve">generates results for different population cohorts, </w:t>
      </w:r>
      <w:r w:rsidR="005D474F">
        <w:t>it</w:t>
      </w:r>
      <w:r w:rsidR="00273371">
        <w:t xml:space="preserve"> </w:t>
      </w:r>
      <w:r w:rsidR="00CB2933">
        <w:t>does not generate aggregate results for the population or economy as a whole.</w:t>
      </w:r>
      <w:r w:rsidR="0090266E">
        <w:t xml:space="preserve"> </w:t>
      </w:r>
    </w:p>
    <w:p w:rsidR="00A739FE" w:rsidRDefault="00A739FE" w:rsidP="0004766C">
      <w:pPr>
        <w:pStyle w:val="BodyText"/>
      </w:pPr>
      <w:r>
        <w:t xml:space="preserve">The Parliamentary Budget Office </w:t>
      </w:r>
      <w:r w:rsidR="00E3640B">
        <w:t>has also developed</w:t>
      </w:r>
      <w:r>
        <w:t xml:space="preserve"> a model to examine changes to retirement behaviour and fiscal costs associated with policy and demographic changes. The model draws on the previous modelling work undertaken within the Australian Treasury</w:t>
      </w:r>
      <w:r w:rsidR="005137BC">
        <w:t>.</w:t>
      </w:r>
    </w:p>
    <w:p w:rsidR="0004766C" w:rsidRDefault="001A0006" w:rsidP="00EA7E1F">
      <w:pPr>
        <w:pStyle w:val="Heading2nosectionno"/>
      </w:pPr>
      <w:r>
        <w:t>References</w:t>
      </w:r>
    </w:p>
    <w:p w:rsidR="001A0006" w:rsidRPr="00EA7E1F" w:rsidRDefault="001A0006" w:rsidP="00EA7E1F">
      <w:pPr>
        <w:pStyle w:val="Reference"/>
      </w:pPr>
      <w:r w:rsidRPr="001A0006">
        <w:t xml:space="preserve">Gruber, J. and Wise, D.A. 2004, </w:t>
      </w:r>
      <w:r w:rsidRPr="001A0006">
        <w:rPr>
          <w:i/>
          <w:iCs/>
        </w:rPr>
        <w:t>Social Security Programs and Retirement around the World: Micro-Estimation</w:t>
      </w:r>
      <w:r w:rsidRPr="001A0006">
        <w:t>, Working Paper Series No. 9407, National Bureau of Economic Research.</w:t>
      </w:r>
    </w:p>
    <w:p w:rsidR="001A0006" w:rsidRPr="00EA7E1F" w:rsidRDefault="001A0006" w:rsidP="00EA7E1F">
      <w:pPr>
        <w:pStyle w:val="Reference"/>
      </w:pPr>
      <w:r w:rsidRPr="00EA7E1F">
        <w:t xml:space="preserve">Harding, A., Kelly, S., Percival, R. and Keegan, M. 2009, </w:t>
      </w:r>
      <w:r w:rsidRPr="00EA7E1F">
        <w:rPr>
          <w:i/>
          <w:iCs/>
        </w:rPr>
        <w:t>Population Ageing and Government Age Pension Outlays</w:t>
      </w:r>
      <w:r w:rsidRPr="00EA7E1F">
        <w:t>, ESRI International Collaboration Project, National Centre for Social and Economic Modelling, Canberra.</w:t>
      </w:r>
    </w:p>
    <w:p w:rsidR="001A0006" w:rsidRPr="00EA7E1F" w:rsidRDefault="001A0006" w:rsidP="00EA7E1F">
      <w:pPr>
        <w:pStyle w:val="Reference"/>
      </w:pPr>
      <w:r w:rsidRPr="00EA7E1F">
        <w:t xml:space="preserve">Headey, B., Freebairn, J., Mavromaras, K., Oguzoglu, U. and Warren, D. 2007, </w:t>
      </w:r>
      <w:r w:rsidRPr="00EA7E1F">
        <w:rPr>
          <w:i/>
          <w:iCs/>
        </w:rPr>
        <w:t>Mature age employment: who works, who does not, and why? Policy options for increased employment</w:t>
      </w:r>
      <w:r w:rsidRPr="00EA7E1F">
        <w:t>, July, Melbourne Institute of Applied Economic and Social Research, Melbourne.</w:t>
      </w:r>
    </w:p>
    <w:p w:rsidR="001A0006" w:rsidRPr="00EA7E1F" w:rsidRDefault="001A0006" w:rsidP="00EA7E1F">
      <w:pPr>
        <w:pStyle w:val="Reference"/>
      </w:pPr>
      <w:r w:rsidRPr="00EA7E1F">
        <w:t xml:space="preserve">——, —— and Warren, D. 2010, </w:t>
      </w:r>
      <w:r w:rsidRPr="00EA7E1F">
        <w:rPr>
          <w:i/>
          <w:iCs/>
        </w:rPr>
        <w:t>Dynamics of Mature Age Workforce Participation: Policy Effects and Continuing Trends</w:t>
      </w:r>
      <w:r w:rsidRPr="00EA7E1F">
        <w:t>, Project No. 5/2010, September, Melbourne Institute of Applied Economic and Social Research, Melbourne.</w:t>
      </w:r>
    </w:p>
    <w:p w:rsidR="001A0006" w:rsidRPr="00EA7E1F" w:rsidRDefault="001A0006" w:rsidP="00EA7E1F">
      <w:pPr>
        <w:pStyle w:val="Reference"/>
      </w:pPr>
      <w:r w:rsidRPr="00EA7E1F">
        <w:t xml:space="preserve">Kudrna, G. and Woodland, A. 2010, </w:t>
      </w:r>
      <w:r w:rsidRPr="00EA7E1F">
        <w:rPr>
          <w:i/>
          <w:iCs/>
        </w:rPr>
        <w:t>Simulating Policy Change Using a Dynamic Overlapping Generations Model of the Australian Economy</w:t>
      </w:r>
      <w:r w:rsidRPr="00EA7E1F">
        <w:t>, April, University of New South Wales, Sydney.</w:t>
      </w:r>
    </w:p>
    <w:p w:rsidR="001A0006" w:rsidRPr="00EA7E1F" w:rsidRDefault="001A0006" w:rsidP="00EA7E1F">
      <w:pPr>
        <w:pStyle w:val="Reference"/>
      </w:pPr>
      <w:r w:rsidRPr="00EA7E1F">
        <w:t>Oliver, T. and Dixon, M. 2010, ‘An overview of the Treasury RIMHYPO-B Model’, presented at 18th Superannuation Colloquium, University of New South Wales, Sydney, July.</w:t>
      </w:r>
    </w:p>
    <w:p w:rsidR="001A0006" w:rsidRPr="00EA7E1F" w:rsidRDefault="001A0006" w:rsidP="00EA7E1F">
      <w:pPr>
        <w:pStyle w:val="Reference"/>
      </w:pPr>
      <w:r w:rsidRPr="00EA7E1F">
        <w:t xml:space="preserve">Rothman, G. 1997, </w:t>
      </w:r>
      <w:r w:rsidRPr="00EA7E1F">
        <w:rPr>
          <w:i/>
          <w:iCs/>
        </w:rPr>
        <w:t>Aggregate Analyses of Policies for Accessing Superannuation Accumulations</w:t>
      </w:r>
      <w:r w:rsidRPr="00EA7E1F">
        <w:t>, July, Retirement Income Modelling Task Force, The Treasury, Canberra.</w:t>
      </w:r>
    </w:p>
    <w:p w:rsidR="001A0006" w:rsidRPr="00EA7E1F" w:rsidRDefault="001A0006" w:rsidP="00EA7E1F">
      <w:pPr>
        <w:pStyle w:val="Reference"/>
      </w:pPr>
      <w:r w:rsidRPr="00EA7E1F">
        <w:t xml:space="preserve">—— 2011, </w:t>
      </w:r>
      <w:r w:rsidRPr="00EA7E1F">
        <w:rPr>
          <w:i/>
          <w:iCs/>
        </w:rPr>
        <w:t>Projecting the Adequacy of Australian Retirement Incomes</w:t>
      </w:r>
      <w:r w:rsidRPr="00EA7E1F">
        <w:t>, Paper presented to the 19th Colloquium of Superannuation Researches, July, Department of the Treasury.</w:t>
      </w:r>
    </w:p>
    <w:p w:rsidR="001A0006" w:rsidRPr="00EA7E1F" w:rsidRDefault="001A0006" w:rsidP="00EA7E1F">
      <w:pPr>
        <w:pStyle w:val="Reference"/>
      </w:pPr>
      <w:r w:rsidRPr="00EA7E1F">
        <w:t xml:space="preserve">—— 2012, </w:t>
      </w:r>
      <w:r w:rsidRPr="00EA7E1F">
        <w:rPr>
          <w:i/>
          <w:iCs/>
        </w:rPr>
        <w:t>Modelling the Sustainability of Australia’s Retirement Income System</w:t>
      </w:r>
      <w:r w:rsidRPr="00EA7E1F">
        <w:t>, Paper presented to the 20th Colloquium of Superannuation Researches, July, Department of the Treasury.</w:t>
      </w:r>
    </w:p>
    <w:p w:rsidR="001A0006" w:rsidRDefault="001A0006" w:rsidP="00EA7E1F">
      <w:pPr>
        <w:pStyle w:val="Reference"/>
      </w:pPr>
      <w:r w:rsidRPr="00EA7E1F">
        <w:t xml:space="preserve">Warren, D. and Oguzoglu, U. 2010, ‘Retirement in Australia: A closer look at the financial incentives’, </w:t>
      </w:r>
      <w:r w:rsidRPr="00EA7E1F">
        <w:rPr>
          <w:i/>
          <w:iCs/>
        </w:rPr>
        <w:t>Australian Economic Review</w:t>
      </w:r>
      <w:r w:rsidRPr="00EA7E1F">
        <w:t>, vol. 43, no. 4, pp. 357–375.</w:t>
      </w:r>
    </w:p>
    <w:sectPr w:rsidR="001A0006" w:rsidSect="006B309F">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5B4" w:rsidRDefault="00E335B4">
      <w:r>
        <w:separator/>
      </w:r>
    </w:p>
  </w:endnote>
  <w:endnote w:type="continuationSeparator" w:id="0">
    <w:p w:rsidR="00E335B4" w:rsidRDefault="00E3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A45E2">
            <w:rPr>
              <w:rStyle w:val="PageNumber"/>
              <w:caps w:val="0"/>
              <w:noProof/>
            </w:rPr>
            <w:t>2</w:t>
          </w:r>
          <w:r w:rsidRPr="00A24443">
            <w:rPr>
              <w:rStyle w:val="PageNumber"/>
              <w:caps w:val="0"/>
            </w:rPr>
            <w:fldChar w:fldCharType="end"/>
          </w:r>
        </w:p>
      </w:tc>
      <w:tc>
        <w:tcPr>
          <w:tcW w:w="7767" w:type="dxa"/>
        </w:tcPr>
        <w:p w:rsidR="00772909" w:rsidRPr="0013739A" w:rsidRDefault="00E3640B" w:rsidP="0013739A">
          <w:pPr>
            <w:pStyle w:val="Footer"/>
            <w:rPr>
              <w:rFonts w:cs="Arial"/>
            </w:rPr>
          </w:pPr>
          <w:r>
            <w:rPr>
              <w:rFonts w:cs="Arial"/>
            </w:rPr>
            <w:t>Superannuation Policy for Post-Retirement: Modelling supplement</w:t>
          </w:r>
          <w:bookmarkStart w:id="4" w:name="DraftReportEven"/>
          <w:bookmarkEnd w:id="4"/>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E3640B" w:rsidP="0013739A">
          <w:pPr>
            <w:pStyle w:val="Footer"/>
            <w:jc w:val="right"/>
            <w:rPr>
              <w:rFonts w:cs="Arial"/>
            </w:rPr>
          </w:pPr>
          <w:r>
            <w:rPr>
              <w:rFonts w:cs="Arial"/>
            </w:rPr>
            <w:t>Literature review of other models</w:t>
          </w:r>
          <w:bookmarkStart w:id="5" w:name="DraftReportOdd"/>
          <w:bookmarkEnd w:id="5"/>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A45E2">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5B4" w:rsidRDefault="00E335B4">
      <w:r>
        <w:separator/>
      </w:r>
    </w:p>
  </w:footnote>
  <w:footnote w:type="continuationSeparator" w:id="0">
    <w:p w:rsidR="00E335B4" w:rsidRDefault="00E335B4">
      <w:r>
        <w:continuationSeparator/>
      </w:r>
    </w:p>
  </w:footnote>
  <w:footnote w:id="1">
    <w:p w:rsidR="00EA285B" w:rsidRDefault="00EA285B">
      <w:pPr>
        <w:pStyle w:val="FootnoteText"/>
      </w:pPr>
      <w:r w:rsidRPr="006B309F">
        <w:rPr>
          <w:rStyle w:val="FootnoteReference"/>
        </w:rPr>
        <w:footnoteRef/>
      </w:r>
      <w:r>
        <w:tab/>
        <w:t xml:space="preserve">For more information </w:t>
      </w:r>
      <w:r w:rsidR="00707572">
        <w:t xml:space="preserve">about the RIM </w:t>
      </w:r>
      <w:r>
        <w:t xml:space="preserve">see: </w:t>
      </w:r>
      <w:r w:rsidRPr="00EA285B">
        <w:t>http://</w:t>
      </w:r>
      <w:proofErr w:type="spellStart"/>
      <w:r w:rsidRPr="00EA285B">
        <w:t>rim.treasury.gov.au</w:t>
      </w:r>
      <w:proofErr w:type="spellEnd"/>
      <w:r w:rsidRPr="00EA285B">
        <w:t>/content/</w:t>
      </w:r>
      <w:proofErr w:type="spellStart"/>
      <w:r w:rsidRPr="00EA285B">
        <w:t>default.asp</w:t>
      </w:r>
      <w:proofErr w:type="spellEnd"/>
      <w:r w:rsidR="00E666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23D5E41"/>
    <w:multiLevelType w:val="hybridMultilevel"/>
    <w:tmpl w:val="12F4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FA4626"/>
    <w:multiLevelType w:val="hybridMultilevel"/>
    <w:tmpl w:val="EAF4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6E13926"/>
    <w:multiLevelType w:val="hybridMultilevel"/>
    <w:tmpl w:val="93A0E452"/>
    <w:lvl w:ilvl="0" w:tplc="48C8A2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2434D9E"/>
    <w:multiLevelType w:val="hybridMultilevel"/>
    <w:tmpl w:val="EF0C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5"/>
  </w:num>
  <w:num w:numId="4">
    <w:abstractNumId w:val="3"/>
  </w:num>
  <w:num w:numId="5">
    <w:abstractNumId w:val="21"/>
  </w:num>
  <w:num w:numId="6">
    <w:abstractNumId w:val="17"/>
  </w:num>
  <w:num w:numId="7">
    <w:abstractNumId w:val="7"/>
  </w:num>
  <w:num w:numId="8">
    <w:abstractNumId w:val="16"/>
  </w:num>
  <w:num w:numId="9">
    <w:abstractNumId w:val="6"/>
  </w:num>
  <w:num w:numId="10">
    <w:abstractNumId w:val="5"/>
  </w:num>
  <w:num w:numId="11">
    <w:abstractNumId w:val="9"/>
  </w:num>
  <w:num w:numId="12">
    <w:abstractNumId w:val="10"/>
  </w:num>
  <w:num w:numId="13">
    <w:abstractNumId w:val="4"/>
  </w:num>
  <w:num w:numId="14">
    <w:abstractNumId w:val="19"/>
  </w:num>
  <w:num w:numId="15">
    <w:abstractNumId w:val="23"/>
  </w:num>
  <w:num w:numId="16">
    <w:abstractNumId w:val="13"/>
  </w:num>
  <w:num w:numId="17">
    <w:abstractNumId w:val="24"/>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8"/>
  </w:num>
  <w:num w:numId="22">
    <w:abstractNumId w:val="14"/>
  </w:num>
  <w:num w:numId="23">
    <w:abstractNumId w:val="12"/>
  </w:num>
  <w:num w:numId="24">
    <w:abstractNumId w:val="22"/>
  </w:num>
  <w:num w:numId="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A"/>
    <w:docVar w:name="FindingOptions" w:val="1"/>
    <w:docVar w:name="RecOptions" w:val="111"/>
    <w:docVar w:name="ShortChapterTitle" w:val="Literature review of other models"/>
    <w:docVar w:name="ShortReportTitle" w:val="Superannuation Policy for Post-Retirement: Modelling supplement"/>
  </w:docVars>
  <w:rsids>
    <w:rsidRoot w:val="007A21C9"/>
    <w:rsid w:val="00003036"/>
    <w:rsid w:val="000227D5"/>
    <w:rsid w:val="000245AA"/>
    <w:rsid w:val="0003664B"/>
    <w:rsid w:val="0004111F"/>
    <w:rsid w:val="0004766C"/>
    <w:rsid w:val="00055077"/>
    <w:rsid w:val="000565B3"/>
    <w:rsid w:val="000712C7"/>
    <w:rsid w:val="0007150B"/>
    <w:rsid w:val="00074CF3"/>
    <w:rsid w:val="000938F5"/>
    <w:rsid w:val="00095663"/>
    <w:rsid w:val="00096E55"/>
    <w:rsid w:val="0009783E"/>
    <w:rsid w:val="000B1022"/>
    <w:rsid w:val="000B601B"/>
    <w:rsid w:val="000C1D6A"/>
    <w:rsid w:val="000C207E"/>
    <w:rsid w:val="000D41E9"/>
    <w:rsid w:val="000F0035"/>
    <w:rsid w:val="000F04E7"/>
    <w:rsid w:val="000F060A"/>
    <w:rsid w:val="000F420B"/>
    <w:rsid w:val="00110116"/>
    <w:rsid w:val="00115BF1"/>
    <w:rsid w:val="00120072"/>
    <w:rsid w:val="00126EB8"/>
    <w:rsid w:val="001274D4"/>
    <w:rsid w:val="001363AA"/>
    <w:rsid w:val="0013739A"/>
    <w:rsid w:val="00142165"/>
    <w:rsid w:val="001458A9"/>
    <w:rsid w:val="00162434"/>
    <w:rsid w:val="001653D5"/>
    <w:rsid w:val="00183E82"/>
    <w:rsid w:val="001878BB"/>
    <w:rsid w:val="00191AE0"/>
    <w:rsid w:val="0019293B"/>
    <w:rsid w:val="0019426B"/>
    <w:rsid w:val="00194BA7"/>
    <w:rsid w:val="001A0006"/>
    <w:rsid w:val="001A6A4B"/>
    <w:rsid w:val="001C0865"/>
    <w:rsid w:val="001C0AED"/>
    <w:rsid w:val="001C2070"/>
    <w:rsid w:val="001C27AC"/>
    <w:rsid w:val="001C3ABA"/>
    <w:rsid w:val="001C4D59"/>
    <w:rsid w:val="001C5111"/>
    <w:rsid w:val="001E7BE8"/>
    <w:rsid w:val="001F0248"/>
    <w:rsid w:val="001F3EB3"/>
    <w:rsid w:val="001F4F86"/>
    <w:rsid w:val="001F6BDB"/>
    <w:rsid w:val="00202C2C"/>
    <w:rsid w:val="00203050"/>
    <w:rsid w:val="00204295"/>
    <w:rsid w:val="002135AB"/>
    <w:rsid w:val="002144BE"/>
    <w:rsid w:val="00214DA8"/>
    <w:rsid w:val="00215C8C"/>
    <w:rsid w:val="00242279"/>
    <w:rsid w:val="00243997"/>
    <w:rsid w:val="0024516C"/>
    <w:rsid w:val="00245C82"/>
    <w:rsid w:val="002724BA"/>
    <w:rsid w:val="00273371"/>
    <w:rsid w:val="0027692A"/>
    <w:rsid w:val="00291B40"/>
    <w:rsid w:val="002A7D9C"/>
    <w:rsid w:val="002B4008"/>
    <w:rsid w:val="002C439F"/>
    <w:rsid w:val="002D0C42"/>
    <w:rsid w:val="002D0E8E"/>
    <w:rsid w:val="00301189"/>
    <w:rsid w:val="00301E4A"/>
    <w:rsid w:val="003062CF"/>
    <w:rsid w:val="003168B8"/>
    <w:rsid w:val="00322D64"/>
    <w:rsid w:val="00323E09"/>
    <w:rsid w:val="00333932"/>
    <w:rsid w:val="00341DBF"/>
    <w:rsid w:val="00351105"/>
    <w:rsid w:val="003518AA"/>
    <w:rsid w:val="00352165"/>
    <w:rsid w:val="00353182"/>
    <w:rsid w:val="003531F5"/>
    <w:rsid w:val="003565D9"/>
    <w:rsid w:val="003602E1"/>
    <w:rsid w:val="0037026F"/>
    <w:rsid w:val="00371240"/>
    <w:rsid w:val="00374731"/>
    <w:rsid w:val="00376E59"/>
    <w:rsid w:val="00377EC1"/>
    <w:rsid w:val="00380340"/>
    <w:rsid w:val="00383F85"/>
    <w:rsid w:val="003919F9"/>
    <w:rsid w:val="003920CF"/>
    <w:rsid w:val="00395601"/>
    <w:rsid w:val="003A45E2"/>
    <w:rsid w:val="003B23C2"/>
    <w:rsid w:val="003C01EB"/>
    <w:rsid w:val="003C0CF7"/>
    <w:rsid w:val="003C38B5"/>
    <w:rsid w:val="003C3978"/>
    <w:rsid w:val="003C47D2"/>
    <w:rsid w:val="003C5D99"/>
    <w:rsid w:val="003D1087"/>
    <w:rsid w:val="003E1E43"/>
    <w:rsid w:val="003E2F59"/>
    <w:rsid w:val="003E746B"/>
    <w:rsid w:val="003F0789"/>
    <w:rsid w:val="00401882"/>
    <w:rsid w:val="004100C8"/>
    <w:rsid w:val="0041022A"/>
    <w:rsid w:val="00411DBD"/>
    <w:rsid w:val="00412ACE"/>
    <w:rsid w:val="004145D2"/>
    <w:rsid w:val="00415DDA"/>
    <w:rsid w:val="00424536"/>
    <w:rsid w:val="00426CB4"/>
    <w:rsid w:val="00431249"/>
    <w:rsid w:val="00434C19"/>
    <w:rsid w:val="00450810"/>
    <w:rsid w:val="00462C59"/>
    <w:rsid w:val="00470737"/>
    <w:rsid w:val="00477144"/>
    <w:rsid w:val="00491380"/>
    <w:rsid w:val="0049459F"/>
    <w:rsid w:val="00496660"/>
    <w:rsid w:val="004A38DD"/>
    <w:rsid w:val="004B43AE"/>
    <w:rsid w:val="004C0471"/>
    <w:rsid w:val="004C30ED"/>
    <w:rsid w:val="004C341F"/>
    <w:rsid w:val="004D33C3"/>
    <w:rsid w:val="004D5675"/>
    <w:rsid w:val="004E31D5"/>
    <w:rsid w:val="00510590"/>
    <w:rsid w:val="005137BC"/>
    <w:rsid w:val="0051644D"/>
    <w:rsid w:val="00517795"/>
    <w:rsid w:val="00523639"/>
    <w:rsid w:val="00527561"/>
    <w:rsid w:val="00531FE5"/>
    <w:rsid w:val="005402FA"/>
    <w:rsid w:val="005524B7"/>
    <w:rsid w:val="00563BA4"/>
    <w:rsid w:val="005729BD"/>
    <w:rsid w:val="00580154"/>
    <w:rsid w:val="00583C39"/>
    <w:rsid w:val="00585E1D"/>
    <w:rsid w:val="00586A90"/>
    <w:rsid w:val="00587F28"/>
    <w:rsid w:val="005909CF"/>
    <w:rsid w:val="00590AF3"/>
    <w:rsid w:val="00591E71"/>
    <w:rsid w:val="00592455"/>
    <w:rsid w:val="005A0D41"/>
    <w:rsid w:val="005A409E"/>
    <w:rsid w:val="005C12D1"/>
    <w:rsid w:val="005D329F"/>
    <w:rsid w:val="005D474F"/>
    <w:rsid w:val="005E0720"/>
    <w:rsid w:val="005E370F"/>
    <w:rsid w:val="005F272B"/>
    <w:rsid w:val="005F3C64"/>
    <w:rsid w:val="005F48ED"/>
    <w:rsid w:val="00606E78"/>
    <w:rsid w:val="00607BF1"/>
    <w:rsid w:val="00630D4D"/>
    <w:rsid w:val="00631B2C"/>
    <w:rsid w:val="00632A74"/>
    <w:rsid w:val="006364A3"/>
    <w:rsid w:val="00644651"/>
    <w:rsid w:val="00654D42"/>
    <w:rsid w:val="00666E02"/>
    <w:rsid w:val="00674F31"/>
    <w:rsid w:val="0067680F"/>
    <w:rsid w:val="00677AD4"/>
    <w:rsid w:val="00694BC3"/>
    <w:rsid w:val="006A2853"/>
    <w:rsid w:val="006A4655"/>
    <w:rsid w:val="006A5B66"/>
    <w:rsid w:val="006A6866"/>
    <w:rsid w:val="006B2B3C"/>
    <w:rsid w:val="006B309F"/>
    <w:rsid w:val="006C1D81"/>
    <w:rsid w:val="006C7038"/>
    <w:rsid w:val="006E35A4"/>
    <w:rsid w:val="006E73EF"/>
    <w:rsid w:val="006F38EA"/>
    <w:rsid w:val="00707572"/>
    <w:rsid w:val="007079C9"/>
    <w:rsid w:val="00714D4D"/>
    <w:rsid w:val="00717051"/>
    <w:rsid w:val="007266D3"/>
    <w:rsid w:val="00732029"/>
    <w:rsid w:val="00751B61"/>
    <w:rsid w:val="00754347"/>
    <w:rsid w:val="007604BB"/>
    <w:rsid w:val="00772909"/>
    <w:rsid w:val="00785232"/>
    <w:rsid w:val="0079701E"/>
    <w:rsid w:val="007A21C9"/>
    <w:rsid w:val="007A21EB"/>
    <w:rsid w:val="007A2EA7"/>
    <w:rsid w:val="007B1A93"/>
    <w:rsid w:val="007C36C9"/>
    <w:rsid w:val="007D25FB"/>
    <w:rsid w:val="007D6401"/>
    <w:rsid w:val="007E01E4"/>
    <w:rsid w:val="007E7A12"/>
    <w:rsid w:val="007F4451"/>
    <w:rsid w:val="007F5020"/>
    <w:rsid w:val="007F7107"/>
    <w:rsid w:val="00800D4C"/>
    <w:rsid w:val="0081030F"/>
    <w:rsid w:val="00812F4A"/>
    <w:rsid w:val="0082087D"/>
    <w:rsid w:val="008300D7"/>
    <w:rsid w:val="00835771"/>
    <w:rsid w:val="0083791C"/>
    <w:rsid w:val="00842933"/>
    <w:rsid w:val="008502A9"/>
    <w:rsid w:val="0086082C"/>
    <w:rsid w:val="00864ADC"/>
    <w:rsid w:val="00880153"/>
    <w:rsid w:val="00880F97"/>
    <w:rsid w:val="0088133A"/>
    <w:rsid w:val="0089285E"/>
    <w:rsid w:val="0089436C"/>
    <w:rsid w:val="008B3CDE"/>
    <w:rsid w:val="008D365C"/>
    <w:rsid w:val="008D7622"/>
    <w:rsid w:val="008F26A8"/>
    <w:rsid w:val="009021A6"/>
    <w:rsid w:val="0090266E"/>
    <w:rsid w:val="00902EC1"/>
    <w:rsid w:val="009030BF"/>
    <w:rsid w:val="00903B52"/>
    <w:rsid w:val="0091032F"/>
    <w:rsid w:val="00914368"/>
    <w:rsid w:val="009171B7"/>
    <w:rsid w:val="00931076"/>
    <w:rsid w:val="009345D9"/>
    <w:rsid w:val="00934B15"/>
    <w:rsid w:val="00934F93"/>
    <w:rsid w:val="00940C87"/>
    <w:rsid w:val="00942B62"/>
    <w:rsid w:val="0095323B"/>
    <w:rsid w:val="009540E1"/>
    <w:rsid w:val="00956A0C"/>
    <w:rsid w:val="00956BD9"/>
    <w:rsid w:val="00962489"/>
    <w:rsid w:val="00967CD3"/>
    <w:rsid w:val="00990C2C"/>
    <w:rsid w:val="009935B1"/>
    <w:rsid w:val="009A5171"/>
    <w:rsid w:val="009A55A1"/>
    <w:rsid w:val="009B43FC"/>
    <w:rsid w:val="009C434D"/>
    <w:rsid w:val="009C6904"/>
    <w:rsid w:val="009E1844"/>
    <w:rsid w:val="009F06CD"/>
    <w:rsid w:val="009F0D1B"/>
    <w:rsid w:val="009F186D"/>
    <w:rsid w:val="009F5BBD"/>
    <w:rsid w:val="009F696D"/>
    <w:rsid w:val="009F6BC6"/>
    <w:rsid w:val="009F74EF"/>
    <w:rsid w:val="00A02826"/>
    <w:rsid w:val="00A15D5A"/>
    <w:rsid w:val="00A17328"/>
    <w:rsid w:val="00A216CD"/>
    <w:rsid w:val="00A23A20"/>
    <w:rsid w:val="00A24443"/>
    <w:rsid w:val="00A268B9"/>
    <w:rsid w:val="00A2703A"/>
    <w:rsid w:val="00A33DFF"/>
    <w:rsid w:val="00A35115"/>
    <w:rsid w:val="00A36D9A"/>
    <w:rsid w:val="00A433F3"/>
    <w:rsid w:val="00A451DC"/>
    <w:rsid w:val="00A554AB"/>
    <w:rsid w:val="00A57062"/>
    <w:rsid w:val="00A67781"/>
    <w:rsid w:val="00A739FE"/>
    <w:rsid w:val="00A761F9"/>
    <w:rsid w:val="00A85079"/>
    <w:rsid w:val="00A92B53"/>
    <w:rsid w:val="00A94FA6"/>
    <w:rsid w:val="00AA49A0"/>
    <w:rsid w:val="00AA6710"/>
    <w:rsid w:val="00AB0681"/>
    <w:rsid w:val="00AC3A15"/>
    <w:rsid w:val="00AD4A3E"/>
    <w:rsid w:val="00AD520B"/>
    <w:rsid w:val="00AE3BCC"/>
    <w:rsid w:val="00AE549E"/>
    <w:rsid w:val="00B14161"/>
    <w:rsid w:val="00B425C3"/>
    <w:rsid w:val="00B440AD"/>
    <w:rsid w:val="00B479BB"/>
    <w:rsid w:val="00B53E7E"/>
    <w:rsid w:val="00B6342E"/>
    <w:rsid w:val="00B7113F"/>
    <w:rsid w:val="00B82943"/>
    <w:rsid w:val="00BA2BCF"/>
    <w:rsid w:val="00BA5B14"/>
    <w:rsid w:val="00BA6ECA"/>
    <w:rsid w:val="00BA73B6"/>
    <w:rsid w:val="00BA7E27"/>
    <w:rsid w:val="00BB0367"/>
    <w:rsid w:val="00BB2603"/>
    <w:rsid w:val="00BB4FCD"/>
    <w:rsid w:val="00BC04E9"/>
    <w:rsid w:val="00BD13EA"/>
    <w:rsid w:val="00BD653F"/>
    <w:rsid w:val="00BE31DD"/>
    <w:rsid w:val="00BE3808"/>
    <w:rsid w:val="00C039E4"/>
    <w:rsid w:val="00C03B88"/>
    <w:rsid w:val="00C04BE8"/>
    <w:rsid w:val="00C062E9"/>
    <w:rsid w:val="00C07B64"/>
    <w:rsid w:val="00C11D5A"/>
    <w:rsid w:val="00C13721"/>
    <w:rsid w:val="00C14FE4"/>
    <w:rsid w:val="00C25F39"/>
    <w:rsid w:val="00C3066D"/>
    <w:rsid w:val="00C52416"/>
    <w:rsid w:val="00C543F4"/>
    <w:rsid w:val="00C55F05"/>
    <w:rsid w:val="00C6291C"/>
    <w:rsid w:val="00C633CB"/>
    <w:rsid w:val="00C652A4"/>
    <w:rsid w:val="00C664CD"/>
    <w:rsid w:val="00C736B7"/>
    <w:rsid w:val="00C81D4A"/>
    <w:rsid w:val="00C8762C"/>
    <w:rsid w:val="00C902F6"/>
    <w:rsid w:val="00C93722"/>
    <w:rsid w:val="00CA00F9"/>
    <w:rsid w:val="00CA2961"/>
    <w:rsid w:val="00CB2933"/>
    <w:rsid w:val="00CB50D7"/>
    <w:rsid w:val="00CB7177"/>
    <w:rsid w:val="00CB7CED"/>
    <w:rsid w:val="00CC070F"/>
    <w:rsid w:val="00CC1998"/>
    <w:rsid w:val="00CC3A6A"/>
    <w:rsid w:val="00CC4946"/>
    <w:rsid w:val="00CC64A1"/>
    <w:rsid w:val="00CE093A"/>
    <w:rsid w:val="00CF3659"/>
    <w:rsid w:val="00CF3B11"/>
    <w:rsid w:val="00D078E1"/>
    <w:rsid w:val="00D24C95"/>
    <w:rsid w:val="00D270A4"/>
    <w:rsid w:val="00D31FE9"/>
    <w:rsid w:val="00D34E1B"/>
    <w:rsid w:val="00D376BA"/>
    <w:rsid w:val="00D42A06"/>
    <w:rsid w:val="00D434A0"/>
    <w:rsid w:val="00D45634"/>
    <w:rsid w:val="00D456A6"/>
    <w:rsid w:val="00D54B2F"/>
    <w:rsid w:val="00D5568A"/>
    <w:rsid w:val="00D61412"/>
    <w:rsid w:val="00D63D73"/>
    <w:rsid w:val="00D64452"/>
    <w:rsid w:val="00D66E1E"/>
    <w:rsid w:val="00D70696"/>
    <w:rsid w:val="00D75722"/>
    <w:rsid w:val="00D80CF5"/>
    <w:rsid w:val="00D8150D"/>
    <w:rsid w:val="00DA5BBA"/>
    <w:rsid w:val="00DB26D2"/>
    <w:rsid w:val="00DB67C9"/>
    <w:rsid w:val="00DC0C95"/>
    <w:rsid w:val="00DC4F0B"/>
    <w:rsid w:val="00DC5CF9"/>
    <w:rsid w:val="00DD6580"/>
    <w:rsid w:val="00DF7648"/>
    <w:rsid w:val="00E01D7F"/>
    <w:rsid w:val="00E05C03"/>
    <w:rsid w:val="00E17C72"/>
    <w:rsid w:val="00E209A3"/>
    <w:rsid w:val="00E21FC6"/>
    <w:rsid w:val="00E335B4"/>
    <w:rsid w:val="00E3640B"/>
    <w:rsid w:val="00E4136E"/>
    <w:rsid w:val="00E431A9"/>
    <w:rsid w:val="00E44248"/>
    <w:rsid w:val="00E450DC"/>
    <w:rsid w:val="00E466CE"/>
    <w:rsid w:val="00E66600"/>
    <w:rsid w:val="00E669E2"/>
    <w:rsid w:val="00E76135"/>
    <w:rsid w:val="00E82F4F"/>
    <w:rsid w:val="00E837AA"/>
    <w:rsid w:val="00E864DF"/>
    <w:rsid w:val="00EA285B"/>
    <w:rsid w:val="00EA6EAB"/>
    <w:rsid w:val="00EA7E1F"/>
    <w:rsid w:val="00EB2CC3"/>
    <w:rsid w:val="00EC2844"/>
    <w:rsid w:val="00EC5500"/>
    <w:rsid w:val="00ED18F8"/>
    <w:rsid w:val="00EE1593"/>
    <w:rsid w:val="00EE6EDA"/>
    <w:rsid w:val="00EE778E"/>
    <w:rsid w:val="00EF17B7"/>
    <w:rsid w:val="00EF6719"/>
    <w:rsid w:val="00EF6C6C"/>
    <w:rsid w:val="00F056FC"/>
    <w:rsid w:val="00F0632F"/>
    <w:rsid w:val="00F069AE"/>
    <w:rsid w:val="00F10476"/>
    <w:rsid w:val="00F10FFE"/>
    <w:rsid w:val="00F135D8"/>
    <w:rsid w:val="00F31299"/>
    <w:rsid w:val="00F3534A"/>
    <w:rsid w:val="00F35BFB"/>
    <w:rsid w:val="00F36ACC"/>
    <w:rsid w:val="00F41445"/>
    <w:rsid w:val="00F43200"/>
    <w:rsid w:val="00F51609"/>
    <w:rsid w:val="00F55C25"/>
    <w:rsid w:val="00F73727"/>
    <w:rsid w:val="00F766A7"/>
    <w:rsid w:val="00F81006"/>
    <w:rsid w:val="00F85325"/>
    <w:rsid w:val="00FC5E7A"/>
    <w:rsid w:val="00FD22B1"/>
    <w:rsid w:val="00FD33F1"/>
    <w:rsid w:val="00FD3566"/>
    <w:rsid w:val="00FE21A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rPr>
      <w:szCs w:val="20"/>
    </w:r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4E31D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E31D5"/>
    <w:rPr>
      <w:szCs w:val="24"/>
    </w:rPr>
  </w:style>
  <w:style w:type="character" w:customStyle="1" w:styleId="CommentSubjectChar">
    <w:name w:val="Comment Subject Char"/>
    <w:basedOn w:val="CommentTextChar"/>
    <w:link w:val="CommentSubject"/>
    <w:rsid w:val="004E31D5"/>
    <w:rPr>
      <w:b/>
      <w:bCs/>
      <w:szCs w:val="24"/>
    </w:rPr>
  </w:style>
  <w:style w:type="character" w:styleId="EndnoteReference">
    <w:name w:val="endnote reference"/>
    <w:basedOn w:val="DefaultParagraphFont"/>
    <w:rsid w:val="002A7D9C"/>
    <w:rPr>
      <w:vertAlign w:val="superscript"/>
    </w:rPr>
  </w:style>
  <w:style w:type="paragraph" w:styleId="Bibliography">
    <w:name w:val="Bibliography"/>
    <w:basedOn w:val="Normal"/>
    <w:next w:val="Normal"/>
    <w:uiPriority w:val="37"/>
    <w:unhideWhenUsed/>
    <w:rsid w:val="001A0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rPr>
      <w:szCs w:val="20"/>
    </w:r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4E31D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E31D5"/>
    <w:rPr>
      <w:szCs w:val="24"/>
    </w:rPr>
  </w:style>
  <w:style w:type="character" w:customStyle="1" w:styleId="CommentSubjectChar">
    <w:name w:val="Comment Subject Char"/>
    <w:basedOn w:val="CommentTextChar"/>
    <w:link w:val="CommentSubject"/>
    <w:rsid w:val="004E31D5"/>
    <w:rPr>
      <w:b/>
      <w:bCs/>
      <w:szCs w:val="24"/>
    </w:rPr>
  </w:style>
  <w:style w:type="character" w:styleId="EndnoteReference">
    <w:name w:val="endnote reference"/>
    <w:basedOn w:val="DefaultParagraphFont"/>
    <w:rsid w:val="002A7D9C"/>
    <w:rPr>
      <w:vertAlign w:val="superscript"/>
    </w:rPr>
  </w:style>
  <w:style w:type="paragraph" w:styleId="Bibliography">
    <w:name w:val="Bibliography"/>
    <w:basedOn w:val="Normal"/>
    <w:next w:val="Normal"/>
    <w:uiPriority w:val="37"/>
    <w:unhideWhenUsed/>
    <w:rsid w:val="001A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C6E8C21E118D7B41812BB8AD3D5DACD6" ma:contentTypeVersion="4" ma:contentTypeDescription="Create a new document." ma:contentTypeScope="" ma:versionID="83e03143a20d5434026975f3e59498e1">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4ADE-5CC3-4E4F-B0A9-C004290F3FD4}">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63B47DD-6302-46E0-B128-520BAD0D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1B7BFF-3FD4-496C-9158-386AF5DA62E9}">
  <ds:schemaRefs>
    <ds:schemaRef ds:uri="http://schemas.microsoft.com/office/2006/metadata/customXsn"/>
  </ds:schemaRefs>
</ds:datastoreItem>
</file>

<file path=customXml/itemProps4.xml><?xml version="1.0" encoding="utf-8"?>
<ds:datastoreItem xmlns:ds="http://schemas.openxmlformats.org/officeDocument/2006/customXml" ds:itemID="{A4AC9EDC-C1D4-4129-9C06-B5520E29D370}">
  <ds:schemaRefs>
    <ds:schemaRef ds:uri="http://schemas.microsoft.com/sharepoint/v3/contenttype/forms"/>
  </ds:schemaRefs>
</ds:datastoreItem>
</file>

<file path=customXml/itemProps5.xml><?xml version="1.0" encoding="utf-8"?>
<ds:datastoreItem xmlns:ds="http://schemas.openxmlformats.org/officeDocument/2006/customXml" ds:itemID="{1ADFF309-D740-4563-B695-3D80CC88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5</Pages>
  <Words>2038</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Literature review of other models</vt:lpstr>
    </vt:vector>
  </TitlesOfParts>
  <Company>Productivity Commission</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of other models</dc:title>
  <dc:subject>Superannuation Policy for Post-Retirement: Modelling supplement</dc:subject>
  <dc:creator>Productivity Commission</dc:creator>
  <dc:description>7.</dc:description>
  <cp:lastModifiedBy>Productivity Commission</cp:lastModifiedBy>
  <cp:revision>2</cp:revision>
  <cp:lastPrinted>2015-06-02T23:58:00Z</cp:lastPrinted>
  <dcterms:created xsi:type="dcterms:W3CDTF">2015-07-02T04:42:00Z</dcterms:created>
  <dcterms:modified xsi:type="dcterms:W3CDTF">2015-07-02T04:42:00Z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id="Zl3JCz4H"/&gt;&lt;style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y fmtid="{D5CDD505-2E9C-101B-9397-08002B2CF9AE}" pid="4" name="ContentTypeId">
    <vt:lpwstr>0x010100C6E8C21E118D7B41812BB8AD3D5DACD6</vt:lpwstr>
  </property>
</Properties>
</file>